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东湖街道2023年市政管道养护项目</w:t>
      </w:r>
    </w:p>
    <w:p>
      <w:pPr>
        <w:adjustRightInd/>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 xml:space="preserve">招标文件 </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编号:（</w:t>
      </w:r>
      <w:r>
        <w:rPr>
          <w:rFonts w:hint="eastAsia" w:ascii="仿宋" w:hAnsi="仿宋" w:eastAsia="仿宋" w:cs="仿宋"/>
          <w:b/>
          <w:color w:val="000000" w:themeColor="text1"/>
          <w:sz w:val="32"/>
          <w:szCs w:val="32"/>
          <w:highlight w:val="none"/>
          <w:lang w:eastAsia="zh-CN"/>
          <w14:textFill>
            <w14:solidFill>
              <w14:schemeClr w14:val="tx1"/>
            </w14:solidFill>
          </w14:textFill>
        </w:rPr>
        <w:t>YJZFCG2023-096</w:t>
      </w:r>
      <w:r>
        <w:rPr>
          <w:rFonts w:hint="eastAsia" w:ascii="仿宋" w:hAnsi="仿宋" w:eastAsia="仿宋" w:cs="仿宋"/>
          <w:b/>
          <w:color w:val="000000" w:themeColor="text1"/>
          <w:sz w:val="32"/>
          <w:szCs w:val="32"/>
          <w:highlight w:val="none"/>
          <w14:textFill>
            <w14:solidFill>
              <w14:schemeClr w14:val="tx1"/>
            </w14:solidFill>
          </w14:textFill>
        </w:rPr>
        <w:t>）</w:t>
      </w:r>
    </w:p>
    <w:p>
      <w:pPr>
        <w:adjustRightInd/>
        <w:spacing w:line="360" w:lineRule="auto"/>
        <w:jc w:val="center"/>
        <w:rPr>
          <w:rFonts w:hint="eastAsia" w:ascii="仿宋" w:hAnsi="仿宋" w:eastAsia="仿宋" w:cs="仿宋"/>
          <w:color w:val="000000" w:themeColor="text1"/>
          <w:sz w:val="28"/>
          <w:szCs w:val="20"/>
          <w:highlight w:val="none"/>
          <w14:textFill>
            <w14:solidFill>
              <w14:schemeClr w14:val="tx1"/>
            </w14:solidFill>
          </w14:textFill>
        </w:rPr>
      </w:pPr>
    </w:p>
    <w:p>
      <w:pPr>
        <w:pStyle w:val="6"/>
        <w:rPr>
          <w:rFonts w:hint="eastAsia" w:ascii="仿宋" w:hAnsi="仿宋" w:eastAsia="仿宋" w:cs="仿宋"/>
          <w:color w:val="000000" w:themeColor="text1"/>
          <w:sz w:val="28"/>
          <w:szCs w:val="20"/>
          <w:highlight w:val="none"/>
          <w14:textFill>
            <w14:solidFill>
              <w14:schemeClr w14:val="tx1"/>
            </w14:solidFill>
          </w14:textFill>
        </w:rPr>
      </w:pPr>
    </w:p>
    <w:p>
      <w:pPr>
        <w:rPr>
          <w:rFonts w:hint="eastAsia" w:ascii="仿宋" w:hAnsi="仿宋" w:eastAsia="仿宋" w:cs="仿宋"/>
          <w:color w:val="000000" w:themeColor="text1"/>
          <w:sz w:val="28"/>
          <w:szCs w:val="20"/>
          <w:highlight w:val="none"/>
          <w14:textFill>
            <w14:solidFill>
              <w14:schemeClr w14:val="tx1"/>
            </w14:solidFill>
          </w14:textFill>
        </w:rPr>
      </w:pPr>
    </w:p>
    <w:p>
      <w:pPr>
        <w:pStyle w:val="6"/>
        <w:rPr>
          <w:rFonts w:hint="eastAsia" w:ascii="仿宋" w:hAnsi="仿宋" w:eastAsia="仿宋" w:cs="仿宋"/>
          <w:color w:val="000000" w:themeColor="text1"/>
          <w:sz w:val="28"/>
          <w:szCs w:val="20"/>
          <w:highlight w:val="none"/>
          <w14:textFill>
            <w14:solidFill>
              <w14:schemeClr w14:val="tx1"/>
            </w14:solidFill>
          </w14:textFill>
        </w:rPr>
      </w:pPr>
    </w:p>
    <w:p>
      <w:pPr>
        <w:rPr>
          <w:rFonts w:hint="eastAsia" w:ascii="仿宋" w:hAnsi="仿宋" w:eastAsia="仿宋" w:cs="仿宋"/>
          <w:color w:val="000000" w:themeColor="text1"/>
          <w:sz w:val="28"/>
          <w:szCs w:val="20"/>
          <w:highlight w:val="none"/>
          <w14:textFill>
            <w14:solidFill>
              <w14:schemeClr w14:val="tx1"/>
            </w14:solidFill>
          </w14:textFill>
        </w:rPr>
      </w:pPr>
    </w:p>
    <w:p>
      <w:pPr>
        <w:pStyle w:val="6"/>
        <w:rPr>
          <w:rFonts w:hint="eastAsia" w:ascii="仿宋" w:hAnsi="仿宋" w:eastAsia="仿宋" w:cs="仿宋"/>
          <w:color w:val="000000" w:themeColor="text1"/>
          <w:sz w:val="28"/>
          <w:szCs w:val="20"/>
          <w:highlight w:val="none"/>
          <w14:textFill>
            <w14:solidFill>
              <w14:schemeClr w14:val="tx1"/>
            </w14:solidFill>
          </w14:textFill>
        </w:rPr>
      </w:pPr>
    </w:p>
    <w:p>
      <w:pPr>
        <w:rPr>
          <w:rFonts w:hint="eastAsia" w:ascii="仿宋" w:hAnsi="仿宋" w:eastAsia="仿宋" w:cs="仿宋"/>
          <w:color w:val="000000" w:themeColor="text1"/>
          <w:sz w:val="28"/>
          <w:szCs w:val="20"/>
          <w:highlight w:val="none"/>
          <w14:textFill>
            <w14:solidFill>
              <w14:schemeClr w14:val="tx1"/>
            </w14:solidFill>
          </w14:textFill>
        </w:rPr>
      </w:pPr>
    </w:p>
    <w:p>
      <w:pPr>
        <w:pStyle w:val="6"/>
        <w:rPr>
          <w:rFonts w:hint="eastAsia" w:ascii="仿宋" w:hAnsi="仿宋" w:eastAsia="仿宋" w:cs="仿宋"/>
          <w:color w:val="000000" w:themeColor="text1"/>
          <w:sz w:val="28"/>
          <w:szCs w:val="20"/>
          <w:highlight w:val="none"/>
          <w14:textFill>
            <w14:solidFill>
              <w14:schemeClr w14:val="tx1"/>
            </w14:solidFill>
          </w14:textFill>
        </w:rPr>
      </w:pPr>
    </w:p>
    <w:p>
      <w:pPr>
        <w:rPr>
          <w:rFonts w:hint="eastAsia" w:ascii="仿宋" w:hAnsi="仿宋" w:eastAsia="仿宋" w:cs="仿宋"/>
          <w:color w:val="000000" w:themeColor="text1"/>
          <w:sz w:val="28"/>
          <w:szCs w:val="20"/>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采购人：</w:t>
      </w:r>
      <w:r>
        <w:rPr>
          <w:rFonts w:hint="eastAsia" w:ascii="仿宋" w:hAnsi="仿宋" w:eastAsia="仿宋" w:cs="仿宋"/>
          <w:color w:val="000000" w:themeColor="text1"/>
          <w:sz w:val="32"/>
          <w:szCs w:val="32"/>
          <w:highlight w:val="none"/>
          <w:lang w:eastAsia="zh-CN"/>
          <w14:textFill>
            <w14:solidFill>
              <w14:schemeClr w14:val="tx1"/>
            </w14:solidFill>
          </w14:textFill>
        </w:rPr>
        <w:t>杭州市临平区人民政府东湖街道办事处</w:t>
      </w:r>
      <w:r>
        <w:rPr>
          <w:rFonts w:hint="eastAsia" w:ascii="仿宋" w:hAnsi="仿宋" w:eastAsia="仿宋" w:cs="仿宋"/>
          <w:color w:val="000000" w:themeColor="text1"/>
          <w:sz w:val="32"/>
          <w:szCs w:val="32"/>
          <w:highlight w:val="none"/>
          <w14:textFill>
            <w14:solidFill>
              <w14:schemeClr w14:val="tx1"/>
            </w14:solidFill>
          </w14:textFill>
        </w:rPr>
        <w:t xml:space="preserve"> </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采购代理机构：</w:t>
      </w:r>
      <w:r>
        <w:rPr>
          <w:rFonts w:hint="eastAsia" w:ascii="仿宋" w:hAnsi="仿宋" w:eastAsia="仿宋" w:cs="仿宋"/>
          <w:bCs/>
          <w:color w:val="000000" w:themeColor="text1"/>
          <w:sz w:val="32"/>
          <w:szCs w:val="32"/>
          <w:highlight w:val="none"/>
          <w:lang w:eastAsia="zh-CN"/>
          <w14:textFill>
            <w14:solidFill>
              <w14:schemeClr w14:val="tx1"/>
            </w14:solidFill>
          </w14:textFill>
        </w:rPr>
        <w:t>杭州益嘉工程咨询代理有限公司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二〇二三年</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七</w:t>
      </w:r>
      <w:r>
        <w:rPr>
          <w:rFonts w:hint="eastAsia" w:ascii="仿宋" w:hAnsi="仿宋" w:eastAsia="仿宋" w:cs="仿宋"/>
          <w:bCs/>
          <w:color w:val="000000" w:themeColor="text1"/>
          <w:sz w:val="32"/>
          <w:szCs w:val="32"/>
          <w:highlight w:val="none"/>
          <w14:textFill>
            <w14:solidFill>
              <w14:schemeClr w14:val="tx1"/>
            </w14:solidFill>
          </w14:textFill>
        </w:rPr>
        <w:t>月</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东湖街道2023年市政管道养护项目</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"https://www.zcygov.cn/）获取（下载）招标文件，并于202 年 月 日 点 分00秒"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77"/>
          <w:rFonts w:hint="eastAsia" w:ascii="仿宋" w:hAnsi="仿宋" w:eastAsia="仿宋" w:cs="仿宋"/>
          <w:color w:val="000000" w:themeColor="text1"/>
          <w:kern w:val="2"/>
          <w:sz w:val="24"/>
          <w:szCs w:val="24"/>
          <w:highlight w:val="none"/>
          <w14:textFill>
            <w14:solidFill>
              <w14:schemeClr w14:val="tx1"/>
            </w14:solidFill>
          </w14:textFill>
        </w:rPr>
        <w:t>https://www.zcygov.cn/）获取（下载）招标文件，并于202</w:t>
      </w:r>
      <w:r>
        <w:rPr>
          <w:rStyle w:val="77"/>
          <w:rFonts w:hint="eastAsia" w:ascii="仿宋" w:hAnsi="仿宋" w:eastAsia="仿宋" w:cs="仿宋"/>
          <w:color w:val="000000" w:themeColor="text1"/>
          <w:kern w:val="2"/>
          <w:sz w:val="24"/>
          <w:szCs w:val="24"/>
          <w:highlight w:val="none"/>
          <w:lang w:val="en-US" w:eastAsia="zh-CN"/>
          <w14:textFill>
            <w14:solidFill>
              <w14:schemeClr w14:val="tx1"/>
            </w14:solidFill>
          </w14:textFill>
        </w:rPr>
        <w:t>3</w:t>
      </w:r>
      <w:r>
        <w:rPr>
          <w:rStyle w:val="77"/>
          <w:rFonts w:hint="eastAsia" w:ascii="仿宋" w:hAnsi="仿宋" w:eastAsia="仿宋" w:cs="仿宋"/>
          <w:color w:val="000000" w:themeColor="text1"/>
          <w:kern w:val="2"/>
          <w:sz w:val="24"/>
          <w:szCs w:val="24"/>
          <w:highlight w:val="none"/>
          <w14:textFill>
            <w14:solidFill>
              <w14:schemeClr w14:val="tx1"/>
            </w14:solidFill>
          </w14:textFill>
        </w:rPr>
        <w:t>年</w:t>
      </w:r>
      <w:r>
        <w:rPr>
          <w:rStyle w:val="77"/>
          <w:rFonts w:hint="eastAsia" w:ascii="仿宋" w:hAnsi="仿宋" w:eastAsia="仿宋" w:cs="仿宋"/>
          <w:color w:val="000000" w:themeColor="text1"/>
          <w:kern w:val="2"/>
          <w:sz w:val="24"/>
          <w:szCs w:val="24"/>
          <w:highlight w:val="none"/>
          <w:lang w:val="en-US" w:eastAsia="zh-CN"/>
          <w14:textFill>
            <w14:solidFill>
              <w14:schemeClr w14:val="tx1"/>
            </w14:solidFill>
          </w14:textFill>
        </w:rPr>
        <w:t>8</w:t>
      </w:r>
      <w:r>
        <w:rPr>
          <w:rStyle w:val="77"/>
          <w:rFonts w:hint="eastAsia" w:ascii="仿宋" w:hAnsi="仿宋" w:eastAsia="仿宋" w:cs="仿宋"/>
          <w:color w:val="000000" w:themeColor="text1"/>
          <w:kern w:val="2"/>
          <w:sz w:val="24"/>
          <w:szCs w:val="24"/>
          <w:highlight w:val="none"/>
          <w14:textFill>
            <w14:solidFill>
              <w14:schemeClr w14:val="tx1"/>
            </w14:solidFill>
          </w14:textFill>
        </w:rPr>
        <w:t>月</w:t>
      </w:r>
      <w:r>
        <w:rPr>
          <w:rStyle w:val="77"/>
          <w:rFonts w:hint="eastAsia" w:ascii="仿宋" w:hAnsi="仿宋" w:eastAsia="仿宋" w:cs="仿宋"/>
          <w:color w:val="000000" w:themeColor="text1"/>
          <w:kern w:val="2"/>
          <w:sz w:val="24"/>
          <w:szCs w:val="24"/>
          <w:highlight w:val="none"/>
          <w:lang w:val="en-US" w:eastAsia="zh-CN"/>
          <w14:textFill>
            <w14:solidFill>
              <w14:schemeClr w14:val="tx1"/>
            </w14:solidFill>
          </w14:textFill>
        </w:rPr>
        <w:t>8</w:t>
      </w:r>
      <w:r>
        <w:rPr>
          <w:rStyle w:val="77"/>
          <w:rFonts w:hint="eastAsia" w:ascii="仿宋" w:hAnsi="仿宋" w:eastAsia="仿宋" w:cs="仿宋"/>
          <w:color w:val="000000" w:themeColor="text1"/>
          <w:kern w:val="2"/>
          <w:sz w:val="24"/>
          <w:szCs w:val="24"/>
          <w:highlight w:val="none"/>
          <w14:textFill>
            <w14:solidFill>
              <w14:schemeClr w14:val="tx1"/>
            </w14:solidFill>
          </w14:textFill>
        </w:rPr>
        <w:t>日</w:t>
      </w:r>
      <w:r>
        <w:rPr>
          <w:rStyle w:val="77"/>
          <w:rFonts w:hint="eastAsia" w:ascii="仿宋" w:hAnsi="仿宋" w:eastAsia="仿宋" w:cs="仿宋"/>
          <w:color w:val="000000" w:themeColor="text1"/>
          <w:kern w:val="2"/>
          <w:sz w:val="24"/>
          <w:szCs w:val="24"/>
          <w:highlight w:val="none"/>
          <w:lang w:val="en-US" w:eastAsia="zh-CN"/>
          <w14:textFill>
            <w14:solidFill>
              <w14:schemeClr w14:val="tx1"/>
            </w14:solidFill>
          </w14:textFill>
        </w:rPr>
        <w:t>9</w:t>
      </w:r>
      <w:r>
        <w:rPr>
          <w:rStyle w:val="77"/>
          <w:rFonts w:hint="eastAsia" w:ascii="仿宋" w:hAnsi="仿宋" w:eastAsia="仿宋" w:cs="仿宋"/>
          <w:color w:val="000000" w:themeColor="text1"/>
          <w:kern w:val="2"/>
          <w:sz w:val="24"/>
          <w:szCs w:val="24"/>
          <w:highlight w:val="none"/>
          <w14:textFill>
            <w14:solidFill>
              <w14:schemeClr w14:val="tx1"/>
            </w14:solidFill>
          </w14:textFill>
        </w:rPr>
        <w:t>点</w:t>
      </w:r>
      <w:r>
        <w:rPr>
          <w:rStyle w:val="77"/>
          <w:rFonts w:hint="eastAsia" w:ascii="仿宋" w:hAnsi="仿宋" w:eastAsia="仿宋" w:cs="仿宋"/>
          <w:color w:val="000000" w:themeColor="text1"/>
          <w:kern w:val="2"/>
          <w:sz w:val="24"/>
          <w:szCs w:val="24"/>
          <w:highlight w:val="none"/>
          <w:lang w:val="en-US" w:eastAsia="zh-CN"/>
          <w14:textFill>
            <w14:solidFill>
              <w14:schemeClr w14:val="tx1"/>
            </w14:solidFill>
          </w14:textFill>
        </w:rPr>
        <w:t>30</w:t>
      </w:r>
      <w:r>
        <w:rPr>
          <w:rStyle w:val="77"/>
          <w:rFonts w:hint="eastAsia" w:ascii="仿宋" w:hAnsi="仿宋" w:eastAsia="仿宋" w:cs="仿宋"/>
          <w:color w:val="000000" w:themeColor="text1"/>
          <w:kern w:val="2"/>
          <w:sz w:val="24"/>
          <w:szCs w:val="24"/>
          <w:highlight w:val="none"/>
          <w14:textFill>
            <w14:solidFill>
              <w14:schemeClr w14:val="tx1"/>
            </w14:solidFill>
          </w14:textFill>
        </w:rPr>
        <w:t>分</w:t>
      </w:r>
      <w:r>
        <w:rPr>
          <w:rStyle w:val="77"/>
          <w:rFonts w:hint="eastAsia" w:ascii="仿宋" w:hAnsi="仿宋" w:eastAsia="仿宋" w:cs="仿宋"/>
          <w:bCs/>
          <w:color w:val="000000" w:themeColor="text1"/>
          <w:kern w:val="2"/>
          <w:sz w:val="24"/>
          <w:szCs w:val="24"/>
          <w:highlight w:val="none"/>
          <w14:textFill>
            <w14:solidFill>
              <w14:schemeClr w14:val="tx1"/>
            </w14:solidFill>
          </w14:textFill>
        </w:rPr>
        <w:t>00秒</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一、项目基本情况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YJZFCG2023-096</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东湖街道2023年市政管道养护项目</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预算金额（元）：39450000</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b/>
          <w:color w:val="000000" w:themeColor="text1"/>
          <w:sz w:val="24"/>
          <w:highlight w:val="none"/>
          <w:lang w:val="en-US" w:eastAsia="zh-CN"/>
          <w14:textFill>
            <w14:solidFill>
              <w14:schemeClr w14:val="tx1"/>
            </w14:solidFill>
          </w14:textFill>
        </w:rPr>
        <w:t>39446784</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color w:val="000000" w:themeColor="text1"/>
          <w:sz w:val="24"/>
          <w:highlight w:val="none"/>
          <w:lang w:eastAsia="zh-CN"/>
          <w14:textFill>
            <w14:solidFill>
              <w14:schemeClr w14:val="tx1"/>
            </w14:solidFill>
          </w14:textFill>
        </w:rPr>
        <w:t>东湖街道2023年市政管道养护项目</w:t>
      </w:r>
      <w:r>
        <w:rPr>
          <w:rFonts w:hint="eastAsia" w:ascii="仿宋" w:hAnsi="仿宋" w:eastAsia="仿宋" w:cs="仿宋"/>
          <w:bCs/>
          <w:color w:val="000000" w:themeColor="text1"/>
          <w:kern w:val="2"/>
          <w:sz w:val="24"/>
          <w:szCs w:val="24"/>
          <w:highlight w:val="none"/>
          <w14:textFill>
            <w14:solidFill>
              <w14:schemeClr w14:val="tx1"/>
            </w14:solidFill>
          </w14:textFill>
        </w:rPr>
        <w:t>主要内容：</w:t>
      </w:r>
      <w:r>
        <w:rPr>
          <w:rFonts w:hint="eastAsia" w:ascii="仿宋" w:hAnsi="仿宋" w:eastAsia="仿宋" w:cs="仿宋"/>
          <w:color w:val="000000" w:themeColor="text1"/>
          <w:kern w:val="2"/>
          <w:sz w:val="24"/>
          <w:szCs w:val="24"/>
          <w:highlight w:val="none"/>
          <w14:textFill>
            <w14:solidFill>
              <w14:schemeClr w14:val="tx1"/>
            </w14:solidFill>
          </w14:textFill>
        </w:rPr>
        <w:t>具体以招标文件第三部分采购需求为准，供应商可点击本公告下方“浏览采购文件”查看采购需求。</w:t>
      </w:r>
      <w:r>
        <w:rPr>
          <w:rFonts w:hint="eastAsia" w:ascii="仿宋" w:hAnsi="仿宋" w:eastAsia="仿宋" w:cs="仿宋"/>
          <w:color w:val="000000" w:themeColor="text1"/>
          <w:kern w:val="2"/>
          <w:sz w:val="24"/>
          <w:szCs w:val="24"/>
          <w:highlight w:val="none"/>
          <w14:textFill>
            <w14:solidFill>
              <w14:schemeClr w14:val="tx1"/>
            </w14:solidFill>
          </w14:textFill>
        </w:rPr>
        <w:br w:type="textWrapping"/>
      </w:r>
      <w:r>
        <w:rPr>
          <w:rFonts w:hint="eastAsia" w:ascii="仿宋" w:hAnsi="仿宋" w:eastAsia="仿宋" w:cs="仿宋"/>
          <w:color w:val="000000" w:themeColor="text1"/>
          <w:kern w:val="2"/>
          <w:sz w:val="24"/>
          <w:szCs w:val="24"/>
          <w:highlight w:val="none"/>
          <w14:textFill>
            <w14:solidFill>
              <w14:schemeClr w14:val="tx1"/>
            </w14:solidFill>
          </w14:textFill>
        </w:rPr>
        <w:t>标项一:</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标项名称: 东湖街道2023年市政管道养护项目（标项一）</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数量: 1  </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w:t>
      </w:r>
      <w:r>
        <w:rPr>
          <w:rFonts w:hint="eastAsia" w:ascii="仿宋" w:hAnsi="仿宋" w:eastAsia="仿宋" w:cs="仿宋"/>
          <w:color w:val="000000" w:themeColor="text1"/>
          <w:kern w:val="2"/>
          <w:sz w:val="24"/>
          <w:szCs w:val="24"/>
          <w:highlight w:val="none"/>
          <w14:textFill>
            <w14:solidFill>
              <w14:schemeClr w14:val="tx1"/>
            </w14:solidFill>
          </w14:textFill>
        </w:rPr>
        <w:t>（元）:6698178</w:t>
      </w:r>
      <w:r>
        <w:rPr>
          <w:rFonts w:hint="eastAsia" w:ascii="仿宋" w:hAnsi="仿宋" w:eastAsia="仿宋" w:cs="仿宋"/>
          <w:color w:val="000000" w:themeColor="text1"/>
          <w:kern w:val="2"/>
          <w:sz w:val="24"/>
          <w:szCs w:val="24"/>
          <w:highlight w:val="none"/>
          <w14:textFill>
            <w14:solidFill>
              <w14:schemeClr w14:val="tx1"/>
            </w14:solidFill>
          </w14:textFill>
        </w:rPr>
        <w:br w:type="textWrapping"/>
      </w:r>
      <w:r>
        <w:rPr>
          <w:rFonts w:hint="eastAsia" w:ascii="仿宋" w:hAnsi="仿宋" w:eastAsia="仿宋" w:cs="仿宋"/>
          <w:color w:val="000000" w:themeColor="text1"/>
          <w:kern w:val="2"/>
          <w:sz w:val="24"/>
          <w:szCs w:val="24"/>
          <w:highlight w:val="none"/>
          <w14:textFill>
            <w14:solidFill>
              <w14:schemeClr w14:val="tx1"/>
            </w14:solidFill>
          </w14:textFill>
        </w:rPr>
        <w:t>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标项名称: 东湖街道2023年市政管道养护项目（标项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数量: 1  </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w:t>
      </w:r>
      <w:r>
        <w:rPr>
          <w:rFonts w:hint="eastAsia" w:ascii="仿宋" w:hAnsi="仿宋" w:eastAsia="仿宋" w:cs="仿宋"/>
          <w:color w:val="000000" w:themeColor="text1"/>
          <w:kern w:val="2"/>
          <w:sz w:val="24"/>
          <w:szCs w:val="24"/>
          <w:highlight w:val="none"/>
          <w14:textFill>
            <w14:solidFill>
              <w14:schemeClr w14:val="tx1"/>
            </w14:solidFill>
          </w14:textFill>
        </w:rPr>
        <w:t>（元）:7217577</w:t>
      </w:r>
      <w:r>
        <w:rPr>
          <w:rFonts w:hint="eastAsia" w:ascii="仿宋" w:hAnsi="仿宋" w:eastAsia="仿宋" w:cs="仿宋"/>
          <w:color w:val="000000" w:themeColor="text1"/>
          <w:kern w:val="2"/>
          <w:sz w:val="24"/>
          <w:szCs w:val="24"/>
          <w:highlight w:val="none"/>
          <w14:textFill>
            <w14:solidFill>
              <w14:schemeClr w14:val="tx1"/>
            </w14:solidFill>
          </w14:textFill>
        </w:rPr>
        <w:br w:type="textWrapping"/>
      </w:r>
      <w:r>
        <w:rPr>
          <w:rFonts w:hint="eastAsia" w:ascii="仿宋" w:hAnsi="仿宋" w:eastAsia="仿宋" w:cs="仿宋"/>
          <w:color w:val="000000" w:themeColor="text1"/>
          <w:kern w:val="2"/>
          <w:sz w:val="24"/>
          <w:szCs w:val="24"/>
          <w:highlight w:val="none"/>
          <w14:textFill>
            <w14:solidFill>
              <w14:schemeClr w14:val="tx1"/>
            </w14:solidFill>
          </w14:textFill>
        </w:rPr>
        <w:t>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三</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标项名称: 东湖街道2023年市政管道养护项目（标项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三</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数量: 1  </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w:t>
      </w:r>
      <w:r>
        <w:rPr>
          <w:rFonts w:hint="eastAsia" w:ascii="仿宋" w:hAnsi="仿宋" w:eastAsia="仿宋" w:cs="仿宋"/>
          <w:color w:val="000000" w:themeColor="text1"/>
          <w:kern w:val="2"/>
          <w:sz w:val="24"/>
          <w:szCs w:val="24"/>
          <w:highlight w:val="none"/>
          <w14:textFill>
            <w14:solidFill>
              <w14:schemeClr w14:val="tx1"/>
            </w14:solidFill>
          </w14:textFill>
        </w:rPr>
        <w:t>（元）:8503470</w:t>
      </w:r>
      <w:r>
        <w:rPr>
          <w:rFonts w:hint="eastAsia" w:ascii="仿宋" w:hAnsi="仿宋" w:eastAsia="仿宋" w:cs="仿宋"/>
          <w:color w:val="000000" w:themeColor="text1"/>
          <w:kern w:val="2"/>
          <w:sz w:val="24"/>
          <w:szCs w:val="24"/>
          <w:highlight w:val="none"/>
          <w14:textFill>
            <w14:solidFill>
              <w14:schemeClr w14:val="tx1"/>
            </w14:solidFill>
          </w14:textFill>
        </w:rPr>
        <w:br w:type="textWrapping"/>
      </w:r>
      <w:r>
        <w:rPr>
          <w:rFonts w:hint="eastAsia" w:ascii="仿宋" w:hAnsi="仿宋" w:eastAsia="仿宋" w:cs="仿宋"/>
          <w:color w:val="000000" w:themeColor="text1"/>
          <w:kern w:val="2"/>
          <w:sz w:val="24"/>
          <w:szCs w:val="24"/>
          <w:highlight w:val="none"/>
          <w14:textFill>
            <w14:solidFill>
              <w14:schemeClr w14:val="tx1"/>
            </w14:solidFill>
          </w14:textFill>
        </w:rPr>
        <w:t>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四</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标项名称: 东湖街道2023年市政管道养护项目（标项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四</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数量: 1  </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w:t>
      </w:r>
      <w:r>
        <w:rPr>
          <w:rFonts w:hint="eastAsia" w:ascii="仿宋" w:hAnsi="仿宋" w:eastAsia="仿宋" w:cs="仿宋"/>
          <w:color w:val="000000" w:themeColor="text1"/>
          <w:kern w:val="2"/>
          <w:sz w:val="24"/>
          <w:szCs w:val="24"/>
          <w:highlight w:val="none"/>
          <w14:textFill>
            <w14:solidFill>
              <w14:schemeClr w14:val="tx1"/>
            </w14:solidFill>
          </w14:textFill>
        </w:rPr>
        <w:t>（元）:8699754</w:t>
      </w:r>
      <w:r>
        <w:rPr>
          <w:rFonts w:hint="eastAsia" w:ascii="仿宋" w:hAnsi="仿宋" w:eastAsia="仿宋" w:cs="仿宋"/>
          <w:color w:val="000000" w:themeColor="text1"/>
          <w:kern w:val="2"/>
          <w:sz w:val="24"/>
          <w:szCs w:val="24"/>
          <w:highlight w:val="none"/>
          <w14:textFill>
            <w14:solidFill>
              <w14:schemeClr w14:val="tx1"/>
            </w14:solidFill>
          </w14:textFill>
        </w:rPr>
        <w:br w:type="textWrapping"/>
      </w:r>
      <w:r>
        <w:rPr>
          <w:rFonts w:hint="eastAsia" w:ascii="仿宋" w:hAnsi="仿宋" w:eastAsia="仿宋" w:cs="仿宋"/>
          <w:color w:val="000000" w:themeColor="text1"/>
          <w:kern w:val="2"/>
          <w:sz w:val="24"/>
          <w:szCs w:val="24"/>
          <w:highlight w:val="none"/>
          <w14:textFill>
            <w14:solidFill>
              <w14:schemeClr w14:val="tx1"/>
            </w14:solidFill>
          </w14:textFill>
        </w:rPr>
        <w:t>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五</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标项名称: 东湖街道2023年市政管道养护项目（标项</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五</w:t>
      </w:r>
      <w:r>
        <w:rPr>
          <w:rFonts w:hint="eastAsia" w:ascii="仿宋" w:hAnsi="仿宋" w:eastAsia="仿宋" w:cs="仿宋"/>
          <w:color w:val="000000" w:themeColor="text1"/>
          <w:kern w:val="2"/>
          <w:sz w:val="24"/>
          <w:szCs w:val="24"/>
          <w:highlight w:val="none"/>
          <w14:textFill>
            <w14:solidFill>
              <w14:schemeClr w14:val="tx1"/>
            </w14:solidFill>
          </w14:textFill>
        </w:rPr>
        <w:t>）</w:t>
      </w:r>
    </w:p>
    <w:p>
      <w:pPr>
        <w:pStyle w:val="8"/>
        <w:spacing w:line="360" w:lineRule="auto"/>
        <w:ind w:left="0" w:leftChars="0" w:firstLine="0" w:firstLineChars="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数量: 1  </w:t>
      </w:r>
    </w:p>
    <w:p>
      <w:pPr>
        <w:pStyle w:val="8"/>
        <w:spacing w:line="360" w:lineRule="auto"/>
        <w:ind w:left="0" w:leftChars="0" w:firstLine="0" w:firstLineChars="0"/>
        <w:rPr>
          <w:rFonts w:hint="eastAsia" w:ascii="仿宋" w:hAnsi="仿宋" w:eastAsia="仿宋" w:cs="仿宋"/>
          <w:bCs/>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w:t>
      </w:r>
      <w:r>
        <w:rPr>
          <w:rFonts w:hint="eastAsia" w:ascii="仿宋" w:hAnsi="仿宋" w:eastAsia="仿宋" w:cs="仿宋"/>
          <w:color w:val="000000" w:themeColor="text1"/>
          <w:kern w:val="2"/>
          <w:sz w:val="24"/>
          <w:szCs w:val="24"/>
          <w:highlight w:val="none"/>
          <w14:textFill>
            <w14:solidFill>
              <w14:schemeClr w14:val="tx1"/>
            </w14:solidFill>
          </w14:textFill>
        </w:rPr>
        <w:t>（元）:8327805</w:t>
      </w:r>
    </w:p>
    <w:p>
      <w:pPr>
        <w:pStyle w:val="85"/>
        <w:ind w:left="0" w:leftChars="0" w:firstLine="0" w:firstLineChars="0"/>
        <w:outlineLvl w:val="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合同履约期限：详见招标文件第三部分采购需求</w:t>
      </w:r>
    </w:p>
    <w:p>
      <w:pPr>
        <w:pStyle w:val="8"/>
        <w:spacing w:line="360" w:lineRule="auto"/>
        <w:ind w:left="0" w:leftChars="0"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b/>
          <w:color w:val="000000" w:themeColor="text1"/>
          <w:sz w:val="24"/>
          <w:highlight w:val="none"/>
          <w14:textFill>
            <w14:solidFill>
              <w14:schemeClr w14:val="tx1"/>
            </w14:solidFill>
          </w14:textFill>
        </w:rPr>
        <w:t>是；</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2.以联合体形式投标的，提供联合协议(本项目不接受联合体投标或者投标人不以联合体形式投标的，则不需要提供)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3.落实政府采</w:t>
      </w:r>
      <w:bookmarkStart w:id="516" w:name="_GoBack"/>
      <w:bookmarkEnd w:id="516"/>
      <w:r>
        <w:rPr>
          <w:rFonts w:hint="eastAsia" w:ascii="仿宋" w:hAnsi="仿宋" w:eastAsia="仿宋" w:cs="仿宋"/>
          <w:snapToGrid w:val="0"/>
          <w:color w:val="000000" w:themeColor="text1"/>
          <w:kern w:val="28"/>
          <w:sz w:val="24"/>
          <w:szCs w:val="20"/>
          <w:highlight w:val="none"/>
          <w14:textFill>
            <w14:solidFill>
              <w14:schemeClr w14:val="tx1"/>
            </w14:solidFill>
          </w14:textFill>
        </w:rPr>
        <w:t>购政策需满足的资格要求：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无</w:t>
      </w:r>
      <w:r>
        <w:rPr>
          <w:rFonts w:hint="eastAsia" w:ascii="仿宋" w:hAnsi="仿宋" w:eastAsia="仿宋" w:cs="仿宋"/>
          <w:snapToGrid w:val="0"/>
          <w:color w:val="000000" w:themeColor="text1"/>
          <w:kern w:val="28"/>
          <w:sz w:val="24"/>
          <w:szCs w:val="20"/>
          <w:highlight w:val="none"/>
          <w14:textFill>
            <w14:solidFill>
              <w14:schemeClr w14:val="tx1"/>
            </w14:solidFill>
          </w14:textFill>
        </w:rPr>
        <w:t>（注：不得限制大中型企业与小微企业组成联合体参与投标）；</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专</w:t>
      </w:r>
      <w:r>
        <w:rPr>
          <w:rFonts w:hint="eastAsia" w:ascii="仿宋" w:hAnsi="仿宋" w:eastAsia="仿宋" w:cs="仿宋"/>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 xml:space="preserve">服务全部由符合政策要求的小微企业承接，提供中小企业声明函。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%，其中小微企业合同金额应当达到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4.本项目的特定资格要求：无；</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14:textFill>
            <w14:solidFill>
              <w14:schemeClr w14:val="tx1"/>
            </w14:solidFill>
          </w14:textFill>
        </w:rPr>
        <w:t>2023年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 xml:space="preserve"> 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3</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分00秒</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b w:val="0"/>
          <w:bCs/>
          <w:color w:val="000000" w:themeColor="text1"/>
          <w:sz w:val="24"/>
          <w:highlight w:val="none"/>
          <w:u w:val="single"/>
          <w14:textFill>
            <w14:solidFill>
              <w14:schemeClr w14:val="tx1"/>
            </w14:solidFill>
          </w14:textFill>
        </w:rPr>
        <w:t>202</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3</w:t>
      </w:r>
      <w:r>
        <w:rPr>
          <w:rFonts w:hint="eastAsia" w:ascii="仿宋" w:hAnsi="仿宋" w:eastAsia="仿宋" w:cs="仿宋"/>
          <w:b w:val="0"/>
          <w:bCs/>
          <w:color w:val="000000" w:themeColor="text1"/>
          <w:sz w:val="24"/>
          <w:highlight w:val="none"/>
          <w:u w:val="single"/>
          <w14:textFill>
            <w14:solidFill>
              <w14:schemeClr w14:val="tx1"/>
            </w14:solidFill>
          </w14:textFill>
        </w:rPr>
        <w:t>年</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b w:val="0"/>
          <w:bCs/>
          <w:color w:val="000000" w:themeColor="text1"/>
          <w:sz w:val="24"/>
          <w:highlight w:val="none"/>
          <w:u w:val="single"/>
          <w14:textFill>
            <w14:solidFill>
              <w14:schemeClr w14:val="tx1"/>
            </w14:solidFill>
          </w14:textFill>
        </w:rPr>
        <w:t>月</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8</w:t>
      </w:r>
      <w:r>
        <w:rPr>
          <w:rFonts w:hint="eastAsia" w:ascii="仿宋" w:hAnsi="仿宋" w:eastAsia="仿宋" w:cs="仿宋"/>
          <w:b w:val="0"/>
          <w:bCs/>
          <w:color w:val="000000" w:themeColor="text1"/>
          <w:sz w:val="24"/>
          <w:highlight w:val="none"/>
          <w:u w:val="single"/>
          <w14:textFill>
            <w14:solidFill>
              <w14:schemeClr w14:val="tx1"/>
            </w14:solidFill>
          </w14:textFill>
        </w:rPr>
        <w:t>日</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b w:val="0"/>
          <w:bCs/>
          <w:color w:val="000000" w:themeColor="text1"/>
          <w:sz w:val="24"/>
          <w:highlight w:val="none"/>
          <w:u w:val="single"/>
          <w14:textFill>
            <w14:solidFill>
              <w14:schemeClr w14:val="tx1"/>
            </w14:solidFill>
          </w14:textFill>
        </w:rPr>
        <w:t>点</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b w:val="0"/>
          <w:bCs/>
          <w:color w:val="000000" w:themeColor="text1"/>
          <w:sz w:val="24"/>
          <w:highlight w:val="none"/>
          <w:u w:val="single"/>
          <w14:textFill>
            <w14:solidFill>
              <w14:schemeClr w14:val="tx1"/>
            </w14:solidFill>
          </w14:textFill>
        </w:rPr>
        <w:t>分</w:t>
      </w:r>
      <w:r>
        <w:rPr>
          <w:rFonts w:hint="eastAsia" w:ascii="仿宋" w:hAnsi="仿宋" w:eastAsia="仿宋" w:cs="仿宋"/>
          <w:color w:val="000000" w:themeColor="text1"/>
          <w:sz w:val="24"/>
          <w:highlight w:val="none"/>
          <w:u w:val="single"/>
          <w14:textFill>
            <w14:solidFill>
              <w14:schemeClr w14:val="tx1"/>
            </w14:solidFill>
          </w14:textFill>
        </w:rPr>
        <w:t>00秒</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五、采购意向公开链接：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https://zfcg.czt.zj.gov.cn/luban/detail?parentId=600007&amp;articleId=J2rPAZSNZzA%2Fbh7uQI8eAw%3D%3D&amp;utm=luban.luban-PC-37000.979-pc-websitegroup-zhejiang-secondPage-front.3.463ec2000a5511eea265dd252295f277</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六、公告期限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八、对本次采购提出询问、质疑、投诉，请按以下方式联系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杭州市临平区人民政府东湖街道办事处</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址：浙江省杭州市临平区顺达路3号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项目联系人（询问）：赵宋益  </w:t>
      </w:r>
    </w:p>
    <w:p>
      <w:pPr>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项目联系方式（询问）：15858194107 </w:t>
      </w:r>
    </w:p>
    <w:p>
      <w:pPr>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质疑联系人：吴潇达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质疑联系方式：18005813871</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杭州益嘉工程咨询代理有限公司</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址：浙江省杭州市临平区</w:t>
      </w:r>
      <w:r>
        <w:rPr>
          <w:rFonts w:hint="eastAsia" w:ascii="仿宋" w:hAnsi="仿宋" w:eastAsia="仿宋" w:cs="仿宋"/>
          <w:color w:val="000000" w:themeColor="text1"/>
          <w:sz w:val="24"/>
          <w:highlight w:val="none"/>
          <w:lang w:val="en-US" w:eastAsia="zh-CN"/>
          <w14:textFill>
            <w14:solidFill>
              <w14:schemeClr w14:val="tx1"/>
            </w14:solidFill>
          </w14:textFill>
        </w:rPr>
        <w:t>东湖北路488-1号29幢3楼</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项目联系人（询问）：</w:t>
      </w:r>
      <w:r>
        <w:rPr>
          <w:rFonts w:hint="eastAsia" w:ascii="仿宋" w:hAnsi="仿宋" w:eastAsia="仿宋" w:cs="仿宋"/>
          <w:color w:val="000000" w:themeColor="text1"/>
          <w:sz w:val="24"/>
          <w:highlight w:val="none"/>
          <w:lang w:val="en-US" w:eastAsia="zh-CN"/>
          <w14:textFill>
            <w14:solidFill>
              <w14:schemeClr w14:val="tx1"/>
            </w14:solidFill>
          </w14:textFill>
        </w:rPr>
        <w:t>杨文波</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highlight w:val="none"/>
          <w:lang w:val="en-US" w:eastAsia="zh-CN"/>
          <w14:textFill>
            <w14:solidFill>
              <w14:schemeClr w14:val="tx1"/>
            </w14:solidFill>
          </w14:textFill>
        </w:rPr>
        <w:t>15397053608</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highlight w:val="none"/>
          <w:lang w:val="en-US" w:eastAsia="zh-CN"/>
          <w14:textFill>
            <w14:solidFill>
              <w14:schemeClr w14:val="tx1"/>
            </w14:solidFill>
          </w14:textFill>
        </w:rPr>
        <w:t>朱海强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highlight w:val="none"/>
          <w:lang w:val="en-US" w:eastAsia="zh-CN"/>
          <w14:textFill>
            <w14:solidFill>
              <w14:schemeClr w14:val="tx1"/>
            </w14:solidFill>
          </w14:textFill>
        </w:rPr>
        <w:t>13735887310</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3.同级政府采购监督管理部门</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 杭州市临平区财政局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联系人 ： 俞先生</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监督投诉电话：0571- 89185312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地址：杭州市临平区临平东湖中路236号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widowControl/>
        <w:adjustRightInd/>
        <w:spacing w:line="360" w:lineRule="auto"/>
        <w:jc w:val="left"/>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事项</w:t>
            </w:r>
          </w:p>
        </w:tc>
        <w:tc>
          <w:tcPr>
            <w:tcW w:w="6095"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w:t>
            </w:r>
          </w:p>
        </w:tc>
        <w:tc>
          <w:tcPr>
            <w:tcW w:w="1843" w:type="dxa"/>
            <w:vAlign w:val="center"/>
          </w:tcPr>
          <w:p>
            <w:pPr>
              <w:snapToGrid w:val="0"/>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项目属性</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xml:space="preserve">服务类。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2</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采购标的及其对应的中小企业划分标准所属行业</w:t>
            </w:r>
          </w:p>
        </w:tc>
        <w:tc>
          <w:tcPr>
            <w:tcW w:w="6095" w:type="dxa"/>
            <w:vAlign w:val="center"/>
          </w:tcPr>
          <w:p>
            <w:pPr>
              <w:snapToGrid w:val="0"/>
              <w:spacing w:before="0" w:beforeAutospacing="0" w:after="0" w:afterAutospacing="0" w:line="360" w:lineRule="auto"/>
              <w:ind w:left="0" w:right="0"/>
              <w:rPr>
                <w:rFonts w:hint="eastAsia" w:ascii="仿宋" w:hAnsi="仿宋" w:eastAsia="仿宋" w:cs="仿宋"/>
                <w:b/>
                <w:color w:val="000000" w:themeColor="text1"/>
                <w:sz w:val="20"/>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（1）标的：详见中小企业声明函，属于行业：</w:t>
            </w:r>
            <w:r>
              <w:rPr>
                <w:rFonts w:hint="eastAsia" w:ascii="仿宋" w:hAnsi="仿宋" w:eastAsia="仿宋" w:cs="仿宋"/>
                <w:b/>
                <w:color w:val="000000" w:themeColor="text1"/>
                <w:kern w:val="0"/>
                <w:sz w:val="24"/>
                <w:szCs w:val="20"/>
                <w:highlight w:val="none"/>
                <w:lang w:val="en-US" w:eastAsia="zh-CN"/>
                <w14:textFill>
                  <w14:solidFill>
                    <w14:schemeClr w14:val="tx1"/>
                  </w14:solidFill>
                </w14:textFill>
              </w:rPr>
              <w:t>其他未列明行业，</w:t>
            </w:r>
            <w:r>
              <w:rPr>
                <w:rFonts w:hint="eastAsia" w:ascii="仿宋" w:hAnsi="仿宋" w:eastAsia="仿宋" w:cs="仿宋"/>
                <w:b/>
                <w:color w:val="000000" w:themeColor="text1"/>
                <w:kern w:val="0"/>
                <w:sz w:val="24"/>
                <w:szCs w:val="20"/>
                <w:highlight w:val="none"/>
                <w14:textFill>
                  <w14:solidFill>
                    <w14:schemeClr w14:val="tx1"/>
                  </w14:solidFill>
                </w14:textFill>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3</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是否允许采购进口产品</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本项目不允许采购进口产品。</w:t>
            </w:r>
          </w:p>
          <w:p>
            <w:pPr>
              <w:spacing w:before="0" w:beforeAutospacing="0" w:after="0" w:afterAutospacing="0" w:line="360" w:lineRule="auto"/>
              <w:ind w:left="0" w:right="0"/>
              <w:rPr>
                <w:rFonts w:hint="eastAsia" w:ascii="仿宋" w:hAnsi="仿宋" w:eastAsia="仿宋" w:cs="仿宋"/>
                <w:b/>
                <w:color w:val="000000" w:themeColor="text1"/>
                <w:sz w:val="20"/>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4</w:t>
            </w:r>
          </w:p>
        </w:tc>
        <w:tc>
          <w:tcPr>
            <w:tcW w:w="1843" w:type="dxa"/>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分包</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 A</w:t>
            </w:r>
            <w:r>
              <w:rPr>
                <w:rFonts w:hint="eastAsia" w:ascii="仿宋" w:hAnsi="仿宋" w:eastAsia="仿宋" w:cs="仿宋"/>
                <w:b/>
                <w:color w:val="000000" w:themeColor="text1"/>
                <w:sz w:val="24"/>
                <w:szCs w:val="20"/>
                <w:highlight w:val="none"/>
                <w14:textFill>
                  <w14:solidFill>
                    <w14:schemeClr w14:val="tx1"/>
                  </w14:solidFill>
                </w14:textFill>
              </w:rPr>
              <w:t>同意将非主体、非关键性的工作分包。</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 xml:space="preserve"> B</w:t>
            </w:r>
            <w:r>
              <w:rPr>
                <w:rFonts w:hint="eastAsia" w:ascii="仿宋" w:hAnsi="仿宋" w:eastAsia="仿宋" w:cs="仿宋"/>
                <w:b/>
                <w:color w:val="000000" w:themeColor="text1"/>
                <w:sz w:val="24"/>
                <w:szCs w:val="20"/>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5</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开标前答疑会或现场考察</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A</w:t>
            </w:r>
            <w:r>
              <w:rPr>
                <w:rFonts w:hint="eastAsia" w:ascii="仿宋" w:hAnsi="仿宋" w:eastAsia="仿宋" w:cs="仿宋"/>
                <w:b/>
                <w:color w:val="000000" w:themeColor="text1"/>
                <w:sz w:val="24"/>
                <w:szCs w:val="20"/>
                <w:highlight w:val="none"/>
                <w14:textFill>
                  <w14:solidFill>
                    <w14:schemeClr w14:val="tx1"/>
                  </w14:solidFill>
                </w14:textFill>
              </w:rPr>
              <w:t>不组织。</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☐B组织，</w:t>
            </w:r>
            <w:r>
              <w:rPr>
                <w:rFonts w:hint="eastAsia" w:ascii="仿宋" w:hAnsi="仿宋" w:eastAsia="仿宋" w:cs="仿宋"/>
                <w:b/>
                <w:color w:val="000000" w:themeColor="text1"/>
                <w:sz w:val="24"/>
                <w:szCs w:val="20"/>
                <w:highlight w:val="none"/>
                <w14:textFill>
                  <w14:solidFill>
                    <w14:schemeClr w14:val="tx1"/>
                  </w14:solidFill>
                </w14:textFill>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样品提供</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A</w:t>
            </w:r>
            <w:r>
              <w:rPr>
                <w:rFonts w:hint="eastAsia" w:ascii="仿宋" w:hAnsi="仿宋" w:eastAsia="仿宋" w:cs="仿宋"/>
                <w:b/>
                <w:color w:val="000000" w:themeColor="text1"/>
                <w:sz w:val="24"/>
                <w:szCs w:val="20"/>
                <w:highlight w:val="none"/>
                <w14:textFill>
                  <w14:solidFill>
                    <w14:schemeClr w14:val="tx1"/>
                  </w14:solidFill>
                </w14:textFill>
              </w:rPr>
              <w:t>不要求提供。</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☐B要求提供，</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（1）</w:t>
            </w:r>
            <w:r>
              <w:rPr>
                <w:rFonts w:hint="eastAsia" w:ascii="仿宋" w:hAnsi="仿宋" w:eastAsia="仿宋" w:cs="仿宋"/>
                <w:b/>
                <w:snapToGrid w:val="0"/>
                <w:color w:val="000000" w:themeColor="text1"/>
                <w:kern w:val="28"/>
                <w:sz w:val="24"/>
                <w:szCs w:val="20"/>
                <w:highlight w:val="none"/>
                <w14:textFill>
                  <w14:solidFill>
                    <w14:schemeClr w14:val="tx1"/>
                  </w14:solidFill>
                </w14:textFill>
              </w:rPr>
              <w:t>样品：</w:t>
            </w:r>
            <w:r>
              <w:rPr>
                <w:rFonts w:hint="eastAsia" w:ascii="仿宋" w:hAnsi="仿宋" w:eastAsia="仿宋" w:cs="仿宋"/>
                <w:b/>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（2）</w:t>
            </w:r>
            <w:r>
              <w:rPr>
                <w:rFonts w:hint="eastAsia" w:ascii="仿宋" w:hAnsi="仿宋" w:eastAsia="仿宋" w:cs="仿宋"/>
                <w:b/>
                <w:snapToGrid w:val="0"/>
                <w:color w:val="000000" w:themeColor="text1"/>
                <w:kern w:val="28"/>
                <w:sz w:val="24"/>
                <w:szCs w:val="20"/>
                <w:highlight w:val="none"/>
                <w14:textFill>
                  <w14:solidFill>
                    <w14:schemeClr w14:val="tx1"/>
                  </w14:solidFill>
                </w14:textFill>
              </w:rPr>
              <w:t>样品制作的标准和要求：</w:t>
            </w:r>
            <w:r>
              <w:rPr>
                <w:rFonts w:hint="eastAsia" w:ascii="仿宋" w:hAnsi="仿宋" w:eastAsia="仿宋" w:cs="仿宋"/>
                <w:b/>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（3）样品的评审方法以及评审标准</w:t>
            </w:r>
            <w:r>
              <w:rPr>
                <w:rFonts w:hint="eastAsia" w:ascii="仿宋" w:hAnsi="仿宋" w:eastAsia="仿宋" w:cs="仿宋"/>
                <w:b/>
                <w:snapToGrid w:val="0"/>
                <w:color w:val="000000" w:themeColor="text1"/>
                <w:kern w:val="28"/>
                <w:sz w:val="24"/>
                <w:szCs w:val="20"/>
                <w:highlight w:val="none"/>
                <w14:textFill>
                  <w14:solidFill>
                    <w14:schemeClr w14:val="tx1"/>
                  </w14:solidFill>
                </w14:textFill>
              </w:rPr>
              <w:t>：详见</w:t>
            </w:r>
            <w:r>
              <w:rPr>
                <w:rFonts w:hint="eastAsia" w:ascii="仿宋" w:hAnsi="仿宋" w:eastAsia="仿宋" w:cs="仿宋"/>
                <w:b/>
                <w:color w:val="000000" w:themeColor="text1"/>
                <w:sz w:val="24"/>
                <w:szCs w:val="20"/>
                <w:highlight w:val="none"/>
                <w:u w:val="single"/>
                <w14:textFill>
                  <w14:solidFill>
                    <w14:schemeClr w14:val="tx1"/>
                  </w14:solidFill>
                </w14:textFill>
              </w:rPr>
              <w:t>评标办法</w:t>
            </w:r>
            <w:r>
              <w:rPr>
                <w:rFonts w:hint="eastAsia" w:ascii="仿宋" w:hAnsi="仿宋" w:eastAsia="仿宋" w:cs="仿宋"/>
                <w:b/>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（4）是否需要随样品提交检测报告：</w:t>
            </w: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否；☐是，检测机构的要求</w:t>
            </w:r>
            <w:r>
              <w:rPr>
                <w:rFonts w:hint="eastAsia" w:ascii="仿宋" w:hAnsi="仿宋" w:eastAsia="仿宋" w:cs="仿宋"/>
                <w:b/>
                <w:color w:val="000000" w:themeColor="text1"/>
                <w:sz w:val="24"/>
                <w:szCs w:val="20"/>
                <w:highlight w:val="none"/>
                <w14:textFill>
                  <w14:solidFill>
                    <w14:schemeClr w14:val="tx1"/>
                  </w14:solidFill>
                </w14:textFill>
              </w:rPr>
              <w:t>：</w:t>
            </w:r>
            <w:r>
              <w:rPr>
                <w:rFonts w:hint="eastAsia" w:ascii="仿宋" w:hAnsi="仿宋" w:eastAsia="仿宋" w:cs="仿宋"/>
                <w:b/>
                <w:color w:val="000000" w:themeColor="text1"/>
                <w:kern w:val="0"/>
                <w:sz w:val="24"/>
                <w:szCs w:val="20"/>
                <w:highlight w:val="none"/>
                <w14:textFill>
                  <w14:solidFill>
                    <w14:schemeClr w14:val="tx1"/>
                  </w14:solidFill>
                </w14:textFill>
              </w:rPr>
              <w:t>；检测内容</w:t>
            </w:r>
            <w:r>
              <w:rPr>
                <w:rFonts w:hint="eastAsia" w:ascii="仿宋" w:hAnsi="仿宋" w:eastAsia="仿宋" w:cs="仿宋"/>
                <w:b/>
                <w:color w:val="000000" w:themeColor="text1"/>
                <w:sz w:val="24"/>
                <w:szCs w:val="20"/>
                <w:highlight w:val="none"/>
                <w14:textFill>
                  <w14:solidFill>
                    <w14:schemeClr w14:val="tx1"/>
                  </w14:solidFill>
                </w14:textFill>
              </w:rPr>
              <w:t>：</w:t>
            </w:r>
            <w:r>
              <w:rPr>
                <w:rFonts w:hint="eastAsia" w:ascii="仿宋" w:hAnsi="仿宋" w:eastAsia="仿宋" w:cs="仿宋"/>
                <w:b/>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（5）提供样品的时间：</w:t>
            </w:r>
            <w:r>
              <w:rPr>
                <w:rFonts w:hint="eastAsia" w:ascii="仿宋" w:hAnsi="仿宋" w:eastAsia="仿宋" w:cs="仿宋"/>
                <w:b/>
                <w:color w:val="000000" w:themeColor="text1"/>
                <w:kern w:val="0"/>
                <w:sz w:val="24"/>
                <w:szCs w:val="20"/>
                <w:highlight w:val="none"/>
                <w14:textFill>
                  <w14:solidFill>
                    <w14:schemeClr w14:val="tx1"/>
                  </w14:solidFill>
                </w14:textFill>
              </w:rPr>
              <w:t>；地点：；联系人</w:t>
            </w:r>
            <w:r>
              <w:rPr>
                <w:rFonts w:hint="eastAsia" w:ascii="仿宋" w:hAnsi="仿宋" w:eastAsia="仿宋" w:cs="仿宋"/>
                <w:b/>
                <w:color w:val="000000" w:themeColor="text1"/>
                <w:sz w:val="24"/>
                <w:szCs w:val="20"/>
                <w:highlight w:val="none"/>
                <w14:textFill>
                  <w14:solidFill>
                    <w14:schemeClr w14:val="tx1"/>
                  </w14:solidFill>
                </w14:textFill>
              </w:rPr>
              <w:t>：，</w:t>
            </w:r>
            <w:r>
              <w:rPr>
                <w:rFonts w:hint="eastAsia" w:ascii="仿宋" w:hAnsi="仿宋" w:eastAsia="仿宋" w:cs="仿宋"/>
                <w:b/>
                <w:color w:val="000000" w:themeColor="text1"/>
                <w:kern w:val="28"/>
                <w:sz w:val="24"/>
                <w:szCs w:val="20"/>
                <w:highlight w:val="none"/>
                <w14:textFill>
                  <w14:solidFill>
                    <w14:schemeClr w14:val="tx1"/>
                  </w14:solidFill>
                </w14:textFill>
              </w:rPr>
              <w:t>联系电话：</w:t>
            </w:r>
            <w:r>
              <w:rPr>
                <w:rFonts w:hint="eastAsia" w:ascii="仿宋" w:hAnsi="仿宋" w:eastAsia="仿宋" w:cs="仿宋"/>
                <w:b/>
                <w:color w:val="000000" w:themeColor="text1"/>
                <w:sz w:val="24"/>
                <w:szCs w:val="20"/>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b/>
                <w:bCs/>
                <w:color w:val="000000" w:themeColor="text1"/>
                <w:sz w:val="24"/>
                <w:szCs w:val="20"/>
                <w:highlight w:val="none"/>
                <w14:textFill>
                  <w14:solidFill>
                    <w14:schemeClr w14:val="tx1"/>
                  </w14:solidFill>
                </w14:textFill>
              </w:rPr>
            </w:pPr>
            <w:r>
              <w:rPr>
                <w:rFonts w:hint="eastAsia" w:ascii="仿宋" w:hAnsi="仿宋" w:eastAsia="仿宋" w:cs="仿宋"/>
                <w:b/>
                <w:bCs/>
                <w:color w:val="000000" w:themeColor="text1"/>
                <w:sz w:val="24"/>
                <w:szCs w:val="20"/>
                <w:highlight w:val="none"/>
                <w14:textFill>
                  <w14:solidFill>
                    <w14:schemeClr w14:val="tx1"/>
                  </w14:solidFill>
                </w14:textFill>
              </w:rPr>
              <w:t>▲（6）本条要求提供样品但投标人不提供样品的则其投标无效。</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（7）投标人样品提供不全或外观尺寸不符合招标文件要求或技术参数明显不符合招标文件要求的则样品分为0分；</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xml:space="preserve"> (8)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（9）制作、运输、安装和保管样品所发生的一切费用由投标人自理。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7</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bCs/>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方案讲解演示</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color w:val="000000" w:themeColor="text1"/>
                <w:kern w:val="0"/>
                <w:sz w:val="24"/>
                <w:szCs w:val="20"/>
                <w:highlight w:val="none"/>
                <w14:textFill>
                  <w14:solidFill>
                    <w14:schemeClr w14:val="tx1"/>
                  </w14:solidFill>
                </w14:textFill>
              </w:rPr>
              <w:t>A</w:t>
            </w:r>
            <w:r>
              <w:rPr>
                <w:rFonts w:hint="eastAsia" w:ascii="仿宋" w:hAnsi="仿宋" w:eastAsia="仿宋" w:cs="仿宋"/>
                <w:b/>
                <w:color w:val="000000" w:themeColor="text1"/>
                <w:sz w:val="24"/>
                <w:szCs w:val="20"/>
                <w:highlight w:val="none"/>
                <w14:textFill>
                  <w14:solidFill>
                    <w14:schemeClr w14:val="tx1"/>
                  </w14:solidFill>
                </w14:textFill>
              </w:rPr>
              <w:t>不组织。</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☐B组织。</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（2）方案讲解演示可选择以下其中一种方式：</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方式二：到代理公司现场讲解演示。现场讲解地点为：，讲解演示所用电脑等设备由投标人自备。现场讲解演示人员进场时提供讲解人员名单（加盖公章或授权代表签名）及身份证明，否则不得讲解演示。</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8</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投标人应当提供的资格、资信证明文件</w:t>
            </w: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（1）资格证明文件：见招标文件第二部分11.1。</w:t>
            </w:r>
          </w:p>
          <w:p>
            <w:pPr>
              <w:spacing w:before="0" w:beforeAutospacing="0" w:after="0" w:afterAutospacing="0" w:line="360" w:lineRule="auto"/>
              <w:ind w:left="0" w:right="0"/>
              <w:rPr>
                <w:rFonts w:hint="eastAsia" w:ascii="仿宋" w:hAnsi="仿宋" w:eastAsia="仿宋" w:cs="仿宋"/>
                <w:b/>
                <w:snapToGrid w:val="0"/>
                <w:color w:val="000000" w:themeColor="text1"/>
                <w:kern w:val="0"/>
                <w:sz w:val="20"/>
                <w:szCs w:val="21"/>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6095" w:type="dxa"/>
            <w:vAlign w:val="center"/>
          </w:tcPr>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9</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节能产品、环境标志产品</w:t>
            </w:r>
          </w:p>
        </w:tc>
        <w:tc>
          <w:tcPr>
            <w:tcW w:w="6095" w:type="dxa"/>
            <w:vAlign w:val="center"/>
          </w:tcPr>
          <w:p>
            <w:pPr>
              <w:snapToGrid w:val="0"/>
              <w:spacing w:before="0" w:beforeAutospacing="0" w:after="0" w:afterAutospacing="0" w:line="360" w:lineRule="auto"/>
              <w:ind w:left="0" w:right="0"/>
              <w:rPr>
                <w:rFonts w:hint="eastAsia" w:ascii="仿宋" w:hAnsi="仿宋" w:eastAsia="仿宋" w:cs="仿宋"/>
                <w:b/>
                <w:color w:val="000000" w:themeColor="text1"/>
                <w:sz w:val="20"/>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10</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报价要求</w:t>
            </w:r>
          </w:p>
        </w:tc>
        <w:tc>
          <w:tcPr>
            <w:tcW w:w="6095" w:type="dxa"/>
            <w:vAlign w:val="center"/>
          </w:tcPr>
          <w:p>
            <w:pPr>
              <w:snapToGrid w:val="0"/>
              <w:spacing w:before="0" w:beforeAutospacing="0" w:after="0" w:afterAutospacing="0" w:line="360" w:lineRule="auto"/>
              <w:ind w:left="0" w:right="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有关本项目实施所需的所有费用（含税费）均计入报价。</w:t>
            </w:r>
            <w:r>
              <w:rPr>
                <w:rFonts w:hint="eastAsia" w:ascii="仿宋" w:hAnsi="仿宋" w:eastAsia="仿宋" w:cs="仿宋"/>
                <w:b/>
                <w:bCs/>
                <w:color w:val="000000" w:themeColor="text1"/>
                <w:kern w:val="0"/>
                <w:sz w:val="24"/>
                <w:szCs w:val="20"/>
                <w:highlight w:val="none"/>
                <w:lang w:val="zh-CN"/>
                <w14:textFill>
                  <w14:solidFill>
                    <w14:schemeClr w14:val="tx1"/>
                  </w14:solidFill>
                </w14:textFill>
              </w:rPr>
              <w:t>投标文件</w:t>
            </w:r>
            <w:r>
              <w:rPr>
                <w:rFonts w:hint="eastAsia" w:ascii="仿宋" w:hAnsi="仿宋" w:eastAsia="仿宋" w:cs="仿宋"/>
                <w:b/>
                <w:bCs/>
                <w:color w:val="000000" w:themeColor="text1"/>
                <w:sz w:val="24"/>
                <w:szCs w:val="20"/>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投标文件中价格全部采用人民币报价。招标文件未列明，而投标人认为必需的费用也需列入报价。提醒：验收时检测费用由采购人承担，不包含在投标总价中。</w:t>
            </w:r>
          </w:p>
          <w:p>
            <w:pPr>
              <w:snapToGrid w:val="0"/>
              <w:spacing w:before="0" w:beforeAutospacing="0" w:after="0" w:afterAutospacing="0" w:line="360" w:lineRule="auto"/>
              <w:ind w:left="0" w:right="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投标报价超过招标文件中规定的预算金额或者最高限价的;</w:t>
            </w:r>
          </w:p>
          <w:p>
            <w:pPr>
              <w:spacing w:before="0" w:beforeAutospacing="0" w:after="0" w:afterAutospacing="0" w:line="360" w:lineRule="auto"/>
              <w:ind w:left="0" w:right="0" w:firstLine="241" w:firstLineChars="1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before="0" w:beforeAutospacing="0" w:after="0" w:afterAutospacing="0" w:line="360" w:lineRule="auto"/>
              <w:ind w:left="0" w:right="0" w:firstLine="241" w:firstLineChars="1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8"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11</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中小企业信用融资</w:t>
            </w:r>
          </w:p>
        </w:tc>
        <w:tc>
          <w:tcPr>
            <w:tcW w:w="6095" w:type="dxa"/>
            <w:vAlign w:val="center"/>
          </w:tcPr>
          <w:p>
            <w:pPr>
              <w:spacing w:before="0" w:beforeAutospacing="0" w:after="0" w:afterAutospacing="0" w:line="360" w:lineRule="auto"/>
              <w:ind w:left="0" w:right="0" w:firstLine="482" w:firstLineChars="2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snapToGrid w:val="0"/>
                <w:color w:val="000000" w:themeColor="text1"/>
                <w:kern w:val="28"/>
                <w:sz w:val="24"/>
                <w:szCs w:val="20"/>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12</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xml:space="preserve">备份投标文件送达地点和签收人员 </w:t>
            </w:r>
          </w:p>
        </w:tc>
        <w:tc>
          <w:tcPr>
            <w:tcW w:w="6095" w:type="dxa"/>
            <w:vAlign w:val="center"/>
          </w:tcPr>
          <w:p>
            <w:pPr>
              <w:pStyle w:val="35"/>
              <w:spacing w:before="0" w:beforeAutospacing="0" w:after="0" w:afterAutospacing="0" w:line="360" w:lineRule="auto"/>
              <w:ind w:left="0" w:right="0"/>
              <w:rPr>
                <w:rFonts w:hint="eastAsia" w:ascii="仿宋" w:hAnsi="仿宋" w:eastAsia="仿宋" w:cs="仿宋"/>
                <w:b/>
                <w:color w:val="000000" w:themeColor="text1"/>
                <w:kern w:val="28"/>
                <w:sz w:val="24"/>
                <w:szCs w:val="20"/>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b/>
                <w:color w:val="000000" w:themeColor="text1"/>
                <w:kern w:val="28"/>
                <w:sz w:val="24"/>
                <w:szCs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kern w:val="28"/>
                <w:sz w:val="24"/>
                <w:szCs w:val="24"/>
                <w:highlight w:val="none"/>
                <w14:textFill>
                  <w14:solidFill>
                    <w14:schemeClr w14:val="tx1"/>
                  </w14:solidFill>
                </w14:textFill>
              </w:rPr>
              <w:t>；备份投标文件签收人员联系电话：</w:t>
            </w:r>
            <w:r>
              <w:rPr>
                <w:rFonts w:hint="eastAsia" w:ascii="仿宋" w:hAnsi="仿宋" w:eastAsia="仿宋" w:cs="仿宋"/>
                <w:b/>
                <w:color w:val="000000" w:themeColor="text1"/>
                <w:kern w:val="28"/>
                <w:sz w:val="24"/>
                <w:szCs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kern w:val="28"/>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13</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特别说明</w:t>
            </w:r>
          </w:p>
        </w:tc>
        <w:tc>
          <w:tcPr>
            <w:tcW w:w="6095" w:type="dxa"/>
            <w:vAlign w:val="center"/>
          </w:tcPr>
          <w:p>
            <w:pPr>
              <w:spacing w:before="0" w:beforeAutospacing="0" w:after="0" w:afterAutospacing="0" w:line="360" w:lineRule="auto"/>
              <w:ind w:left="0" w:right="0"/>
              <w:rPr>
                <w:rFonts w:hint="eastAsia" w:ascii="仿宋" w:hAnsi="仿宋" w:eastAsia="仿宋" w:cs="仿宋"/>
                <w:b/>
                <w:snapToGrid w:val="0"/>
                <w:color w:val="000000" w:themeColor="text1"/>
                <w:kern w:val="28"/>
                <w:sz w:val="24"/>
                <w:szCs w:val="20"/>
                <w:highlight w:val="none"/>
                <w14:textFill>
                  <w14:solidFill>
                    <w14:schemeClr w14:val="tx1"/>
                  </w14:solidFill>
                </w14:textFill>
              </w:rPr>
            </w:pPr>
            <w:r>
              <w:rPr>
                <w:rFonts w:hint="eastAsia" w:ascii="仿宋" w:hAnsi="仿宋" w:eastAsia="仿宋" w:cs="仿宋"/>
                <w:b/>
                <w:snapToGrid w:val="0"/>
                <w:color w:val="000000" w:themeColor="text1"/>
                <w:kern w:val="28"/>
                <w:sz w:val="24"/>
                <w:szCs w:val="20"/>
                <w:highlight w:val="none"/>
                <w14:textFill>
                  <w14:solidFill>
                    <w14:schemeClr w14:val="tx1"/>
                  </w14:solidFill>
                </w14:textFill>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6095" w:type="dxa"/>
            <w:vAlign w:val="center"/>
          </w:tcPr>
          <w:p>
            <w:pPr>
              <w:spacing w:before="0" w:beforeAutospacing="0" w:after="0" w:afterAutospacing="0" w:line="360" w:lineRule="auto"/>
              <w:ind w:left="0" w:right="0"/>
              <w:rPr>
                <w:rFonts w:hint="eastAsia" w:ascii="仿宋" w:hAnsi="仿宋" w:eastAsia="仿宋" w:cs="仿宋"/>
                <w:b/>
                <w:snapToGrid w:val="0"/>
                <w:color w:val="000000" w:themeColor="text1"/>
                <w:kern w:val="28"/>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w:t>
            </w:r>
            <w:r>
              <w:rPr>
                <w:rFonts w:hint="eastAsia" w:ascii="仿宋" w:hAnsi="仿宋" w:eastAsia="仿宋" w:cs="仿宋"/>
                <w:b/>
                <w:snapToGrid w:val="0"/>
                <w:color w:val="000000" w:themeColor="text1"/>
                <w:kern w:val="28"/>
                <w:sz w:val="24"/>
                <w:szCs w:val="20"/>
                <w:highlight w:val="none"/>
                <w14:textFill>
                  <w14:solidFill>
                    <w14:schemeClr w14:val="tx1"/>
                  </w14:solidFill>
                </w14:textFill>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仿宋" w:hAnsi="仿宋" w:eastAsia="仿宋" w:cs="仿宋"/>
                <w:b/>
                <w:snapToGrid w:val="0"/>
                <w:color w:val="000000" w:themeColor="text1"/>
                <w:kern w:val="28"/>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b/>
                <w:snapToGrid w:val="0"/>
                <w:color w:val="000000" w:themeColor="text1"/>
                <w:kern w:val="28"/>
                <w:sz w:val="24"/>
                <w:szCs w:val="20"/>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6095"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14</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代理服务费</w:t>
            </w:r>
          </w:p>
        </w:tc>
        <w:tc>
          <w:tcPr>
            <w:tcW w:w="6095" w:type="dxa"/>
            <w:vAlign w:val="center"/>
          </w:tcPr>
          <w:p>
            <w:pPr>
              <w:spacing w:before="0" w:beforeAutospacing="0" w:after="0" w:afterAutospacing="0" w:line="360" w:lineRule="auto"/>
              <w:ind w:left="0" w:right="0"/>
              <w:rPr>
                <w:rFonts w:hint="default"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中标人在领取中标通知书时需向招标代理机构支付人民币   招标代理服务费，费用包含在总报价中，不单独列项报价。</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中标服务费的交纳方式：以转帐或支票的形式支付</w:t>
            </w:r>
            <w:r>
              <w:rPr>
                <w:rFonts w:hint="eastAsia" w:ascii="仿宋" w:hAnsi="仿宋" w:eastAsia="仿宋" w:cs="仿宋"/>
                <w:snapToGrid w:val="0"/>
                <w:color w:val="000000" w:themeColor="text1"/>
                <w:kern w:val="28"/>
                <w:sz w:val="24"/>
                <w:szCs w:val="20"/>
                <w:lang w:eastAsia="zh-CN"/>
                <w14:textFill>
                  <w14:solidFill>
                    <w14:schemeClr w14:val="tx1"/>
                  </w14:solidFill>
                </w14:textFill>
              </w:rPr>
              <w:t>。</w:t>
            </w:r>
            <w:r>
              <w:rPr>
                <w:rFonts w:hint="eastAsia" w:ascii="仿宋" w:hAnsi="仿宋" w:eastAsia="仿宋" w:cs="仿宋"/>
                <w:snapToGrid w:val="0"/>
                <w:color w:val="000000" w:themeColor="text1"/>
                <w:kern w:val="28"/>
                <w:sz w:val="24"/>
                <w:szCs w:val="20"/>
                <w14:textFill>
                  <w14:solidFill>
                    <w14:schemeClr w14:val="tx1"/>
                  </w14:solidFill>
                </w14:textFill>
              </w:rPr>
              <w:t xml:space="preserve"> </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开户名：杭州益嘉工程咨询代理有限公司；</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 xml:space="preserve">开户行名称：杭州银行临平支行 </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14:textFill>
                  <w14:solidFill>
                    <w14:schemeClr w14:val="tx1"/>
                  </w14:solidFill>
                </w14:textFill>
              </w:rPr>
            </w:pPr>
            <w:r>
              <w:rPr>
                <w:rFonts w:hint="eastAsia" w:ascii="仿宋" w:hAnsi="仿宋" w:eastAsia="仿宋" w:cs="仿宋"/>
                <w:snapToGrid w:val="0"/>
                <w:color w:val="000000" w:themeColor="text1"/>
                <w:kern w:val="28"/>
                <w:sz w:val="24"/>
                <w:szCs w:val="20"/>
                <w14:textFill>
                  <w14:solidFill>
                    <w14:schemeClr w14:val="tx1"/>
                  </w14:solidFill>
                </w14:textFill>
              </w:rPr>
              <w:t>帐号：3301040160016011853</w:t>
            </w:r>
          </w:p>
          <w:p>
            <w:pPr>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14:textFill>
                  <w14:solidFill>
                    <w14:schemeClr w14:val="tx1"/>
                  </w14:solidFill>
                </w14:textFill>
              </w:rPr>
            </w:pPr>
            <w:r>
              <w:rPr>
                <w:rFonts w:hint="eastAsia" w:ascii="仿宋" w:hAnsi="仿宋" w:eastAsia="仿宋" w:cs="仿宋"/>
                <w:b/>
                <w:bCs/>
                <w:snapToGrid w:val="0"/>
                <w:color w:val="000000" w:themeColor="text1"/>
                <w:kern w:val="28"/>
                <w:sz w:val="24"/>
                <w:szCs w:val="20"/>
                <w14:textFill>
                  <w14:solidFill>
                    <w14:schemeClr w14:val="tx1"/>
                  </w14:solidFill>
                </w14:textFill>
              </w:rPr>
              <w:t>注：</w:t>
            </w:r>
            <w:r>
              <w:rPr>
                <w:rFonts w:hint="eastAsia" w:ascii="仿宋" w:hAnsi="仿宋" w:eastAsia="仿宋" w:cs="仿宋"/>
                <w:b/>
                <w:bCs/>
                <w:snapToGrid w:val="0"/>
                <w:color w:val="000000" w:themeColor="text1"/>
                <w:kern w:val="28"/>
                <w:sz w:val="24"/>
                <w:szCs w:val="20"/>
                <w14:textFill>
                  <w14:solidFill>
                    <w14:schemeClr w14:val="tx1"/>
                  </w14:solidFill>
                </w14:textFill>
              </w:rPr>
              <w:cr/>
            </w:r>
            <w:r>
              <w:rPr>
                <w:rFonts w:hint="eastAsia" w:ascii="仿宋" w:hAnsi="仿宋" w:eastAsia="仿宋" w:cs="仿宋"/>
                <w:b/>
                <w:bCs/>
                <w:snapToGrid w:val="0"/>
                <w:color w:val="000000" w:themeColor="text1"/>
                <w:kern w:val="28"/>
                <w:sz w:val="24"/>
                <w:szCs w:val="20"/>
                <w14:textFill>
                  <w14:solidFill>
                    <w14:schemeClr w14:val="tx1"/>
                  </w14:solidFill>
                </w14:textFill>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15</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snapToGrid w:val="0"/>
                <w:color w:val="000000" w:themeColor="text1"/>
                <w:kern w:val="28"/>
                <w:sz w:val="24"/>
                <w:szCs w:val="20"/>
                <w:highlight w:val="none"/>
                <w14:textFill>
                  <w14:solidFill>
                    <w14:schemeClr w14:val="tx1"/>
                  </w14:solidFill>
                </w14:textFill>
              </w:rPr>
              <w:t>纸质投标文件</w:t>
            </w:r>
          </w:p>
        </w:tc>
        <w:tc>
          <w:tcPr>
            <w:tcW w:w="6095" w:type="dxa"/>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snapToGrid w:val="0"/>
                <w:color w:val="000000" w:themeColor="text1"/>
                <w:kern w:val="28"/>
                <w:sz w:val="24"/>
                <w:szCs w:val="20"/>
                <w:highlight w:val="none"/>
                <w14:textFill>
                  <w14:solidFill>
                    <w14:schemeClr w14:val="tx1"/>
                  </w14:solidFill>
                </w14:textFill>
              </w:rPr>
            </w:pPr>
            <w:r>
              <w:rPr>
                <w:rFonts w:hint="eastAsia" w:ascii="仿宋" w:hAnsi="仿宋" w:eastAsia="仿宋" w:cs="仿宋"/>
                <w:b/>
                <w:snapToGrid w:val="0"/>
                <w:color w:val="000000" w:themeColor="text1"/>
                <w:kern w:val="28"/>
                <w:sz w:val="24"/>
                <w:szCs w:val="20"/>
                <w:highlight w:val="none"/>
                <w14:textFill>
                  <w14:solidFill>
                    <w14:schemeClr w14:val="tx1"/>
                  </w14:solidFill>
                </w14:textFill>
              </w:rPr>
              <w:t>其他约定</w:t>
            </w:r>
          </w:p>
        </w:tc>
        <w:tc>
          <w:tcPr>
            <w:tcW w:w="6095" w:type="dxa"/>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▲本项目共有</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五</w:t>
            </w:r>
            <w:r>
              <w:rPr>
                <w:rFonts w:hint="eastAsia" w:ascii="仿宋" w:hAnsi="仿宋" w:eastAsia="仿宋" w:cs="仿宋"/>
                <w:snapToGrid w:val="0"/>
                <w:color w:val="000000" w:themeColor="text1"/>
                <w:kern w:val="28"/>
                <w:sz w:val="24"/>
                <w:szCs w:val="20"/>
                <w:highlight w:val="none"/>
                <w14:textFill>
                  <w14:solidFill>
                    <w14:schemeClr w14:val="tx1"/>
                  </w14:solidFill>
                </w14:textFill>
              </w:rPr>
              <w:t>个标项，供应商可选择其中一个或</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多</w:t>
            </w:r>
            <w:r>
              <w:rPr>
                <w:rFonts w:hint="eastAsia" w:ascii="仿宋" w:hAnsi="仿宋" w:eastAsia="仿宋" w:cs="仿宋"/>
                <w:snapToGrid w:val="0"/>
                <w:color w:val="000000" w:themeColor="text1"/>
                <w:kern w:val="28"/>
                <w:sz w:val="24"/>
                <w:szCs w:val="20"/>
                <w:highlight w:val="none"/>
                <w14:textFill>
                  <w14:solidFill>
                    <w14:schemeClr w14:val="tx1"/>
                  </w14:solidFill>
                </w14:textFill>
              </w:rPr>
              <w:t>个标项进行投标，但只能在一个标项中被推荐为第一中标候选人，顺序按标项一、标项二</w:t>
            </w:r>
            <w:r>
              <w:rPr>
                <w:rFonts w:hint="eastAsia" w:ascii="仿宋" w:hAnsi="仿宋" w:eastAsia="仿宋" w:cs="仿宋"/>
                <w:snapToGrid w:val="0"/>
                <w:color w:val="000000" w:themeColor="text1"/>
                <w:kern w:val="28"/>
                <w:sz w:val="24"/>
                <w:szCs w:val="20"/>
                <w:highlight w:val="none"/>
                <w:lang w:eastAsia="zh-CN"/>
                <w14:textFill>
                  <w14:solidFill>
                    <w14:schemeClr w14:val="tx1"/>
                  </w14:solidFill>
                </w14:textFill>
              </w:rPr>
              <w:t>、</w:t>
            </w:r>
            <w:r>
              <w:rPr>
                <w:rFonts w:hint="eastAsia" w:ascii="仿宋" w:hAnsi="仿宋" w:eastAsia="仿宋" w:cs="仿宋"/>
                <w:snapToGrid w:val="0"/>
                <w:color w:val="000000" w:themeColor="text1"/>
                <w:kern w:val="28"/>
                <w:sz w:val="24"/>
                <w:szCs w:val="20"/>
                <w:highlight w:val="none"/>
                <w14:textFill>
                  <w14:solidFill>
                    <w14:schemeClr w14:val="tx1"/>
                  </w14:solidFill>
                </w14:textFill>
              </w:rPr>
              <w:t>标项</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三、</w:t>
            </w:r>
            <w:r>
              <w:rPr>
                <w:rFonts w:hint="eastAsia" w:ascii="仿宋" w:hAnsi="仿宋" w:eastAsia="仿宋" w:cs="仿宋"/>
                <w:snapToGrid w:val="0"/>
                <w:color w:val="000000" w:themeColor="text1"/>
                <w:kern w:val="28"/>
                <w:sz w:val="24"/>
                <w:szCs w:val="20"/>
                <w:highlight w:val="none"/>
                <w14:textFill>
                  <w14:solidFill>
                    <w14:schemeClr w14:val="tx1"/>
                  </w14:solidFill>
                </w14:textFill>
              </w:rPr>
              <w:t>标项</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四、</w:t>
            </w:r>
            <w:r>
              <w:rPr>
                <w:rFonts w:hint="eastAsia" w:ascii="仿宋" w:hAnsi="仿宋" w:eastAsia="仿宋" w:cs="仿宋"/>
                <w:snapToGrid w:val="0"/>
                <w:color w:val="000000" w:themeColor="text1"/>
                <w:kern w:val="28"/>
                <w:sz w:val="24"/>
                <w:szCs w:val="20"/>
                <w:highlight w:val="none"/>
                <w14:textFill>
                  <w14:solidFill>
                    <w14:schemeClr w14:val="tx1"/>
                  </w14:solidFill>
                </w14:textFill>
              </w:rPr>
              <w:t>标项</w:t>
            </w:r>
            <w:r>
              <w:rPr>
                <w:rFonts w:hint="eastAsia" w:ascii="仿宋" w:hAnsi="仿宋" w:eastAsia="仿宋" w:cs="仿宋"/>
                <w:snapToGrid w:val="0"/>
                <w:color w:val="000000" w:themeColor="text1"/>
                <w:kern w:val="28"/>
                <w:sz w:val="24"/>
                <w:szCs w:val="20"/>
                <w:highlight w:val="none"/>
                <w:lang w:val="en-US" w:eastAsia="zh-CN"/>
                <w14:textFill>
                  <w14:solidFill>
                    <w14:schemeClr w14:val="tx1"/>
                  </w14:solidFill>
                </w14:textFill>
              </w:rPr>
              <w:t>五</w:t>
            </w:r>
            <w:r>
              <w:rPr>
                <w:rFonts w:hint="eastAsia" w:ascii="仿宋" w:hAnsi="仿宋" w:eastAsia="仿宋" w:cs="仿宋"/>
                <w:snapToGrid w:val="0"/>
                <w:color w:val="000000" w:themeColor="text1"/>
                <w:kern w:val="28"/>
                <w:sz w:val="24"/>
                <w:szCs w:val="20"/>
                <w:highlight w:val="none"/>
                <w14:textFill>
                  <w14:solidFill>
                    <w14:schemeClr w14:val="tx1"/>
                  </w14:solidFill>
                </w14:textFill>
              </w:rPr>
              <w:t>进行确定；如供应商前一个标项已经被确定为该标项的第一中标候选人，则后续标项将不被推荐为中标候选人。</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注：1、如标项一，A单位单独投标，并被推荐为第一中标候选人，则标项二中，无论A单位是单独投标，还是采用联合体投标（即：联合体中包含A单位），均不被推荐为中标候选人，以此类推。</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2、如标项一，A、B等多家单位组成联合体“Q”投标，“Q”被推荐为第一中标候选人，则标项二中： “Q”不再被推荐为中标候选人；A、B等多家单位单独投标，均不被推荐为中标候选人；联合体形式投标，联合体成员中包含“Q”中任一成员的，均不被推荐为中标候选人，以此类推。</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lang w:val="en-US" w:eastAsia="zh-CN"/>
                <w14:textFill>
                  <w14:solidFill>
                    <w14:schemeClr w14:val="tx1"/>
                  </w14:solidFill>
                </w14:textFill>
              </w:rPr>
            </w:pPr>
            <w:bookmarkStart w:id="11" w:name="_Toc164416483"/>
            <w:bookmarkStart w:id="12" w:name="第三部分"/>
            <w:r>
              <w:rPr>
                <w:rFonts w:hint="eastAsia" w:ascii="仿宋" w:hAnsi="仿宋" w:eastAsia="仿宋" w:cs="仿宋"/>
                <w:b/>
                <w:color w:val="000000" w:themeColor="text1"/>
                <w:sz w:val="24"/>
                <w:szCs w:val="20"/>
                <w:highlight w:val="none"/>
                <w:lang w:val="en-US" w:eastAsia="zh-CN"/>
                <w14:textFill>
                  <w14:solidFill>
                    <w14:schemeClr w14:val="tx1"/>
                  </w14:solidFill>
                </w14:textFill>
              </w:rPr>
              <w:t>17</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snapToGrid w:val="0"/>
                <w:color w:val="000000" w:themeColor="text1"/>
                <w:kern w:val="28"/>
                <w:sz w:val="24"/>
                <w:szCs w:val="20"/>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评标委员会推荐中标候选人的人数</w:t>
            </w:r>
          </w:p>
        </w:tc>
        <w:tc>
          <w:tcPr>
            <w:tcW w:w="6095" w:type="dxa"/>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仿宋" w:hAnsi="仿宋" w:eastAsia="仿宋" w:cs="仿宋"/>
                <w:b/>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重新招标 □按中标候选人名单排序依次确定其他中标候选人为中标人）</w:t>
            </w:r>
          </w:p>
        </w:tc>
      </w:tr>
    </w:tbl>
    <w:p>
      <w:pP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br w:type="page"/>
      </w:r>
    </w:p>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 系指实质性要求条款，“</w:t>
      </w:r>
      <w:r>
        <w:rPr>
          <w:rFonts w:hint="eastAsia" w:ascii="仿宋" w:hAnsi="仿宋" w:eastAsia="仿宋" w:cs="仿宋"/>
          <w:b/>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 系指适用本项目的要求，“</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3.5平等对待内外资企业和符合条件的破产重整企业</w:t>
      </w:r>
    </w:p>
    <w:p>
      <w:pPr>
        <w:spacing w:line="360" w:lineRule="auto"/>
        <w:ind w:firstLine="240"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4.3供应商质疑</w:t>
      </w:r>
    </w:p>
    <w:p>
      <w:pPr>
        <w:pStyle w:val="3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4.3</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4.3</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480" w:firstLineChars="200"/>
        <w:rPr>
          <w:rFonts w:hint="eastAsia" w:ascii="仿宋" w:hAnsi="仿宋" w:eastAsia="仿宋" w:cs="仿宋"/>
          <w:color w:val="000000" w:themeColor="text1"/>
          <w:kern w:val="2"/>
          <w:sz w:val="24"/>
          <w:highlight w:val="none"/>
          <w14:textFill>
            <w14:solidFill>
              <w14:schemeClr w14:val="tx1"/>
            </w14:solidFill>
          </w14:textFill>
        </w:rPr>
      </w:pPr>
      <w:r>
        <w:rPr>
          <w:rFonts w:hint="eastAsia" w:ascii="仿宋" w:hAnsi="仿宋" w:eastAsia="仿宋" w:cs="仿宋"/>
          <w:color w:val="000000" w:themeColor="text1"/>
          <w:kern w:val="2"/>
          <w:sz w:val="24"/>
          <w:highlight w:val="none"/>
          <w14:textFill>
            <w14:solidFill>
              <w14:schemeClr w14:val="tx1"/>
            </w14:solidFill>
          </w14:textFill>
        </w:rPr>
        <w:t>4.3.2.1对招标文件提出质疑的，质疑期限为供应商获得招标文件之日或者招标文件公告期限届满之日起计算。</w:t>
      </w:r>
    </w:p>
    <w:p>
      <w:pPr>
        <w:pStyle w:val="35"/>
        <w:spacing w:line="360" w:lineRule="auto"/>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4.3.3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4.3.3.1供应商的姓名或者名称、地址、邮编、联系人及联系电话；</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4.3.3.2质疑项目的名称、编号；</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4.3.3.3具体、明确的质疑事项和与质疑事项相关的请求；</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4.3.3.4事实依据；</w:t>
      </w:r>
    </w:p>
    <w:p>
      <w:pPr>
        <w:pStyle w:val="35"/>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4.3.3.5必要的法律依据；</w:t>
      </w:r>
    </w:p>
    <w:p>
      <w:pPr>
        <w:pStyle w:val="35"/>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4.3.3.6提出质疑的日期。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4.3.4对同一采购程序环节的质疑，供应商须在法定质疑期内一次性提出。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w:t>
      </w:r>
      <w:r>
        <w:rPr>
          <w:rFonts w:hint="eastAsia" w:ascii="仿宋" w:hAnsi="仿宋" w:eastAsia="仿宋" w:cs="仿宋"/>
          <w:color w:val="000000" w:themeColor="text1"/>
          <w:highlight w:val="none"/>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w:t>
      </w:r>
      <w:r>
        <w:rPr>
          <w:rFonts w:hint="eastAsia" w:ascii="仿宋" w:hAnsi="仿宋" w:eastAsia="仿宋" w:cs="仿宋"/>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4.4供应商投诉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4.4.4以联合体形式参加政府采购活动的，其投诉应当由组成联合体的所有供应商共同提出。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pStyle w:val="85"/>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5"/>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6.1已获取招标文件的潜在投标人，若有问题需要澄清，应于投标截止时间前，以书面形式向采购代理机构提出。</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color w:val="000000" w:themeColor="text1"/>
          <w:sz w:val="18"/>
          <w:szCs w:val="18"/>
          <w:highlight w:val="none"/>
          <w:lang w:val="en-US"/>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8"/>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w:t>
      </w:r>
      <w:r>
        <w:rPr>
          <w:rFonts w:hint="eastAsia" w:ascii="仿宋" w:hAnsi="仿宋" w:eastAsia="仿宋" w:cs="仿宋"/>
          <w:snapToGrid w:val="0"/>
          <w:color w:val="000000" w:themeColor="text1"/>
          <w:kern w:val="28"/>
          <w:sz w:val="24"/>
          <w:szCs w:val="20"/>
          <w:highlight w:val="none"/>
          <w14:textFill>
            <w14:solidFill>
              <w14:schemeClr w14:val="tx1"/>
            </w14:solidFill>
          </w14:textFill>
        </w:rPr>
        <w:t>联合协议（如果有)；</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11.1.3落实政府采购政策需满足的资格要求</w:t>
      </w:r>
      <w:r>
        <w:rPr>
          <w:rFonts w:hint="eastAsia" w:ascii="仿宋" w:hAnsi="仿宋" w:eastAsia="仿宋" w:cs="仿宋"/>
          <w:snapToGrid w:val="0"/>
          <w:color w:val="000000" w:themeColor="text1"/>
          <w:kern w:val="28"/>
          <w:sz w:val="24"/>
          <w:szCs w:val="20"/>
          <w:highlight w:val="none"/>
          <w14:textFill>
            <w14:solidFill>
              <w14:schemeClr w14:val="tx1"/>
            </w14:solidFill>
          </w14:textFill>
        </w:rPr>
        <w:t>（如果有)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11.1.4本项目的特定资格要求</w:t>
      </w:r>
      <w:r>
        <w:rPr>
          <w:rFonts w:hint="eastAsia" w:ascii="仿宋" w:hAnsi="仿宋" w:eastAsia="仿宋" w:cs="仿宋"/>
          <w:snapToGrid w:val="0"/>
          <w:color w:val="000000" w:themeColor="text1"/>
          <w:kern w:val="28"/>
          <w:sz w:val="24"/>
          <w:szCs w:val="20"/>
          <w:highlight w:val="none"/>
          <w14:textFill>
            <w14:solidFill>
              <w14:schemeClr w14:val="tx1"/>
            </w14:solidFill>
          </w14:textFill>
        </w:rPr>
        <w:t>（如果有)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11.2.3分包意向协议</w:t>
      </w:r>
      <w:r>
        <w:rPr>
          <w:rFonts w:hint="eastAsia" w:ascii="仿宋" w:hAnsi="仿宋" w:eastAsia="仿宋" w:cs="仿宋"/>
          <w:snapToGrid w:val="0"/>
          <w:color w:val="000000" w:themeColor="text1"/>
          <w:kern w:val="28"/>
          <w:sz w:val="24"/>
          <w:szCs w:val="20"/>
          <w:highlight w:val="none"/>
          <w14:textFill>
            <w14:solidFill>
              <w14:schemeClr w14:val="tx1"/>
            </w14:solidFill>
          </w14:textFill>
        </w:rPr>
        <w:t>（如果有)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11.2.6投标标的清单；</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11.3.2中小企业声明函</w:t>
      </w:r>
      <w:r>
        <w:rPr>
          <w:rFonts w:hint="eastAsia" w:ascii="仿宋" w:hAnsi="仿宋" w:eastAsia="仿宋" w:cs="仿宋"/>
          <w:snapToGrid w:val="0"/>
          <w:color w:val="000000" w:themeColor="text1"/>
          <w:kern w:val="28"/>
          <w:sz w:val="24"/>
          <w:szCs w:val="20"/>
          <w:highlight w:val="none"/>
          <w14:textFill>
            <w14:solidFill>
              <w14:schemeClr w14:val="tx1"/>
            </w14:solidFill>
          </w14:textFill>
        </w:rPr>
        <w:t>（如果有)</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85"/>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85"/>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85"/>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5"/>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5"/>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3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26"/>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有招标文件第四部分4.2规定的情形之一的，投标无效：</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643"/>
        <w:rPr>
          <w:rFonts w:hint="eastAsia" w:ascii="仿宋" w:hAnsi="仿宋" w:eastAsia="仿宋" w:cs="仿宋"/>
          <w:b/>
          <w:color w:val="000000" w:themeColor="text1"/>
          <w:sz w:val="32"/>
          <w:highlight w:val="none"/>
          <w14:textFill>
            <w14:solidFill>
              <w14:schemeClr w14:val="tx1"/>
            </w14:solidFill>
          </w14:textFill>
        </w:rPr>
      </w:pPr>
    </w:p>
    <w:p>
      <w:pPr>
        <w:pStyle w:val="85"/>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240"/>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p>
    <w:p>
      <w:pPr>
        <w:pStyle w:val="240"/>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19、资格审查</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19.1采购人或采购代理机构依据法律法规和招标文件的规定，对投标人的资格进行审查。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投标人未按照招标文件要求提供与资格条件相应的有效资格证明材料的，视为投标人不具备招标文件中规定的资格要求，其投标无效。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19.3对未通过资格审查的投标人，采购人或采购代理机构告知其未通过的原因。</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4合格投标人不足3家的，不再评标。</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14:textFill>
            <w14:solidFill>
              <w14:schemeClr w14:val="tx1"/>
            </w14:solidFill>
          </w14:textFill>
        </w:rPr>
        <w:t>。</w:t>
      </w:r>
    </w:p>
    <w:p>
      <w:pPr>
        <w:pStyle w:val="85"/>
        <w:spacing w:before="0"/>
        <w:ind w:firstLine="0" w:firstLineChars="0"/>
        <w:rPr>
          <w:rFonts w:hint="eastAsia" w:ascii="仿宋" w:hAnsi="仿宋" w:eastAsia="仿宋" w:cs="仿宋"/>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bookmarkStart w:id="13" w:name="_Toc91899903"/>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 标</w:t>
      </w:r>
    </w:p>
    <w:p>
      <w:pPr>
        <w:pStyle w:val="26"/>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85"/>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26"/>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26"/>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w:t>
      </w:r>
      <w:r>
        <w:rPr>
          <w:rFonts w:hint="eastAsia" w:ascii="仿宋" w:hAnsi="仿宋" w:eastAsia="仿宋" w:cs="仿宋"/>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hAns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27.预付款</w:t>
      </w:r>
    </w:p>
    <w:p>
      <w:pPr>
        <w:snapToGrid w:val="0"/>
        <w:spacing w:line="360" w:lineRule="auto"/>
        <w:ind w:firstLine="480" w:firstLineChars="200"/>
        <w:rPr>
          <w:rFonts w:hint="eastAsia" w:ascii="仿宋" w:hAnsi="仿宋" w:eastAsia="仿宋" w:cs="仿宋"/>
          <w:snapToGrid w:val="0"/>
          <w:color w:val="000000" w:themeColor="text1"/>
          <w:kern w:val="28"/>
          <w:sz w:val="24"/>
          <w:szCs w:val="32"/>
          <w:highlight w:val="none"/>
          <w:lang w:val="zh-CN"/>
          <w14:textFill>
            <w14:solidFill>
              <w14:schemeClr w14:val="tx1"/>
            </w14:solidFill>
          </w14:textFill>
        </w:rPr>
      </w:pPr>
      <w:r>
        <w:rPr>
          <w:rFonts w:hint="eastAsia" w:ascii="仿宋" w:hAnsi="仿宋" w:eastAsia="仿宋" w:cs="仿宋"/>
          <w:snapToGrid w:val="0"/>
          <w:color w:val="000000" w:themeColor="text1"/>
          <w:kern w:val="28"/>
          <w:sz w:val="24"/>
          <w:szCs w:val="32"/>
          <w:highlight w:val="none"/>
          <w:lang w:val="zh-CN"/>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tabs>
          <w:tab w:val="left" w:pos="0"/>
        </w:tabs>
        <w:spacing w:line="360" w:lineRule="auto"/>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28. 电子交易活动的中止。</w:t>
      </w:r>
      <w:r>
        <w:rPr>
          <w:rFonts w:hint="eastAsia" w:ascii="仿宋" w:hAnsi="仿宋" w:eastAsia="仿宋" w:cs="仿宋"/>
          <w:color w:val="000000" w:themeColor="text1"/>
          <w:sz w:val="24"/>
          <w:szCs w:val="20"/>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 xml:space="preserve">28.1电子交易平台发生故障而无法登录访问的； </w:t>
      </w:r>
    </w:p>
    <w:p>
      <w:pPr>
        <w:tabs>
          <w:tab w:val="left" w:pos="0"/>
        </w:tabs>
        <w:spacing w:line="360" w:lineRule="auto"/>
        <w:ind w:firstLine="48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28.2电子交易平台应用或数据库出现错误，不能进行正常操作的；</w:t>
      </w:r>
    </w:p>
    <w:p>
      <w:pPr>
        <w:tabs>
          <w:tab w:val="left" w:pos="0"/>
        </w:tabs>
        <w:spacing w:line="360" w:lineRule="auto"/>
        <w:ind w:firstLine="48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28.3电子交易平台发现严重安全漏洞，有潜在泄密危险的；</w:t>
      </w:r>
    </w:p>
    <w:p>
      <w:pPr>
        <w:tabs>
          <w:tab w:val="left" w:pos="0"/>
        </w:tabs>
        <w:spacing w:line="360" w:lineRule="auto"/>
        <w:ind w:firstLine="48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 xml:space="preserve">28.4病毒发作导致不能进行正常操作的； </w:t>
      </w:r>
    </w:p>
    <w:p>
      <w:pPr>
        <w:tabs>
          <w:tab w:val="left" w:pos="0"/>
        </w:tabs>
        <w:spacing w:line="360" w:lineRule="auto"/>
        <w:ind w:firstLine="48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28.5其他无法保证电子交易的公平、公正和安全的情况。</w:t>
      </w:r>
    </w:p>
    <w:p>
      <w:pPr>
        <w:tabs>
          <w:tab w:val="left" w:pos="0"/>
        </w:tabs>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29.出现以上情形，</w:t>
      </w:r>
      <w:r>
        <w:rPr>
          <w:rFonts w:hint="eastAsia" w:ascii="仿宋" w:hAnsi="仿宋" w:eastAsia="仿宋" w:cs="仿宋"/>
          <w:color w:val="000000" w:themeColor="text1"/>
          <w:sz w:val="24"/>
          <w:szCs w:val="20"/>
          <w:highlight w:val="none"/>
          <w14:textFill>
            <w14:solidFill>
              <w14:schemeClr w14:val="tx1"/>
            </w14:solidFill>
          </w14:textFill>
        </w:rPr>
        <w:t>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26"/>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072998"/>
      <w:bookmarkEnd w:id="14"/>
      <w:bookmarkStart w:id="15" w:name="_Hlt68057669"/>
      <w:bookmarkEnd w:id="15"/>
      <w:bookmarkStart w:id="16" w:name="_Hlt75236290"/>
      <w:bookmarkEnd w:id="16"/>
      <w:bookmarkStart w:id="17" w:name="_Hlt68073093"/>
      <w:bookmarkEnd w:id="17"/>
      <w:bookmarkStart w:id="18" w:name="_Hlt75236011"/>
      <w:bookmarkEnd w:id="18"/>
      <w:bookmarkStart w:id="19" w:name="_Hlt74730295"/>
      <w:bookmarkEnd w:id="19"/>
      <w:bookmarkStart w:id="20" w:name="_Hlt74707468"/>
      <w:bookmarkEnd w:id="20"/>
      <w:bookmarkStart w:id="21" w:name="_Hlt74729768"/>
      <w:bookmarkEnd w:id="21"/>
      <w:bookmarkStart w:id="22" w:name="_Hlt75236101"/>
      <w:bookmarkEnd w:id="22"/>
      <w:bookmarkStart w:id="23" w:name="_Hlt74714665"/>
      <w:bookmarkEnd w:id="23"/>
      <w:bookmarkStart w:id="24" w:name="_Hlt68403820"/>
      <w:bookmarkEnd w:id="24"/>
      <w:bookmarkStart w:id="25" w:name="_Hlt68072990"/>
      <w:bookmarkEnd w:id="25"/>
    </w:p>
    <w:bookmarkEnd w:id="11"/>
    <w:bookmarkEnd w:id="12"/>
    <w:p>
      <w:pPr>
        <w:pStyle w:val="26"/>
        <w:numPr>
          <w:ilvl w:val="0"/>
          <w:numId w:val="1"/>
        </w:numPr>
        <w:spacing w:line="340" w:lineRule="exact"/>
        <w:ind w:firstLine="0"/>
        <w:jc w:val="center"/>
        <w:rPr>
          <w:rFonts w:hint="eastAsia" w:ascii="仿宋" w:hAnsi="仿宋" w:eastAsia="仿宋" w:cs="仿宋"/>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
          <w:b/>
          <w:color w:val="000000" w:themeColor="text1"/>
          <w:sz w:val="36"/>
          <w:szCs w:val="36"/>
          <w:highlight w:val="none"/>
          <w14:textFill>
            <w14:solidFill>
              <w14:schemeClr w14:val="tx1"/>
            </w14:solidFill>
          </w14:textFill>
        </w:rPr>
        <w:t>采购需求</w:t>
      </w:r>
      <w:r>
        <w:rPr>
          <w:rFonts w:hint="eastAsia" w:ascii="仿宋" w:hAnsi="仿宋" w:eastAsia="仿宋" w:cs="仿宋"/>
          <w:b/>
          <w:color w:val="000000" w:themeColor="text1"/>
          <w:sz w:val="36"/>
          <w:szCs w:val="36"/>
          <w:highlight w:val="none"/>
          <w14:textFill>
            <w14:solidFill>
              <w14:schemeClr w14:val="tx1"/>
            </w14:solidFill>
          </w14:textFill>
        </w:rPr>
        <w:br w:type="textWrapping"/>
      </w:r>
    </w:p>
    <w:p>
      <w:pPr>
        <w:pStyle w:val="26"/>
        <w:numPr>
          <w:ilvl w:val="0"/>
          <w:numId w:val="0"/>
        </w:numPr>
        <w:spacing w:line="340" w:lineRule="exact"/>
        <w:jc w:val="left"/>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val="en-US" w:eastAsia="zh-CN"/>
          <w14:textFill>
            <w14:solidFill>
              <w14:schemeClr w14:val="tx1"/>
            </w14:solidFill>
          </w14:textFill>
        </w:rPr>
        <w:t>标项一：</w:t>
      </w:r>
    </w:p>
    <w:p>
      <w:pPr>
        <w:pStyle w:val="26"/>
        <w:numPr>
          <w:ilvl w:val="0"/>
          <w:numId w:val="0"/>
        </w:numPr>
        <w:spacing w:line="340" w:lineRule="exact"/>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雨水管道汇总表</w:t>
      </w:r>
    </w:p>
    <w:tbl>
      <w:tblPr>
        <w:tblStyle w:val="63"/>
        <w:tblW w:w="5551" w:type="pct"/>
        <w:tblInd w:w="-7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780"/>
        <w:gridCol w:w="800"/>
        <w:gridCol w:w="1020"/>
        <w:gridCol w:w="530"/>
        <w:gridCol w:w="930"/>
        <w:gridCol w:w="590"/>
        <w:gridCol w:w="950"/>
        <w:gridCol w:w="790"/>
        <w:gridCol w:w="680"/>
        <w:gridCol w:w="610"/>
        <w:gridCol w:w="990"/>
        <w:gridCol w:w="940"/>
        <w:gridCol w:w="510"/>
        <w:gridCol w:w="580"/>
        <w:gridCol w:w="893"/>
        <w:gridCol w:w="547"/>
        <w:gridCol w:w="1000"/>
        <w:gridCol w:w="600"/>
        <w:gridCol w:w="650"/>
        <w:gridCol w:w="740"/>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4372"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1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3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5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4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D2000以上（含D2000）</w:t>
            </w:r>
          </w:p>
        </w:tc>
        <w:tc>
          <w:tcPr>
            <w:tcW w:w="6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雨水口（只）</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雨水排出口（个）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映荷路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月荷路~小林港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479</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116</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望梅高架~小林港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2020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2041</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534</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303</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望梅高架~小林港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705</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2145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887</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355</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287</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雨荷路~小林港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608</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399</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2070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877</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157</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雨荷路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331</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272</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162</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216</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697</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129</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星辰路~320国道</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245</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447</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2855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528</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995</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124</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320国道~星辰路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738</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689</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335</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312</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77</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151</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兴国支路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上环桥路-兴国支路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上环桥路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星光街~振兴路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支二路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振兴路~环线</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194</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支一路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振兴路~北沙路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汀州路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HDDPE</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575</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蓝海弄</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月荷路~顺达路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风荷路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星光街~北沙路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HDDPE</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418</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荷花路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振兴路~天荷北路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HDDPE</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244</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相寓之路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天荷路~天荷路北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205</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HDDPE</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皂基河路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兴国路~北沙路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荷禹路~兴国路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1313.16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11.03</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779.68+160.26=939.94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DN800+D1000+D1200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304.6+85.23+125.51=515.34</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242</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星河路~兴国路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346.29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233.03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25.15</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389.42</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w:t>
            </w:r>
          </w:p>
        </w:tc>
        <w:tc>
          <w:tcPr>
            <w:tcW w:w="22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162</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c>
          <w:tcPr>
            <w:tcW w:w="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w:t>
            </w:r>
          </w:p>
        </w:tc>
        <w:tc>
          <w:tcPr>
            <w:tcW w:w="245"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320国道~新洲路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D400+D600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262</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auto" w:sz="4" w:space="0"/>
              <w:left w:val="single" w:color="000000" w:sz="4" w:space="0"/>
              <w:bottom w:val="single" w:color="000000" w:themeColor="text1"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c>
          <w:tcPr>
            <w:tcW w:w="225" w:type="pct"/>
            <w:tcBorders>
              <w:top w:val="single" w:color="auto" w:sz="4" w:space="0"/>
              <w:left w:val="single" w:color="000000" w:sz="4" w:space="0"/>
              <w:bottom w:val="single" w:color="000000" w:themeColor="text1"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顺意路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320国道~新洲路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themeColor="text1"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245" w:type="pct"/>
            <w:tcBorders>
              <w:top w:val="single" w:color="000000" w:sz="4" w:space="0"/>
              <w:left w:val="single" w:color="000000" w:themeColor="text1"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348</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themeColor="text1"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c>
          <w:tcPr>
            <w:tcW w:w="245" w:type="pct"/>
            <w:tcBorders>
              <w:top w:val="single" w:color="000000" w:sz="4" w:space="0"/>
              <w:left w:val="single" w:color="000000" w:themeColor="text1"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454</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659</w:t>
            </w:r>
          </w:p>
        </w:tc>
        <w:tc>
          <w:tcPr>
            <w:tcW w:w="1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000000" w:sz="4" w:space="0"/>
              <w:right w:val="single" w:color="000000" w:themeColor="text1"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245" w:type="pct"/>
            <w:tcBorders>
              <w:top w:val="single" w:color="000000" w:sz="4" w:space="0"/>
              <w:left w:val="single" w:color="000000" w:themeColor="text1"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c>
          <w:tcPr>
            <w:tcW w:w="23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24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10"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488</w:t>
            </w:r>
          </w:p>
        </w:tc>
        <w:tc>
          <w:tcPr>
            <w:tcW w:w="289"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676</w:t>
            </w:r>
          </w:p>
        </w:tc>
        <w:tc>
          <w:tcPr>
            <w:tcW w:w="207"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000000" w:sz="4" w:space="0"/>
              <w:left w:val="single" w:color="000000" w:sz="4" w:space="0"/>
              <w:bottom w:val="single" w:color="auto" w:sz="4" w:space="0"/>
              <w:right w:val="single" w:color="000000" w:themeColor="text1"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w:t>
            </w:r>
          </w:p>
        </w:tc>
        <w:tc>
          <w:tcPr>
            <w:tcW w:w="245" w:type="pct"/>
            <w:tcBorders>
              <w:top w:val="single" w:color="000000" w:sz="4" w:space="0"/>
              <w:left w:val="single" w:color="000000" w:themeColor="text1"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320-新洲路</w:t>
            </w:r>
          </w:p>
        </w:tc>
        <w:tc>
          <w:tcPr>
            <w:tcW w:w="31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328</w:t>
            </w:r>
          </w:p>
        </w:tc>
        <w:tc>
          <w:tcPr>
            <w:tcW w:w="28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291</w:t>
            </w:r>
          </w:p>
        </w:tc>
        <w:tc>
          <w:tcPr>
            <w:tcW w:w="20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4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4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default"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t>合计</w:t>
            </w:r>
          </w:p>
        </w:tc>
        <w:tc>
          <w:tcPr>
            <w:tcW w:w="23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7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15048.45</w:t>
            </w:r>
          </w:p>
        </w:tc>
        <w:tc>
          <w:tcPr>
            <w:tcW w:w="46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8301.03</w:t>
            </w:r>
          </w:p>
        </w:tc>
        <w:tc>
          <w:tcPr>
            <w:tcW w:w="52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15912.03</w:t>
            </w:r>
          </w:p>
        </w:tc>
        <w:tc>
          <w:tcPr>
            <w:tcW w:w="39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7926.15</w:t>
            </w:r>
          </w:p>
        </w:tc>
        <w:tc>
          <w:tcPr>
            <w:tcW w:w="58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4889.42</w:t>
            </w:r>
          </w:p>
        </w:tc>
        <w:tc>
          <w:tcPr>
            <w:tcW w:w="33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783</w:t>
            </w:r>
          </w:p>
        </w:tc>
        <w:tc>
          <w:tcPr>
            <w:tcW w:w="4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690</w:t>
            </w:r>
          </w:p>
        </w:tc>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1033</w:t>
            </w:r>
          </w:p>
        </w:tc>
        <w:tc>
          <w:tcPr>
            <w:tcW w:w="2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2296</w:t>
            </w:r>
          </w:p>
        </w:tc>
        <w:tc>
          <w:tcPr>
            <w:tcW w:w="24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bl>
    <w:p>
      <w:pPr>
        <w:pStyle w:val="26"/>
        <w:numPr>
          <w:ilvl w:val="0"/>
          <w:numId w:val="0"/>
        </w:numPr>
        <w:spacing w:line="340" w:lineRule="exact"/>
        <w:jc w:val="center"/>
        <w:rPr>
          <w:rFonts w:hint="eastAsia" w:ascii="仿宋" w:hAnsi="仿宋" w:eastAsia="仿宋" w:cs="仿宋"/>
          <w:color w:val="000000" w:themeColor="text1"/>
          <w:highlight w:val="none"/>
          <w14:textFill>
            <w14:solidFill>
              <w14:schemeClr w14:val="tx1"/>
            </w14:solidFill>
          </w14:textFill>
        </w:rPr>
      </w:pPr>
    </w:p>
    <w:p>
      <w:pPr>
        <w:pStyle w:val="27"/>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br w:type="page"/>
      </w:r>
    </w:p>
    <w:p>
      <w:pPr>
        <w:pStyle w:val="27"/>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污水管道汇总表</w:t>
      </w:r>
      <w:r>
        <w:rPr>
          <w:rFonts w:hint="eastAsia" w:ascii="仿宋" w:hAnsi="仿宋" w:eastAsia="仿宋" w:cs="仿宋"/>
          <w:color w:val="000000" w:themeColor="text1"/>
          <w:highlight w:val="none"/>
          <w:lang w:val="en-US" w:eastAsia="zh-CN"/>
          <w14:textFill>
            <w14:solidFill>
              <w14:schemeClr w14:val="tx1"/>
            </w14:solidFill>
          </w14:textFill>
        </w:rPr>
        <w:br w:type="textWrapping"/>
      </w:r>
    </w:p>
    <w:tbl>
      <w:tblPr>
        <w:tblStyle w:val="63"/>
        <w:tblW w:w="5183" w:type="pct"/>
        <w:tblInd w:w="-3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685"/>
        <w:gridCol w:w="860"/>
        <w:gridCol w:w="935"/>
        <w:gridCol w:w="824"/>
        <w:gridCol w:w="1030"/>
        <w:gridCol w:w="850"/>
        <w:gridCol w:w="980"/>
        <w:gridCol w:w="720"/>
        <w:gridCol w:w="970"/>
        <w:gridCol w:w="750"/>
        <w:gridCol w:w="950"/>
        <w:gridCol w:w="780"/>
        <w:gridCol w:w="990"/>
        <w:gridCol w:w="820"/>
        <w:gridCol w:w="970"/>
        <w:gridCol w:w="800"/>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4324"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5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5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5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映荷路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月荷路~小林港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984</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望梅高架~小林港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1080</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1563</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1316</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望梅高架~小林港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826</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1381</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雨荷路~小林港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1189</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2955</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1249</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星辰路~320国道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1216</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1402</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3370</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320国道~星辰路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717</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1117</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兴国支路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上环桥路-兴国支路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428</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上环桥路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星光街~振兴路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支二路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振兴路~环线</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384</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412</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支一路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振兴路~北沙路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汀州路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765</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251</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蓝海弄</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月荷路~顺达路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风荷路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星光街~北沙路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荷花路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振兴路~天荷北路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相寓之路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天荷路~天荷路北</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皂基河路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兴国路~北沙路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风荷路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星光街-北沙路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荷禹路-兴国路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2048.6</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星河路-兴国路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52.16</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682.62</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641</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320国道-新洲路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1031.18</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1101.54</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59</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136.62</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455.78</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133.16</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绿洲路-320国道</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66.46</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721.56</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顺意路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320-绿洲路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689</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新洲路-绿洲路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177.3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顺风路-顺达路</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265.8</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合计</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145</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10896.24</w:t>
            </w:r>
          </w:p>
        </w:tc>
        <w:tc>
          <w:tcPr>
            <w:tcW w:w="5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20902.84</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1614</w:t>
            </w:r>
          </w:p>
        </w:tc>
        <w:tc>
          <w:tcPr>
            <w:tcW w:w="56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2550.7</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1005</w:t>
            </w:r>
          </w:p>
        </w:tc>
      </w:tr>
    </w:tbl>
    <w:p>
      <w:pPr>
        <w:pStyle w:val="27"/>
        <w:jc w:val="center"/>
        <w:rPr>
          <w:rFonts w:hint="eastAsia" w:eastAsia="仿宋"/>
          <w:color w:val="000000" w:themeColor="text1"/>
          <w:lang w:val="en-US" w:eastAsia="zh-CN"/>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br w:type="page"/>
      </w:r>
    </w:p>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t>泵站汇总表</w:t>
      </w:r>
      <w:r>
        <w:rPr>
          <w:rFonts w:hint="eastAsia" w:ascii="仿宋" w:hAnsi="仿宋" w:eastAsia="仿宋" w:cs="仿宋"/>
          <w:color w:val="000000" w:themeColor="text1"/>
          <w:kern w:val="0"/>
          <w:sz w:val="28"/>
          <w:szCs w:val="20"/>
          <w:highlight w:val="none"/>
          <w14:textFill>
            <w14:solidFill>
              <w14:schemeClr w14:val="tx1"/>
            </w14:solidFill>
          </w14:textFill>
        </w:rPr>
        <w:br w:type="textWrapping"/>
      </w:r>
    </w:p>
    <w:tbl>
      <w:tblPr>
        <w:tblStyle w:val="63"/>
        <w:tblW w:w="13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8"/>
        <w:gridCol w:w="1475"/>
        <w:gridCol w:w="1899"/>
        <w:gridCol w:w="957"/>
        <w:gridCol w:w="955"/>
        <w:gridCol w:w="2166"/>
        <w:gridCol w:w="955"/>
        <w:gridCol w:w="1806"/>
        <w:gridCol w:w="955"/>
        <w:gridCol w:w="957"/>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序号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泵站名称</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泵站位置</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 xml:space="preserve">有无人员值守 </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设施量</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型号/品牌</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排水量</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功率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建筑面积</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占地面积</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有无人员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实验学校泵站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实验中学北</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1用1备</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公率2.2KW，扬程15（m），流量25（m³/h）</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3㎡</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北沙路小林港泵站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兴国路北沙路口东</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1用1备</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40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公率5.5KW，扬程25（m），流量40（m³/h）</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8㎡</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金家角河泵站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振兴路金家角河西侧，3号雨水排出口</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2用2备</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150/60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公率7.5KW，4KW,扬程10（m）`11（m），流量150（m³/h）,60（m³/h）</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13㎡</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汀州花苑南区泵站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振兴路荷禹路口东南角</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功率1.5KW，扬程10（m），流量25（m³/h）</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3㎡</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6㎡</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5</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禾丰港振兴路泵站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禾丰港振兴路西北角</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2用2备</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160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功率7.5KW，4KW，扬程10（m），流量160（m³/h）</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3㎡</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6㎡</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顺达花苑西区泵站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顺达花苑西区28幢东侧</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1用1备</w:t>
            </w:r>
          </w:p>
        </w:tc>
        <w:tc>
          <w:tcPr>
            <w:tcW w:w="21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25m³/h</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1.5KW</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15.75㎡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22㎡</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bl>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p>
    <w:p>
      <w:pPr>
        <w:pStyle w:val="3"/>
        <w:rPr>
          <w:rFonts w:hint="eastAsia" w:ascii="仿宋" w:hAnsi="仿宋" w:eastAsia="仿宋" w:cs="仿宋"/>
          <w:color w:val="000000" w:themeColor="text1"/>
          <w:highlight w:val="none"/>
          <w14:textFill>
            <w14:solidFill>
              <w14:schemeClr w14:val="tx1"/>
            </w14:solidFill>
          </w14:textFill>
        </w:rPr>
        <w:sectPr>
          <w:pgSz w:w="16838" w:h="11905" w:orient="landscape"/>
          <w:pgMar w:top="1417" w:right="1134" w:bottom="1417" w:left="1134"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val="en-US" w:eastAsia="zh-CN"/>
          <w14:textFill>
            <w14:solidFill>
              <w14:schemeClr w14:val="tx1"/>
            </w14:solidFill>
          </w14:textFill>
        </w:rPr>
        <w:t>东湖街道</w:t>
      </w:r>
      <w:r>
        <w:rPr>
          <w:rFonts w:hint="eastAsia" w:ascii="仿宋" w:hAnsi="仿宋" w:eastAsia="仿宋" w:cs="仿宋"/>
          <w:b/>
          <w:bCs/>
          <w:color w:val="000000" w:themeColor="text1"/>
          <w:sz w:val="24"/>
          <w:highlight w:val="none"/>
          <w14:textFill>
            <w14:solidFill>
              <w14:schemeClr w14:val="tx1"/>
            </w14:solidFill>
          </w14:textFill>
        </w:rPr>
        <w:t>管道养护工作内容：</w:t>
      </w: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w:t>
      </w:r>
      <w:r>
        <w:rPr>
          <w:rFonts w:hint="eastAsia" w:ascii="仿宋" w:hAnsi="仿宋" w:eastAsia="仿宋" w:cs="仿宋"/>
          <w:color w:val="000000" w:themeColor="text1"/>
          <w:sz w:val="24"/>
          <w:highlight w:val="none"/>
          <w:lang w:eastAsia="zh-CN"/>
          <w14:textFill>
            <w14:solidFill>
              <w14:schemeClr w14:val="tx1"/>
            </w14:solidFill>
          </w14:textFill>
        </w:rPr>
        <w:t>有问题段</w:t>
      </w:r>
      <w:r>
        <w:rPr>
          <w:rFonts w:hint="eastAsia" w:ascii="仿宋" w:hAnsi="仿宋" w:eastAsia="仿宋" w:cs="仿宋"/>
          <w:color w:val="000000" w:themeColor="text1"/>
          <w:sz w:val="24"/>
          <w:highlight w:val="none"/>
          <w:lang w:val="en-US" w:eastAsia="zh-CN"/>
          <w14:textFill>
            <w14:solidFill>
              <w14:schemeClr w14:val="tx1"/>
            </w14:solidFill>
          </w14:textFill>
        </w:rPr>
        <w:t>CCTV检测配合、每年完成1/3的雨水管网CCTV检测工作并提供检测报告、</w:t>
      </w:r>
      <w:r>
        <w:rPr>
          <w:rFonts w:hint="eastAsia" w:ascii="仿宋" w:hAnsi="仿宋" w:eastAsia="仿宋" w:cs="仿宋"/>
          <w:color w:val="000000" w:themeColor="text1"/>
          <w:sz w:val="24"/>
          <w:highlight w:val="none"/>
          <w14:textFill>
            <w14:solidFill>
              <w14:schemeClr w14:val="tx1"/>
            </w14:solidFill>
          </w14:textFill>
        </w:rPr>
        <w:t>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w:t>
      </w:r>
    </w:p>
    <w:p>
      <w:pPr>
        <w:tabs>
          <w:tab w:val="left" w:pos="7260"/>
        </w:tabs>
        <w:spacing w:line="440" w:lineRule="exact"/>
        <w:ind w:firstLine="542" w:firstLineChars="225"/>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三、服务要求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1、投标人应具有市政管道设施养护所需</w:t>
      </w:r>
      <w:r>
        <w:rPr>
          <w:rFonts w:hint="eastAsia" w:ascii="仿宋" w:hAnsi="仿宋" w:eastAsia="仿宋" w:cs="仿宋"/>
          <w:color w:val="000000" w:themeColor="text1"/>
          <w:sz w:val="24"/>
          <w:highlight w:val="none"/>
          <w:lang w:eastAsia="zh-CN"/>
          <w14:textFill>
            <w14:solidFill>
              <w14:schemeClr w14:val="tx1"/>
            </w14:solidFill>
          </w14:textFill>
        </w:rPr>
        <w:t>临平区</w:t>
      </w:r>
      <w:r>
        <w:rPr>
          <w:rFonts w:hint="eastAsia" w:ascii="仿宋" w:hAnsi="仿宋" w:eastAsia="仿宋" w:cs="仿宋"/>
          <w:color w:val="000000" w:themeColor="text1"/>
          <w:sz w:val="24"/>
          <w:highlight w:val="none"/>
          <w14:textFill>
            <w14:solidFill>
              <w14:schemeClr w14:val="tx1"/>
            </w14:solidFill>
          </w14:textFill>
        </w:rPr>
        <w:t>内的固定办公与仓库场所。</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2、养护期内，中标人必须成立养护班组养护专业人员不得少于</w:t>
      </w:r>
      <w:r>
        <w:rPr>
          <w:rFonts w:hint="eastAsia" w:ascii="仿宋" w:hAnsi="仿宋" w:eastAsia="仿宋" w:cs="仿宋"/>
          <w:color w:val="000000" w:themeColor="text1"/>
          <w:sz w:val="24"/>
          <w:highlight w:val="none"/>
          <w:u w:val="single"/>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人。</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3、投标人中标后，必须有管道养护车辆购置发票或租赁合同以确保该处管道养护车辆使用得到保证（包括运行费用、保险等）均由中标人承担。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4、中标人根据养护考核办法配合甲方定期对养护质量进行考核，基本定为每月一小考，每个季度一大考。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5、在养护过程中，发包人若在该区域有新接收的市政管道设施，原养护范围内市政管道设施改造而增加的管道，承包人必须无条件养护，费用不再增加。</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6、养护期限内，明确承包人只有养护权，没有管理权，市政管道设施管理由公共服务中心全权管理。</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标人中标后，发包人与中标人签订安全生产责任书及消防安全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8、施工养护期间，对于原市政管道设施存在的问题，承包人负有担负调查，分析原因和提出整改方案的义务，具体更换或维修由发包人统一安排。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9、养护期内养护用水、用电的费用由中标单位承担，列入措施项目费用表。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10、养护期内不论自然环境（含气候）发生变化还是其它人为（含车辆）因素而导致的市政管道设施破坏，均由中标人负责维修，其费用由招标人承担。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12、在养护期限内产生的各种费用（运输、装卸、堆放、场地租用费及有关费用）由投标单位负责，列入措施项目费用表。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3、 养护管理期内，若发包人认为部分设施需改造，其材料及设施购置费用均由发包人负责，承包人须承担对单次改造人工、机械等其他费用在3000元以内的零星改造人机等费用，若人机等费用超过3000元，则所有改造费用由发包人全额承担，承包人须无条件服从发包人的改造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14、如所有投标报价均偏离招标人的设想范围较大时，为招标人不能接受的，则招标人有权否决所有投标。</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15、投标人应认真仔细地参加现场踏勘。</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16、投标人需承诺评标内的设施设备用于本项目使用，另需准备55KW发电机1台、4寸汽油泵1台（排水量80m³/h以上）、4寸水泵2台（排水量80m³/h以上）6寸水泵2台（排水量100m³/h以上）、8寸水泵1台（排水量160m³/h以上）及配套水带100米作于应急处置设备。      </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中标人必须做好相关工作人员安全，文明的教育交底工作，交通安全、用电安全尤其是如何避免养护中有毒气体的侵害，并为相关人员缴纳给类保险（养老，个人伤亡事故险等），日常养护工人禁止下井作业，如确实需要下井必须有城管中心的书面审批表，同意后严格按照《有限空间作业规程》及杭州市临平区有限空间作业安全专项整治实施方案等相关规定方可下井，如发生安全意外事故，一切责任由中标单位负责。</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19、养护单位必须做到应急设备一个季度演练一次，保证设备的正常使用，若该季度内经常使用，招标人可根据工作情况取消演练。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养护单位若被发现数字城管及市区级抄告等不及时导致扣分，应急响应不及时，污染源处置不恰当，每次罚款2000元，累计三次以上取消该年度的养护评优资格，养护期内，招标人有权制定处罚细则，对养护单位管养不力的情况采取相应的处罚措施和罚款，养护单位应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管道养护巡查每周至少三次建立巡查台账，每次至少两个人，交通工具视具体情况而定，鼓励自行车或步行为主。巡查内容包括满溢、积水、井盖缺损错误、管道塌陷、违章占压、违章排放、私自接管、偷排以及影响市政管道正常运行的工程施工等情况并及时上报甲方并对违规内容报执法部门进行处置。若巡查不到位，造成不良影响的，每次罚款2000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管道养护单位若发生养护不到位（养护项目见工程量清单及后续根据开发区道路建设新增路段管网），造成道路、河道污染等事故，赔偿责任由养护单位负责，在企业、饭店、小区聚集地带已达到养护次数，但仍造成管道堵塞、积水，养护单位应无偿继续养护，直至事故排除为止。</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23、应急事故、污染源调查所需的人工、材料、设备都已包含在技术措施费用里面，养护单位必须无条件的配合招标人的工作安排。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24、养护人员需统一服装，并有相应上岗证，在道路上养护时，需做好用电安全、交通安全维护，如有需要须经交警部门审批后方可实施。</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25、防汛、抗台、抗雪等应急预案及措施，并根据甲方要求及时完成各项应急任务；</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26、对养护范围内产生的积水点进行应急处置，保障通行安全并查明原因上报。</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四、其他要求</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按招标人的招标文件、临东湖办〔2023〕61号文件—《东湖街道市政管网及泵站养护考核评分细则》及其它有关规定、技术标准执行。月度考核成绩由日常检查和相关部门抄告问题组成，季度考核成绩为月度综合分数占80%，季度考核成绩占20%，年度考核成绩为年终考核占20%，各季度综合成绩占80%，其中养护未达8个月的，不具备评优资格</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2、考核结果分为优秀、合格和不合格三档。考核得分按照100分计算，在85分以上（含）为优秀；75分（含）至85分为合格；75分以下为不合格。其中考核成绩评定为不合格等次分为三种：年度考核得分在75分以下、季度考核得分累计2次（含）以上在75分以下、全年月考核得分累计4次（含）以上在75分以下。</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3、招标人根据考核结果支付给承包方养护费用：</w:t>
      </w:r>
      <w:r>
        <w:rPr>
          <w:rFonts w:hint="eastAsia" w:ascii="仿宋" w:hAnsi="仿宋" w:eastAsia="仿宋" w:cs="仿宋"/>
          <w:color w:val="000000" w:themeColor="text1"/>
          <w:sz w:val="24"/>
          <w:highlight w:val="none"/>
          <w14:textFill>
            <w14:solidFill>
              <w14:schemeClr w14:val="tx1"/>
            </w14:solidFill>
          </w14:textFill>
        </w:rPr>
        <w:t>日常养护费</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一般养护期限为三个月（季度）支付一次日常养护款。待完成移交并合同签署生效后，养护企业进场养护90天后，经采购人对养护进行考核，采购人向中标单位支付首付</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0%的日常养护费，以后每季度经采购人考核后，每次支付10%的当季日常养护费，直至所付日常养护费的</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0%止，剩余</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0%日常养护费在合同期满，经</w:t>
      </w:r>
      <w:r>
        <w:rPr>
          <w:rFonts w:hint="eastAsia" w:ascii="仿宋" w:hAnsi="仿宋" w:eastAsia="仿宋" w:cs="仿宋"/>
          <w:color w:val="000000" w:themeColor="text1"/>
          <w:sz w:val="24"/>
          <w:highlight w:val="none"/>
          <w:lang w:eastAsia="zh-CN"/>
          <w14:textFill>
            <w14:solidFill>
              <w14:schemeClr w14:val="tx1"/>
            </w14:solidFill>
          </w14:textFill>
        </w:rPr>
        <w:t>总</w:t>
      </w:r>
      <w:r>
        <w:rPr>
          <w:rFonts w:hint="eastAsia" w:ascii="仿宋" w:hAnsi="仿宋" w:eastAsia="仿宋" w:cs="仿宋"/>
          <w:color w:val="000000" w:themeColor="text1"/>
          <w:sz w:val="24"/>
          <w:highlight w:val="none"/>
          <w14:textFill>
            <w14:solidFill>
              <w14:schemeClr w14:val="tx1"/>
            </w14:solidFill>
          </w14:textFill>
        </w:rPr>
        <w:t>考核验收合格后30日内付清。</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2"/>
          <w:highlight w:val="none"/>
          <w14:textFill>
            <w14:solidFill>
              <w14:schemeClr w14:val="tx1"/>
            </w14:solidFill>
          </w14:textFill>
        </w:rPr>
        <w:t>、合同期限以时间为周期节点，招标养护时间到期，本项目合同期限结束。</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5</w:t>
      </w:r>
      <w:r>
        <w:rPr>
          <w:rFonts w:hint="eastAsia" w:ascii="仿宋" w:hAnsi="仿宋" w:eastAsia="仿宋" w:cs="仿宋"/>
          <w:color w:val="000000" w:themeColor="text1"/>
          <w:kern w:val="2"/>
          <w:sz w:val="24"/>
          <w:szCs w:val="22"/>
          <w:highlight w:val="none"/>
          <w14:textFill>
            <w14:solidFill>
              <w14:schemeClr w14:val="tx1"/>
            </w14:solidFill>
          </w14:textFill>
        </w:rPr>
        <w:t>、如中标单位出现下列情况的，招标人有权取消中标人的中标资格或终止合同并不作任何补偿：</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（1）中标单位无正当理由不接受甲方下达的任务书，或收到任务书后无正当理由三日内未动工的。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（2）工程完工但还在养护期内而擅自交付使用的。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（3）工程完工经甲方验收后认定为不合格，但中标单位未予整改或整改不力的。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6</w:t>
      </w:r>
      <w:r>
        <w:rPr>
          <w:rFonts w:hint="eastAsia" w:ascii="仿宋" w:hAnsi="仿宋" w:eastAsia="仿宋" w:cs="仿宋"/>
          <w:color w:val="000000" w:themeColor="text1"/>
          <w:kern w:val="2"/>
          <w:sz w:val="24"/>
          <w:szCs w:val="22"/>
          <w:highlight w:val="none"/>
          <w14:textFill>
            <w14:solidFill>
              <w14:schemeClr w14:val="tx1"/>
            </w14:solidFill>
          </w14:textFill>
        </w:rPr>
        <w:t>、本招标文件未尽事宜按养护质量管理标准、本项目考核评分细则。</w:t>
      </w:r>
    </w:p>
    <w:p>
      <w:pPr>
        <w:pStyle w:val="35"/>
        <w:tabs>
          <w:tab w:val="left" w:pos="4830"/>
        </w:tabs>
        <w:adjustRightInd w:val="0"/>
        <w:snapToGrid w:val="0"/>
        <w:spacing w:line="360" w:lineRule="auto"/>
        <w:ind w:firstLine="590" w:firstLineChars="24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五、转让和分包</w:t>
      </w:r>
    </w:p>
    <w:p>
      <w:pPr>
        <w:pStyle w:val="35"/>
        <w:tabs>
          <w:tab w:val="left" w:pos="4830"/>
        </w:tabs>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本项目不允许转包或分包，若中标人转包或变相转包其应履行的合同义务，采购单位有权终止合同并没收全部</w:t>
      </w:r>
      <w:r>
        <w:rPr>
          <w:rFonts w:hint="eastAsia" w:ascii="仿宋" w:hAnsi="仿宋" w:eastAsia="仿宋" w:cs="仿宋"/>
          <w:color w:val="000000" w:themeColor="text1"/>
          <w:sz w:val="24"/>
          <w:szCs w:val="24"/>
          <w:highlight w:val="none"/>
          <w:lang w:eastAsia="zh-CN"/>
          <w14:textFill>
            <w14:solidFill>
              <w14:schemeClr w14:val="tx1"/>
            </w14:solidFill>
          </w14:textFill>
        </w:rPr>
        <w:t>安全保证金</w:t>
      </w:r>
      <w:r>
        <w:rPr>
          <w:rFonts w:hint="eastAsia" w:ascii="仿宋" w:hAnsi="仿宋" w:eastAsia="仿宋" w:cs="仿宋"/>
          <w:color w:val="000000" w:themeColor="text1"/>
          <w:sz w:val="24"/>
          <w:szCs w:val="24"/>
          <w:highlight w:val="none"/>
          <w14:textFill>
            <w14:solidFill>
              <w14:schemeClr w14:val="tx1"/>
            </w14:solidFill>
          </w14:textFill>
        </w:rPr>
        <w:t>，或者扣除合同总价的10%作为违约金。</w:t>
      </w:r>
    </w:p>
    <w:p>
      <w:pPr>
        <w:pStyle w:val="35"/>
        <w:tabs>
          <w:tab w:val="left" w:pos="4830"/>
        </w:tabs>
        <w:adjustRightInd w:val="0"/>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合同服务期</w:t>
      </w:r>
    </w:p>
    <w:p>
      <w:pPr>
        <w:adjustRightInd w:val="0"/>
        <w:snapToGrid w:val="0"/>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14:textFill>
            <w14:solidFill>
              <w14:schemeClr w14:val="tx1"/>
            </w14:solidFill>
          </w14:textFill>
        </w:rPr>
        <w:t>合同签订后立即开展工作，并按要求完成所有工作。</w:t>
      </w:r>
    </w:p>
    <w:p>
      <w:pPr>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合同期内，供应商能严格履行合同且通过采购人的考核。</w:t>
      </w:r>
    </w:p>
    <w:p>
      <w:pPr>
        <w:adjustRightInd w:val="0"/>
        <w:snapToGrid w:val="0"/>
        <w:spacing w:line="360" w:lineRule="auto"/>
        <w:ind w:firstLine="482" w:firstLineChars="200"/>
        <w:rPr>
          <w:rFonts w:hint="eastAsia" w:ascii="仿宋" w:hAnsi="仿宋" w:eastAsia="仿宋" w:cs="仿宋"/>
          <w:b/>
          <w:snapToGrid w:val="0"/>
          <w:color w:val="000000" w:themeColor="text1"/>
          <w:kern w:val="0"/>
          <w:sz w:val="24"/>
          <w:highlight w:val="none"/>
          <w14:textFill>
            <w14:solidFill>
              <w14:schemeClr w14:val="tx1"/>
            </w14:solidFill>
          </w14:textFill>
        </w:rPr>
      </w:pPr>
      <w:r>
        <w:rPr>
          <w:rFonts w:hint="eastAsia" w:ascii="仿宋" w:hAnsi="仿宋" w:eastAsia="仿宋" w:cs="仿宋"/>
          <w:b/>
          <w:snapToGrid w:val="0"/>
          <w:color w:val="000000" w:themeColor="text1"/>
          <w:kern w:val="0"/>
          <w:sz w:val="24"/>
          <w:highlight w:val="none"/>
          <w14:textFill>
            <w14:solidFill>
              <w14:schemeClr w14:val="tx1"/>
            </w14:solidFill>
          </w14:textFill>
        </w:rPr>
        <w:t>七、税费</w:t>
      </w:r>
    </w:p>
    <w:p>
      <w:pPr>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本合同执行中相关乙方的一切税费均由乙方负担。</w:t>
      </w:r>
    </w:p>
    <w:p>
      <w:pPr>
        <w:pStyle w:val="35"/>
        <w:adjustRightInd w:val="0"/>
        <w:snapToGrid w:val="0"/>
        <w:spacing w:line="360" w:lineRule="auto"/>
        <w:ind w:firstLine="477" w:firstLineChars="198"/>
        <w:rPr>
          <w:rFonts w:hint="eastAsia" w:ascii="仿宋" w:hAnsi="仿宋" w:eastAsia="仿宋" w:cs="仿宋"/>
          <w:b/>
          <w:snapToGrid w:val="0"/>
          <w:color w:val="000000" w:themeColor="text1"/>
          <w:sz w:val="24"/>
          <w:szCs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八、质量保证及后续服务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九、养护质量标准及考核评分细则、养护质量标准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1、管道养护</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DN600及以下污水管道每年疏通不少于1次；窨井每年清淤泥不少于2次，；DN600以上管道一年检测淤泥深度2次；雨水管网管径≤D300每年疏通（清掏）8次，D300&lt;管径≤D600每年疏通（清掏）6次，D600&lt;管径≤D1000每年疏通（清掏）4次，D1000&lt;管径≤D1500每年疏通（清掏）2次，管径&gt;D1500每年疏通（清掏）1次，雨水口清掏次数每年12次；倒虹管启闭机，每半年一次维护保养</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2、综合管理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（1）管理机构健全，管理人员配备合理。各项工作有明确的责任人。管理制度完备，执行有效。</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（2）修复各项规章制度健全。贯彻措施得力，定期监督检查，每月有修复工作完整的书面记录和相应台帐。中标单位进场后建立养护计划报甲方确认，后期未按计划养护造成的损失由投标人承担。</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（3）具有良好的质量形象，良好的视觉形象和文明的员工形象；确立自身的产品品牌标志，并全面恰当的使用。</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（4）养护人员等应持证上岗。作业现场必须按要求做好围护警示工作，作业人员需穿着公司统一工作装，夜间作业必须穿戴反光背心。</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（5）高级管理人员应具备中专以上文化程度。</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（6）安全等各项业务培训制度完善，并得到有效实施。上岗人员培训合格率达100%。</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3、考核评分细则</w:t>
      </w:r>
    </w:p>
    <w:p>
      <w:pPr>
        <w:rPr>
          <w:rFonts w:hint="eastAsia" w:ascii="宋体" w:hAnsi="宋体" w:eastAsia="宋体" w:cs="宋体"/>
          <w:color w:val="000000" w:themeColor="text1"/>
          <w:sz w:val="40"/>
          <w:szCs w:val="40"/>
          <w:lang w:val="en-US" w:eastAsia="zh-CN"/>
          <w14:textFill>
            <w14:solidFill>
              <w14:schemeClr w14:val="tx1"/>
            </w14:solidFill>
          </w14:textFill>
        </w:rPr>
      </w:pPr>
      <w:r>
        <w:rPr>
          <w:rFonts w:hint="eastAsia" w:ascii="宋体" w:hAnsi="宋体" w:eastAsia="宋体" w:cs="宋体"/>
          <w:color w:val="000000" w:themeColor="text1"/>
          <w:sz w:val="40"/>
          <w:szCs w:val="40"/>
          <w:lang w:val="en-US" w:eastAsia="zh-CN"/>
          <w14:textFill>
            <w14:solidFill>
              <w14:schemeClr w14:val="tx1"/>
            </w14:solidFill>
          </w14:textFill>
        </w:rPr>
        <w:br w:type="page"/>
      </w:r>
    </w:p>
    <w:p>
      <w:pPr>
        <w:widowControl w:val="0"/>
        <w:wordWrap/>
        <w:adjustRightInd/>
        <w:snapToGrid/>
        <w:spacing w:line="540" w:lineRule="exact"/>
        <w:ind w:left="0" w:leftChars="0" w:right="0" w:firstLine="0" w:firstLineChars="0"/>
        <w:jc w:val="center"/>
        <w:textAlignment w:val="auto"/>
        <w:outlineLvl w:val="9"/>
        <w:rPr>
          <w:rFonts w:hint="eastAsia" w:ascii="仿宋" w:hAnsi="仿宋" w:eastAsia="仿宋" w:cs="仿宋"/>
          <w:color w:val="000000" w:themeColor="text1"/>
          <w:sz w:val="40"/>
          <w:szCs w:val="40"/>
          <w:highlight w:val="none"/>
          <w:lang w:val="zh-TW"/>
          <w14:textFill>
            <w14:solidFill>
              <w14:schemeClr w14:val="tx1"/>
            </w14:solidFill>
          </w14:textFill>
        </w:rPr>
      </w:pPr>
      <w:r>
        <w:rPr>
          <w:rFonts w:hint="eastAsia" w:ascii="宋体" w:hAnsi="宋体" w:eastAsia="宋体" w:cs="宋体"/>
          <w:color w:val="000000" w:themeColor="text1"/>
          <w:sz w:val="40"/>
          <w:szCs w:val="40"/>
          <w:lang w:val="en-US" w:eastAsia="zh-CN"/>
          <w14:textFill>
            <w14:solidFill>
              <w14:schemeClr w14:val="tx1"/>
            </w14:solidFill>
          </w14:textFill>
        </w:rPr>
        <w:t>东湖街道市政管网及泵站养护考核评分细则</w:t>
      </w:r>
    </w:p>
    <w:p>
      <w:pPr>
        <w:widowControl w:val="0"/>
        <w:wordWrap/>
        <w:adjustRightInd/>
        <w:snapToGrid/>
        <w:spacing w:line="570" w:lineRule="exact"/>
        <w:ind w:left="0" w:leftChars="0" w:right="0" w:firstLine="0" w:firstLineChars="0"/>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考核对象：         考核</w:t>
      </w:r>
      <w:r>
        <w:rPr>
          <w:rFonts w:hint="eastAsia" w:ascii="仿宋" w:hAnsi="仿宋" w:eastAsia="仿宋" w:cs="仿宋"/>
          <w:b/>
          <w:color w:val="000000" w:themeColor="text1"/>
          <w:sz w:val="24"/>
          <w:highlight w:val="none"/>
          <w:lang w:eastAsia="zh-CN"/>
          <w14:textFill>
            <w14:solidFill>
              <w14:schemeClr w14:val="tx1"/>
            </w14:solidFill>
          </w14:textFill>
        </w:rPr>
        <w:t>标段</w:t>
      </w:r>
      <w:r>
        <w:rPr>
          <w:rFonts w:hint="eastAsia" w:ascii="仿宋" w:hAnsi="仿宋" w:eastAsia="仿宋" w:cs="仿宋"/>
          <w:b/>
          <w:color w:val="000000" w:themeColor="text1"/>
          <w:sz w:val="24"/>
          <w:highlight w:val="none"/>
          <w14:textFill>
            <w14:solidFill>
              <w14:schemeClr w14:val="tx1"/>
            </w14:solidFill>
          </w14:textFill>
        </w:rPr>
        <w:t xml:space="preserve">：          考核时间：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考评人员：</w:t>
      </w:r>
    </w:p>
    <w:tbl>
      <w:tblPr>
        <w:tblStyle w:val="63"/>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02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92"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考核内 容</w:t>
            </w:r>
          </w:p>
        </w:tc>
        <w:tc>
          <w:tcPr>
            <w:tcW w:w="8021"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评分标准</w:t>
            </w:r>
          </w:p>
        </w:tc>
        <w:tc>
          <w:tcPr>
            <w:tcW w:w="645"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管理制度</w:t>
            </w:r>
          </w:p>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项目部人员组成、养护工人、专职巡查员、设备配备是否满足投标文件要求。不符合要求的每次扣5分扣款1000元。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养护计划：编制养护总进度计划、当月工作总结、下月进度计划，不报每次扣5分扣款1000元。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具有养护范围内的管道线路图纸，要求标有管径、管材、长度，图纸更新及时、准确。不符合要求的每处扣2分扣款500元。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有泵站运行台帐、巡查记录台账、工作照片存档，不符合要求的每次扣5分扣款500元。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综合管理</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55分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雨、污水检查井、雨水篦子及雨、污水管道应保持畅通，雨、污水检查井、雨水篦子和雨、污水管道积泥不超过20%，不符合要求每次扣5分扣款500元。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路面无积水，无污水满溢。每发现一次扣5分扣款500元。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检查井井室开裂破损，安全网挂钩锈蚀，破损每处扣1分扣款100元，无安全网每处扣5分扣款500元 。</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管道作业人员应具备相应资质，管道养护作业记录真实、完整。管道作业人员不具备相应资质的每人扣2 分扣款200元，记录不及时的每次扣1 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五水共治河道排出口，企业接入市政管网排出口巡查、及时、真实，每天做好各个项目的记录工作。少一项扣l 分扣款200元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养护进度完成情况：及时完成上报的计划工程量，未完成的扣5分，扣款500元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养护安全施工情况：养护时设置相应的交通标志牌，同时避免有毒气体的危害，泵站安全管理，发现安全隐患未及时整改的扣10分扣款10000元。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养护环保卫生情况：养护后垃圾、淤泥清理及时，避免路面发生污染，及时恢复干净，发现一处卫生污染扣1分扣款100元。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应急事故处理情况：及时配合业主单位做好应急事故的处理，排查污染源的原因，处理不妥当、不及时按情况扣5分扣款5000元。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泵站养护情况：绿化、电气设施、启闭机、污水泵及起重设备、泵站总体设备保养完好。保养不到位发现一处扣1分扣款200元；</w:t>
            </w:r>
            <w:r>
              <w:rPr>
                <w:rFonts w:hint="eastAsia" w:ascii="Times New Roman" w:hAnsi="Times New Roman" w:eastAsia="仿宋_GB2312" w:cs="宋体"/>
                <w:color w:val="000000" w:themeColor="text1"/>
                <w:kern w:val="0"/>
                <w:sz w:val="20"/>
                <w:szCs w:val="20"/>
                <w:lang w:val="en-US" w:eastAsia="zh-CN" w:bidi="ar-SA"/>
                <w14:textFill>
                  <w14:solidFill>
                    <w14:schemeClr w14:val="tx1"/>
                  </w14:solidFill>
                </w14:textFill>
              </w:rPr>
              <w:t>泵站内放置与甲方无关设施物资发现一次扣5000元。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相关部门抄告</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20分</w:t>
            </w:r>
          </w:p>
        </w:tc>
        <w:tc>
          <w:tcPr>
            <w:tcW w:w="8021" w:type="dxa"/>
            <w:vAlign w:val="center"/>
          </w:tcPr>
          <w:p>
            <w:pPr>
              <w:wordWrap/>
              <w:adjustRightInd/>
              <w:snapToGrid/>
              <w:spacing w:before="0" w:beforeAutospacing="0" w:after="0" w:afterAutospacing="0" w:line="300" w:lineRule="exact"/>
              <w:ind w:left="0" w:leftChars="0" w:right="0" w:firstLine="0" w:firstLineChars="0"/>
              <w:jc w:val="left"/>
              <w:textAlignment w:val="auto"/>
              <w:outlineLvl w:val="9"/>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数字城管未处理好造成超时的每次扣1分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，应急情况未及时处理造成恶劣后果的每次扣1分</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，造成二次派遣的每次扣1分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，重复发生件每次扣1分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。造成市级暗访、媒体扣分的，每次扣</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2</w:t>
            </w:r>
            <w:r>
              <w:rPr>
                <w:rFonts w:hint="eastAsia" w:ascii="Times New Roman" w:hAnsi="Times New Roman" w:eastAsia="仿宋_GB2312" w:cs="宋体"/>
                <w:color w:val="000000" w:themeColor="text1"/>
                <w:kern w:val="0"/>
                <w:sz w:val="20"/>
                <w:szCs w:val="21"/>
                <w14:textFill>
                  <w14:solidFill>
                    <w14:schemeClr w14:val="tx1"/>
                  </w14:solidFill>
                </w14:textFill>
              </w:rPr>
              <w:t>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1000元</w:t>
            </w:r>
            <w:r>
              <w:rPr>
                <w:rFonts w:hint="eastAsia" w:ascii="Times New Roman" w:hAnsi="Times New Roman" w:eastAsia="仿宋_GB2312" w:cs="宋体"/>
                <w:color w:val="000000" w:themeColor="text1"/>
                <w:kern w:val="0"/>
                <w:sz w:val="20"/>
                <w:szCs w:val="21"/>
                <w14:textFill>
                  <w14:solidFill>
                    <w14:schemeClr w14:val="tx1"/>
                  </w14:solidFill>
                </w14:textFill>
              </w:rPr>
              <w:t>。</w:t>
            </w: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信访每件扣2分，整改不及时加扣1分，扣款1000元，重复信访每次扣10分，扣款2000元。</w:t>
            </w:r>
          </w:p>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区级抄告每条扣0.5分，如不按要求整改扣2分，扣款1000元；市级抄告造成不良影响的扣3分，扣款5000元；</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附加分值</w:t>
            </w:r>
          </w:p>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10分</w:t>
            </w: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仿宋"/>
                <w:color w:val="000000" w:themeColor="text1"/>
                <w:sz w:val="21"/>
                <w:szCs w:val="21"/>
                <w:lang w:val="en-US" w:eastAsia="zh-CN"/>
                <w14:textFill>
                  <w14:solidFill>
                    <w14:schemeClr w14:val="tx1"/>
                  </w14:solidFill>
                </w14:textFill>
              </w:rPr>
              <w:t>根据以下情况酌情加分：</w:t>
            </w:r>
            <w:r>
              <w:rPr>
                <w:rFonts w:hint="eastAsia" w:ascii="Times New Roman" w:hAnsi="Times New Roman" w:eastAsia="仿宋_GB2312" w:cs="宋体"/>
                <w:color w:val="000000" w:themeColor="text1"/>
                <w:kern w:val="0"/>
                <w:sz w:val="21"/>
                <w:szCs w:val="21"/>
                <w:lang w:val="en-US" w:eastAsia="zh-CN"/>
                <w14:textFill>
                  <w14:solidFill>
                    <w14:schemeClr w14:val="tx1"/>
                  </w14:solidFill>
                </w14:textFill>
              </w:rPr>
              <w:t>圆满完成正常市政管网及泵站养护工作范围以外的领导交办任务的；采用先进管理办法、技术或机械设备，切实提高市政管网及泵站养护工作成效，受到相关部门肯定的；先进事迹受到相关部门表彰的；在重大活动中作出突出贡献的。</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13" w:type="dxa"/>
            <w:gridSpan w:val="2"/>
            <w:vAlign w:val="center"/>
          </w:tcPr>
          <w:p>
            <w:pPr>
              <w:spacing w:before="0" w:beforeAutospacing="0" w:after="0" w:afterAutospacing="0"/>
              <w:ind w:left="0" w:right="0"/>
              <w:jc w:val="center"/>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Times New Roman" w:cs="Times New Roman"/>
                <w:b/>
                <w:color w:val="000000" w:themeColor="text1"/>
                <w:sz w:val="22"/>
                <w:szCs w:val="22"/>
                <w14:textFill>
                  <w14:solidFill>
                    <w14:schemeClr w14:val="tx1"/>
                  </w14:solidFill>
                </w14:textFill>
              </w:rPr>
              <w:t>合   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92" w:type="dxa"/>
            <w:vAlign w:val="center"/>
          </w:tcPr>
          <w:p>
            <w:pPr>
              <w:spacing w:before="0" w:beforeAutospacing="0" w:after="0" w:afterAutospacing="0"/>
              <w:ind w:left="0" w:right="0"/>
              <w:jc w:val="center"/>
              <w:rPr>
                <w:rFonts w:hint="eastAsia" w:ascii="Times New Roman" w:hAnsi="Times New Roman" w:eastAsia="宋体" w:cs="Times New Roman"/>
                <w:b/>
                <w:color w:val="000000" w:themeColor="text1"/>
                <w:sz w:val="22"/>
                <w:szCs w:val="22"/>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说明</w:t>
            </w:r>
          </w:p>
        </w:tc>
        <w:tc>
          <w:tcPr>
            <w:tcW w:w="8021" w:type="dxa"/>
            <w:vAlign w:val="center"/>
          </w:tcPr>
          <w:p>
            <w:pPr>
              <w:spacing w:before="0" w:beforeAutospacing="0" w:after="0" w:afterAutospacing="0" w:line="300" w:lineRule="exact"/>
              <w:ind w:left="0" w:right="0"/>
              <w:rPr>
                <w:rFonts w:hint="default" w:ascii="Times New Roman" w:hAnsi="Times New Roman" w:eastAsia="仿宋_GB2312" w:cs="宋体"/>
                <w:color w:val="000000" w:themeColor="text1"/>
                <w:kern w:val="0"/>
                <w:sz w:val="20"/>
                <w:szCs w:val="21"/>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1、若每项扣分超过考核标准分数，不再扣分。2、管道因</w:t>
            </w:r>
            <w:r>
              <w:rPr>
                <w:rFonts w:hint="default" w:ascii="Times New Roman" w:hAnsi="Times New Roman" w:eastAsia="仿宋_GB2312" w:cs="宋体"/>
                <w:color w:val="000000" w:themeColor="text1"/>
                <w:kern w:val="0"/>
                <w:sz w:val="20"/>
                <w:szCs w:val="21"/>
                <w14:textFill>
                  <w14:solidFill>
                    <w14:schemeClr w14:val="tx1"/>
                  </w14:solidFill>
                </w14:textFill>
              </w:rPr>
              <w:t>结构原因堵塞及时上报的</w:t>
            </w:r>
            <w:r>
              <w:rPr>
                <w:rFonts w:hint="eastAsia" w:ascii="Times New Roman" w:hAnsi="Times New Roman" w:eastAsia="仿宋_GB2312" w:cs="宋体"/>
                <w:color w:val="000000" w:themeColor="text1"/>
                <w:kern w:val="0"/>
                <w:sz w:val="20"/>
                <w:szCs w:val="21"/>
                <w14:textFill>
                  <w14:solidFill>
                    <w14:schemeClr w14:val="tx1"/>
                  </w14:solidFill>
                </w14:textFill>
              </w:rPr>
              <w:t>不</w:t>
            </w:r>
            <w:r>
              <w:rPr>
                <w:rFonts w:hint="default" w:ascii="Times New Roman" w:hAnsi="Times New Roman" w:eastAsia="仿宋_GB2312" w:cs="宋体"/>
                <w:color w:val="000000" w:themeColor="text1"/>
                <w:kern w:val="0"/>
                <w:sz w:val="20"/>
                <w:szCs w:val="21"/>
                <w14:textFill>
                  <w14:solidFill>
                    <w14:schemeClr w14:val="tx1"/>
                  </w14:solidFill>
                </w14:textFill>
              </w:rPr>
              <w:t>纳入考核</w:t>
            </w:r>
            <w:r>
              <w:rPr>
                <w:rFonts w:hint="eastAsia" w:ascii="Times New Roman" w:hAnsi="Times New Roman" w:eastAsia="仿宋_GB2312" w:cs="宋体"/>
                <w:color w:val="000000" w:themeColor="text1"/>
                <w:kern w:val="0"/>
                <w:sz w:val="20"/>
                <w:szCs w:val="21"/>
                <w14:textFill>
                  <w14:solidFill>
                    <w14:schemeClr w14:val="tx1"/>
                  </w14:solidFill>
                </w14:textFill>
              </w:rPr>
              <w:t>。</w:t>
            </w:r>
          </w:p>
          <w:p>
            <w:pPr>
              <w:spacing w:before="0" w:beforeAutospacing="0" w:after="0" w:afterAutospacing="0"/>
              <w:ind w:left="0" w:right="0"/>
              <w:jc w:val="left"/>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3、一票否决：同一路段出现三个及以上的市政井盖缺失、管道积泥超80%以上，视为失管现象。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bl>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p>
    <w:p>
      <w:pPr>
        <w:spacing w:line="360" w:lineRule="auto"/>
        <w:ind w:firstLine="181" w:firstLineChars="50"/>
        <w:rPr>
          <w:rFonts w:hint="eastAsia" w:ascii="仿宋" w:hAnsi="仿宋" w:eastAsia="仿宋" w:cs="仿宋"/>
          <w:b/>
          <w:color w:val="000000" w:themeColor="text1"/>
          <w:sz w:val="36"/>
          <w:szCs w:val="36"/>
          <w:highlight w:val="none"/>
          <w14:textFill>
            <w14:solidFill>
              <w14:schemeClr w14:val="tx1"/>
            </w14:solidFill>
          </w14:textFill>
        </w:rPr>
      </w:pPr>
    </w:p>
    <w:p>
      <w:pPr>
        <w:pStyle w:val="26"/>
        <w:numPr>
          <w:ilvl w:val="0"/>
          <w:numId w:val="0"/>
        </w:numPr>
        <w:spacing w:line="340" w:lineRule="exact"/>
        <w:jc w:val="left"/>
        <w:rPr>
          <w:rFonts w:hint="eastAsia" w:ascii="仿宋" w:hAnsi="仿宋" w:eastAsia="仿宋" w:cs="仿宋"/>
          <w:b/>
          <w:color w:val="000000" w:themeColor="text1"/>
          <w:sz w:val="36"/>
          <w:szCs w:val="36"/>
          <w:highlight w:val="none"/>
          <w:lang w:val="en-US" w:eastAsia="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1" w:charSpace="0"/>
        </w:sectPr>
      </w:pPr>
    </w:p>
    <w:p>
      <w:pPr>
        <w:pStyle w:val="26"/>
        <w:spacing w:line="340" w:lineRule="exact"/>
        <w:ind w:firstLine="0"/>
        <w:jc w:val="left"/>
        <w:rPr>
          <w:rFonts w:hint="eastAsia" w:ascii="仿宋" w:hAnsi="仿宋" w:eastAsia="仿宋" w:cs="仿宋"/>
          <w:b/>
          <w:color w:val="000000" w:themeColor="text1"/>
          <w:sz w:val="36"/>
          <w:szCs w:val="36"/>
          <w:highlight w:val="none"/>
          <w:lang w:val="en-US" w:eastAsia="zh-CN"/>
          <w14:textFill>
            <w14:solidFill>
              <w14:schemeClr w14:val="tx1"/>
            </w14:solidFill>
          </w14:textFill>
        </w:rPr>
      </w:pPr>
      <w:r>
        <w:rPr>
          <w:rFonts w:hint="eastAsia" w:ascii="仿宋" w:hAnsi="仿宋" w:eastAsia="仿宋" w:cs="仿宋"/>
          <w:b/>
          <w:color w:val="000000" w:themeColor="text1"/>
          <w:sz w:val="36"/>
          <w:szCs w:val="36"/>
          <w:highlight w:val="none"/>
          <w:lang w:val="en-US" w:eastAsia="zh-CN"/>
          <w14:textFill>
            <w14:solidFill>
              <w14:schemeClr w14:val="tx1"/>
            </w14:solidFill>
          </w14:textFill>
        </w:rPr>
        <w:t>标项二：</w:t>
      </w:r>
    </w:p>
    <w:p>
      <w:pPr>
        <w:widowControl/>
        <w:jc w:val="center"/>
        <w:textAlignment w:val="center"/>
        <w:rPr>
          <w:rFonts w:hint="eastAsia" w:ascii="仿宋" w:hAnsi="仿宋" w:eastAsia="仿宋" w:cs="仿宋"/>
          <w:b/>
          <w:color w:val="000000" w:themeColor="text1"/>
          <w:sz w:val="36"/>
          <w:szCs w:val="36"/>
          <w:highlight w:val="none"/>
          <w:lang w:val="en-US" w:eastAsia="zh-CN"/>
          <w14:textFill>
            <w14:solidFill>
              <w14:schemeClr w14:val="tx1"/>
            </w14:solidFill>
          </w14:textFill>
        </w:rPr>
      </w:pPr>
      <w:r>
        <w:rPr>
          <w:rFonts w:hint="eastAsia" w:ascii="仿宋" w:hAnsi="仿宋" w:eastAsia="仿宋" w:cs="仿宋"/>
          <w:b/>
          <w:color w:val="000000" w:themeColor="text1"/>
          <w:sz w:val="36"/>
          <w:szCs w:val="36"/>
          <w:highlight w:val="none"/>
          <w:lang w:val="en-US" w:eastAsia="zh-CN"/>
          <w14:textFill>
            <w14:solidFill>
              <w14:schemeClr w14:val="tx1"/>
            </w14:solidFill>
          </w14:textFill>
        </w:rPr>
        <w:t>雨水管道汇总表</w:t>
      </w:r>
    </w:p>
    <w:tbl>
      <w:tblPr>
        <w:tblStyle w:val="63"/>
        <w:tblW w:w="5791" w:type="pct"/>
        <w:tblInd w:w="-1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720"/>
        <w:gridCol w:w="970"/>
        <w:gridCol w:w="900"/>
        <w:gridCol w:w="550"/>
        <w:gridCol w:w="940"/>
        <w:gridCol w:w="530"/>
        <w:gridCol w:w="970"/>
        <w:gridCol w:w="550"/>
        <w:gridCol w:w="970"/>
        <w:gridCol w:w="520"/>
        <w:gridCol w:w="950"/>
        <w:gridCol w:w="580"/>
        <w:gridCol w:w="920"/>
        <w:gridCol w:w="530"/>
        <w:gridCol w:w="920"/>
        <w:gridCol w:w="550"/>
        <w:gridCol w:w="900"/>
        <w:gridCol w:w="520"/>
        <w:gridCol w:w="820"/>
        <w:gridCol w:w="71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4317"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4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4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4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4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D2000以上（含D2000）</w:t>
            </w:r>
          </w:p>
        </w:tc>
        <w:tc>
          <w:tcPr>
            <w:tcW w:w="7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雨水口（只）</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雨水排出口（个）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472</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119</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1140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248</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红丰路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783</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369</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港园路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污水厂~超峰路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149</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禾丰港~红丰路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1397</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禾丰港~红丰路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3246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887</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D1500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禾丰港~风荷路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1654</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2817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2970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946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874</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320国道~北沙路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192</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1112</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844</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D1500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超峰路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禾丰港~红丰路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1754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472</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红旗一路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振兴路-超峰路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红旗二路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新颜路-红旗一路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红旗二路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新丝路-新天路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星光街-红旗二路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规划支路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北沙路-大东南地块</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262</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新天路-双林港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363</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星辰路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顺达路-兴国路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超峰路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星火北路-风荷路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（振兴路-北沙路路）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320辅道</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新天路-新纺路             东湖北路-塘宁路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新丝路东-新颜路              红丰路-荷禹路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1790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2575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1190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186</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268</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清宁路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贝克厂-320国道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新纺路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宁丰路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320国道-新洲路</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D1800</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汀州路</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387</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cs="宋体"/>
                <w:i w:val="0"/>
                <w:iCs w:val="0"/>
                <w:color w:val="000000" w:themeColor="text1"/>
                <w:sz w:val="15"/>
                <w:szCs w:val="15"/>
                <w:u w:val="none"/>
                <w:lang w:val="en-US" w:eastAsia="zh-CN"/>
                <w14:textFill>
                  <w14:solidFill>
                    <w14:schemeClr w14:val="tx1"/>
                  </w14:solidFill>
                </w14:textFill>
              </w:rPr>
              <w:t>合计</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10488</w:t>
            </w:r>
          </w:p>
        </w:tc>
        <w:tc>
          <w:tcPr>
            <w:tcW w:w="4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8348</w:t>
            </w:r>
          </w:p>
        </w:tc>
        <w:tc>
          <w:tcPr>
            <w:tcW w:w="46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21240</w:t>
            </w:r>
          </w:p>
        </w:tc>
        <w:tc>
          <w:tcPr>
            <w:tcW w:w="4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7838</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9627</w:t>
            </w: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180</w:t>
            </w:r>
          </w:p>
        </w:tc>
        <w:tc>
          <w:tcPr>
            <w:tcW w:w="4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880</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1598</w:t>
            </w: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r>
    </w:tbl>
    <w:p>
      <w:pPr>
        <w:widowControl/>
        <w:jc w:val="center"/>
        <w:textAlignment w:val="center"/>
        <w:rPr>
          <w:rFonts w:hint="eastAsia" w:ascii="仿宋" w:hAnsi="仿宋" w:eastAsia="仿宋" w:cs="仿宋"/>
          <w:color w:val="000000" w:themeColor="text1"/>
          <w:kern w:val="0"/>
          <w:sz w:val="20"/>
          <w:szCs w:val="20"/>
          <w:highlight w:val="none"/>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14:textFill>
            <w14:solidFill>
              <w14:schemeClr w14:val="tx1"/>
            </w14:solidFill>
          </w14:textFill>
        </w:rPr>
        <w:br w:type="page"/>
      </w:r>
    </w:p>
    <w:p>
      <w:pPr>
        <w:pStyle w:val="3"/>
        <w:jc w:val="center"/>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污水管道汇总表</w:t>
      </w:r>
    </w:p>
    <w:tbl>
      <w:tblPr>
        <w:tblStyle w:val="63"/>
        <w:tblW w:w="16260" w:type="dxa"/>
        <w:tblInd w:w="-1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810"/>
        <w:gridCol w:w="825"/>
        <w:gridCol w:w="960"/>
        <w:gridCol w:w="840"/>
        <w:gridCol w:w="945"/>
        <w:gridCol w:w="855"/>
        <w:gridCol w:w="900"/>
        <w:gridCol w:w="900"/>
        <w:gridCol w:w="945"/>
        <w:gridCol w:w="840"/>
        <w:gridCol w:w="915"/>
        <w:gridCol w:w="1065"/>
        <w:gridCol w:w="1305"/>
        <w:gridCol w:w="945"/>
        <w:gridCol w:w="1320"/>
        <w:gridCol w:w="55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140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港园路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污水厂~超峰路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2445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禾丰港~巴士利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3371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1868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320国道~北沙路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320国道~星光街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超峰路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禾丰港~新丝路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红旗一路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（振兴路-超峰路）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红旗二路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（新颜路-红旗一路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红旗二路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（新丝路-新天路）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（临东路-红旗二路）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规划支路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（北沙路-大东南地块）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天荷路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（新天路-双林港）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顺达路-兴国路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（振兴路-北沙路路）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华宁路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320国道-五洲路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320辅道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新天路-新纺路   东湖北路-塘宁路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新丝路东-新颜路    红丰路-荷禹路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320-新洲路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清宁路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贝克厂-320国道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五洲路-新洲路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新纺路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砼/300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261.72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541.07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320国道-五洲路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126</w:t>
            </w:r>
          </w:p>
        </w:tc>
        <w:tc>
          <w:tcPr>
            <w:tcW w:w="8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汀州路</w:t>
            </w:r>
          </w:p>
        </w:tc>
        <w:tc>
          <w:tcPr>
            <w:tcW w:w="8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96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413</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0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2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5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cs="宋体"/>
                <w:i w:val="0"/>
                <w:iCs w:val="0"/>
                <w:color w:val="000000" w:themeColor="text1"/>
                <w:sz w:val="15"/>
                <w:szCs w:val="15"/>
                <w:u w:val="none"/>
                <w:lang w:val="en-US" w:eastAsia="zh-CN"/>
                <w14:textFill>
                  <w14:solidFill>
                    <w14:schemeClr w14:val="tx1"/>
                  </w14:solidFill>
                </w14:textFill>
              </w:rPr>
              <w:t>合计</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372</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16202.72</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20431.07</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4583</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2858</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924</w:t>
            </w:r>
          </w:p>
        </w:tc>
      </w:tr>
    </w:tbl>
    <w:p>
      <w:pPr>
        <w:pStyle w:val="3"/>
        <w:jc w:val="center"/>
        <w:rPr>
          <w:rFonts w:hint="eastAsia" w:eastAsia="宋体"/>
          <w:color w:val="000000" w:themeColor="text1"/>
          <w:lang w:val="en-US" w:eastAsia="zh-CN"/>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widowControl/>
        <w:jc w:val="center"/>
        <w:textAlignment w:val="center"/>
        <w:rPr>
          <w:rFonts w:hint="eastAsia" w:ascii="仿宋" w:hAnsi="仿宋" w:eastAsia="仿宋" w:cs="仿宋"/>
          <w:color w:val="000000" w:themeColor="text1"/>
          <w:kern w:val="0"/>
          <w:sz w:val="20"/>
          <w:szCs w:val="20"/>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泵站汇总表</w:t>
      </w:r>
    </w:p>
    <w:tbl>
      <w:tblPr>
        <w:tblStyle w:val="63"/>
        <w:tblW w:w="13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406"/>
        <w:gridCol w:w="1811"/>
        <w:gridCol w:w="912"/>
        <w:gridCol w:w="912"/>
        <w:gridCol w:w="2065"/>
        <w:gridCol w:w="912"/>
        <w:gridCol w:w="1722"/>
        <w:gridCol w:w="912"/>
        <w:gridCol w:w="912"/>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序号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泵站名称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泵站位置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 xml:space="preserve">有无人员值守 </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设施量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型号/品牌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排水量</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功率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建筑面积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占地面积</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宋体" w:eastAsia="仿宋_GB2312" w:cs="仿宋_GB2312"/>
                <w:i w:val="0"/>
                <w:color w:val="000000" w:themeColor="text1"/>
                <w:sz w:val="24"/>
                <w:szCs w:val="24"/>
                <w:u w:val="none"/>
                <w:lang w:val="en-US" w:eastAsia="zh-CN"/>
                <w14:textFill>
                  <w14:solidFill>
                    <w14:schemeClr w14:val="tx1"/>
                  </w14:solidFill>
                </w14:textFill>
              </w:rPr>
              <w:t>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新天路泵站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新天路与北沙路交叉口北</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2用2备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LF-900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270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22KW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180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2700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星光街地下泵站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星光街与沿山路交叉口北50米</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YTICK-WRZSBZ</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40</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塘宁路棉创外泵站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塘宁路棉创外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YTICK-WRZSBZ</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25</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超峰西路禾丰港东侧泵站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超峰路与禾丰港桥东侧</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25</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_GB2312" w:hAnsi="宋体" w:eastAsia="仿宋_GB2312" w:cs="仿宋_GB2312"/>
                <w:i w:val="0"/>
                <w:color w:val="000000" w:themeColor="text1"/>
                <w:sz w:val="24"/>
                <w:szCs w:val="24"/>
                <w:u w:val="none"/>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北沙路泵站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北沙路新天路西侧</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西子泵业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15</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天荷路泵站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天荷路新丝路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上海宏东JYWQ100-65-13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60m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15</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bl>
    <w:p>
      <w:pPr>
        <w:pStyle w:val="26"/>
        <w:numPr>
          <w:ilvl w:val="0"/>
          <w:numId w:val="0"/>
        </w:numPr>
        <w:spacing w:line="340" w:lineRule="exact"/>
        <w:jc w:val="left"/>
        <w:rPr>
          <w:rFonts w:hint="eastAsia" w:ascii="仿宋" w:hAnsi="仿宋" w:eastAsia="仿宋" w:cs="仿宋"/>
          <w:b/>
          <w:color w:val="000000" w:themeColor="text1"/>
          <w:sz w:val="36"/>
          <w:szCs w:val="36"/>
          <w:highlight w:val="none"/>
          <w14:textFill>
            <w14:solidFill>
              <w14:schemeClr w14:val="tx1"/>
            </w14:solidFill>
          </w14:textFill>
        </w:rPr>
        <w:sectPr>
          <w:pgSz w:w="16838" w:h="11905" w:orient="landscape"/>
          <w:pgMar w:top="1814" w:right="1474" w:bottom="1814" w:left="1474" w:header="851" w:footer="850" w:gutter="0"/>
          <w:pgBorders>
            <w:top w:val="none" w:sz="0" w:space="0"/>
            <w:left w:val="none" w:sz="0" w:space="0"/>
            <w:bottom w:val="none" w:sz="0" w:space="0"/>
            <w:right w:val="none" w:sz="0" w:space="0"/>
          </w:pgBorders>
          <w:cols w:space="720" w:num="1"/>
          <w:rtlGutter w:val="0"/>
          <w:docGrid w:linePitch="1" w:charSpace="0"/>
        </w:sectPr>
      </w:pP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val="en-US" w:eastAsia="zh-CN"/>
          <w14:textFill>
            <w14:solidFill>
              <w14:schemeClr w14:val="tx1"/>
            </w14:solidFill>
          </w14:textFill>
        </w:rPr>
        <w:t>东湖街道</w:t>
      </w:r>
      <w:r>
        <w:rPr>
          <w:rFonts w:hint="eastAsia" w:ascii="仿宋" w:hAnsi="仿宋" w:eastAsia="仿宋" w:cs="仿宋"/>
          <w:b/>
          <w:bCs/>
          <w:color w:val="000000" w:themeColor="text1"/>
          <w:sz w:val="24"/>
          <w:highlight w:val="none"/>
          <w14:textFill>
            <w14:solidFill>
              <w14:schemeClr w14:val="tx1"/>
            </w14:solidFill>
          </w14:textFill>
        </w:rPr>
        <w:t>管道养护工作内容：</w:t>
      </w: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w:t>
      </w:r>
      <w:r>
        <w:rPr>
          <w:rFonts w:hint="eastAsia" w:ascii="仿宋" w:hAnsi="仿宋" w:eastAsia="仿宋" w:cs="仿宋"/>
          <w:color w:val="000000" w:themeColor="text1"/>
          <w:sz w:val="24"/>
          <w:highlight w:val="none"/>
          <w:lang w:eastAsia="zh-CN"/>
          <w14:textFill>
            <w14:solidFill>
              <w14:schemeClr w14:val="tx1"/>
            </w14:solidFill>
          </w14:textFill>
        </w:rPr>
        <w:t>有问题段</w:t>
      </w:r>
      <w:r>
        <w:rPr>
          <w:rFonts w:hint="eastAsia" w:ascii="仿宋" w:hAnsi="仿宋" w:eastAsia="仿宋" w:cs="仿宋"/>
          <w:color w:val="000000" w:themeColor="text1"/>
          <w:sz w:val="24"/>
          <w:highlight w:val="none"/>
          <w:lang w:val="en-US" w:eastAsia="zh-CN"/>
          <w14:textFill>
            <w14:solidFill>
              <w14:schemeClr w14:val="tx1"/>
            </w14:solidFill>
          </w14:textFill>
        </w:rPr>
        <w:t>CCTV检测配合、每年完成1/3的雨水管网CCTV检测工作并提供检测报告、</w:t>
      </w:r>
      <w:r>
        <w:rPr>
          <w:rFonts w:hint="eastAsia" w:ascii="仿宋" w:hAnsi="仿宋" w:eastAsia="仿宋" w:cs="仿宋"/>
          <w:color w:val="000000" w:themeColor="text1"/>
          <w:sz w:val="24"/>
          <w:highlight w:val="none"/>
          <w14:textFill>
            <w14:solidFill>
              <w14:schemeClr w14:val="tx1"/>
            </w14:solidFill>
          </w14:textFill>
        </w:rPr>
        <w:t>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w:t>
      </w:r>
    </w:p>
    <w:p>
      <w:pPr>
        <w:tabs>
          <w:tab w:val="left" w:pos="7260"/>
        </w:tabs>
        <w:spacing w:line="440" w:lineRule="exact"/>
        <w:ind w:firstLine="542" w:firstLineChars="225"/>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三、服务要求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1、投标人应具有市政管道设施养护所需</w:t>
      </w:r>
      <w:r>
        <w:rPr>
          <w:rFonts w:hint="eastAsia" w:ascii="仿宋" w:hAnsi="仿宋" w:eastAsia="仿宋" w:cs="仿宋"/>
          <w:color w:val="000000" w:themeColor="text1"/>
          <w:sz w:val="24"/>
          <w:highlight w:val="none"/>
          <w:lang w:eastAsia="zh-CN"/>
          <w14:textFill>
            <w14:solidFill>
              <w14:schemeClr w14:val="tx1"/>
            </w14:solidFill>
          </w14:textFill>
        </w:rPr>
        <w:t>临平区</w:t>
      </w:r>
      <w:r>
        <w:rPr>
          <w:rFonts w:hint="eastAsia" w:ascii="仿宋" w:hAnsi="仿宋" w:eastAsia="仿宋" w:cs="仿宋"/>
          <w:color w:val="000000" w:themeColor="text1"/>
          <w:sz w:val="24"/>
          <w:highlight w:val="none"/>
          <w14:textFill>
            <w14:solidFill>
              <w14:schemeClr w14:val="tx1"/>
            </w14:solidFill>
          </w14:textFill>
        </w:rPr>
        <w:t>内的固定办公与仓库场所。</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2、养护期内，中标人必须成立养护班组养护专业人员不得少于</w:t>
      </w:r>
      <w:r>
        <w:rPr>
          <w:rFonts w:hint="eastAsia" w:ascii="仿宋" w:hAnsi="仿宋" w:eastAsia="仿宋" w:cs="仿宋"/>
          <w:color w:val="000000" w:themeColor="text1"/>
          <w:sz w:val="24"/>
          <w:highlight w:val="none"/>
          <w:u w:val="single"/>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人。</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3、投标人中标后，必须有管道养护车辆购置发票或租赁合同以确保该处管道养护车辆使用得到保证（包括运行费用、保险等）均由中标人承担。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4、中标人根据养护考核办法配合甲方定期对养护质量进行考核，基本定为每月一小考，每个季度一大考。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5、在养护过程中，发包人若在该区域有新接收的市政管道设施，原养护范围内市政管道设施改造而增加的管道，承包人必须无条件养护，费用不再增加。</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6、养护期限内，明确承包人只有养护权，没有管理权，市政管道设施管理由公共服务中心全权管理。</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标人中标后，发包人与中标人签订安全生产责任书及消防安全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8、施工养护期间，对于原市政管道设施存在的问题，承包人负有担负调查，分析原因和提出整改方案的义务，具体更换或维修由发包人统一安排。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9、养护期内养护用水、用电的费用由中标单位承担，列入措施项目费用表。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10、养护期内不论自然环境（含气候）发生变化还是其它人为（含车辆）因素而导致的市政管道设施破坏，均由中标人负责维修，其费用由招标人承担。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12、在养护期限内产生的各种费用（运输、装卸、堆放、场地租用费及有关费用）由投标单位负责，列入措施项目费用表。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3、 养护管理期内，若发包人认为部分设施需改造，其材料及设施购置费用均由发包人负责，承包人须承担对单次改造人工、机械等其他费用在3000元以内的零星改造人机等费用，若人机等费用超过3000元，则所有改造费用由发包人全额承担，承包人须无条件服从发包人的改造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14、如所有投标报价均偏离招标人的设想范围较大时，为招标人不能接受的，则招标人有权否决所有投标。</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15、投标人应认真仔细地参加现场踏勘。</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16、投标人需承诺评标内的设施设备用于本项目使用，另需准备55KW发电机1台、4寸汽油泵1台（排水量80m³/h以上）、4寸水泵2台（排水量80m³/h以上）6寸水泵2台（排水量100m³/h以上）、8寸水泵1台（排水量160m³/h以上）及配套水带100米作于应急处置设备。      </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中标人必须做好相关工作人员安全，文明的教育交底工作，交通安全、用电安全尤其是如何避免养护中有毒气体的侵害，并为相关人员缴纳给类保险（养老，个人伤亡事故险等），日常养护工人禁止下井作业，如确实需要下井必须有城管中心的书面审批表，同意后严格按照《有限空间作业规程》及杭州市临平区有限空间作业安全专项整治实施方案等相关规定方可下井，如发生安全意外事故，一切责任由中标单位负责。</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19、养护单位必须做到应急设备一个季度演练一次，保证设备的正常使用，若该季度内经常使用，招标人可根据工作情况取消演练。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养护单位若被发现数字城管及市区级抄告等不及时导致扣分，应急响应不及时，污染源处置不恰当，每次罚款2000元，累计三次以上取消该年度的养护评优资格，养护期内，招标人有权制定处罚细则，对养护单位管养不力的情况采取相应的处罚措施和罚款，养护单位应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管道养护巡查每周至少三次建立巡查台账，每次至少两个人，交通工具视具体情况而定，鼓励自行车或步行为主。巡查内容包括满溢、积水、井盖缺损错误、管道塌陷、违章占压、违章排放、私自接管、偷排以及影响市政管道正常运行的工程施工等情况并及时上报甲方并对违规内容报执法部门进行处置。若巡查不到位，造成不良影响的，每次罚款2000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管道养护单位若发生养护不到位（养护项目见工程量清单及后续根据开发区道路建设新增路段管网），造成道路、河道污染等事故，赔偿责任由养护单位负责，在企业、饭店、小区聚集地带已达到养护次数，但仍造成管道堵塞、积水，养护单位应无偿继续养护，直至事故排除为止。</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23、应急事故、污染源调查所需的人工、材料、设备都已包含在技术措施费用里面，养护单位必须无条件的配合招标人的工作安排。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24、养护人员需统一服装，并有相应上岗证，在道路上养护时，需做好用电安全、交通安全维护，如有需要须经交警部门审批后方可实施。</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25、防汛、抗台、抗雪等应急预案及措施，并根据甲方要求及时完成各项应急任务；</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26、对养护范围内产生的积水点进行应急处置，保障通行安全并查明原因上报。</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四、其他要求</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按招标人的招标文件、临东湖办〔2023〕61号文件—《东湖街道市政管网及泵站养护考核评分细则》及其它有关规定、技术标准执行。月度考核成绩由日常检查和相关部门抄告问题组成，季度考核成绩为月度综合分数占80%，季度考核成绩占20%，年度考核成绩为年终考核占20%，各季度综合成绩占80%，其中养护未达8个月的，不具备评优资格</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2、考核结果分为优秀、合格和不合格三档。考核得分按照100分计算，在85分以上（含）为优秀；75分（含）至85分为合格；75分以下为不合格。其中考核成绩评定为不合格等次分为三种：年度考核得分在75分以下、季度考核得分累计2次（含）以上在75分以下、全年月考核得分累计4次（含）以上在75分以下。</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3、招标人根据考核结果支付给承包方养护费用：</w:t>
      </w:r>
      <w:r>
        <w:rPr>
          <w:rFonts w:hint="eastAsia" w:ascii="仿宋" w:hAnsi="仿宋" w:eastAsia="仿宋" w:cs="仿宋"/>
          <w:color w:val="000000" w:themeColor="text1"/>
          <w:sz w:val="24"/>
          <w:highlight w:val="none"/>
          <w14:textFill>
            <w14:solidFill>
              <w14:schemeClr w14:val="tx1"/>
            </w14:solidFill>
          </w14:textFill>
        </w:rPr>
        <w:t>日常养护费</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一般养护期限为三个月（季度）支付一次日常养护款。待完成移交并合同签署生效后，养护企业进场养护90天后，经采购人对养护进行考核，采购人向中标单位支付首付</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0%的日常养护费，以后每季度经采购人考核后，每次支付10%的当季日常养护费，直至所付日常养护费的</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0%止，剩余</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0%日常养护费在合同期满，经</w:t>
      </w:r>
      <w:r>
        <w:rPr>
          <w:rFonts w:hint="eastAsia" w:ascii="仿宋" w:hAnsi="仿宋" w:eastAsia="仿宋" w:cs="仿宋"/>
          <w:color w:val="000000" w:themeColor="text1"/>
          <w:sz w:val="24"/>
          <w:highlight w:val="none"/>
          <w:lang w:eastAsia="zh-CN"/>
          <w14:textFill>
            <w14:solidFill>
              <w14:schemeClr w14:val="tx1"/>
            </w14:solidFill>
          </w14:textFill>
        </w:rPr>
        <w:t>总</w:t>
      </w:r>
      <w:r>
        <w:rPr>
          <w:rFonts w:hint="eastAsia" w:ascii="仿宋" w:hAnsi="仿宋" w:eastAsia="仿宋" w:cs="仿宋"/>
          <w:color w:val="000000" w:themeColor="text1"/>
          <w:sz w:val="24"/>
          <w:highlight w:val="none"/>
          <w14:textFill>
            <w14:solidFill>
              <w14:schemeClr w14:val="tx1"/>
            </w14:solidFill>
          </w14:textFill>
        </w:rPr>
        <w:t>考核验收合格后30日内付清。</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2"/>
          <w:highlight w:val="none"/>
          <w14:textFill>
            <w14:solidFill>
              <w14:schemeClr w14:val="tx1"/>
            </w14:solidFill>
          </w14:textFill>
        </w:rPr>
        <w:t>、合同期限以时间为周期节点，招标养护时间到期，本项目合同期限结束。</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5</w:t>
      </w:r>
      <w:r>
        <w:rPr>
          <w:rFonts w:hint="eastAsia" w:ascii="仿宋" w:hAnsi="仿宋" w:eastAsia="仿宋" w:cs="仿宋"/>
          <w:color w:val="000000" w:themeColor="text1"/>
          <w:kern w:val="2"/>
          <w:sz w:val="24"/>
          <w:szCs w:val="22"/>
          <w:highlight w:val="none"/>
          <w14:textFill>
            <w14:solidFill>
              <w14:schemeClr w14:val="tx1"/>
            </w14:solidFill>
          </w14:textFill>
        </w:rPr>
        <w:t>、如中标单位出现下列情况的，招标人有权取消中标人的中标资格或终止合同并不作任何补偿：</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（1）中标单位无正当理由不接受甲方下达的任务书，或收到任务书后无正当理由三日内未动工的。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（2）工程完工但还在养护期内而擅自交付使用的。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（3）工程完工经甲方验收后认定为不合格，但中标单位未予整改或整改不力的。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6</w:t>
      </w:r>
      <w:r>
        <w:rPr>
          <w:rFonts w:hint="eastAsia" w:ascii="仿宋" w:hAnsi="仿宋" w:eastAsia="仿宋" w:cs="仿宋"/>
          <w:color w:val="000000" w:themeColor="text1"/>
          <w:kern w:val="2"/>
          <w:sz w:val="24"/>
          <w:szCs w:val="22"/>
          <w:highlight w:val="none"/>
          <w14:textFill>
            <w14:solidFill>
              <w14:schemeClr w14:val="tx1"/>
            </w14:solidFill>
          </w14:textFill>
        </w:rPr>
        <w:t>、本招标文件未尽事宜按养护质量管理标准、本项目考核评分细则。</w:t>
      </w:r>
    </w:p>
    <w:p>
      <w:pPr>
        <w:pStyle w:val="35"/>
        <w:tabs>
          <w:tab w:val="left" w:pos="4830"/>
        </w:tabs>
        <w:adjustRightInd w:val="0"/>
        <w:snapToGrid w:val="0"/>
        <w:spacing w:line="360" w:lineRule="auto"/>
        <w:ind w:firstLine="590" w:firstLineChars="24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五、转让和分包</w:t>
      </w:r>
    </w:p>
    <w:p>
      <w:pPr>
        <w:pStyle w:val="35"/>
        <w:tabs>
          <w:tab w:val="left" w:pos="4830"/>
        </w:tabs>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本项目不允许转包或分包，若中标人转包或变相转包其应履行的合同义务，采购单位有权终止合同并没收全部</w:t>
      </w:r>
      <w:r>
        <w:rPr>
          <w:rFonts w:hint="eastAsia" w:ascii="仿宋" w:hAnsi="仿宋" w:eastAsia="仿宋" w:cs="仿宋"/>
          <w:color w:val="000000" w:themeColor="text1"/>
          <w:sz w:val="24"/>
          <w:szCs w:val="24"/>
          <w:highlight w:val="none"/>
          <w:lang w:eastAsia="zh-CN"/>
          <w14:textFill>
            <w14:solidFill>
              <w14:schemeClr w14:val="tx1"/>
            </w14:solidFill>
          </w14:textFill>
        </w:rPr>
        <w:t>安全保证金</w:t>
      </w:r>
      <w:r>
        <w:rPr>
          <w:rFonts w:hint="eastAsia" w:ascii="仿宋" w:hAnsi="仿宋" w:eastAsia="仿宋" w:cs="仿宋"/>
          <w:color w:val="000000" w:themeColor="text1"/>
          <w:sz w:val="24"/>
          <w:szCs w:val="24"/>
          <w:highlight w:val="none"/>
          <w14:textFill>
            <w14:solidFill>
              <w14:schemeClr w14:val="tx1"/>
            </w14:solidFill>
          </w14:textFill>
        </w:rPr>
        <w:t>，或者扣除合同总价的10%作为违约金。</w:t>
      </w:r>
    </w:p>
    <w:p>
      <w:pPr>
        <w:pStyle w:val="35"/>
        <w:tabs>
          <w:tab w:val="left" w:pos="4830"/>
        </w:tabs>
        <w:adjustRightInd w:val="0"/>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合同服务期</w:t>
      </w:r>
    </w:p>
    <w:p>
      <w:pPr>
        <w:adjustRightInd w:val="0"/>
        <w:snapToGrid w:val="0"/>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14:textFill>
            <w14:solidFill>
              <w14:schemeClr w14:val="tx1"/>
            </w14:solidFill>
          </w14:textFill>
        </w:rPr>
        <w:t>合同签订后立即开展工作，并按要求完成所有工作。</w:t>
      </w:r>
    </w:p>
    <w:p>
      <w:pPr>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合同期内，供应商能严格履行合同且通过采购人的考核。</w:t>
      </w:r>
    </w:p>
    <w:p>
      <w:pPr>
        <w:adjustRightInd w:val="0"/>
        <w:snapToGrid w:val="0"/>
        <w:spacing w:line="360" w:lineRule="auto"/>
        <w:ind w:firstLine="482" w:firstLineChars="200"/>
        <w:rPr>
          <w:rFonts w:hint="eastAsia" w:ascii="仿宋" w:hAnsi="仿宋" w:eastAsia="仿宋" w:cs="仿宋"/>
          <w:b/>
          <w:snapToGrid w:val="0"/>
          <w:color w:val="000000" w:themeColor="text1"/>
          <w:kern w:val="0"/>
          <w:sz w:val="24"/>
          <w:highlight w:val="none"/>
          <w14:textFill>
            <w14:solidFill>
              <w14:schemeClr w14:val="tx1"/>
            </w14:solidFill>
          </w14:textFill>
        </w:rPr>
      </w:pPr>
      <w:r>
        <w:rPr>
          <w:rFonts w:hint="eastAsia" w:ascii="仿宋" w:hAnsi="仿宋" w:eastAsia="仿宋" w:cs="仿宋"/>
          <w:b/>
          <w:snapToGrid w:val="0"/>
          <w:color w:val="000000" w:themeColor="text1"/>
          <w:kern w:val="0"/>
          <w:sz w:val="24"/>
          <w:highlight w:val="none"/>
          <w14:textFill>
            <w14:solidFill>
              <w14:schemeClr w14:val="tx1"/>
            </w14:solidFill>
          </w14:textFill>
        </w:rPr>
        <w:t>七、税费</w:t>
      </w:r>
    </w:p>
    <w:p>
      <w:pPr>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本合同执行中相关乙方的一切税费均由乙方负担。</w:t>
      </w:r>
    </w:p>
    <w:p>
      <w:pPr>
        <w:pStyle w:val="35"/>
        <w:adjustRightInd w:val="0"/>
        <w:snapToGrid w:val="0"/>
        <w:spacing w:line="360" w:lineRule="auto"/>
        <w:ind w:firstLine="477" w:firstLineChars="198"/>
        <w:rPr>
          <w:rFonts w:hint="eastAsia" w:ascii="仿宋" w:hAnsi="仿宋" w:eastAsia="仿宋" w:cs="仿宋"/>
          <w:b/>
          <w:snapToGrid w:val="0"/>
          <w:color w:val="000000" w:themeColor="text1"/>
          <w:sz w:val="24"/>
          <w:szCs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八、质量保证及后续服务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九、养护质量标准及考核评分细则、养护质量标准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1、管道养护</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DN600及以下污水管道每年疏通不少于1次；窨井每年清淤泥不少于2次，；DN600以上管道一年检测淤泥深度2次；雨水管网管径≤D300每年疏通（清掏）8次，D300&lt;管径≤D600每年疏通（清掏）6次，D600&lt;管径≤D1000每年疏通（清掏）4次，D1000&lt;管径≤D1500每年疏通（清掏）2次，管径&gt;D1500每年疏通（清掏）1次，雨水口清掏次数每年12次；倒虹管启闭机，每半年一次维护保养</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2、综合管理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（1）管理机构健全，管理人员配备合理。各项工作有明确的责任人。管理制度完备，执行有效。</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（2）修复各项规章制度健全。贯彻措施得力，定期监督检查，每月有修复工作完整的书面记录和相应台帐。中标单位进场后建立养护计划报甲方确认，后期未按计划养护造成的损失由投标人承担。</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（3）具有良好的质量形象，良好的视觉形象和文明的员工形象；确立自身的产品品牌标志，并全面恰当的使用。</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（4）养护人员等应持证上岗。作业现场必须按要求做好围护警示工作，作业人员需穿着公司统一工作装，夜间作业必须穿戴反光背心。</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（5）高级管理人员应具备中专以上文化程度。</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（6）安全等各项业务培训制度完善，并得到有效实施。上岗人员培训合格率达100%。</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3、考核评分细则</w:t>
      </w:r>
    </w:p>
    <w:p>
      <w:pPr>
        <w:widowControl w:val="0"/>
        <w:wordWrap/>
        <w:adjustRightInd/>
        <w:snapToGrid/>
        <w:spacing w:line="540" w:lineRule="exact"/>
        <w:ind w:left="0" w:leftChars="0" w:right="0" w:firstLine="0" w:firstLineChars="0"/>
        <w:jc w:val="center"/>
        <w:textAlignment w:val="auto"/>
        <w:outlineLvl w:val="9"/>
        <w:rPr>
          <w:rFonts w:hint="eastAsia" w:ascii="仿宋" w:hAnsi="仿宋" w:eastAsia="仿宋" w:cs="仿宋"/>
          <w:color w:val="000000" w:themeColor="text1"/>
          <w:sz w:val="40"/>
          <w:szCs w:val="40"/>
          <w:highlight w:val="none"/>
          <w:lang w:val="zh-TW"/>
          <w14:textFill>
            <w14:solidFill>
              <w14:schemeClr w14:val="tx1"/>
            </w14:solidFill>
          </w14:textFill>
        </w:rPr>
      </w:pPr>
      <w:r>
        <w:rPr>
          <w:rFonts w:hint="eastAsia" w:ascii="Times New Roman" w:hAnsi="Times New Roman" w:eastAsia="方正小标宋简体" w:cs="方正小标宋简体"/>
          <w:color w:val="000000" w:themeColor="text1"/>
          <w:sz w:val="40"/>
          <w:szCs w:val="40"/>
          <w:lang w:val="en-US" w:eastAsia="zh-CN"/>
          <w14:textFill>
            <w14:solidFill>
              <w14:schemeClr w14:val="tx1"/>
            </w14:solidFill>
          </w14:textFill>
        </w:rPr>
        <w:t>东湖街道市政管网及泵站养护考核评分细则</w:t>
      </w:r>
    </w:p>
    <w:p>
      <w:pPr>
        <w:widowControl w:val="0"/>
        <w:wordWrap/>
        <w:adjustRightInd/>
        <w:snapToGrid/>
        <w:spacing w:line="570" w:lineRule="exact"/>
        <w:ind w:left="0" w:leftChars="0" w:right="0" w:firstLine="0" w:firstLineChars="0"/>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考核对象：         考核</w:t>
      </w:r>
      <w:r>
        <w:rPr>
          <w:rFonts w:hint="eastAsia" w:ascii="仿宋" w:hAnsi="仿宋" w:eastAsia="仿宋" w:cs="仿宋"/>
          <w:b/>
          <w:color w:val="000000" w:themeColor="text1"/>
          <w:sz w:val="24"/>
          <w:highlight w:val="none"/>
          <w:lang w:eastAsia="zh-CN"/>
          <w14:textFill>
            <w14:solidFill>
              <w14:schemeClr w14:val="tx1"/>
            </w14:solidFill>
          </w14:textFill>
        </w:rPr>
        <w:t>标段</w:t>
      </w:r>
      <w:r>
        <w:rPr>
          <w:rFonts w:hint="eastAsia" w:ascii="仿宋" w:hAnsi="仿宋" w:eastAsia="仿宋" w:cs="仿宋"/>
          <w:b/>
          <w:color w:val="000000" w:themeColor="text1"/>
          <w:sz w:val="24"/>
          <w:highlight w:val="none"/>
          <w14:textFill>
            <w14:solidFill>
              <w14:schemeClr w14:val="tx1"/>
            </w14:solidFill>
          </w14:textFill>
        </w:rPr>
        <w:t xml:space="preserve">：          考核时间：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考评人员：</w:t>
      </w:r>
    </w:p>
    <w:tbl>
      <w:tblPr>
        <w:tblStyle w:val="63"/>
        <w:tblW w:w="9258"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02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考核内 容</w:t>
            </w:r>
          </w:p>
        </w:tc>
        <w:tc>
          <w:tcPr>
            <w:tcW w:w="8021"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评分标准</w:t>
            </w:r>
          </w:p>
        </w:tc>
        <w:tc>
          <w:tcPr>
            <w:tcW w:w="645"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管理制度</w:t>
            </w:r>
          </w:p>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项目部人员组成、养护工人、专职巡查员、设备配备是否满足投标文件要求。不符合要求的每次扣5分扣款1000元。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养护计划：编制养护总进度计划、当月工作总结、下月进度计划，不报每次扣5分扣款1000元。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具有养护范围内的管道线路图纸，要求标有管径、管材、长度，图纸更新及时、准确。不符合要求的每处扣2分扣款500元。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有泵站运行台帐、巡查记录台账、工作照片存档，不符合要求的每次扣5分扣款500元。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综合管理</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55分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雨、污水检查井、雨水篦子及雨、污水管道应保持畅通，雨、污水检查井、雨水篦子和雨、污水管道积泥不超过20%，不符合要求每次扣5分扣款500元。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路面无积水，无污水满溢。每发现一次扣5分扣款500元。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检查井井室开裂破损，安全网挂钩锈蚀，破损每处扣1分扣款100元，无安全网每处扣5分扣款500元 。</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管道作业人员应具备相应资质，管道养护作业记录真实、完整。管道作业人员不具备相应资质的每人扣2 分扣款200元，记录不及时的每次扣1 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五水共治河道排出口，企业接入市政管网排出口巡查、及时、真实，每天做好各个项目的记录工作。少一项扣l 分扣款200元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养护进度完成情况：及时完成上报的计划工程量，未完成的扣5分，扣款500元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养护安全施工情况：养护时设置相应的交通标志牌，同时避免有毒气体的危害，泵站安全管理，发现安全隐患未及时整改的扣10分扣款10000元。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养护环保卫生情况：养护后垃圾、淤泥清理及时，避免路面发生污染，及时恢复干净，发现一处卫生污染扣1分扣款100元。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应急事故处理情况：及时配合业主单位做好应急事故的处理，排查污染源的原因，处理不妥当、不及时按情况扣5分扣款5000元。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泵站养护情况：绿化、电气设施、启闭机、污水泵及起重设备、泵站总体设备保养完好。保养不到位发现一处扣1分扣款200元；</w:t>
            </w:r>
            <w:r>
              <w:rPr>
                <w:rFonts w:hint="eastAsia" w:ascii="Times New Roman" w:hAnsi="Times New Roman" w:eastAsia="仿宋_GB2312" w:cs="宋体"/>
                <w:color w:val="000000" w:themeColor="text1"/>
                <w:kern w:val="0"/>
                <w:sz w:val="20"/>
                <w:szCs w:val="20"/>
                <w:lang w:val="en-US" w:eastAsia="zh-CN" w:bidi="ar-SA"/>
                <w14:textFill>
                  <w14:solidFill>
                    <w14:schemeClr w14:val="tx1"/>
                  </w14:solidFill>
                </w14:textFill>
              </w:rPr>
              <w:t>泵站内放置与甲方无关设施物资发现一次扣5000元。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相关部门抄告</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20分</w:t>
            </w:r>
          </w:p>
        </w:tc>
        <w:tc>
          <w:tcPr>
            <w:tcW w:w="8021" w:type="dxa"/>
            <w:vAlign w:val="center"/>
          </w:tcPr>
          <w:p>
            <w:pPr>
              <w:wordWrap/>
              <w:adjustRightInd/>
              <w:snapToGrid/>
              <w:spacing w:before="0" w:beforeAutospacing="0" w:after="0" w:afterAutospacing="0" w:line="300" w:lineRule="exact"/>
              <w:ind w:left="0" w:leftChars="0" w:right="0" w:firstLine="0" w:firstLineChars="0"/>
              <w:jc w:val="left"/>
              <w:textAlignment w:val="auto"/>
              <w:outlineLvl w:val="9"/>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数字城管未处理好造成超时的每次扣1分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，应急情况未及时处理造成恶劣后果的每次扣1分</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，造成二次派遣的每次扣1分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，重复发生件每次扣1分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。造成市级暗访、媒体扣分的，每次扣</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2</w:t>
            </w:r>
            <w:r>
              <w:rPr>
                <w:rFonts w:hint="eastAsia" w:ascii="Times New Roman" w:hAnsi="Times New Roman" w:eastAsia="仿宋_GB2312" w:cs="宋体"/>
                <w:color w:val="000000" w:themeColor="text1"/>
                <w:kern w:val="0"/>
                <w:sz w:val="20"/>
                <w:szCs w:val="21"/>
                <w14:textFill>
                  <w14:solidFill>
                    <w14:schemeClr w14:val="tx1"/>
                  </w14:solidFill>
                </w14:textFill>
              </w:rPr>
              <w:t>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1000元</w:t>
            </w:r>
            <w:r>
              <w:rPr>
                <w:rFonts w:hint="eastAsia" w:ascii="Times New Roman" w:hAnsi="Times New Roman" w:eastAsia="仿宋_GB2312" w:cs="宋体"/>
                <w:color w:val="000000" w:themeColor="text1"/>
                <w:kern w:val="0"/>
                <w:sz w:val="20"/>
                <w:szCs w:val="21"/>
                <w14:textFill>
                  <w14:solidFill>
                    <w14:schemeClr w14:val="tx1"/>
                  </w14:solidFill>
                </w14:textFill>
              </w:rPr>
              <w:t>。</w:t>
            </w: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信访每件扣2分，整改不及时加扣1分，扣款1000元，重复信访每次扣10分，扣款2000元。</w:t>
            </w:r>
          </w:p>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区级抄告每条扣0.5分，如不按要求整改扣2分，扣款1000元；市级抄告造成不良影响的扣3分，扣款5000元；</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附加分值</w:t>
            </w:r>
          </w:p>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10分</w:t>
            </w: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仿宋"/>
                <w:color w:val="000000" w:themeColor="text1"/>
                <w:sz w:val="21"/>
                <w:szCs w:val="21"/>
                <w:lang w:val="en-US" w:eastAsia="zh-CN"/>
                <w14:textFill>
                  <w14:solidFill>
                    <w14:schemeClr w14:val="tx1"/>
                  </w14:solidFill>
                </w14:textFill>
              </w:rPr>
              <w:t>根据以下情况酌情加分：</w:t>
            </w:r>
            <w:r>
              <w:rPr>
                <w:rFonts w:hint="eastAsia" w:ascii="Times New Roman" w:hAnsi="Times New Roman" w:eastAsia="仿宋_GB2312" w:cs="宋体"/>
                <w:color w:val="000000" w:themeColor="text1"/>
                <w:kern w:val="0"/>
                <w:sz w:val="21"/>
                <w:szCs w:val="21"/>
                <w:lang w:val="en-US" w:eastAsia="zh-CN"/>
                <w14:textFill>
                  <w14:solidFill>
                    <w14:schemeClr w14:val="tx1"/>
                  </w14:solidFill>
                </w14:textFill>
              </w:rPr>
              <w:t>圆满完成正常市政管网及泵站养护工作范围以外的领导交办任务的；采用先进管理办法、技术或机械设备，切实提高市政管网及泵站养护工作成效，受到相关部门肯定的；先进事迹受到相关部门表彰的；在重大活动中作出突出贡献的。</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3" w:type="dxa"/>
            <w:gridSpan w:val="2"/>
            <w:vAlign w:val="center"/>
          </w:tcPr>
          <w:p>
            <w:pPr>
              <w:spacing w:before="0" w:beforeAutospacing="0" w:after="0" w:afterAutospacing="0"/>
              <w:ind w:left="0" w:right="0"/>
              <w:jc w:val="center"/>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Times New Roman" w:cs="Times New Roman"/>
                <w:b/>
                <w:color w:val="000000" w:themeColor="text1"/>
                <w:sz w:val="22"/>
                <w:szCs w:val="22"/>
                <w14:textFill>
                  <w14:solidFill>
                    <w14:schemeClr w14:val="tx1"/>
                  </w14:solidFill>
                </w14:textFill>
              </w:rPr>
              <w:t>合   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92" w:type="dxa"/>
            <w:vAlign w:val="center"/>
          </w:tcPr>
          <w:p>
            <w:pPr>
              <w:spacing w:before="0" w:beforeAutospacing="0" w:after="0" w:afterAutospacing="0"/>
              <w:ind w:left="0" w:right="0"/>
              <w:jc w:val="center"/>
              <w:rPr>
                <w:rFonts w:hint="eastAsia" w:ascii="Times New Roman" w:hAnsi="Times New Roman" w:eastAsia="宋体" w:cs="Times New Roman"/>
                <w:b/>
                <w:color w:val="000000" w:themeColor="text1"/>
                <w:sz w:val="22"/>
                <w:szCs w:val="22"/>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说明</w:t>
            </w:r>
          </w:p>
        </w:tc>
        <w:tc>
          <w:tcPr>
            <w:tcW w:w="8021" w:type="dxa"/>
            <w:vAlign w:val="center"/>
          </w:tcPr>
          <w:p>
            <w:pPr>
              <w:spacing w:before="0" w:beforeAutospacing="0" w:after="0" w:afterAutospacing="0" w:line="300" w:lineRule="exact"/>
              <w:ind w:left="0" w:right="0"/>
              <w:rPr>
                <w:rFonts w:hint="default" w:ascii="Times New Roman" w:hAnsi="Times New Roman" w:eastAsia="仿宋_GB2312" w:cs="宋体"/>
                <w:color w:val="000000" w:themeColor="text1"/>
                <w:kern w:val="0"/>
                <w:sz w:val="20"/>
                <w:szCs w:val="21"/>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1、若每项扣分超过考核标准分数，不再扣分。2、管道因</w:t>
            </w:r>
            <w:r>
              <w:rPr>
                <w:rFonts w:hint="default" w:ascii="Times New Roman" w:hAnsi="Times New Roman" w:eastAsia="仿宋_GB2312" w:cs="宋体"/>
                <w:color w:val="000000" w:themeColor="text1"/>
                <w:kern w:val="0"/>
                <w:sz w:val="20"/>
                <w:szCs w:val="21"/>
                <w14:textFill>
                  <w14:solidFill>
                    <w14:schemeClr w14:val="tx1"/>
                  </w14:solidFill>
                </w14:textFill>
              </w:rPr>
              <w:t>结构原因堵塞及时上报的</w:t>
            </w:r>
            <w:r>
              <w:rPr>
                <w:rFonts w:hint="eastAsia" w:ascii="Times New Roman" w:hAnsi="Times New Roman" w:eastAsia="仿宋_GB2312" w:cs="宋体"/>
                <w:color w:val="000000" w:themeColor="text1"/>
                <w:kern w:val="0"/>
                <w:sz w:val="20"/>
                <w:szCs w:val="21"/>
                <w14:textFill>
                  <w14:solidFill>
                    <w14:schemeClr w14:val="tx1"/>
                  </w14:solidFill>
                </w14:textFill>
              </w:rPr>
              <w:t>不</w:t>
            </w:r>
            <w:r>
              <w:rPr>
                <w:rFonts w:hint="default" w:ascii="Times New Roman" w:hAnsi="Times New Roman" w:eastAsia="仿宋_GB2312" w:cs="宋体"/>
                <w:color w:val="000000" w:themeColor="text1"/>
                <w:kern w:val="0"/>
                <w:sz w:val="20"/>
                <w:szCs w:val="21"/>
                <w14:textFill>
                  <w14:solidFill>
                    <w14:schemeClr w14:val="tx1"/>
                  </w14:solidFill>
                </w14:textFill>
              </w:rPr>
              <w:t>纳入考核</w:t>
            </w:r>
            <w:r>
              <w:rPr>
                <w:rFonts w:hint="eastAsia" w:ascii="Times New Roman" w:hAnsi="Times New Roman" w:eastAsia="仿宋_GB2312" w:cs="宋体"/>
                <w:color w:val="000000" w:themeColor="text1"/>
                <w:kern w:val="0"/>
                <w:sz w:val="20"/>
                <w:szCs w:val="21"/>
                <w14:textFill>
                  <w14:solidFill>
                    <w14:schemeClr w14:val="tx1"/>
                  </w14:solidFill>
                </w14:textFill>
              </w:rPr>
              <w:t>。</w:t>
            </w:r>
          </w:p>
          <w:p>
            <w:pPr>
              <w:spacing w:before="0" w:beforeAutospacing="0" w:after="0" w:afterAutospacing="0"/>
              <w:ind w:left="0" w:right="0"/>
              <w:jc w:val="left"/>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3、一票否决：同一路段出现三个及以上的市政井盖缺失、管道积泥超80%以上，视为失管现象。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bl>
    <w:p>
      <w:pPr>
        <w:pStyle w:val="27"/>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firstLine="720" w:firstLineChars="300"/>
        <w:jc w:val="left"/>
        <w:rPr>
          <w:rFonts w:hint="eastAsia" w:ascii="仿宋" w:hAnsi="仿宋" w:eastAsia="仿宋" w:cs="仿宋"/>
          <w:bCs/>
          <w:color w:val="000000" w:themeColor="text1"/>
          <w:sz w:val="24"/>
          <w:highlight w:val="none"/>
          <w14:textFill>
            <w14:solidFill>
              <w14:schemeClr w14:val="tx1"/>
            </w14:solidFill>
          </w14:textFill>
        </w:rPr>
      </w:pPr>
    </w:p>
    <w:p>
      <w:pPr>
        <w:spacing w:line="360" w:lineRule="auto"/>
        <w:rPr>
          <w:rFonts w:hint="eastAsia" w:ascii="仿宋" w:hAnsi="仿宋" w:eastAsia="仿宋" w:cs="仿宋"/>
          <w:snapToGrid w:val="0"/>
          <w:color w:val="000000" w:themeColor="text1"/>
          <w:kern w:val="0"/>
          <w:sz w:val="24"/>
          <w:highlight w:val="none"/>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1" w:charSpace="0"/>
        </w:sectPr>
      </w:pPr>
    </w:p>
    <w:p>
      <w:pPr>
        <w:pStyle w:val="26"/>
        <w:spacing w:line="340" w:lineRule="exact"/>
        <w:ind w:firstLine="0"/>
        <w:jc w:val="left"/>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标项三：</w:t>
      </w:r>
      <w:r>
        <w:rPr>
          <w:rFonts w:hint="eastAsia" w:ascii="仿宋" w:hAnsi="仿宋" w:eastAsia="仿宋" w:cs="仿宋"/>
          <w:color w:val="000000" w:themeColor="text1"/>
          <w:highlight w:val="none"/>
          <w:lang w:val="en-US" w:eastAsia="zh-CN"/>
          <w14:textFill>
            <w14:solidFill>
              <w14:schemeClr w14:val="tx1"/>
            </w14:solidFill>
          </w14:textFill>
        </w:rPr>
        <w:br w:type="textWrapping"/>
      </w: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6"/>
          <w:szCs w:val="36"/>
          <w:highlight w:val="none"/>
          <w:lang w:val="en-US" w:eastAsia="zh-CN"/>
          <w14:textFill>
            <w14:solidFill>
              <w14:schemeClr w14:val="tx1"/>
            </w14:solidFill>
          </w14:textFill>
        </w:rPr>
        <w:t>雨水</w:t>
      </w:r>
      <w:r>
        <w:rPr>
          <w:rFonts w:hint="eastAsia" w:ascii="仿宋" w:hAnsi="仿宋" w:eastAsia="仿宋" w:cs="仿宋"/>
          <w:color w:val="000000" w:themeColor="text1"/>
          <w:sz w:val="36"/>
          <w:szCs w:val="36"/>
          <w:highlight w:val="none"/>
          <w14:textFill>
            <w14:solidFill>
              <w14:schemeClr w14:val="tx1"/>
            </w14:solidFill>
          </w14:textFill>
        </w:rPr>
        <w:t>管道汇总表</w:t>
      </w:r>
    </w:p>
    <w:tbl>
      <w:tblPr>
        <w:tblStyle w:val="63"/>
        <w:tblW w:w="162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00"/>
        <w:gridCol w:w="735"/>
        <w:gridCol w:w="885"/>
        <w:gridCol w:w="975"/>
        <w:gridCol w:w="810"/>
        <w:gridCol w:w="915"/>
        <w:gridCol w:w="675"/>
        <w:gridCol w:w="915"/>
        <w:gridCol w:w="900"/>
        <w:gridCol w:w="990"/>
        <w:gridCol w:w="810"/>
        <w:gridCol w:w="900"/>
        <w:gridCol w:w="750"/>
        <w:gridCol w:w="945"/>
        <w:gridCol w:w="659"/>
        <w:gridCol w:w="736"/>
        <w:gridCol w:w="646"/>
        <w:gridCol w:w="510"/>
        <w:gridCol w:w="465"/>
        <w:gridCol w:w="735"/>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40" w:hRule="atLeast"/>
          <w:jc w:val="center"/>
        </w:trPr>
        <w:tc>
          <w:tcPr>
            <w:tcW w:w="6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73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88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14026" w:type="dxa"/>
            <w:gridSpan w:val="18"/>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5"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5"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1590"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815"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1800"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1650"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1604"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1382"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975"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D2000以上（含D2000）</w:t>
            </w:r>
          </w:p>
        </w:tc>
        <w:tc>
          <w:tcPr>
            <w:tcW w:w="1425"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5" w:type="dxa"/>
            <w:vMerge w:val="continue"/>
            <w:tcBorders>
              <w:tl2br w:val="nil"/>
              <w:tr2bl w:val="nil"/>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94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5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73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4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5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46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雨水口（只）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荷禹路—09省道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7130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2940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2095</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D1000+D1200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940</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五洲路~唐梅路末端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560</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香梅路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唐梅路~五洲路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450</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咏梅路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唐梅路~咏梅路西端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420</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荷禹路~09省道以西</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2327</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752.4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D400+DN500+D600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1885.9</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1110.83</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D1000+D1200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675.1</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09省道~星河路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1584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935</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1410</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恒新街</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09省道~兴起路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626.94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644.46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194.21+536.94=731.15</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111.12</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09省道~荷禹路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1341.74</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2355.85</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1334.42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D1000+D1200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1335.86</w:t>
            </w:r>
          </w:p>
        </w:tc>
        <w:tc>
          <w:tcPr>
            <w:tcW w:w="94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DN1500</w:t>
            </w:r>
          </w:p>
        </w:tc>
        <w:tc>
          <w:tcPr>
            <w:tcW w:w="65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35.82</w:t>
            </w: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恒毅街</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09省道~星河路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1442</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226</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绿洲路-宁桥大道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265</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1980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1204</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157</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320国道~新洲路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623</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126</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绿洲路~宁桥大道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3924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3404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1913</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754</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D1000+D1200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59</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绿洲路~宁桥大道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2185</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1777</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816</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绿洲路~宁桥大道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2964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1778</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1528</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227</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五洲路~宁桥大道</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891</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1517</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358</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984</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174</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09省道~香岸路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190</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312</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凌寒街</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09省道~9年利学校</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232</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252</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381</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健跃弄</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香岸路~塘栖中学</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新洲路~五洲路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918</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458</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D400+D500+D600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859</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178</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羽书街</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星河路~顺达路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288</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392</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小横山</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09省道-香岸路</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365.4</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新洲路-绿洲路</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352</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顺达支路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顺风路-顺达路</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砼/400+500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316.9</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74</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庄里弄</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兴中路-兴起路</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201</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超梅路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小白线至龙超线</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HDPE/200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1146</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龙超线</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320至城西驾校旁边</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HDPE/200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302</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砼/1000+1200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256</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77</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顺风路-顺达路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HDPE/200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207.87</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71.38</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143.99</w:t>
            </w: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砼/1500</w:t>
            </w:r>
          </w:p>
        </w:tc>
        <w:tc>
          <w:tcPr>
            <w:tcW w:w="64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28.98</w:t>
            </w: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HDPE/200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682.16</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砼/400+500+600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1384.14</w:t>
            </w: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338.46</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328.53</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砼/1500</w:t>
            </w:r>
          </w:p>
        </w:tc>
        <w:tc>
          <w:tcPr>
            <w:tcW w:w="64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58.43</w:t>
            </w: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星河支路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绿洲路-黄家桥港</w:t>
            </w:r>
          </w:p>
        </w:tc>
        <w:tc>
          <w:tcPr>
            <w:tcW w:w="9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D225</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135</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202</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香岸路-小白线</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91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450</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0" w:hRule="atLeast"/>
          <w:jc w:val="center"/>
        </w:trPr>
        <w:tc>
          <w:tcPr>
            <w:tcW w:w="6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w:t>
            </w: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莲花港路</w:t>
            </w:r>
          </w:p>
        </w:tc>
        <w:tc>
          <w:tcPr>
            <w:tcW w:w="88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昌达路-凌寒街</w:t>
            </w:r>
          </w:p>
        </w:tc>
        <w:tc>
          <w:tcPr>
            <w:tcW w:w="97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7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w:t>
            </w:r>
          </w:p>
        </w:tc>
        <w:tc>
          <w:tcPr>
            <w:tcW w:w="9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9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9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4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9"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6"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10"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65" w:type="dxa"/>
            <w:tcBorders>
              <w:tl2br w:val="nil"/>
              <w:tr2bl w:val="nil"/>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3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6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600" w:type="dxa"/>
            <w:tcBorders>
              <w:tl2br w:val="nil"/>
              <w:tr2bl w:val="nil"/>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t>合计</w:t>
            </w:r>
          </w:p>
        </w:tc>
        <w:tc>
          <w:tcPr>
            <w:tcW w:w="735" w:type="dxa"/>
            <w:tcBorders>
              <w:tl2br w:val="nil"/>
              <w:tr2bl w:val="nil"/>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5" w:type="dxa"/>
            <w:tcBorders>
              <w:tl2br w:val="nil"/>
              <w:tr2bl w:val="nil"/>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27418.71</w:t>
            </w:r>
          </w:p>
        </w:tc>
        <w:tc>
          <w:tcPr>
            <w:tcW w:w="1590"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18584.86</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26577.57</w:t>
            </w:r>
          </w:p>
        </w:tc>
        <w:tc>
          <w:tcPr>
            <w:tcW w:w="1800"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9604.82</w:t>
            </w:r>
          </w:p>
        </w:tc>
        <w:tc>
          <w:tcPr>
            <w:tcW w:w="1650"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4450.49</w:t>
            </w:r>
          </w:p>
        </w:tc>
        <w:tc>
          <w:tcPr>
            <w:tcW w:w="1604"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35.82</w:t>
            </w:r>
          </w:p>
        </w:tc>
        <w:tc>
          <w:tcPr>
            <w:tcW w:w="1382"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87.41</w:t>
            </w:r>
          </w:p>
        </w:tc>
        <w:tc>
          <w:tcPr>
            <w:tcW w:w="51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46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73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1157</w:t>
            </w:r>
          </w:p>
        </w:tc>
        <w:tc>
          <w:tcPr>
            <w:tcW w:w="6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2685</w:t>
            </w:r>
          </w:p>
        </w:tc>
      </w:tr>
    </w:tbl>
    <w:p>
      <w:pPr>
        <w:pStyle w:val="26"/>
        <w:spacing w:line="340" w:lineRule="exact"/>
        <w:ind w:firstLine="0"/>
        <w:jc w:val="left"/>
        <w:rPr>
          <w:rFonts w:hint="eastAsia" w:ascii="仿宋" w:hAnsi="仿宋" w:eastAsia="仿宋" w:cs="仿宋"/>
          <w:color w:val="000000" w:themeColor="text1"/>
          <w:highlight w:val="none"/>
          <w:lang w:val="en-US" w:eastAsia="zh-CN"/>
          <w14:textFill>
            <w14:solidFill>
              <w14:schemeClr w14:val="tx1"/>
            </w14:solidFill>
          </w14:textFill>
        </w:rPr>
      </w:pPr>
    </w:p>
    <w:p>
      <w:pPr>
        <w:pStyle w:val="26"/>
        <w:spacing w:line="340" w:lineRule="exact"/>
        <w:ind w:firstLine="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26"/>
        <w:spacing w:line="340" w:lineRule="exact"/>
        <w:ind w:firstLine="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br w:type="page"/>
      </w:r>
    </w:p>
    <w:p>
      <w:pPr>
        <w:pStyle w:val="26"/>
        <w:spacing w:line="340" w:lineRule="exact"/>
        <w:ind w:firstLine="0"/>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污水</w:t>
      </w:r>
      <w:r>
        <w:rPr>
          <w:rFonts w:hint="eastAsia" w:ascii="仿宋" w:hAnsi="仿宋" w:eastAsia="仿宋" w:cs="仿宋"/>
          <w:color w:val="000000" w:themeColor="text1"/>
          <w:sz w:val="36"/>
          <w:szCs w:val="36"/>
          <w:highlight w:val="none"/>
          <w14:textFill>
            <w14:solidFill>
              <w14:schemeClr w14:val="tx1"/>
            </w14:solidFill>
          </w14:textFill>
        </w:rPr>
        <w:t>管道汇总表</w:t>
      </w:r>
    </w:p>
    <w:tbl>
      <w:tblPr>
        <w:tblStyle w:val="63"/>
        <w:tblW w:w="5763" w:type="pct"/>
        <w:tblInd w:w="-10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650"/>
        <w:gridCol w:w="940"/>
        <w:gridCol w:w="992"/>
        <w:gridCol w:w="956"/>
        <w:gridCol w:w="1054"/>
        <w:gridCol w:w="868"/>
        <w:gridCol w:w="891"/>
        <w:gridCol w:w="904"/>
        <w:gridCol w:w="1007"/>
        <w:gridCol w:w="1155"/>
        <w:gridCol w:w="979"/>
        <w:gridCol w:w="914"/>
        <w:gridCol w:w="992"/>
        <w:gridCol w:w="1021"/>
        <w:gridCol w:w="927"/>
        <w:gridCol w:w="621"/>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4353"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5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5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5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6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五洲路-唐梅路末端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香梅路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唐梅路-五洲路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咏梅路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唐梅路-咏梅路西末端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荷禹路-09省道以西</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15.52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33.15</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656.89</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DN1000+DN1200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1510.3</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DN1500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1796.34</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09省道-星河路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1072.78</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475.34</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恒新街</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09省道-兴起路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251.87</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1446.53</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09省道-荷禹路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3314</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恒毅街</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09省道-星河路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1680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09省道-荷禹路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521</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1105</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绿洲路-宁桥大道</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541</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1574</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320国道-绿洲路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320国道-宁桥大道</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856</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D400+D500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1339.8</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2404.5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320国道-宁桥大道</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321.4</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2554.2</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320国道-宁桥大道</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454.5</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1498.4</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D1000</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五洲路-宁桥大道</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197</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1790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09省道-香岸路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434</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凌寒街</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09省道-9年利学校</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633</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健跃弄</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香岸路-塘栖中学</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316</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新洲路-五洲路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936</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604</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羽书街</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星河路-顺达路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658</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小横山</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09省道-香岸路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砼/300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158.61</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191.28</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庄里弄</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兴中路-兴起路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203</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超梅路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小白线至龙超线</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砼/600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616</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74</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龙超线</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320至城西驾校旁边</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砼/400+600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502</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砼/400+600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978.79</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77</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莲花港路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昌达路-凌寒街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香岸路-小白线</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5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w:t>
            </w:r>
          </w:p>
        </w:tc>
        <w:tc>
          <w:tcPr>
            <w:tcW w:w="19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绿洲支路</w:t>
            </w:r>
          </w:p>
        </w:tc>
        <w:tc>
          <w:tcPr>
            <w:tcW w:w="28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绿洲路-黄家港桥</w:t>
            </w:r>
          </w:p>
        </w:tc>
        <w:tc>
          <w:tcPr>
            <w:tcW w:w="30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9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2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26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298</w:t>
            </w:r>
          </w:p>
        </w:tc>
        <w:tc>
          <w:tcPr>
            <w:tcW w:w="274"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9"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1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0"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t>合计</w:t>
            </w: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9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15.52</w:t>
            </w:r>
          </w:p>
        </w:tc>
        <w:tc>
          <w:tcPr>
            <w:tcW w:w="59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9158.31</w:t>
            </w:r>
          </w:p>
        </w:tc>
        <w:tc>
          <w:tcPr>
            <w:tcW w:w="55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24949.23</w:t>
            </w:r>
          </w:p>
        </w:tc>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5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4824.8</w:t>
            </w:r>
          </w:p>
        </w:tc>
        <w:tc>
          <w:tcPr>
            <w:tcW w:w="61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1796.34</w:t>
            </w:r>
          </w:p>
        </w:tc>
        <w:tc>
          <w:tcPr>
            <w:tcW w:w="2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1009</w:t>
            </w:r>
          </w:p>
        </w:tc>
      </w:tr>
    </w:tbl>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p>
    <w:p>
      <w:pPr>
        <w:widowControl/>
        <w:jc w:val="center"/>
        <w:textAlignment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kern w:val="0"/>
          <w:sz w:val="36"/>
          <w:szCs w:val="36"/>
          <w:highlight w:val="none"/>
          <w14:textFill>
            <w14:solidFill>
              <w14:schemeClr w14:val="tx1"/>
            </w14:solidFill>
          </w14:textFill>
        </w:rPr>
        <w:t>泵站汇总表</w:t>
      </w:r>
    </w:p>
    <w:tbl>
      <w:tblPr>
        <w:tblStyle w:val="63"/>
        <w:tblW w:w="130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406"/>
        <w:gridCol w:w="1811"/>
        <w:gridCol w:w="912"/>
        <w:gridCol w:w="912"/>
        <w:gridCol w:w="2065"/>
        <w:gridCol w:w="912"/>
        <w:gridCol w:w="1722"/>
        <w:gridCol w:w="912"/>
        <w:gridCol w:w="912"/>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序号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泵站名称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泵站位置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 xml:space="preserve">有无人员值守 </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设施量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型号/品牌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排水量</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功率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建筑面积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占地面积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有无人员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梅林泵站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临平大道797号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梅林泰丰型号：JB/T5118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80m³/h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扬程：15/米、流量：80m³/h、瓦数：7.5KW、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176㎡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172㎡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五洲路兴国路泵站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SA"/>
                <w14:textFill>
                  <w14:solidFill>
                    <w14:schemeClr w14:val="tx1"/>
                  </w14:solidFill>
                </w14:textFill>
              </w:rPr>
              <w:t>兴国路五洲路东南侧</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SA"/>
                <w14:textFill>
                  <w14:solidFill>
                    <w14:schemeClr w14:val="tx1"/>
                  </w14:solidFill>
                </w14:textFill>
              </w:rPr>
              <w:t>1用2备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南方泵业150WQ150-16-11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SA"/>
                <w14:textFill>
                  <w14:solidFill>
                    <w14:schemeClr w14:val="tx1"/>
                  </w14:solidFill>
                </w14:textFill>
              </w:rPr>
              <w:t>150m³/h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SA"/>
                <w14:textFill>
                  <w14:solidFill>
                    <w14:schemeClr w14:val="tx1"/>
                  </w14:solidFill>
                </w14:textFill>
              </w:rPr>
              <w:t>11KW，杨程16米</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剑塘港泵站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唐梅路17号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泰丰型号：WQ140-7-5.5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140m³/h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流量：140m³/h、瓦数：5.5KW、扬程：7/米</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176㎡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172㎡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SA"/>
                <w14:textFill>
                  <w14:solidFill>
                    <w14:schemeClr w14:val="tx1"/>
                  </w14:solidFill>
                </w14:textFill>
              </w:rPr>
              <w:t>无</w:t>
            </w:r>
          </w:p>
        </w:tc>
      </w:tr>
    </w:tbl>
    <w:p>
      <w:pPr>
        <w:pStyle w:val="3"/>
        <w:ind w:left="0" w:leftChars="0" w:firstLine="0" w:firstLineChars="0"/>
        <w:rPr>
          <w:rFonts w:hint="eastAsia" w:ascii="仿宋" w:hAnsi="仿宋" w:eastAsia="仿宋" w:cs="仿宋"/>
          <w:color w:val="000000" w:themeColor="text1"/>
          <w:highlight w:val="none"/>
          <w:lang w:val="en-US" w:eastAsia="zh-CN"/>
          <w14:textFill>
            <w14:solidFill>
              <w14:schemeClr w14:val="tx1"/>
            </w14:solidFill>
          </w14:textFill>
        </w:rPr>
        <w:sectPr>
          <w:pgSz w:w="16838" w:h="11905" w:orient="landscape"/>
          <w:pgMar w:top="1814" w:right="1474" w:bottom="1814" w:left="1474" w:header="851" w:footer="850" w:gutter="0"/>
          <w:pgBorders>
            <w:top w:val="none" w:sz="0" w:space="0"/>
            <w:left w:val="none" w:sz="0" w:space="0"/>
            <w:bottom w:val="none" w:sz="0" w:space="0"/>
            <w:right w:val="none" w:sz="0" w:space="0"/>
          </w:pgBorders>
          <w:cols w:space="720" w:num="1"/>
          <w:rtlGutter w:val="0"/>
          <w:docGrid w:linePitch="1" w:charSpace="0"/>
        </w:sectPr>
      </w:pP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val="en-US" w:eastAsia="zh-CN"/>
          <w14:textFill>
            <w14:solidFill>
              <w14:schemeClr w14:val="tx1"/>
            </w14:solidFill>
          </w14:textFill>
        </w:rPr>
        <w:t>东湖街道</w:t>
      </w:r>
      <w:r>
        <w:rPr>
          <w:rFonts w:hint="eastAsia" w:ascii="仿宋" w:hAnsi="仿宋" w:eastAsia="仿宋" w:cs="仿宋"/>
          <w:b/>
          <w:bCs/>
          <w:color w:val="000000" w:themeColor="text1"/>
          <w:sz w:val="24"/>
          <w:highlight w:val="none"/>
          <w14:textFill>
            <w14:solidFill>
              <w14:schemeClr w14:val="tx1"/>
            </w14:solidFill>
          </w14:textFill>
        </w:rPr>
        <w:t>管道养护工作内容：</w:t>
      </w: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w:t>
      </w:r>
      <w:r>
        <w:rPr>
          <w:rFonts w:hint="eastAsia" w:ascii="仿宋" w:hAnsi="仿宋" w:eastAsia="仿宋" w:cs="仿宋"/>
          <w:color w:val="000000" w:themeColor="text1"/>
          <w:sz w:val="24"/>
          <w:highlight w:val="none"/>
          <w:lang w:eastAsia="zh-CN"/>
          <w14:textFill>
            <w14:solidFill>
              <w14:schemeClr w14:val="tx1"/>
            </w14:solidFill>
          </w14:textFill>
        </w:rPr>
        <w:t>有问题段</w:t>
      </w:r>
      <w:r>
        <w:rPr>
          <w:rFonts w:hint="eastAsia" w:ascii="仿宋" w:hAnsi="仿宋" w:eastAsia="仿宋" w:cs="仿宋"/>
          <w:color w:val="000000" w:themeColor="text1"/>
          <w:sz w:val="24"/>
          <w:highlight w:val="none"/>
          <w:lang w:val="en-US" w:eastAsia="zh-CN"/>
          <w14:textFill>
            <w14:solidFill>
              <w14:schemeClr w14:val="tx1"/>
            </w14:solidFill>
          </w14:textFill>
        </w:rPr>
        <w:t>CCTV检测配合、每年完成1/3的雨水管网CCTV检测工作并提供检测报告、</w:t>
      </w:r>
      <w:r>
        <w:rPr>
          <w:rFonts w:hint="eastAsia" w:ascii="仿宋" w:hAnsi="仿宋" w:eastAsia="仿宋" w:cs="仿宋"/>
          <w:color w:val="000000" w:themeColor="text1"/>
          <w:sz w:val="24"/>
          <w:highlight w:val="none"/>
          <w14:textFill>
            <w14:solidFill>
              <w14:schemeClr w14:val="tx1"/>
            </w14:solidFill>
          </w14:textFill>
        </w:rPr>
        <w:t>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w:t>
      </w:r>
    </w:p>
    <w:p>
      <w:pPr>
        <w:tabs>
          <w:tab w:val="left" w:pos="7260"/>
        </w:tabs>
        <w:spacing w:line="440" w:lineRule="exact"/>
        <w:ind w:firstLine="542" w:firstLineChars="225"/>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三、服务要求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1、投标人应具有市政管道设施养护所需</w:t>
      </w:r>
      <w:r>
        <w:rPr>
          <w:rFonts w:hint="eastAsia" w:ascii="仿宋" w:hAnsi="仿宋" w:eastAsia="仿宋" w:cs="仿宋"/>
          <w:color w:val="000000" w:themeColor="text1"/>
          <w:sz w:val="24"/>
          <w:highlight w:val="none"/>
          <w:lang w:eastAsia="zh-CN"/>
          <w14:textFill>
            <w14:solidFill>
              <w14:schemeClr w14:val="tx1"/>
            </w14:solidFill>
          </w14:textFill>
        </w:rPr>
        <w:t>临平区</w:t>
      </w:r>
      <w:r>
        <w:rPr>
          <w:rFonts w:hint="eastAsia" w:ascii="仿宋" w:hAnsi="仿宋" w:eastAsia="仿宋" w:cs="仿宋"/>
          <w:color w:val="000000" w:themeColor="text1"/>
          <w:sz w:val="24"/>
          <w:highlight w:val="none"/>
          <w14:textFill>
            <w14:solidFill>
              <w14:schemeClr w14:val="tx1"/>
            </w14:solidFill>
          </w14:textFill>
        </w:rPr>
        <w:t>内的固定办公与仓库场所。</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2、养护期内，中标人必须成立养护班组养护专业人员不得少于</w:t>
      </w:r>
      <w:r>
        <w:rPr>
          <w:rFonts w:hint="eastAsia" w:ascii="仿宋" w:hAnsi="仿宋" w:eastAsia="仿宋" w:cs="仿宋"/>
          <w:color w:val="000000" w:themeColor="text1"/>
          <w:sz w:val="24"/>
          <w:highlight w:val="none"/>
          <w:u w:val="single"/>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人。</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3、投标人中标后，必须有管道养护车辆购置发票或租赁合同以确保该处管道养护车辆使用得到保证（包括运行费用、保险等）均由中标人承担。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4、中标人根据养护考核办法配合甲方定期对养护质量进行考核，基本定为每月一小考，每个季度一大考。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5、在养护过程中，发包人若在该区域有新接收的市政管道设施，原养护范围内市政管道设施改造而增加的管道，承包人必须无条件养护，费用不再增加。</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6、养护期限内，明确承包人只有养护权，没有管理权，市政管道设施管理由公共服务中心全权管理。</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标人中标后，发包人与中标人签订安全生产责任书及消防安全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8、施工养护期间，对于原市政管道设施存在的问题，承包人负有担负调查，分析原因和提出整改方案的义务，具体更换或维修由发包人统一安排。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9、养护期内养护用水、用电的费用由中标单位承担，列入措施项目费用表。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10、养护期内不论自然环境（含气候）发生变化还是其它人为（含车辆）因素而导致的市政管道设施破坏，均由中标人负责维修，其费用由招标人承担。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12、在养护期限内产生的各种费用（运输、装卸、堆放、场地租用费及有关费用）由投标单位负责，列入措施项目费用表。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3、 养护管理期内，若发包人认为部分设施需改造，其材料及设施购置费用均由发包人负责，承包人须承担对单次改造人工、机械等其他费用在3000元以内的零星改造人机等费用，若人机等费用超过3000元，则所有改造费用由发包人全额承担，承包人须无条件服从发包人的改造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14、如所有投标报价均偏离招标人的设想范围较大时，为招标人不能接受的，则招标人有权否决所有投标。</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15、投标人应认真仔细地参加现场踏勘。</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16、投标人需承诺评标内的设施设备用于本项目使用，另需准备55KW发电机1台、4寸汽油泵1台（排水量80m³/h以上）、4寸水泵2台（排水量80m³/h以上）6寸水泵2台（排水量100m³/h以上）、8寸水泵1台（排水量160m³/h以上）及配套水带100米作于应急处置设备。      </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中标人必须做好相关工作人员安全，文明的教育交底工作，交通安全、用电安全尤其是如何避免养护中有毒气体的侵害，并为相关人员缴纳给类保险（养老，个人伤亡事故险等），日常养护工人禁止下井作业，如确实需要下井必须有城管中心的书面审批表，同意后严格按照《有限空间作业规程》及杭州市临平区有限空间作业安全专项整治实施方案等相关规定方可下井，如发生安全意外事故，一切责任由中标单位负责。</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19、养护单位必须做到应急设备一个季度演练一次，保证设备的正常使用，若该季度内经常使用，招标人可根据工作情况取消演练。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养护单位若被发现数字城管及市区级抄告等不及时导致扣分，应急响应不及时，污染源处置不恰当，每次罚款2000元，累计三次以上取消该年度的养护评优资格，养护期内，招标人有权制定处罚细则，对养护单位管养不力的情况采取相应的处罚措施和罚款，养护单位应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管道养护巡查每周至少三次建立巡查台账，每次至少两个人，交通工具视具体情况而定，鼓励自行车或步行为主。巡查内容包括满溢、积水、井盖缺损错误、管道塌陷、违章占压、违章排放、私自接管、偷排以及影响市政管道正常运行的工程施工等情况并及时上报甲方并对违规内容报执法部门进行处置。若巡查不到位，造成不良影响的，每次罚款2000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管道养护单位若发生养护不到位（养护项目见工程量清单及后续根据开发区道路建设新增路段管网），造成道路、河道污染等事故，赔偿责任由养护单位负责，在企业、饭店、小区聚集地带已达到养护次数，但仍造成管道堵塞、积水，养护单位应无偿继续养护，直至事故排除为止。</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23、应急事故、污染源调查所需的人工、材料、设备都已包含在技术措施费用里面，养护单位必须无条件的配合招标人的工作安排。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24、养护人员需统一服装，并有相应上岗证，在道路上养护时，需做好用电安全、交通安全维护，如有需要须经交警部门审批后方可实施。</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25、防汛、抗台、抗雪等应急预案及措施，并根据甲方要求及时完成各项应急任务；</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26、对养护范围内产生的积水点进行应急处置，保障通行安全并查明原因上报。</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四、其他要求</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按招标人的招标文件、临东湖办〔2023〕61号文件—《东湖街道市政管网及泵站养护考核评分细则》及其它有关规定、技术标准执行。月度考核成绩由日常检查和相关部门抄告问题组成，季度考核成绩为月度综合分数占80%，季度考核成绩占20%，年度考核成绩为年终考核占20%，各季度综合成绩占80%，其中养护未达8个月的，不具备评优资格</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2、考核结果分为优秀、合格和不合格三档。考核得分按照100分计算，在85分以上（含）为优秀；75分（含）至85分为合格；75分以下为不合格。其中考核成绩评定为不合格等次分为三种：年度考核得分在75分以下、季度考核得分累计2次（含）以上在75分以下、全年月考核得分累计4次（含）以上在75分以下。</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3、招标人根据考核结果支付给承包方养护费用：</w:t>
      </w:r>
      <w:r>
        <w:rPr>
          <w:rFonts w:hint="eastAsia" w:ascii="仿宋" w:hAnsi="仿宋" w:eastAsia="仿宋" w:cs="仿宋"/>
          <w:color w:val="000000" w:themeColor="text1"/>
          <w:sz w:val="24"/>
          <w:highlight w:val="none"/>
          <w14:textFill>
            <w14:solidFill>
              <w14:schemeClr w14:val="tx1"/>
            </w14:solidFill>
          </w14:textFill>
        </w:rPr>
        <w:t>日常养护费</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一般养护期限为三个月（季度）支付一次日常养护款。待完成移交并合同签署生效后，养护企业进场养护90天后，经采购人对养护进行考核，采购人向中标单位支付首付</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0%的日常养护费，以后每季度经采购人考核后，每次支付10%的当季日常养护费，直至所付日常养护费的</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0%止，剩余</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0%日常养护费在合同期满，经</w:t>
      </w:r>
      <w:r>
        <w:rPr>
          <w:rFonts w:hint="eastAsia" w:ascii="仿宋" w:hAnsi="仿宋" w:eastAsia="仿宋" w:cs="仿宋"/>
          <w:color w:val="000000" w:themeColor="text1"/>
          <w:sz w:val="24"/>
          <w:highlight w:val="none"/>
          <w:lang w:eastAsia="zh-CN"/>
          <w14:textFill>
            <w14:solidFill>
              <w14:schemeClr w14:val="tx1"/>
            </w14:solidFill>
          </w14:textFill>
        </w:rPr>
        <w:t>总</w:t>
      </w:r>
      <w:r>
        <w:rPr>
          <w:rFonts w:hint="eastAsia" w:ascii="仿宋" w:hAnsi="仿宋" w:eastAsia="仿宋" w:cs="仿宋"/>
          <w:color w:val="000000" w:themeColor="text1"/>
          <w:sz w:val="24"/>
          <w:highlight w:val="none"/>
          <w14:textFill>
            <w14:solidFill>
              <w14:schemeClr w14:val="tx1"/>
            </w14:solidFill>
          </w14:textFill>
        </w:rPr>
        <w:t>考核验收合格后30日内付清。</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2"/>
          <w:highlight w:val="none"/>
          <w14:textFill>
            <w14:solidFill>
              <w14:schemeClr w14:val="tx1"/>
            </w14:solidFill>
          </w14:textFill>
        </w:rPr>
        <w:t>、合同期限以时间为周期节点，招标养护时间到期，本项目合同期限结束。</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5</w:t>
      </w:r>
      <w:r>
        <w:rPr>
          <w:rFonts w:hint="eastAsia" w:ascii="仿宋" w:hAnsi="仿宋" w:eastAsia="仿宋" w:cs="仿宋"/>
          <w:color w:val="000000" w:themeColor="text1"/>
          <w:kern w:val="2"/>
          <w:sz w:val="24"/>
          <w:szCs w:val="22"/>
          <w:highlight w:val="none"/>
          <w14:textFill>
            <w14:solidFill>
              <w14:schemeClr w14:val="tx1"/>
            </w14:solidFill>
          </w14:textFill>
        </w:rPr>
        <w:t>、如中标单位出现下列情况的，招标人有权取消中标人的中标资格或终止合同并不作任何补偿：</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（1）中标单位无正当理由不接受甲方下达的任务书，或收到任务书后无正当理由三日内未动工的。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（2）工程完工但还在养护期内而擅自交付使用的。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（3）工程完工经甲方验收后认定为不合格，但中标单位未予整改或整改不力的。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6</w:t>
      </w:r>
      <w:r>
        <w:rPr>
          <w:rFonts w:hint="eastAsia" w:ascii="仿宋" w:hAnsi="仿宋" w:eastAsia="仿宋" w:cs="仿宋"/>
          <w:color w:val="000000" w:themeColor="text1"/>
          <w:kern w:val="2"/>
          <w:sz w:val="24"/>
          <w:szCs w:val="22"/>
          <w:highlight w:val="none"/>
          <w14:textFill>
            <w14:solidFill>
              <w14:schemeClr w14:val="tx1"/>
            </w14:solidFill>
          </w14:textFill>
        </w:rPr>
        <w:t>、本招标文件未尽事宜按养护质量管理标准、本项目考核评分细则。</w:t>
      </w:r>
    </w:p>
    <w:p>
      <w:pPr>
        <w:pStyle w:val="35"/>
        <w:tabs>
          <w:tab w:val="left" w:pos="4830"/>
        </w:tabs>
        <w:adjustRightInd w:val="0"/>
        <w:snapToGrid w:val="0"/>
        <w:spacing w:line="360" w:lineRule="auto"/>
        <w:ind w:firstLine="590" w:firstLineChars="24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五、转让和分包</w:t>
      </w:r>
    </w:p>
    <w:p>
      <w:pPr>
        <w:pStyle w:val="35"/>
        <w:tabs>
          <w:tab w:val="left" w:pos="4830"/>
        </w:tabs>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本项目不允许转包或分包，若中标人转包或变相转包其应履行的合同义务，采购单位有权终止合同并没收全部</w:t>
      </w:r>
      <w:r>
        <w:rPr>
          <w:rFonts w:hint="eastAsia" w:ascii="仿宋" w:hAnsi="仿宋" w:eastAsia="仿宋" w:cs="仿宋"/>
          <w:color w:val="000000" w:themeColor="text1"/>
          <w:sz w:val="24"/>
          <w:szCs w:val="24"/>
          <w:highlight w:val="none"/>
          <w:lang w:eastAsia="zh-CN"/>
          <w14:textFill>
            <w14:solidFill>
              <w14:schemeClr w14:val="tx1"/>
            </w14:solidFill>
          </w14:textFill>
        </w:rPr>
        <w:t>安全保证金</w:t>
      </w:r>
      <w:r>
        <w:rPr>
          <w:rFonts w:hint="eastAsia" w:ascii="仿宋" w:hAnsi="仿宋" w:eastAsia="仿宋" w:cs="仿宋"/>
          <w:color w:val="000000" w:themeColor="text1"/>
          <w:sz w:val="24"/>
          <w:szCs w:val="24"/>
          <w:highlight w:val="none"/>
          <w14:textFill>
            <w14:solidFill>
              <w14:schemeClr w14:val="tx1"/>
            </w14:solidFill>
          </w14:textFill>
        </w:rPr>
        <w:t>，或者扣除合同总价的10%作为违约金。</w:t>
      </w:r>
    </w:p>
    <w:p>
      <w:pPr>
        <w:pStyle w:val="35"/>
        <w:tabs>
          <w:tab w:val="left" w:pos="4830"/>
        </w:tabs>
        <w:adjustRightInd w:val="0"/>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合同服务期</w:t>
      </w:r>
    </w:p>
    <w:p>
      <w:pPr>
        <w:adjustRightInd w:val="0"/>
        <w:snapToGrid w:val="0"/>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14:textFill>
            <w14:solidFill>
              <w14:schemeClr w14:val="tx1"/>
            </w14:solidFill>
          </w14:textFill>
        </w:rPr>
        <w:t>合同签订后立即开展工作，并按要求完成所有工作。</w:t>
      </w:r>
    </w:p>
    <w:p>
      <w:pPr>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合同期内，供应商能严格履行合同且通过采购人的考核。</w:t>
      </w:r>
    </w:p>
    <w:p>
      <w:pPr>
        <w:adjustRightInd w:val="0"/>
        <w:snapToGrid w:val="0"/>
        <w:spacing w:line="360" w:lineRule="auto"/>
        <w:ind w:firstLine="482" w:firstLineChars="200"/>
        <w:rPr>
          <w:rFonts w:hint="eastAsia" w:ascii="仿宋" w:hAnsi="仿宋" w:eastAsia="仿宋" w:cs="仿宋"/>
          <w:b/>
          <w:snapToGrid w:val="0"/>
          <w:color w:val="000000" w:themeColor="text1"/>
          <w:kern w:val="0"/>
          <w:sz w:val="24"/>
          <w:highlight w:val="none"/>
          <w14:textFill>
            <w14:solidFill>
              <w14:schemeClr w14:val="tx1"/>
            </w14:solidFill>
          </w14:textFill>
        </w:rPr>
      </w:pPr>
      <w:r>
        <w:rPr>
          <w:rFonts w:hint="eastAsia" w:ascii="仿宋" w:hAnsi="仿宋" w:eastAsia="仿宋" w:cs="仿宋"/>
          <w:b/>
          <w:snapToGrid w:val="0"/>
          <w:color w:val="000000" w:themeColor="text1"/>
          <w:kern w:val="0"/>
          <w:sz w:val="24"/>
          <w:highlight w:val="none"/>
          <w14:textFill>
            <w14:solidFill>
              <w14:schemeClr w14:val="tx1"/>
            </w14:solidFill>
          </w14:textFill>
        </w:rPr>
        <w:t>七、税费</w:t>
      </w:r>
    </w:p>
    <w:p>
      <w:pPr>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本合同执行中相关乙方的一切税费均由乙方负担。</w:t>
      </w:r>
    </w:p>
    <w:p>
      <w:pPr>
        <w:pStyle w:val="35"/>
        <w:adjustRightInd w:val="0"/>
        <w:snapToGrid w:val="0"/>
        <w:spacing w:line="360" w:lineRule="auto"/>
        <w:ind w:firstLine="477" w:firstLineChars="198"/>
        <w:rPr>
          <w:rFonts w:hint="eastAsia" w:ascii="仿宋" w:hAnsi="仿宋" w:eastAsia="仿宋" w:cs="仿宋"/>
          <w:b/>
          <w:snapToGrid w:val="0"/>
          <w:color w:val="000000" w:themeColor="text1"/>
          <w:sz w:val="24"/>
          <w:szCs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八、质量保证及后续服务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九、养护质量标准及考核评分细则、养护质量标准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1、管道养护</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DN600及以下污水管道每年疏通不少于1次；窨井每年清淤泥不少于2次，；DN600以上管道一年检测淤泥深度2次；雨水管网管径≤D300每年疏通（清掏）8次，D300&lt;管径≤D600每年疏通（清掏）6次，D600&lt;管径≤D1000每年疏通（清掏）4次，D1000&lt;管径≤D1500每年疏通（清掏）2次，管径&gt;D1500每年疏通（清掏）1次，雨水口清掏次数每年12次；倒虹管启闭机，每半年一次维护保养</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2、综合管理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（1）管理机构健全，管理人员配备合理。各项工作有明确的责任人。管理制度完备，执行有效。</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（2）修复各项规章制度健全。贯彻措施得力，定期监督检查，每月有修复工作完整的书面记录和相应台帐。中标单位进场后建立养护计划报甲方确认，后期未按计划养护造成的损失由投标人承担。</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（3）具有良好的质量形象，良好的视觉形象和文明的员工形象；确立自身的产品品牌标志，并全面恰当的使用。</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（4）养护人员等应持证上岗。作业现场必须按要求做好围护警示工作，作业人员需穿着公司统一工作装，夜间作业必须穿戴反光背心。</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（5）高级管理人员应具备中专以上文化程度。</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（6）安全等各项业务培训制度完善，并得到有效实施。上岗人员培训合格率达100%。</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3、考核评分细则</w:t>
      </w:r>
    </w:p>
    <w:p>
      <w:pPr>
        <w:widowControl w:val="0"/>
        <w:wordWrap/>
        <w:adjustRightInd/>
        <w:snapToGrid/>
        <w:spacing w:line="540" w:lineRule="exact"/>
        <w:ind w:left="0" w:leftChars="0" w:right="0" w:firstLine="0" w:firstLineChars="0"/>
        <w:jc w:val="center"/>
        <w:textAlignment w:val="auto"/>
        <w:outlineLvl w:val="9"/>
        <w:rPr>
          <w:rFonts w:hint="eastAsia" w:ascii="仿宋" w:hAnsi="仿宋" w:eastAsia="仿宋" w:cs="仿宋"/>
          <w:color w:val="000000" w:themeColor="text1"/>
          <w:sz w:val="40"/>
          <w:szCs w:val="40"/>
          <w:highlight w:val="none"/>
          <w:lang w:val="zh-TW"/>
          <w14:textFill>
            <w14:solidFill>
              <w14:schemeClr w14:val="tx1"/>
            </w14:solidFill>
          </w14:textFill>
        </w:rPr>
      </w:pPr>
      <w:r>
        <w:rPr>
          <w:rFonts w:hint="eastAsia" w:ascii="Times New Roman" w:hAnsi="Times New Roman" w:eastAsia="方正小标宋简体" w:cs="方正小标宋简体"/>
          <w:color w:val="000000" w:themeColor="text1"/>
          <w:sz w:val="40"/>
          <w:szCs w:val="40"/>
          <w:lang w:val="en-US" w:eastAsia="zh-CN"/>
          <w14:textFill>
            <w14:solidFill>
              <w14:schemeClr w14:val="tx1"/>
            </w14:solidFill>
          </w14:textFill>
        </w:rPr>
        <w:t>东湖街道市政管网及泵站养护考核评分细则</w:t>
      </w:r>
    </w:p>
    <w:p>
      <w:pPr>
        <w:widowControl w:val="0"/>
        <w:wordWrap/>
        <w:adjustRightInd/>
        <w:snapToGrid/>
        <w:spacing w:line="570" w:lineRule="exact"/>
        <w:ind w:left="0" w:leftChars="0" w:right="0" w:firstLine="0" w:firstLineChars="0"/>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考核对象：         考核</w:t>
      </w:r>
      <w:r>
        <w:rPr>
          <w:rFonts w:hint="eastAsia" w:ascii="仿宋" w:hAnsi="仿宋" w:eastAsia="仿宋" w:cs="仿宋"/>
          <w:b/>
          <w:color w:val="000000" w:themeColor="text1"/>
          <w:sz w:val="24"/>
          <w:highlight w:val="none"/>
          <w:lang w:eastAsia="zh-CN"/>
          <w14:textFill>
            <w14:solidFill>
              <w14:schemeClr w14:val="tx1"/>
            </w14:solidFill>
          </w14:textFill>
        </w:rPr>
        <w:t>标段</w:t>
      </w:r>
      <w:r>
        <w:rPr>
          <w:rFonts w:hint="eastAsia" w:ascii="仿宋" w:hAnsi="仿宋" w:eastAsia="仿宋" w:cs="仿宋"/>
          <w:b/>
          <w:color w:val="000000" w:themeColor="text1"/>
          <w:sz w:val="24"/>
          <w:highlight w:val="none"/>
          <w14:textFill>
            <w14:solidFill>
              <w14:schemeClr w14:val="tx1"/>
            </w14:solidFill>
          </w14:textFill>
        </w:rPr>
        <w:t xml:space="preserve">：          考核时间：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考评人员：</w:t>
      </w:r>
    </w:p>
    <w:tbl>
      <w:tblPr>
        <w:tblStyle w:val="63"/>
        <w:tblW w:w="9258"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02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考核内 容</w:t>
            </w:r>
          </w:p>
        </w:tc>
        <w:tc>
          <w:tcPr>
            <w:tcW w:w="8021"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评分标准</w:t>
            </w:r>
          </w:p>
        </w:tc>
        <w:tc>
          <w:tcPr>
            <w:tcW w:w="645"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管理制度</w:t>
            </w:r>
          </w:p>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项目部人员组成、养护工人、专职巡查员、设备配备是否满足投标文件要求。不符合要求的每次扣5分扣款1000元。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养护计划：编制养护总进度计划、当月工作总结、下月进度计划，不报每次扣5分扣款1000元。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具有养护范围内的管道线路图纸，要求标有管径、管材、长度，图纸更新及时、准确。不符合要求的每处扣2分扣款500元。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有泵站运行台帐、巡查记录台账、工作照片存档，不符合要求的每次扣5分扣款500元。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综合管理</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55分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雨、污水检查井、雨水篦子及雨、污水管道应保持畅通，雨、污水检查井、雨水篦子和雨、污水管道积泥不超过20%，不符合要求每次扣5分扣款500元。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路面无积水，无污水满溢。每发现一次扣5分扣款500元。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检查井井室开裂破损，安全网挂钩锈蚀，破损每处扣1分扣款100元，无安全网每处扣5分扣款500元 。</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管道作业人员应具备相应资质，管道养护作业记录真实、完整。管道作业人员不具备相应资质的每人扣2 分扣款200元，记录不及时的每次扣1 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五水共治河道排出口，企业接入市政管网排出口巡查、及时、真实，每天做好各个项目的记录工作。少一项扣l 分扣款200元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养护进度完成情况：及时完成上报的计划工程量，未完成的扣5分，扣款500元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养护安全施工情况：养护时设置相应的交通标志牌，同时避免有毒气体的危害，泵站安全管理，发现安全隐患未及时整改的扣10分扣款10000元。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养护环保卫生情况：养护后垃圾、淤泥清理及时，避免路面发生污染，及时恢复干净，发现一处卫生污染扣1分扣款100元。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应急事故处理情况：及时配合业主单位做好应急事故的处理，排查污染源的原因，处理不妥当、不及时按情况扣5分扣款5000元。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泵站养护情况：绿化、电气设施、启闭机、污水泵及起重设备、泵站总体设备保养完好。保养不到位发现一处扣1分扣款200元；</w:t>
            </w:r>
            <w:r>
              <w:rPr>
                <w:rFonts w:hint="eastAsia" w:ascii="Times New Roman" w:hAnsi="Times New Roman" w:eastAsia="仿宋_GB2312" w:cs="宋体"/>
                <w:color w:val="000000" w:themeColor="text1"/>
                <w:kern w:val="0"/>
                <w:sz w:val="20"/>
                <w:szCs w:val="20"/>
                <w:lang w:val="en-US" w:eastAsia="zh-CN" w:bidi="ar-SA"/>
                <w14:textFill>
                  <w14:solidFill>
                    <w14:schemeClr w14:val="tx1"/>
                  </w14:solidFill>
                </w14:textFill>
              </w:rPr>
              <w:t>泵站内放置与甲方无关设施物资发现一次扣5000元。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相关部门抄告</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20分</w:t>
            </w:r>
          </w:p>
        </w:tc>
        <w:tc>
          <w:tcPr>
            <w:tcW w:w="8021" w:type="dxa"/>
            <w:vAlign w:val="center"/>
          </w:tcPr>
          <w:p>
            <w:pPr>
              <w:wordWrap/>
              <w:adjustRightInd/>
              <w:snapToGrid/>
              <w:spacing w:before="0" w:beforeAutospacing="0" w:after="0" w:afterAutospacing="0" w:line="300" w:lineRule="exact"/>
              <w:ind w:left="0" w:leftChars="0" w:right="0" w:firstLine="0" w:firstLineChars="0"/>
              <w:jc w:val="left"/>
              <w:textAlignment w:val="auto"/>
              <w:outlineLvl w:val="9"/>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数字城管未处理好造成超时的每次扣1分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，应急情况未及时处理造成恶劣后果的每次扣1分</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，造成二次派遣的每次扣1分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，重复发生件每次扣1分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。造成市级暗访、媒体扣分的，每次扣</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2</w:t>
            </w:r>
            <w:r>
              <w:rPr>
                <w:rFonts w:hint="eastAsia" w:ascii="Times New Roman" w:hAnsi="Times New Roman" w:eastAsia="仿宋_GB2312" w:cs="宋体"/>
                <w:color w:val="000000" w:themeColor="text1"/>
                <w:kern w:val="0"/>
                <w:sz w:val="20"/>
                <w:szCs w:val="21"/>
                <w14:textFill>
                  <w14:solidFill>
                    <w14:schemeClr w14:val="tx1"/>
                  </w14:solidFill>
                </w14:textFill>
              </w:rPr>
              <w:t>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1000元</w:t>
            </w:r>
            <w:r>
              <w:rPr>
                <w:rFonts w:hint="eastAsia" w:ascii="Times New Roman" w:hAnsi="Times New Roman" w:eastAsia="仿宋_GB2312" w:cs="宋体"/>
                <w:color w:val="000000" w:themeColor="text1"/>
                <w:kern w:val="0"/>
                <w:sz w:val="20"/>
                <w:szCs w:val="21"/>
                <w14:textFill>
                  <w14:solidFill>
                    <w14:schemeClr w14:val="tx1"/>
                  </w14:solidFill>
                </w14:textFill>
              </w:rPr>
              <w:t>。</w:t>
            </w: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信访每件扣2分，整改不及时加扣1分，扣款1000元，重复信访每次扣10分，扣款2000元。</w:t>
            </w:r>
          </w:p>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区级抄告每条扣0.5分，如不按要求整改扣2分，扣款1000元；市级抄告造成不良影响的扣3分，扣款5000元；</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附加分值</w:t>
            </w:r>
          </w:p>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10分</w:t>
            </w: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仿宋"/>
                <w:color w:val="000000" w:themeColor="text1"/>
                <w:sz w:val="21"/>
                <w:szCs w:val="21"/>
                <w:lang w:val="en-US" w:eastAsia="zh-CN"/>
                <w14:textFill>
                  <w14:solidFill>
                    <w14:schemeClr w14:val="tx1"/>
                  </w14:solidFill>
                </w14:textFill>
              </w:rPr>
              <w:t>根据以下情况酌情加分：</w:t>
            </w:r>
            <w:r>
              <w:rPr>
                <w:rFonts w:hint="eastAsia" w:ascii="Times New Roman" w:hAnsi="Times New Roman" w:eastAsia="仿宋_GB2312" w:cs="宋体"/>
                <w:color w:val="000000" w:themeColor="text1"/>
                <w:kern w:val="0"/>
                <w:sz w:val="21"/>
                <w:szCs w:val="21"/>
                <w:lang w:val="en-US" w:eastAsia="zh-CN"/>
                <w14:textFill>
                  <w14:solidFill>
                    <w14:schemeClr w14:val="tx1"/>
                  </w14:solidFill>
                </w14:textFill>
              </w:rPr>
              <w:t>圆满完成正常市政管网及泵站养护工作范围以外的领导交办任务的；采用先进管理办法、技术或机械设备，切实提高市政管网及泵站养护工作成效，受到相关部门肯定的；先进事迹受到相关部门表彰的；在重大活动中作出突出贡献的。</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3" w:type="dxa"/>
            <w:gridSpan w:val="2"/>
            <w:vAlign w:val="center"/>
          </w:tcPr>
          <w:p>
            <w:pPr>
              <w:spacing w:before="0" w:beforeAutospacing="0" w:after="0" w:afterAutospacing="0"/>
              <w:ind w:left="0" w:right="0"/>
              <w:jc w:val="center"/>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Times New Roman" w:cs="Times New Roman"/>
                <w:b/>
                <w:color w:val="000000" w:themeColor="text1"/>
                <w:sz w:val="22"/>
                <w:szCs w:val="22"/>
                <w14:textFill>
                  <w14:solidFill>
                    <w14:schemeClr w14:val="tx1"/>
                  </w14:solidFill>
                </w14:textFill>
              </w:rPr>
              <w:t>合   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92" w:type="dxa"/>
            <w:vAlign w:val="center"/>
          </w:tcPr>
          <w:p>
            <w:pPr>
              <w:spacing w:before="0" w:beforeAutospacing="0" w:after="0" w:afterAutospacing="0"/>
              <w:ind w:left="0" w:right="0"/>
              <w:jc w:val="center"/>
              <w:rPr>
                <w:rFonts w:hint="eastAsia" w:ascii="Times New Roman" w:hAnsi="Times New Roman" w:eastAsia="宋体" w:cs="Times New Roman"/>
                <w:b/>
                <w:color w:val="000000" w:themeColor="text1"/>
                <w:sz w:val="22"/>
                <w:szCs w:val="22"/>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说明</w:t>
            </w:r>
          </w:p>
        </w:tc>
        <w:tc>
          <w:tcPr>
            <w:tcW w:w="8021" w:type="dxa"/>
            <w:vAlign w:val="center"/>
          </w:tcPr>
          <w:p>
            <w:pPr>
              <w:spacing w:before="0" w:beforeAutospacing="0" w:after="0" w:afterAutospacing="0" w:line="300" w:lineRule="exact"/>
              <w:ind w:left="0" w:right="0"/>
              <w:rPr>
                <w:rFonts w:hint="default" w:ascii="Times New Roman" w:hAnsi="Times New Roman" w:eastAsia="仿宋_GB2312" w:cs="宋体"/>
                <w:color w:val="000000" w:themeColor="text1"/>
                <w:kern w:val="0"/>
                <w:sz w:val="20"/>
                <w:szCs w:val="21"/>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1、若每项扣分超过考核标准分数，不再扣分。2、管道因</w:t>
            </w:r>
            <w:r>
              <w:rPr>
                <w:rFonts w:hint="default" w:ascii="Times New Roman" w:hAnsi="Times New Roman" w:eastAsia="仿宋_GB2312" w:cs="宋体"/>
                <w:color w:val="000000" w:themeColor="text1"/>
                <w:kern w:val="0"/>
                <w:sz w:val="20"/>
                <w:szCs w:val="21"/>
                <w14:textFill>
                  <w14:solidFill>
                    <w14:schemeClr w14:val="tx1"/>
                  </w14:solidFill>
                </w14:textFill>
              </w:rPr>
              <w:t>结构原因堵塞及时上报的</w:t>
            </w:r>
            <w:r>
              <w:rPr>
                <w:rFonts w:hint="eastAsia" w:ascii="Times New Roman" w:hAnsi="Times New Roman" w:eastAsia="仿宋_GB2312" w:cs="宋体"/>
                <w:color w:val="000000" w:themeColor="text1"/>
                <w:kern w:val="0"/>
                <w:sz w:val="20"/>
                <w:szCs w:val="21"/>
                <w14:textFill>
                  <w14:solidFill>
                    <w14:schemeClr w14:val="tx1"/>
                  </w14:solidFill>
                </w14:textFill>
              </w:rPr>
              <w:t>不</w:t>
            </w:r>
            <w:r>
              <w:rPr>
                <w:rFonts w:hint="default" w:ascii="Times New Roman" w:hAnsi="Times New Roman" w:eastAsia="仿宋_GB2312" w:cs="宋体"/>
                <w:color w:val="000000" w:themeColor="text1"/>
                <w:kern w:val="0"/>
                <w:sz w:val="20"/>
                <w:szCs w:val="21"/>
                <w14:textFill>
                  <w14:solidFill>
                    <w14:schemeClr w14:val="tx1"/>
                  </w14:solidFill>
                </w14:textFill>
              </w:rPr>
              <w:t>纳入考核</w:t>
            </w:r>
            <w:r>
              <w:rPr>
                <w:rFonts w:hint="eastAsia" w:ascii="Times New Roman" w:hAnsi="Times New Roman" w:eastAsia="仿宋_GB2312" w:cs="宋体"/>
                <w:color w:val="000000" w:themeColor="text1"/>
                <w:kern w:val="0"/>
                <w:sz w:val="20"/>
                <w:szCs w:val="21"/>
                <w14:textFill>
                  <w14:solidFill>
                    <w14:schemeClr w14:val="tx1"/>
                  </w14:solidFill>
                </w14:textFill>
              </w:rPr>
              <w:t>。</w:t>
            </w:r>
          </w:p>
          <w:p>
            <w:pPr>
              <w:spacing w:before="0" w:beforeAutospacing="0" w:after="0" w:afterAutospacing="0"/>
              <w:ind w:left="0" w:right="0"/>
              <w:jc w:val="left"/>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3、一票否决：同一路段出现三个及以上的市政井盖缺失、管道积泥超80%以上，视为失管现象。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bl>
    <w:p>
      <w:pPr>
        <w:pStyle w:val="4"/>
        <w:rPr>
          <w:rFonts w:hint="eastAsia" w:ascii="仿宋" w:hAnsi="仿宋" w:eastAsia="仿宋" w:cs="仿宋"/>
          <w:color w:val="000000" w:themeColor="text1"/>
          <w:highlight w:val="none"/>
          <w:lang w:val="en-US" w:eastAsia="zh-CN"/>
          <w14:textFill>
            <w14:solidFill>
              <w14:schemeClr w14:val="tx1"/>
            </w14:solidFill>
          </w14:textFill>
        </w:rPr>
      </w:pPr>
    </w:p>
    <w:p>
      <w:pPr>
        <w:spacing w:line="360" w:lineRule="auto"/>
        <w:jc w:val="center"/>
        <w:outlineLvl w:val="0"/>
        <w:rPr>
          <w:rFonts w:hint="eastAsia" w:ascii="仿宋" w:hAnsi="仿宋" w:eastAsia="仿宋" w:cs="仿宋"/>
          <w:b/>
          <w:color w:val="000000" w:themeColor="text1"/>
          <w:sz w:val="24"/>
          <w:highlight w:val="none"/>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1" w:charSpace="0"/>
        </w:sectPr>
      </w:pPr>
    </w:p>
    <w:p>
      <w:pPr>
        <w:pStyle w:val="26"/>
        <w:spacing w:line="340" w:lineRule="exact"/>
        <w:ind w:left="0" w:leftChars="0" w:firstLine="0" w:firstLineChars="0"/>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36"/>
          <w:szCs w:val="36"/>
          <w:highlight w:val="none"/>
          <w:lang w:val="en-US" w:eastAsia="zh-CN"/>
          <w14:textFill>
            <w14:solidFill>
              <w14:schemeClr w14:val="tx1"/>
            </w14:solidFill>
          </w14:textFill>
        </w:rPr>
        <w:t>标项四：</w:t>
      </w:r>
      <w:r>
        <w:rPr>
          <w:rFonts w:hint="eastAsia" w:ascii="仿宋" w:hAnsi="仿宋" w:eastAsia="仿宋" w:cs="仿宋"/>
          <w:b/>
          <w:color w:val="000000" w:themeColor="text1"/>
          <w:sz w:val="24"/>
          <w:highlight w:val="none"/>
          <w:lang w:val="en-US" w:eastAsia="zh-CN"/>
          <w14:textFill>
            <w14:solidFill>
              <w14:schemeClr w14:val="tx1"/>
            </w14:solidFill>
          </w14:textFill>
        </w:rPr>
        <w:br w:type="textWrapping"/>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6"/>
          <w:szCs w:val="36"/>
          <w:highlight w:val="none"/>
          <w:lang w:val="en-US" w:eastAsia="zh-CN"/>
          <w14:textFill>
            <w14:solidFill>
              <w14:schemeClr w14:val="tx1"/>
            </w14:solidFill>
          </w14:textFill>
        </w:rPr>
        <w:t>雨水</w:t>
      </w:r>
      <w:r>
        <w:rPr>
          <w:rFonts w:hint="eastAsia" w:ascii="仿宋" w:hAnsi="仿宋" w:eastAsia="仿宋" w:cs="仿宋"/>
          <w:color w:val="000000" w:themeColor="text1"/>
          <w:sz w:val="36"/>
          <w:szCs w:val="36"/>
          <w:highlight w:val="none"/>
          <w14:textFill>
            <w14:solidFill>
              <w14:schemeClr w14:val="tx1"/>
            </w14:solidFill>
          </w14:textFill>
        </w:rPr>
        <w:t>管道汇总表</w:t>
      </w:r>
      <w:r>
        <w:rPr>
          <w:rFonts w:hint="eastAsia" w:ascii="仿宋" w:hAnsi="仿宋" w:eastAsia="仿宋" w:cs="仿宋"/>
          <w:color w:val="000000" w:themeColor="text1"/>
          <w:highlight w:val="none"/>
          <w14:textFill>
            <w14:solidFill>
              <w14:schemeClr w14:val="tx1"/>
            </w14:solidFill>
          </w14:textFill>
        </w:rPr>
        <w:br w:type="textWrapping"/>
      </w:r>
    </w:p>
    <w:tbl>
      <w:tblPr>
        <w:tblStyle w:val="63"/>
        <w:tblW w:w="5795" w:type="pct"/>
        <w:tblInd w:w="-1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
        <w:gridCol w:w="674"/>
        <w:gridCol w:w="929"/>
        <w:gridCol w:w="600"/>
        <w:gridCol w:w="570"/>
        <w:gridCol w:w="660"/>
        <w:gridCol w:w="630"/>
        <w:gridCol w:w="704"/>
        <w:gridCol w:w="585"/>
        <w:gridCol w:w="930"/>
        <w:gridCol w:w="525"/>
        <w:gridCol w:w="945"/>
        <w:gridCol w:w="570"/>
        <w:gridCol w:w="990"/>
        <w:gridCol w:w="555"/>
        <w:gridCol w:w="915"/>
        <w:gridCol w:w="525"/>
        <w:gridCol w:w="900"/>
        <w:gridCol w:w="570"/>
        <w:gridCol w:w="689"/>
        <w:gridCol w:w="734"/>
        <w:gridCol w:w="68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4339" w:type="pct"/>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4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4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D2000以上（含D2000）</w:t>
            </w:r>
          </w:p>
        </w:tc>
        <w:tc>
          <w:tcPr>
            <w:tcW w:w="9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雨水口（只）</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雨水排出口（个）</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箅子规格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运溪路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1661.37</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1720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华宁路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运溪路-道圣路               昌达路-宁桥大道               320国道-五洲路    </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468.7</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1010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66</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兴旺大道</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2560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115.4</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445</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2690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199</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泰宁路-东湖北路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东湖北路-杭机路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旺盛路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泰极路-东湖北路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万年路-泰极路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达与路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万年路-泰极路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荷禹路-双林港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2040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2870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210</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316</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宏达路南-宁桥大道</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宁桥大道-五洲路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1305</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72</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杭机路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宏达路-五洲路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新洲路-320国道</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新颜路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57</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107</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新纺路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宁丰路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112</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新洲路-五洲路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225</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D1800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113</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五洲路-同洲路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114</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尚志路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五洲路-昌达路北</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199</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453.6</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112</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277.6</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117</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运民路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长林路-丰林路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112</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长宁路-禾丰港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119</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五洲路-同洲路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156</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乾元北路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121</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121</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715.61</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东阳门弄</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402</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东湖北路-华宁路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456</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华宁路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康泰路-运溪路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27</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126</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道圣路</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东湖北路-华宁路</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砼/1000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486</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0"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w:t>
            </w:r>
          </w:p>
        </w:tc>
        <w:tc>
          <w:tcPr>
            <w:tcW w:w="28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五洲路-320国道</w:t>
            </w:r>
          </w:p>
        </w:tc>
        <w:tc>
          <w:tcPr>
            <w:tcW w:w="18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999.01</w:t>
            </w:r>
          </w:p>
        </w:tc>
        <w:tc>
          <w:tcPr>
            <w:tcW w:w="20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9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w:t>
            </w:r>
          </w:p>
        </w:tc>
        <w:tc>
          <w:tcPr>
            <w:tcW w:w="21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342.87</w:t>
            </w:r>
          </w:p>
        </w:tc>
        <w:tc>
          <w:tcPr>
            <w:tcW w:w="28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6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287.4</w:t>
            </w:r>
          </w:p>
        </w:tc>
        <w:tc>
          <w:tcPr>
            <w:tcW w:w="2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17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695.32</w:t>
            </w:r>
          </w:p>
        </w:tc>
        <w:tc>
          <w:tcPr>
            <w:tcW w:w="302"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9"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9"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0"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4"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1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w:t>
            </w:r>
          </w:p>
        </w:tc>
        <w:tc>
          <w:tcPr>
            <w:tcW w:w="22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101</w:t>
            </w:r>
          </w:p>
        </w:tc>
        <w:tc>
          <w:tcPr>
            <w:tcW w:w="211"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cs="宋体"/>
                <w:i w:val="0"/>
                <w:iCs w:val="0"/>
                <w:color w:val="000000" w:themeColor="text1"/>
                <w:sz w:val="15"/>
                <w:szCs w:val="15"/>
                <w:u w:val="none"/>
                <w:lang w:val="en-US" w:eastAsia="zh-CN"/>
                <w14:textFill>
                  <w14:solidFill>
                    <w14:schemeClr w14:val="tx1"/>
                  </w14:solidFill>
                </w14:textFill>
              </w:rPr>
              <w:t>合计</w:t>
            </w:r>
          </w:p>
        </w:tc>
        <w:tc>
          <w:tcPr>
            <w:tcW w:w="2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3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14302.08</w:t>
            </w:r>
          </w:p>
        </w:tc>
        <w:tc>
          <w:tcPr>
            <w:tcW w:w="39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6486.4</w:t>
            </w:r>
          </w:p>
        </w:tc>
        <w:tc>
          <w:tcPr>
            <w:tcW w:w="39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19017.87</w:t>
            </w:r>
          </w:p>
        </w:tc>
        <w:tc>
          <w:tcPr>
            <w:tcW w:w="44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9110.4</w:t>
            </w:r>
          </w:p>
        </w:tc>
        <w:tc>
          <w:tcPr>
            <w:tcW w:w="46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10928.13</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44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1995</w:t>
            </w:r>
          </w:p>
        </w:tc>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2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1390</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2335</w:t>
            </w:r>
          </w:p>
        </w:tc>
        <w:tc>
          <w:tcPr>
            <w:tcW w:w="21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bl>
    <w:p>
      <w:pPr>
        <w:pStyle w:val="26"/>
        <w:spacing w:line="340" w:lineRule="exact"/>
        <w:ind w:firstLine="0"/>
        <w:jc w:val="center"/>
        <w:rPr>
          <w:rFonts w:hint="eastAsia" w:ascii="仿宋" w:hAnsi="仿宋" w:eastAsia="仿宋" w:cs="仿宋"/>
          <w:color w:val="000000" w:themeColor="text1"/>
          <w:highlight w:val="none"/>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br w:type="page"/>
      </w:r>
    </w:p>
    <w:p>
      <w:pPr>
        <w:widowControl/>
        <w:jc w:val="center"/>
        <w:textAlignment w:val="center"/>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污水</w:t>
      </w:r>
      <w:r>
        <w:rPr>
          <w:rFonts w:hint="eastAsia" w:ascii="仿宋" w:hAnsi="仿宋" w:eastAsia="仿宋" w:cs="仿宋"/>
          <w:color w:val="000000" w:themeColor="text1"/>
          <w:sz w:val="36"/>
          <w:szCs w:val="36"/>
          <w:highlight w:val="none"/>
          <w14:textFill>
            <w14:solidFill>
              <w14:schemeClr w14:val="tx1"/>
            </w14:solidFill>
          </w14:textFill>
        </w:rPr>
        <w:t>管道汇总表</w:t>
      </w:r>
    </w:p>
    <w:tbl>
      <w:tblPr>
        <w:tblStyle w:val="63"/>
        <w:tblW w:w="16188" w:type="dxa"/>
        <w:tblInd w:w="-1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837"/>
        <w:gridCol w:w="950"/>
        <w:gridCol w:w="950"/>
        <w:gridCol w:w="925"/>
        <w:gridCol w:w="1088"/>
        <w:gridCol w:w="887"/>
        <w:gridCol w:w="913"/>
        <w:gridCol w:w="887"/>
        <w:gridCol w:w="938"/>
        <w:gridCol w:w="937"/>
        <w:gridCol w:w="938"/>
        <w:gridCol w:w="887"/>
        <w:gridCol w:w="988"/>
        <w:gridCol w:w="850"/>
        <w:gridCol w:w="1050"/>
        <w:gridCol w:w="775"/>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13763"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运溪路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1760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华宁路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运溪路-道圣路    昌达路-宁桥大道       </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兴旺大道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荷禹路-东湖北路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4680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泰宁路-东湖北路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东湖北路-杭机路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1130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87</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旺盛路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泰极路-东湖北路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万年路-泰极路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530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达与路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万年路-泰极路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荷禹路-双林港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2140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泰宁路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宏达路南-宁桥大道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万年路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宁桥大道-五洲路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塘宁路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杭机路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宏达路-五洲路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1080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红丰路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新丝路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新天路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新纺路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宁丰路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东洲路-新洲路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五洲路-同洲路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尚志路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五洲路-昌达路北</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124.2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315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116</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昌达路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117</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运民路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长林路-丰林路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同洲路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长宁路-禾丰港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119</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乾元支路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五洲路-同洲路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钢筋砼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乾元北路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五洲路-宏达路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703.75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宁丰路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五洲路-320国道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191.72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496.07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康信路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09省道-顺意路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1890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东阳门弄</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荷禹路-长宁路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砼/400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398</w:t>
            </w:r>
          </w:p>
        </w:tc>
        <w:tc>
          <w:tcPr>
            <w:tcW w:w="938" w:type="dxa"/>
            <w:tcBorders>
              <w:top w:val="nil"/>
              <w:left w:val="nil"/>
              <w:bottom w:val="nil"/>
              <w:right w:val="nil"/>
            </w:tcBorders>
            <w:shd w:val="clear" w:color="auto" w:fill="auto"/>
            <w:noWrap/>
            <w:vAlign w:val="bottom"/>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东湖北路-华宁路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127</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华宁路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康泰路-运溪路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445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w:t>
            </w:r>
          </w:p>
        </w:tc>
        <w:tc>
          <w:tcPr>
            <w:tcW w:w="8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道圣路</w:t>
            </w:r>
          </w:p>
        </w:tc>
        <w:tc>
          <w:tcPr>
            <w:tcW w:w="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东湖北路-华宁路</w:t>
            </w:r>
          </w:p>
        </w:tc>
        <w:tc>
          <w:tcPr>
            <w:tcW w:w="9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砼/800</w:t>
            </w:r>
          </w:p>
        </w:tc>
        <w:tc>
          <w:tcPr>
            <w:tcW w:w="9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514</w:t>
            </w:r>
          </w:p>
        </w:tc>
        <w:tc>
          <w:tcPr>
            <w:tcW w:w="93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14459.82</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25944.02</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2987</w:t>
            </w:r>
          </w:p>
        </w:tc>
        <w:tc>
          <w:tcPr>
            <w:tcW w:w="18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375</w:t>
            </w:r>
          </w:p>
        </w:tc>
        <w:tc>
          <w:tcPr>
            <w:tcW w:w="18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1090</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1414</w:t>
            </w:r>
          </w:p>
        </w:tc>
      </w:tr>
    </w:tbl>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br w:type="page"/>
      </w:r>
    </w:p>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t>泵站汇总表</w:t>
      </w:r>
      <w:r>
        <w:rPr>
          <w:rFonts w:hint="eastAsia" w:ascii="仿宋" w:hAnsi="仿宋" w:eastAsia="仿宋" w:cs="仿宋"/>
          <w:color w:val="000000" w:themeColor="text1"/>
          <w:kern w:val="0"/>
          <w:sz w:val="28"/>
          <w:szCs w:val="20"/>
          <w:highlight w:val="none"/>
          <w14:textFill>
            <w14:solidFill>
              <w14:schemeClr w14:val="tx1"/>
            </w14:solidFill>
          </w14:textFill>
        </w:rPr>
        <w:br w:type="textWrapping"/>
      </w:r>
    </w:p>
    <w:tbl>
      <w:tblPr>
        <w:tblStyle w:val="63"/>
        <w:tblW w:w="13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406"/>
        <w:gridCol w:w="1811"/>
        <w:gridCol w:w="912"/>
        <w:gridCol w:w="912"/>
        <w:gridCol w:w="2065"/>
        <w:gridCol w:w="912"/>
        <w:gridCol w:w="1722"/>
        <w:gridCol w:w="912"/>
        <w:gridCol w:w="912"/>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序号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泵站名称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泵站位置</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 xml:space="preserve">有无人员值守 </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设施量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型号/品牌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排水量</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功率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建筑面积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占地面积</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宏达路泵站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宏达路16号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干回转式固液分离机（型号通环/1200）、南方泵业型号：150WQ240-7-7.5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240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功率7.5KW、流量：240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/h、扬程：25/米</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245</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1376</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塘宁路泵站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塘宁路五洲路北面20米西侧90号灯杆</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2用2备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西子</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200m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37kw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90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1260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华宁无人泵站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华宁路与运溪路口南面10米东侧</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海斯特</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5.5kw.7.5kw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32</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滩里出水泵站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宁桥大道华宁路口</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12</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南横港社区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坞</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埌</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小区62号居民家西北角</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40m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11</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工农社区1号泵站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已拆除（水泵去处：公司仓库）</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18</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工农社区2号泵站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工农小区内</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18</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工农社区3号泵站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工农小区内</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18</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工农社区4号泵站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工农小区内</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南方泵业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7.5kw</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18</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无</w:t>
            </w:r>
          </w:p>
        </w:tc>
      </w:tr>
    </w:tbl>
    <w:p>
      <w:pPr>
        <w:widowControl/>
        <w:jc w:val="center"/>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val="en-US" w:eastAsia="zh-CN"/>
          <w14:textFill>
            <w14:solidFill>
              <w14:schemeClr w14:val="tx1"/>
            </w14:solidFill>
          </w14:textFill>
        </w:rPr>
        <w:t>东湖街道</w:t>
      </w:r>
      <w:r>
        <w:rPr>
          <w:rFonts w:hint="eastAsia" w:ascii="仿宋" w:hAnsi="仿宋" w:eastAsia="仿宋" w:cs="仿宋"/>
          <w:b/>
          <w:bCs/>
          <w:color w:val="000000" w:themeColor="text1"/>
          <w:sz w:val="24"/>
          <w:highlight w:val="none"/>
          <w14:textFill>
            <w14:solidFill>
              <w14:schemeClr w14:val="tx1"/>
            </w14:solidFill>
          </w14:textFill>
        </w:rPr>
        <w:t>管道养护工作内容：</w:t>
      </w: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w:t>
      </w:r>
      <w:r>
        <w:rPr>
          <w:rFonts w:hint="eastAsia" w:ascii="仿宋" w:hAnsi="仿宋" w:eastAsia="仿宋" w:cs="仿宋"/>
          <w:color w:val="000000" w:themeColor="text1"/>
          <w:sz w:val="24"/>
          <w:highlight w:val="none"/>
          <w:lang w:eastAsia="zh-CN"/>
          <w14:textFill>
            <w14:solidFill>
              <w14:schemeClr w14:val="tx1"/>
            </w14:solidFill>
          </w14:textFill>
        </w:rPr>
        <w:t>有问题段</w:t>
      </w:r>
      <w:r>
        <w:rPr>
          <w:rFonts w:hint="eastAsia" w:ascii="仿宋" w:hAnsi="仿宋" w:eastAsia="仿宋" w:cs="仿宋"/>
          <w:color w:val="000000" w:themeColor="text1"/>
          <w:sz w:val="24"/>
          <w:highlight w:val="none"/>
          <w:lang w:val="en-US" w:eastAsia="zh-CN"/>
          <w14:textFill>
            <w14:solidFill>
              <w14:schemeClr w14:val="tx1"/>
            </w14:solidFill>
          </w14:textFill>
        </w:rPr>
        <w:t>CCTV检测配合、每年完成1/3的雨水管网CCTV检测工作并提供检测报告、</w:t>
      </w:r>
      <w:r>
        <w:rPr>
          <w:rFonts w:hint="eastAsia" w:ascii="仿宋" w:hAnsi="仿宋" w:eastAsia="仿宋" w:cs="仿宋"/>
          <w:color w:val="000000" w:themeColor="text1"/>
          <w:sz w:val="24"/>
          <w:highlight w:val="none"/>
          <w14:textFill>
            <w14:solidFill>
              <w14:schemeClr w14:val="tx1"/>
            </w14:solidFill>
          </w14:textFill>
        </w:rPr>
        <w:t>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w:t>
      </w:r>
    </w:p>
    <w:p>
      <w:pPr>
        <w:tabs>
          <w:tab w:val="left" w:pos="7260"/>
        </w:tabs>
        <w:spacing w:line="440" w:lineRule="exact"/>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三、服务要求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1、投标人应具有市政管道设施养护所需</w:t>
      </w:r>
      <w:r>
        <w:rPr>
          <w:rFonts w:hint="eastAsia" w:ascii="仿宋" w:hAnsi="仿宋" w:eastAsia="仿宋" w:cs="仿宋"/>
          <w:color w:val="000000" w:themeColor="text1"/>
          <w:sz w:val="24"/>
          <w:highlight w:val="none"/>
          <w:lang w:eastAsia="zh-CN"/>
          <w14:textFill>
            <w14:solidFill>
              <w14:schemeClr w14:val="tx1"/>
            </w14:solidFill>
          </w14:textFill>
        </w:rPr>
        <w:t>临平区</w:t>
      </w:r>
      <w:r>
        <w:rPr>
          <w:rFonts w:hint="eastAsia" w:ascii="仿宋" w:hAnsi="仿宋" w:eastAsia="仿宋" w:cs="仿宋"/>
          <w:color w:val="000000" w:themeColor="text1"/>
          <w:sz w:val="24"/>
          <w:highlight w:val="none"/>
          <w14:textFill>
            <w14:solidFill>
              <w14:schemeClr w14:val="tx1"/>
            </w14:solidFill>
          </w14:textFill>
        </w:rPr>
        <w:t>内的固定办公与仓库场所。</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2、养护期内，中标人必须成立养护班组平均每次养护专业人员不得少于</w:t>
      </w:r>
      <w:r>
        <w:rPr>
          <w:rFonts w:hint="eastAsia" w:ascii="仿宋" w:hAnsi="仿宋" w:eastAsia="仿宋" w:cs="仿宋"/>
          <w:color w:val="000000" w:themeColor="text1"/>
          <w:sz w:val="24"/>
          <w:highlight w:val="none"/>
          <w:u w:val="single"/>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人。</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sectPr>
          <w:pgSz w:w="16838" w:h="11905" w:orient="landscape"/>
          <w:pgMar w:top="1814" w:right="1474" w:bottom="1814" w:left="1474" w:header="851" w:footer="850" w:gutter="0"/>
          <w:pgBorders>
            <w:top w:val="none" w:sz="0" w:space="0"/>
            <w:left w:val="none" w:sz="0" w:space="0"/>
            <w:bottom w:val="none" w:sz="0" w:space="0"/>
            <w:right w:val="none" w:sz="0" w:space="0"/>
          </w:pgBorders>
          <w:cols w:space="0" w:num="1"/>
          <w:rtlGutter w:val="0"/>
          <w:docGrid w:linePitch="1" w:charSpace="0"/>
        </w:sectPr>
      </w:pPr>
      <w:r>
        <w:rPr>
          <w:rFonts w:hint="eastAsia" w:ascii="仿宋" w:hAnsi="仿宋" w:eastAsia="仿宋" w:cs="仿宋"/>
          <w:color w:val="000000" w:themeColor="text1"/>
          <w:sz w:val="24"/>
          <w:highlight w:val="none"/>
          <w14:textFill>
            <w14:solidFill>
              <w14:schemeClr w14:val="tx1"/>
            </w14:solidFill>
          </w14:textFill>
        </w:rPr>
        <w:t>3、投标人中标后，必须有管道养护车辆购置发票或租赁合同以确保该处管道养护车辆使用得到保证（包括运行费用、保险等）</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均由中标人承担。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4、中标人根据养护考核办法配合甲方定期对养护质量进行考核，基本定为每月一小考，每个季度一大考。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5、在养护过程中，发包人若在该区域有新接收的市政管道设施，原养护范围内市政管道设施改造而增加的管道，承包人必须无条件养护，费用不再增加。</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6、养护期限内，明确承包人只有养护权，没有管理权，市政管道设施管理由公共服务中心全权管理。</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标人中标后，发包人与中标人签订安全生产责任书及消防安全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8、施工养护期间，对于原市政管道设施存在的问题，承包人负有担负调查，分析原因和提出整改方案的义务，具体更换或维修由发包人统一安排。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9、养护期内养护用水、用电的费用由中标单位承担，列入措施项目费用表。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10、养护期内不论自然环境（含气候）发生变化还是其它人为（含车辆）因素而导致的市政管道设施破坏，均由中标人负责维修，其费用由招标人承担。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12、在养护期限内产生的各种费用（运输、装卸、堆放、场地租用费及有关费用）由投标单位负责，列入措施项目费用表。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3、 养护管理期内，若发包人认为部分设施需改造，其材料及设施购置费用均由发包人负责，承包人须承担对单次改造人工、机械等其他费用在3000元以内的零星改造人机等费用，若人机等费用超过3000元，则所有改造费用由发包人全额承担，承包人须无条件服从发包人的改造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14、如所有投标报价均偏离招标人的设想范围较大时，为招标人不能接受的，则招标人有权否决所有投标。</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15、投标人应认真仔细地参加现场踏勘。</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16、投标人需承诺评标内的设施设备用于本项目使用，另需准备55KW发电机1台、4寸汽油泵1台（排水量80m³/h以上）、4寸水泵2台（排水量80m³/h以上）6寸水泵2台（排水量100m³/h以上）、8寸水泵1台（排水量160m³/h以上）及配套水带100米作于应急处置设备。      </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中标人必须做好相关工作人员安全，文明的教育交底工作，交通安全、用电安全尤其是如何避免养护中有毒气体的侵害，并为相关人员缴纳给类保险（养老，个人伤亡事故险等），日常养护工人禁止下井作业，如确实需要下井必须有城管中心的书面审批表，同意后严格按照《有限空间作业规程》及杭州市临平区有限空间作业安全专项整治实施方案等相关规定方可下井，如发生安全意外事故，一切责任由中标单位负责。</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19、养护单位必须做到应急设备一个季度演练一次，保证设备的正常使用，若该季度内经常使用，招标人可根据工作情况取消演练。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养护单位若被发现数字城管及市区级抄告等不及时导致扣分，应急响应不及时，污染源处置不恰当，每次罚款2000元，累计三次以上取消该年度的养护评优资格，养护期内，招标人有权制定处罚细则，对养护单位管养不力的情况采取相应的处罚措施和罚款，养护单位应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管道养护巡查每周至少三次建立巡查台账，每次至少两个人，交通工具视具体情况而定，鼓励自行车或步行为主。巡查内容包括满溢、积水、井盖缺损错误、管道塌陷、违章占压、违章排放、私自接管、偷排以及影响市政管道正常运行的工程施工等情况并及时上报甲方并对违规内容报执法部门进行处置。若巡查不到位，造成不良影响的，每次罚款2000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管道养护单位若发生养护不到位（养护项目见工程量清单及后续根据开发区道路建设新增路段管网），造成道路、河道污染等事故，赔偿责任由养护单位负责，在企业、饭店、小区聚集地带已达到养护次数，但仍造成管道堵塞、积水，养护单位应无偿继续养护，直至事故排除为止。</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23、应急事故、污染源调查所需的人工、材料、设备都已包含在技术措施费用里面，养护单位必须无条件的配合招标人的工作安排。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24、养护人员需统一服装，并有相应上岗证，在道路上养护时，需做好用电安全、交通安全维护，如有需要须经交警部门审批后方可实施。</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25、防汛、抗台、抗雪等应急预案及措施，并根据甲方要求及时完成各项应急任务；</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26、对养护范围内产生的积水点进行应急处置，保障通行安全并查明原因上报。</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四、其他要求</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按招标人的招标文件、临东湖办〔2023〕61号文件—《东湖街道市政管网及泵站养护考核评分细则》及其它有关规定、技术标准执行。月度考核成绩由日常检查和相关部门抄告问题组成，季度考核成绩为月度综合分数占80%，季度考核成绩占20%，年度考核成绩为年终考核占20%，各季度综合成绩占80%，其中养护未达8个月的，不具备评优资格</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2、考核结果分为优秀、合格和不合格三档。考核得分按照100分计算，在85分以上（含）为优秀；75分（含）至85分为合格；75分以下为不合格。其中考核成绩评定为不合格等次分为三种：年度考核得分在75分以下、季度考核得分累计2次（含）以上在75分以下、全年月考核得分累计4次（含）以上在75分以下。</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3、招标人根据考核结果支付给承包方养护费用：</w:t>
      </w:r>
      <w:r>
        <w:rPr>
          <w:rFonts w:hint="eastAsia" w:ascii="仿宋" w:hAnsi="仿宋" w:eastAsia="仿宋" w:cs="仿宋"/>
          <w:color w:val="000000" w:themeColor="text1"/>
          <w:sz w:val="24"/>
          <w:highlight w:val="none"/>
          <w14:textFill>
            <w14:solidFill>
              <w14:schemeClr w14:val="tx1"/>
            </w14:solidFill>
          </w14:textFill>
        </w:rPr>
        <w:t>日常养护费</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一般养护期限为三个月（季度）支付一次日常养护款。待完成移交并合同签署生效后，养护企业进场养护90天后，经采购人对养护进行考核，采购人向中标单位支付首付</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0%的日常养护费，以后每季度经采购人考核后，每次支付10%的当季日常养护费，直至所付日常养护费的</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0%止，剩余</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0%日常养护费在合同期满，经</w:t>
      </w:r>
      <w:r>
        <w:rPr>
          <w:rFonts w:hint="eastAsia" w:ascii="仿宋" w:hAnsi="仿宋" w:eastAsia="仿宋" w:cs="仿宋"/>
          <w:color w:val="000000" w:themeColor="text1"/>
          <w:sz w:val="24"/>
          <w:highlight w:val="none"/>
          <w:lang w:eastAsia="zh-CN"/>
          <w14:textFill>
            <w14:solidFill>
              <w14:schemeClr w14:val="tx1"/>
            </w14:solidFill>
          </w14:textFill>
        </w:rPr>
        <w:t>总</w:t>
      </w:r>
      <w:r>
        <w:rPr>
          <w:rFonts w:hint="eastAsia" w:ascii="仿宋" w:hAnsi="仿宋" w:eastAsia="仿宋" w:cs="仿宋"/>
          <w:color w:val="000000" w:themeColor="text1"/>
          <w:sz w:val="24"/>
          <w:highlight w:val="none"/>
          <w14:textFill>
            <w14:solidFill>
              <w14:schemeClr w14:val="tx1"/>
            </w14:solidFill>
          </w14:textFill>
        </w:rPr>
        <w:t>考核验收合格后30日内付清。</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2"/>
          <w:highlight w:val="none"/>
          <w14:textFill>
            <w14:solidFill>
              <w14:schemeClr w14:val="tx1"/>
            </w14:solidFill>
          </w14:textFill>
        </w:rPr>
        <w:t>、合同期限以时间为周期节点，招标养护时间到期，本项目合同期限结束。</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5</w:t>
      </w:r>
      <w:r>
        <w:rPr>
          <w:rFonts w:hint="eastAsia" w:ascii="仿宋" w:hAnsi="仿宋" w:eastAsia="仿宋" w:cs="仿宋"/>
          <w:color w:val="000000" w:themeColor="text1"/>
          <w:kern w:val="2"/>
          <w:sz w:val="24"/>
          <w:szCs w:val="22"/>
          <w:highlight w:val="none"/>
          <w14:textFill>
            <w14:solidFill>
              <w14:schemeClr w14:val="tx1"/>
            </w14:solidFill>
          </w14:textFill>
        </w:rPr>
        <w:t>、如中标单位出现下列情况的，招标人有权取消中标人的中标资格或终止合同并不作任何补偿：</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（1）中标单位无正当理由不接受甲方下达的任务书，或收到任务书后无正当理由三日内未动工的。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（2）工程完工但还在养护期内而擅自交付使用的。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（3）工程完工经甲方验收后认定为不合格，但中标单位未予整改或整改不力的。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6</w:t>
      </w:r>
      <w:r>
        <w:rPr>
          <w:rFonts w:hint="eastAsia" w:ascii="仿宋" w:hAnsi="仿宋" w:eastAsia="仿宋" w:cs="仿宋"/>
          <w:color w:val="000000" w:themeColor="text1"/>
          <w:kern w:val="2"/>
          <w:sz w:val="24"/>
          <w:szCs w:val="22"/>
          <w:highlight w:val="none"/>
          <w14:textFill>
            <w14:solidFill>
              <w14:schemeClr w14:val="tx1"/>
            </w14:solidFill>
          </w14:textFill>
        </w:rPr>
        <w:t>、本招标文件未尽事宜按养护质量管理标准、本项目考核评分细则。</w:t>
      </w:r>
    </w:p>
    <w:p>
      <w:pPr>
        <w:pStyle w:val="35"/>
        <w:tabs>
          <w:tab w:val="left" w:pos="4830"/>
        </w:tabs>
        <w:adjustRightInd w:val="0"/>
        <w:snapToGrid w:val="0"/>
        <w:spacing w:line="360" w:lineRule="auto"/>
        <w:ind w:firstLine="590" w:firstLineChars="24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五、转让和分包</w:t>
      </w:r>
    </w:p>
    <w:p>
      <w:pPr>
        <w:pStyle w:val="35"/>
        <w:tabs>
          <w:tab w:val="left" w:pos="4830"/>
        </w:tabs>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本项目不允许转包或分包，若中标人转包或变相转包其应履行的合同义务，采购单位有权终止合同并没收全部</w:t>
      </w:r>
      <w:r>
        <w:rPr>
          <w:rFonts w:hint="eastAsia" w:ascii="仿宋" w:hAnsi="仿宋" w:eastAsia="仿宋" w:cs="仿宋"/>
          <w:color w:val="000000" w:themeColor="text1"/>
          <w:sz w:val="24"/>
          <w:szCs w:val="24"/>
          <w:highlight w:val="none"/>
          <w:lang w:eastAsia="zh-CN"/>
          <w14:textFill>
            <w14:solidFill>
              <w14:schemeClr w14:val="tx1"/>
            </w14:solidFill>
          </w14:textFill>
        </w:rPr>
        <w:t>安全保证金</w:t>
      </w:r>
      <w:r>
        <w:rPr>
          <w:rFonts w:hint="eastAsia" w:ascii="仿宋" w:hAnsi="仿宋" w:eastAsia="仿宋" w:cs="仿宋"/>
          <w:color w:val="000000" w:themeColor="text1"/>
          <w:sz w:val="24"/>
          <w:szCs w:val="24"/>
          <w:highlight w:val="none"/>
          <w14:textFill>
            <w14:solidFill>
              <w14:schemeClr w14:val="tx1"/>
            </w14:solidFill>
          </w14:textFill>
        </w:rPr>
        <w:t>，或者扣除合同总价的10%作为违约金。</w:t>
      </w:r>
    </w:p>
    <w:p>
      <w:pPr>
        <w:pStyle w:val="35"/>
        <w:tabs>
          <w:tab w:val="left" w:pos="4830"/>
        </w:tabs>
        <w:adjustRightInd w:val="0"/>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合同服务期</w:t>
      </w:r>
    </w:p>
    <w:p>
      <w:pPr>
        <w:adjustRightInd w:val="0"/>
        <w:snapToGrid w:val="0"/>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14:textFill>
            <w14:solidFill>
              <w14:schemeClr w14:val="tx1"/>
            </w14:solidFill>
          </w14:textFill>
        </w:rPr>
        <w:t>合同签订后立即开展工作，并按要求完成所有工作。</w:t>
      </w:r>
    </w:p>
    <w:p>
      <w:pPr>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合同期内，供应商能严格履行合同且通过采购人的考核。</w:t>
      </w:r>
    </w:p>
    <w:p>
      <w:pPr>
        <w:adjustRightInd w:val="0"/>
        <w:snapToGrid w:val="0"/>
        <w:spacing w:line="360" w:lineRule="auto"/>
        <w:ind w:firstLine="482" w:firstLineChars="200"/>
        <w:rPr>
          <w:rFonts w:hint="eastAsia" w:ascii="仿宋" w:hAnsi="仿宋" w:eastAsia="仿宋" w:cs="仿宋"/>
          <w:b/>
          <w:snapToGrid w:val="0"/>
          <w:color w:val="000000" w:themeColor="text1"/>
          <w:kern w:val="0"/>
          <w:sz w:val="24"/>
          <w:highlight w:val="none"/>
          <w14:textFill>
            <w14:solidFill>
              <w14:schemeClr w14:val="tx1"/>
            </w14:solidFill>
          </w14:textFill>
        </w:rPr>
      </w:pPr>
      <w:r>
        <w:rPr>
          <w:rFonts w:hint="eastAsia" w:ascii="仿宋" w:hAnsi="仿宋" w:eastAsia="仿宋" w:cs="仿宋"/>
          <w:b/>
          <w:snapToGrid w:val="0"/>
          <w:color w:val="000000" w:themeColor="text1"/>
          <w:kern w:val="0"/>
          <w:sz w:val="24"/>
          <w:highlight w:val="none"/>
          <w14:textFill>
            <w14:solidFill>
              <w14:schemeClr w14:val="tx1"/>
            </w14:solidFill>
          </w14:textFill>
        </w:rPr>
        <w:t>七、税费</w:t>
      </w:r>
    </w:p>
    <w:p>
      <w:pPr>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本合同执行中相关乙方的一切税费均由乙方负担。</w:t>
      </w:r>
    </w:p>
    <w:p>
      <w:pPr>
        <w:pStyle w:val="35"/>
        <w:adjustRightInd w:val="0"/>
        <w:snapToGrid w:val="0"/>
        <w:spacing w:line="360" w:lineRule="auto"/>
        <w:ind w:firstLine="477" w:firstLineChars="198"/>
        <w:rPr>
          <w:rFonts w:hint="eastAsia" w:ascii="仿宋" w:hAnsi="仿宋" w:eastAsia="仿宋" w:cs="仿宋"/>
          <w:b/>
          <w:snapToGrid w:val="0"/>
          <w:color w:val="000000" w:themeColor="text1"/>
          <w:sz w:val="24"/>
          <w:szCs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八、质量保证及后续服务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九、养护质量标准及考核评分细则、养护质量标准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1、管道养护</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DN600及以下污水管道每年疏通不少于1次；窨井每年清淤泥不少于2次，；DN600以上管道一年检测淤泥深度2次；雨水管网管径≤D300每年疏通（清掏）8次，D300&lt;管径≤D600每年疏通（清掏）6次，D600&lt;管径≤D1000每年疏通（清掏）4次，D1000&lt;管径≤D1500每年疏通（清掏）2次，管径&gt;D1500每年疏通（清掏）1次，雨水口清掏次数每年12次；倒虹管启闭机，每半年一次维护保养</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2、综合管理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（1）管理机构健全，管理人员配备合理。各项工作有明确的责任人。管理制度完备，执行有效。</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（2）修复各项规章制度健全。贯彻措施得力，定期监督检查，每月有修复工作完整的书面记录和相应台帐。中标单位进场后建立养护计划报甲方确认，后期未按计划养护造成的损失由投标人承担。</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（3）具有良好的质量形象，良好的视觉形象和文明的员工形象；确立自身的产品品牌标志，并全面恰当的使用。</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（4）养护人员等应持证上岗。作业现场必须按要求做好围护警示工作，作业人员需穿着公司统一工作装，夜间作业必须穿戴反光背心。</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（5）高级管理人员应具备中专以上文化程度。</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（6）安全等各项业务培训制度完善，并得到有效实施。上岗人员培训合格率达100%。</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3、考核评分细则</w:t>
      </w:r>
    </w:p>
    <w:p>
      <w:pPr>
        <w:widowControl w:val="0"/>
        <w:wordWrap/>
        <w:adjustRightInd/>
        <w:snapToGrid/>
        <w:spacing w:line="540" w:lineRule="exact"/>
        <w:ind w:left="0" w:leftChars="0" w:right="0" w:firstLine="0" w:firstLineChars="0"/>
        <w:jc w:val="center"/>
        <w:textAlignment w:val="auto"/>
        <w:outlineLvl w:val="9"/>
        <w:rPr>
          <w:rFonts w:hint="eastAsia" w:ascii="仿宋" w:hAnsi="仿宋" w:eastAsia="仿宋" w:cs="仿宋"/>
          <w:color w:val="000000" w:themeColor="text1"/>
          <w:sz w:val="40"/>
          <w:szCs w:val="40"/>
          <w:highlight w:val="none"/>
          <w:lang w:val="zh-TW"/>
          <w14:textFill>
            <w14:solidFill>
              <w14:schemeClr w14:val="tx1"/>
            </w14:solidFill>
          </w14:textFill>
        </w:rPr>
      </w:pPr>
      <w:r>
        <w:rPr>
          <w:rFonts w:hint="eastAsia" w:ascii="Times New Roman" w:hAnsi="Times New Roman" w:eastAsia="方正小标宋简体" w:cs="方正小标宋简体"/>
          <w:color w:val="000000" w:themeColor="text1"/>
          <w:sz w:val="40"/>
          <w:szCs w:val="40"/>
          <w:lang w:val="en-US" w:eastAsia="zh-CN"/>
          <w14:textFill>
            <w14:solidFill>
              <w14:schemeClr w14:val="tx1"/>
            </w14:solidFill>
          </w14:textFill>
        </w:rPr>
        <w:t>东湖街道市政管网及泵站养护考核评分细则</w:t>
      </w:r>
    </w:p>
    <w:p>
      <w:pPr>
        <w:widowControl w:val="0"/>
        <w:wordWrap/>
        <w:adjustRightInd/>
        <w:snapToGrid/>
        <w:spacing w:line="570" w:lineRule="exact"/>
        <w:ind w:left="0" w:leftChars="0" w:right="0" w:firstLine="0" w:firstLineChars="0"/>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考核对象：         考核</w:t>
      </w:r>
      <w:r>
        <w:rPr>
          <w:rFonts w:hint="eastAsia" w:ascii="仿宋" w:hAnsi="仿宋" w:eastAsia="仿宋" w:cs="仿宋"/>
          <w:b/>
          <w:color w:val="000000" w:themeColor="text1"/>
          <w:sz w:val="24"/>
          <w:highlight w:val="none"/>
          <w:lang w:eastAsia="zh-CN"/>
          <w14:textFill>
            <w14:solidFill>
              <w14:schemeClr w14:val="tx1"/>
            </w14:solidFill>
          </w14:textFill>
        </w:rPr>
        <w:t>标段</w:t>
      </w:r>
      <w:r>
        <w:rPr>
          <w:rFonts w:hint="eastAsia" w:ascii="仿宋" w:hAnsi="仿宋" w:eastAsia="仿宋" w:cs="仿宋"/>
          <w:b/>
          <w:color w:val="000000" w:themeColor="text1"/>
          <w:sz w:val="24"/>
          <w:highlight w:val="none"/>
          <w14:textFill>
            <w14:solidFill>
              <w14:schemeClr w14:val="tx1"/>
            </w14:solidFill>
          </w14:textFill>
        </w:rPr>
        <w:t xml:space="preserve">：          考核时间：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考评人员：</w:t>
      </w:r>
    </w:p>
    <w:tbl>
      <w:tblPr>
        <w:tblStyle w:val="63"/>
        <w:tblW w:w="9258"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02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考核内 容</w:t>
            </w:r>
          </w:p>
        </w:tc>
        <w:tc>
          <w:tcPr>
            <w:tcW w:w="8021"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评分标准</w:t>
            </w:r>
          </w:p>
        </w:tc>
        <w:tc>
          <w:tcPr>
            <w:tcW w:w="645"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管理制度</w:t>
            </w:r>
          </w:p>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项目部人员组成、养护工人、专职巡查员、设备配备是否满足投标文件要求。不符合要求的每次扣5分扣款1000元。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养护计划：编制养护总进度计划、当月工作总结、下月进度计划，不报每次扣5分扣款1000元。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具有养护范围内的管道线路图纸，要求标有管径、管材、长度，图纸更新及时、准确。不符合要求的每处扣2分扣款500元。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有泵站运行台帐、巡查记录台账、工作照片存档，不符合要求的每次扣5分扣款500元。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综合管理</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55分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雨、污水检查井、雨水篦子及雨、污水管道应保持畅通，雨、污水检查井、雨水篦子和雨、污水管道积泥不超过20%，不符合要求每次扣5分扣款500元。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路面无积水，无污水满溢。每发现一次扣5分扣款500元。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检查井井室开裂破损，安全网挂钩锈蚀，破损每处扣1分扣款100元，无安全网每处扣5分扣款500元 。</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管道作业人员应具备相应资质，管道养护作业记录真实、完整。管道作业人员不具备相应资质的每人扣2 分扣款200元，记录不及时的每次扣1 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五水共治河道排出口，企业接入市政管网排出口巡查、及时、真实，每天做好各个项目的记录工作。少一项扣l 分扣款200元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养护进度完成情况：及时完成上报的计划工程量，未完成的扣5分，扣款500元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养护安全施工情况：养护时设置相应的交通标志牌，同时避免有毒气体的危害，泵站安全管理，发现安全隐患未及时整改的扣10分扣款10000元。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养护环保卫生情况：养护后垃圾、淤泥清理及时，避免路面发生污染，及时恢复干净，发现一处卫生污染扣1分扣款100元。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应急事故处理情况：及时配合业主单位做好应急事故的处理，排查污染源的原因，处理不妥当、不及时按情况扣5分扣款5000元。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泵站养护情况：绿化、电气设施、启闭机、污水泵及起重设备、泵站总体设备保养完好。保养不到位发现一处扣1分扣款200元；</w:t>
            </w:r>
            <w:r>
              <w:rPr>
                <w:rFonts w:hint="eastAsia" w:ascii="Times New Roman" w:hAnsi="Times New Roman" w:eastAsia="仿宋_GB2312" w:cs="宋体"/>
                <w:color w:val="000000" w:themeColor="text1"/>
                <w:kern w:val="0"/>
                <w:sz w:val="20"/>
                <w:szCs w:val="20"/>
                <w:lang w:val="en-US" w:eastAsia="zh-CN" w:bidi="ar-SA"/>
                <w14:textFill>
                  <w14:solidFill>
                    <w14:schemeClr w14:val="tx1"/>
                  </w14:solidFill>
                </w14:textFill>
              </w:rPr>
              <w:t>泵站内放置与甲方无关设施物资发现一次扣5000元。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相关部门抄告</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20分</w:t>
            </w:r>
          </w:p>
        </w:tc>
        <w:tc>
          <w:tcPr>
            <w:tcW w:w="8021" w:type="dxa"/>
            <w:vAlign w:val="center"/>
          </w:tcPr>
          <w:p>
            <w:pPr>
              <w:wordWrap/>
              <w:adjustRightInd/>
              <w:snapToGrid/>
              <w:spacing w:before="0" w:beforeAutospacing="0" w:after="0" w:afterAutospacing="0" w:line="300" w:lineRule="exact"/>
              <w:ind w:left="0" w:leftChars="0" w:right="0" w:firstLine="0" w:firstLineChars="0"/>
              <w:jc w:val="left"/>
              <w:textAlignment w:val="auto"/>
              <w:outlineLvl w:val="9"/>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数字城管未处理好造成超时的每次扣1分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，应急情况未及时处理造成恶劣后果的每次扣1分</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，造成二次派遣的每次扣1分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，重复发生件每次扣1分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。造成市级暗访、媒体扣分的，每次扣</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2</w:t>
            </w:r>
            <w:r>
              <w:rPr>
                <w:rFonts w:hint="eastAsia" w:ascii="Times New Roman" w:hAnsi="Times New Roman" w:eastAsia="仿宋_GB2312" w:cs="宋体"/>
                <w:color w:val="000000" w:themeColor="text1"/>
                <w:kern w:val="0"/>
                <w:sz w:val="20"/>
                <w:szCs w:val="21"/>
                <w14:textFill>
                  <w14:solidFill>
                    <w14:schemeClr w14:val="tx1"/>
                  </w14:solidFill>
                </w14:textFill>
              </w:rPr>
              <w:t>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1000元</w:t>
            </w:r>
            <w:r>
              <w:rPr>
                <w:rFonts w:hint="eastAsia" w:ascii="Times New Roman" w:hAnsi="Times New Roman" w:eastAsia="仿宋_GB2312" w:cs="宋体"/>
                <w:color w:val="000000" w:themeColor="text1"/>
                <w:kern w:val="0"/>
                <w:sz w:val="20"/>
                <w:szCs w:val="21"/>
                <w14:textFill>
                  <w14:solidFill>
                    <w14:schemeClr w14:val="tx1"/>
                  </w14:solidFill>
                </w14:textFill>
              </w:rPr>
              <w:t>。</w:t>
            </w: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信访每件扣2分，整改不及时加扣1分，扣款1000元，重复信访每次扣10分，扣款2000元。</w:t>
            </w:r>
          </w:p>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区级抄告每条扣0.5分，如不按要求整改扣2分，扣款1000元；市级抄告造成不良影响的扣3分，扣款5000元；</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附加分值</w:t>
            </w:r>
          </w:p>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10分</w:t>
            </w: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仿宋"/>
                <w:color w:val="000000" w:themeColor="text1"/>
                <w:sz w:val="21"/>
                <w:szCs w:val="21"/>
                <w:lang w:val="en-US" w:eastAsia="zh-CN"/>
                <w14:textFill>
                  <w14:solidFill>
                    <w14:schemeClr w14:val="tx1"/>
                  </w14:solidFill>
                </w14:textFill>
              </w:rPr>
              <w:t>根据以下情况酌情加分：</w:t>
            </w:r>
            <w:r>
              <w:rPr>
                <w:rFonts w:hint="eastAsia" w:ascii="Times New Roman" w:hAnsi="Times New Roman" w:eastAsia="仿宋_GB2312" w:cs="宋体"/>
                <w:color w:val="000000" w:themeColor="text1"/>
                <w:kern w:val="0"/>
                <w:sz w:val="21"/>
                <w:szCs w:val="21"/>
                <w:lang w:val="en-US" w:eastAsia="zh-CN"/>
                <w14:textFill>
                  <w14:solidFill>
                    <w14:schemeClr w14:val="tx1"/>
                  </w14:solidFill>
                </w14:textFill>
              </w:rPr>
              <w:t>圆满完成正常市政管网及泵站养护工作范围以外的领导交办任务的；采用先进管理办法、技术或机械设备，切实提高市政管网及泵站养护工作成效，受到相关部门肯定的；先进事迹受到相关部门表彰的；在重大活动中作出突出贡献的。</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3" w:type="dxa"/>
            <w:gridSpan w:val="2"/>
            <w:vAlign w:val="center"/>
          </w:tcPr>
          <w:p>
            <w:pPr>
              <w:spacing w:before="0" w:beforeAutospacing="0" w:after="0" w:afterAutospacing="0"/>
              <w:ind w:left="0" w:right="0"/>
              <w:jc w:val="center"/>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Times New Roman" w:cs="Times New Roman"/>
                <w:b/>
                <w:color w:val="000000" w:themeColor="text1"/>
                <w:sz w:val="22"/>
                <w:szCs w:val="22"/>
                <w14:textFill>
                  <w14:solidFill>
                    <w14:schemeClr w14:val="tx1"/>
                  </w14:solidFill>
                </w14:textFill>
              </w:rPr>
              <w:t>合   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92" w:type="dxa"/>
            <w:vAlign w:val="center"/>
          </w:tcPr>
          <w:p>
            <w:pPr>
              <w:spacing w:before="0" w:beforeAutospacing="0" w:after="0" w:afterAutospacing="0"/>
              <w:ind w:left="0" w:right="0"/>
              <w:jc w:val="center"/>
              <w:rPr>
                <w:rFonts w:hint="eastAsia" w:ascii="Times New Roman" w:hAnsi="Times New Roman" w:eastAsia="宋体" w:cs="Times New Roman"/>
                <w:b/>
                <w:color w:val="000000" w:themeColor="text1"/>
                <w:sz w:val="22"/>
                <w:szCs w:val="22"/>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说明</w:t>
            </w:r>
          </w:p>
        </w:tc>
        <w:tc>
          <w:tcPr>
            <w:tcW w:w="8021" w:type="dxa"/>
            <w:vAlign w:val="center"/>
          </w:tcPr>
          <w:p>
            <w:pPr>
              <w:spacing w:before="0" w:beforeAutospacing="0" w:after="0" w:afterAutospacing="0" w:line="300" w:lineRule="exact"/>
              <w:ind w:left="0" w:right="0"/>
              <w:rPr>
                <w:rFonts w:hint="default" w:ascii="Times New Roman" w:hAnsi="Times New Roman" w:eastAsia="仿宋_GB2312" w:cs="宋体"/>
                <w:color w:val="000000" w:themeColor="text1"/>
                <w:kern w:val="0"/>
                <w:sz w:val="20"/>
                <w:szCs w:val="21"/>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1、若每项扣分超过考核标准分数，不再扣分。2、管道因</w:t>
            </w:r>
            <w:r>
              <w:rPr>
                <w:rFonts w:hint="default" w:ascii="Times New Roman" w:hAnsi="Times New Roman" w:eastAsia="仿宋_GB2312" w:cs="宋体"/>
                <w:color w:val="000000" w:themeColor="text1"/>
                <w:kern w:val="0"/>
                <w:sz w:val="20"/>
                <w:szCs w:val="21"/>
                <w14:textFill>
                  <w14:solidFill>
                    <w14:schemeClr w14:val="tx1"/>
                  </w14:solidFill>
                </w14:textFill>
              </w:rPr>
              <w:t>结构原因堵塞及时上报的</w:t>
            </w:r>
            <w:r>
              <w:rPr>
                <w:rFonts w:hint="eastAsia" w:ascii="Times New Roman" w:hAnsi="Times New Roman" w:eastAsia="仿宋_GB2312" w:cs="宋体"/>
                <w:color w:val="000000" w:themeColor="text1"/>
                <w:kern w:val="0"/>
                <w:sz w:val="20"/>
                <w:szCs w:val="21"/>
                <w14:textFill>
                  <w14:solidFill>
                    <w14:schemeClr w14:val="tx1"/>
                  </w14:solidFill>
                </w14:textFill>
              </w:rPr>
              <w:t>不</w:t>
            </w:r>
            <w:r>
              <w:rPr>
                <w:rFonts w:hint="default" w:ascii="Times New Roman" w:hAnsi="Times New Roman" w:eastAsia="仿宋_GB2312" w:cs="宋体"/>
                <w:color w:val="000000" w:themeColor="text1"/>
                <w:kern w:val="0"/>
                <w:sz w:val="20"/>
                <w:szCs w:val="21"/>
                <w14:textFill>
                  <w14:solidFill>
                    <w14:schemeClr w14:val="tx1"/>
                  </w14:solidFill>
                </w14:textFill>
              </w:rPr>
              <w:t>纳入考核</w:t>
            </w:r>
            <w:r>
              <w:rPr>
                <w:rFonts w:hint="eastAsia" w:ascii="Times New Roman" w:hAnsi="Times New Roman" w:eastAsia="仿宋_GB2312" w:cs="宋体"/>
                <w:color w:val="000000" w:themeColor="text1"/>
                <w:kern w:val="0"/>
                <w:sz w:val="20"/>
                <w:szCs w:val="21"/>
                <w14:textFill>
                  <w14:solidFill>
                    <w14:schemeClr w14:val="tx1"/>
                  </w14:solidFill>
                </w14:textFill>
              </w:rPr>
              <w:t>。</w:t>
            </w:r>
          </w:p>
          <w:p>
            <w:pPr>
              <w:spacing w:before="0" w:beforeAutospacing="0" w:after="0" w:afterAutospacing="0"/>
              <w:ind w:left="0" w:right="0"/>
              <w:jc w:val="left"/>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3、一票否决：同一路段出现三个及以上的市政井盖缺失、管道积泥超80%以上，视为失管现象。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bl>
    <w:p>
      <w:pPr>
        <w:spacing w:line="360" w:lineRule="auto"/>
        <w:jc w:val="left"/>
        <w:outlineLvl w:val="0"/>
        <w:rPr>
          <w:rFonts w:hint="eastAsia" w:ascii="仿宋" w:hAnsi="仿宋" w:eastAsia="仿宋" w:cs="仿宋"/>
          <w:b/>
          <w:color w:val="000000" w:themeColor="text1"/>
          <w:sz w:val="24"/>
          <w:highlight w:val="none"/>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1" w:charSpace="0"/>
        </w:sectPr>
      </w:pPr>
    </w:p>
    <w:p>
      <w:pPr>
        <w:pStyle w:val="26"/>
        <w:spacing w:line="340" w:lineRule="exact"/>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36"/>
          <w:szCs w:val="36"/>
          <w:highlight w:val="none"/>
          <w:lang w:val="en-US" w:eastAsia="zh-CN"/>
          <w14:textFill>
            <w14:solidFill>
              <w14:schemeClr w14:val="tx1"/>
            </w14:solidFill>
          </w14:textFill>
        </w:rPr>
        <w:t>标项五：</w:t>
      </w:r>
      <w:r>
        <w:rPr>
          <w:rFonts w:hint="eastAsia" w:ascii="仿宋" w:hAnsi="仿宋" w:eastAsia="仿宋" w:cs="仿宋"/>
          <w:b/>
          <w:color w:val="000000" w:themeColor="text1"/>
          <w:sz w:val="36"/>
          <w:szCs w:val="36"/>
          <w:highlight w:val="none"/>
          <w:lang w:val="en-US" w:eastAsia="zh-CN"/>
          <w14:textFill>
            <w14:solidFill>
              <w14:schemeClr w14:val="tx1"/>
            </w14:solidFill>
          </w14:textFill>
        </w:rPr>
        <w:br w:type="textWrapping"/>
      </w:r>
      <w:r>
        <w:rPr>
          <w:rFonts w:hint="eastAsia" w:ascii="仿宋" w:hAnsi="仿宋" w:eastAsia="仿宋" w:cs="仿宋"/>
          <w:b/>
          <w:color w:val="000000" w:themeColor="text1"/>
          <w:sz w:val="36"/>
          <w:szCs w:val="36"/>
          <w:highlight w:val="none"/>
          <w:lang w:val="en-US" w:eastAsia="zh-CN"/>
          <w14:textFill>
            <w14:solidFill>
              <w14:schemeClr w14:val="tx1"/>
            </w14:solidFill>
          </w14:textFill>
        </w:rPr>
        <w:br w:type="textWrapping"/>
      </w:r>
      <w:r>
        <w:rPr>
          <w:rFonts w:hint="eastAsia" w:ascii="仿宋" w:hAnsi="仿宋" w:eastAsia="仿宋" w:cs="仿宋"/>
          <w:b/>
          <w:color w:val="000000" w:themeColor="text1"/>
          <w:sz w:val="36"/>
          <w:szCs w:val="36"/>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6"/>
          <w:szCs w:val="36"/>
          <w:highlight w:val="none"/>
          <w:lang w:val="en-US" w:eastAsia="zh-CN"/>
          <w14:textFill>
            <w14:solidFill>
              <w14:schemeClr w14:val="tx1"/>
            </w14:solidFill>
          </w14:textFill>
        </w:rPr>
        <w:t>雨水管道</w:t>
      </w:r>
      <w:r>
        <w:rPr>
          <w:rFonts w:hint="eastAsia" w:ascii="仿宋" w:hAnsi="仿宋" w:eastAsia="仿宋" w:cs="仿宋"/>
          <w:color w:val="000000" w:themeColor="text1"/>
          <w:sz w:val="36"/>
          <w:szCs w:val="36"/>
          <w:highlight w:val="none"/>
          <w14:textFill>
            <w14:solidFill>
              <w14:schemeClr w14:val="tx1"/>
            </w14:solidFill>
          </w14:textFill>
        </w:rPr>
        <w:t>汇总表</w:t>
      </w:r>
      <w:r>
        <w:rPr>
          <w:rFonts w:hint="eastAsia" w:ascii="仿宋" w:hAnsi="仿宋" w:eastAsia="仿宋" w:cs="仿宋"/>
          <w:color w:val="000000" w:themeColor="text1"/>
          <w:sz w:val="24"/>
          <w:szCs w:val="24"/>
          <w:highlight w:val="none"/>
          <w14:textFill>
            <w14:solidFill>
              <w14:schemeClr w14:val="tx1"/>
            </w14:solidFill>
          </w14:textFill>
        </w:rPr>
        <w:br w:type="textWrapping"/>
      </w:r>
    </w:p>
    <w:tbl>
      <w:tblPr>
        <w:tblStyle w:val="63"/>
        <w:tblW w:w="15074" w:type="dxa"/>
        <w:tblInd w:w="-9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925"/>
        <w:gridCol w:w="825"/>
        <w:gridCol w:w="687"/>
        <w:gridCol w:w="663"/>
        <w:gridCol w:w="583"/>
        <w:gridCol w:w="590"/>
        <w:gridCol w:w="603"/>
        <w:gridCol w:w="590"/>
        <w:gridCol w:w="603"/>
        <w:gridCol w:w="612"/>
        <w:gridCol w:w="644"/>
        <w:gridCol w:w="525"/>
        <w:gridCol w:w="525"/>
        <w:gridCol w:w="587"/>
        <w:gridCol w:w="638"/>
        <w:gridCol w:w="587"/>
        <w:gridCol w:w="850"/>
        <w:gridCol w:w="524"/>
        <w:gridCol w:w="750"/>
        <w:gridCol w:w="675"/>
        <w:gridCol w:w="70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12811"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D2000以上（含D2000）</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雨水口（只）</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雨水排出口（个）</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箅子规格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南公河路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兴国路-顺风路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765</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411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康信路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09省道-顺意路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1632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927</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934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09省道-荷禹路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2480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1868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469</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兴国路-乾塘公路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土山坝路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湖东路-顺达路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966</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627</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龙船坞路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兴起路-规划支路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671</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985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327</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康达路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造船港-顺达路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738</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472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宁桥大道-乾塘公路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1696</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264</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1270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宁桥大道-土山坝</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1008</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562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宁桥大道-康泰路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1231</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795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宁桥大道-康泰路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627</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752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宁桥大道-康信路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2260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1293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1174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宁桥大道-兴元路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1337</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167</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宁桥大道-大运河路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1134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712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少商路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康达路-大运河路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马家坞路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康信路-龙船坞路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99</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青广弄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支路三-顺风路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兴盛支路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兴盛路以西之末端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支路三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青广弄-龙船坞路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176</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规划支路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兴国路-朱家门路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107</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朱家门路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兴元路-康泰路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297</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269</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321</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港北路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兴元路-运城街</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1464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兴国路-港北路</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648</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385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9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怀绩路</w:t>
            </w:r>
          </w:p>
        </w:tc>
        <w:tc>
          <w:tcPr>
            <w:tcW w:w="8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兴元路-土山坝路</w:t>
            </w:r>
          </w:p>
        </w:tc>
        <w:tc>
          <w:tcPr>
            <w:tcW w:w="6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288</w:t>
            </w:r>
          </w:p>
        </w:tc>
        <w:tc>
          <w:tcPr>
            <w:tcW w:w="5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w:t>
            </w:r>
          </w:p>
        </w:tc>
        <w:tc>
          <w:tcPr>
            <w:tcW w:w="6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w:t>
            </w:r>
          </w:p>
        </w:tc>
        <w:tc>
          <w:tcPr>
            <w:tcW w:w="6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6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w:t>
            </w:r>
          </w:p>
        </w:tc>
        <w:tc>
          <w:tcPr>
            <w:tcW w:w="6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2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6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5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28</w:t>
            </w:r>
          </w:p>
        </w:tc>
        <w:tc>
          <w:tcPr>
            <w:tcW w:w="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8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510*390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cs="宋体"/>
                <w:i w:val="0"/>
                <w:iCs w:val="0"/>
                <w:color w:val="000000" w:themeColor="text1"/>
                <w:sz w:val="15"/>
                <w:szCs w:val="15"/>
                <w:u w:val="none"/>
                <w:lang w:val="en-US" w:eastAsia="zh-CN"/>
                <w14:textFill>
                  <w14:solidFill>
                    <w14:schemeClr w14:val="tx1"/>
                  </w14:solidFill>
                </w14:textFill>
              </w:rPr>
              <w:t>合计</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21923</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10952</w:t>
            </w:r>
          </w:p>
        </w:tc>
        <w:tc>
          <w:tcPr>
            <w:tcW w:w="11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15679</w:t>
            </w:r>
          </w:p>
        </w:tc>
        <w:tc>
          <w:tcPr>
            <w:tcW w:w="12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11776</w:t>
            </w:r>
          </w:p>
        </w:tc>
        <w:tc>
          <w:tcPr>
            <w:tcW w:w="11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4321</w:t>
            </w:r>
          </w:p>
        </w:tc>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1506</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2668</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r>
    </w:tbl>
    <w:p>
      <w:pPr>
        <w:pStyle w:val="26"/>
        <w:spacing w:line="340" w:lineRule="exact"/>
        <w:ind w:left="0" w:leftChars="0" w:firstLine="0" w:firstLineChars="0"/>
        <w:jc w:val="left"/>
        <w:rPr>
          <w:rFonts w:hint="eastAsia" w:ascii="仿宋" w:hAnsi="仿宋" w:eastAsia="仿宋" w:cs="仿宋"/>
          <w:color w:val="000000" w:themeColor="text1"/>
          <w:highlight w:val="none"/>
          <w14:textFill>
            <w14:solidFill>
              <w14:schemeClr w14:val="tx1"/>
            </w14:solidFill>
          </w14:textFill>
        </w:rPr>
      </w:pPr>
    </w:p>
    <w:p>
      <w:pPr>
        <w:widowControl/>
        <w:textAlignment w:val="center"/>
        <w:rPr>
          <w:rFonts w:hint="eastAsia" w:ascii="仿宋" w:hAnsi="仿宋" w:eastAsia="仿宋" w:cs="仿宋"/>
          <w:color w:val="000000" w:themeColor="text1"/>
          <w:kern w:val="0"/>
          <w:sz w:val="28"/>
          <w:szCs w:val="20"/>
          <w:highlight w:val="none"/>
          <w14:textFill>
            <w14:solidFill>
              <w14:schemeClr w14:val="tx1"/>
            </w14:solidFill>
          </w14:textFill>
        </w:rPr>
      </w:pPr>
      <w:r>
        <w:rPr>
          <w:rFonts w:hint="eastAsia" w:ascii="仿宋" w:hAnsi="仿宋" w:eastAsia="仿宋" w:cs="仿宋"/>
          <w:color w:val="000000" w:themeColor="text1"/>
          <w:kern w:val="0"/>
          <w:sz w:val="28"/>
          <w:szCs w:val="20"/>
          <w:highlight w:val="none"/>
          <w14:textFill>
            <w14:solidFill>
              <w14:schemeClr w14:val="tx1"/>
            </w14:solidFill>
          </w14:textFill>
        </w:rPr>
        <w:br w:type="page"/>
      </w:r>
    </w:p>
    <w:p>
      <w:pPr>
        <w:pStyle w:val="3"/>
        <w:jc w:val="center"/>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污水管道</w:t>
      </w:r>
      <w:r>
        <w:rPr>
          <w:rFonts w:hint="eastAsia" w:ascii="仿宋" w:hAnsi="仿宋" w:eastAsia="仿宋" w:cs="仿宋"/>
          <w:color w:val="000000" w:themeColor="text1"/>
          <w:sz w:val="36"/>
          <w:szCs w:val="36"/>
          <w:highlight w:val="none"/>
          <w14:textFill>
            <w14:solidFill>
              <w14:schemeClr w14:val="tx1"/>
            </w14:solidFill>
          </w14:textFill>
        </w:rPr>
        <w:t>汇总表</w:t>
      </w:r>
    </w:p>
    <w:tbl>
      <w:tblPr>
        <w:tblStyle w:val="63"/>
        <w:tblW w:w="15925" w:type="dxa"/>
        <w:tblInd w:w="-9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8"/>
        <w:gridCol w:w="950"/>
        <w:gridCol w:w="825"/>
        <w:gridCol w:w="925"/>
        <w:gridCol w:w="862"/>
        <w:gridCol w:w="950"/>
        <w:gridCol w:w="875"/>
        <w:gridCol w:w="913"/>
        <w:gridCol w:w="837"/>
        <w:gridCol w:w="913"/>
        <w:gridCol w:w="875"/>
        <w:gridCol w:w="900"/>
        <w:gridCol w:w="837"/>
        <w:gridCol w:w="1000"/>
        <w:gridCol w:w="963"/>
        <w:gridCol w:w="1212"/>
        <w:gridCol w:w="65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序号</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所属道路名称</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起止点</w:t>
            </w:r>
          </w:p>
        </w:tc>
        <w:tc>
          <w:tcPr>
            <w:tcW w:w="13562"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污水管道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D300以下</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w:t>
            </w: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D300-D600（含D600）</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D600-D800（含D800）</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D800-D1200（含D1200）</w:t>
            </w: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D1200-D1400（含D1400）</w:t>
            </w:r>
          </w:p>
        </w:tc>
        <w:tc>
          <w:tcPr>
            <w:tcW w:w="1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D1400-D1800（含D1800）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长度（米）</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管材/管径</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长度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检查井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09省道-荷禹路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1652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康泰路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兴国路-乾塘公路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1077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土山坝路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湖东路-顺风路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971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龙船坞路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兴起路-规划支路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2313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康达路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造船港-顺达路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1297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宁桥大道-乾塘公路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658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2063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宁桥大道-土山坝</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1569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宁桥大道-康泰路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1969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兴中路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宁桥大道-康泰路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586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1775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星河路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宁桥大道-康信路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1220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顺风路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宁桥大道-兴元路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625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2125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顺达路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宁桥大道-大运河路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1687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少商路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康达路-大运河路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511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马家坞路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康信路-龙船坞路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229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青广弄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支路三-顺风路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232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兴盛支路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兴盛路以西之末端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支路三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青广弄-龙船坞路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规划支路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兴国路-朱家门路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144</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朱家门路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兴元路-康泰路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698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南公河路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兴国路-顺风路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685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HDPE</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港北路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兴元路-运城街</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436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1416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8号路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兴国路-港北路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392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5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151</w:t>
            </w:r>
          </w:p>
        </w:tc>
        <w:tc>
          <w:tcPr>
            <w:tcW w:w="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怀绩路</w:t>
            </w:r>
          </w:p>
        </w:tc>
        <w:tc>
          <w:tcPr>
            <w:tcW w:w="8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兴元路-土山坝路</w:t>
            </w:r>
          </w:p>
        </w:tc>
        <w:tc>
          <w:tcPr>
            <w:tcW w:w="92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6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192</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砼</w:t>
            </w:r>
          </w:p>
        </w:tc>
        <w:tc>
          <w:tcPr>
            <w:tcW w:w="8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171</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3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0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963"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21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themeColor="text1"/>
                <w:sz w:val="15"/>
                <w:szCs w:val="15"/>
                <w:u w:val="none"/>
                <w:lang w:val="en-US" w:eastAsia="zh-CN"/>
                <w14:textFill>
                  <w14:solidFill>
                    <w14:schemeClr w14:val="tx1"/>
                  </w14:solidFill>
                </w14:textFill>
              </w:rPr>
              <w:t>合计</w:t>
            </w: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0" w:after="0" w:afterAutospacing="0"/>
              <w:ind w:left="0" w:right="0"/>
              <w:rPr>
                <w:rFonts w:hint="eastAsia" w:ascii="宋体" w:hAnsi="宋体" w:eastAsia="宋体" w:cs="宋体"/>
                <w:i w:val="0"/>
                <w:iCs w:val="0"/>
                <w:color w:val="000000" w:themeColor="text1"/>
                <w:sz w:val="15"/>
                <w:szCs w:val="15"/>
                <w:u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8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10060</w:t>
            </w:r>
          </w:p>
        </w:tc>
        <w:tc>
          <w:tcPr>
            <w:tcW w:w="17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25133</w:t>
            </w:r>
          </w:p>
        </w:tc>
        <w:tc>
          <w:tcPr>
            <w:tcW w:w="17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3018</w:t>
            </w:r>
          </w:p>
        </w:tc>
        <w:tc>
          <w:tcPr>
            <w:tcW w:w="17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1883</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9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1392</w:t>
            </w:r>
          </w:p>
        </w:tc>
      </w:tr>
    </w:tbl>
    <w:p>
      <w:pPr>
        <w:pStyle w:val="3"/>
        <w:jc w:val="center"/>
        <w:rPr>
          <w:rFonts w:hint="eastAsia"/>
          <w:color w:val="000000" w:themeColor="text1"/>
          <w14:textFill>
            <w14:solidFill>
              <w14:schemeClr w14:val="tx1"/>
            </w14:solidFill>
          </w14:textFill>
        </w:rPr>
      </w:pPr>
    </w:p>
    <w:p>
      <w:pPr>
        <w:widowControl/>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36"/>
          <w:szCs w:val="36"/>
          <w:highlight w:val="none"/>
          <w14:textFill>
            <w14:solidFill>
              <w14:schemeClr w14:val="tx1"/>
            </w14:solidFill>
          </w14:textFill>
        </w:rPr>
        <w:t>泵站汇总表</w:t>
      </w:r>
    </w:p>
    <w:tbl>
      <w:tblPr>
        <w:tblStyle w:val="63"/>
        <w:tblW w:w="130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0"/>
        <w:gridCol w:w="1397"/>
        <w:gridCol w:w="1800"/>
        <w:gridCol w:w="907"/>
        <w:gridCol w:w="907"/>
        <w:gridCol w:w="2050"/>
        <w:gridCol w:w="992"/>
        <w:gridCol w:w="1712"/>
        <w:gridCol w:w="908"/>
        <w:gridCol w:w="90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default"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序号</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泵站位置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 xml:space="preserve">有无人员值守 </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设施量</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型号/品牌</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排水量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功率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建筑面积</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占地面积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3号泵站</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康信路星河路东北侧</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2用2备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泰丰泵业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1500m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37KW</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226</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2352</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7号泵站</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星河路东西大道西南侧（钱江中转站）</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1用1备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泰丰泵业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11KW</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264</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2446</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3</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兴起路泵站</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兴起路兴元路西北（过桥)</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有人值守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2用2备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泰丰泵业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80m</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³</w:t>
            </w: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/h</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11KW</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235</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2040</w:t>
            </w:r>
            <w:r>
              <w:rPr>
                <w:rFonts w:hint="eastAsia" w:ascii="宋体" w:hAnsi="宋体" w:eastAsia="宋体" w:cs="宋体"/>
                <w:i w:val="0"/>
                <w:color w:val="000000" w:themeColor="text1"/>
                <w:kern w:val="0"/>
                <w:sz w:val="24"/>
                <w:szCs w:val="24"/>
                <w:u w:val="none"/>
                <w:lang w:val="en-US" w:eastAsia="zh-CN" w:bidi="ar-SA"/>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SA"/>
                <w14:textFill>
                  <w14:solidFill>
                    <w14:schemeClr w14:val="tx1"/>
                  </w14:solidFill>
                </w14:textFill>
              </w:rPr>
              <w:t>有</w:t>
            </w:r>
          </w:p>
        </w:tc>
      </w:tr>
    </w:tbl>
    <w:p>
      <w:pPr>
        <w:pStyle w:val="3"/>
        <w:rPr>
          <w:rFonts w:hint="eastAsia"/>
          <w:color w:val="000000" w:themeColor="text1"/>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sectPr>
          <w:pgSz w:w="16838" w:h="11905" w:orient="landscape"/>
          <w:pgMar w:top="1814" w:right="1474" w:bottom="1814" w:left="1474" w:header="851" w:footer="850" w:gutter="0"/>
          <w:pgBorders>
            <w:top w:val="none" w:sz="0" w:space="0"/>
            <w:left w:val="none" w:sz="0" w:space="0"/>
            <w:bottom w:val="none" w:sz="0" w:space="0"/>
            <w:right w:val="none" w:sz="0" w:space="0"/>
          </w:pgBorders>
          <w:cols w:space="0" w:num="1"/>
          <w:rtlGutter w:val="0"/>
          <w:docGrid w:linePitch="1" w:charSpace="0"/>
        </w:sect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val="en-US" w:eastAsia="zh-CN"/>
          <w14:textFill>
            <w14:solidFill>
              <w14:schemeClr w14:val="tx1"/>
            </w14:solidFill>
          </w14:textFill>
        </w:rPr>
        <w:t>东湖街道</w:t>
      </w:r>
      <w:r>
        <w:rPr>
          <w:rFonts w:hint="eastAsia" w:ascii="仿宋" w:hAnsi="仿宋" w:eastAsia="仿宋" w:cs="仿宋"/>
          <w:b/>
          <w:bCs/>
          <w:color w:val="000000" w:themeColor="text1"/>
          <w:sz w:val="24"/>
          <w:highlight w:val="none"/>
          <w14:textFill>
            <w14:solidFill>
              <w14:schemeClr w14:val="tx1"/>
            </w14:solidFill>
          </w14:textFill>
        </w:rPr>
        <w:t>管道养护工作内容：</w:t>
      </w: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w:t>
      </w:r>
      <w:r>
        <w:rPr>
          <w:rFonts w:hint="eastAsia" w:ascii="仿宋" w:hAnsi="仿宋" w:eastAsia="仿宋" w:cs="仿宋"/>
          <w:color w:val="000000" w:themeColor="text1"/>
          <w:sz w:val="24"/>
          <w:highlight w:val="none"/>
          <w:lang w:eastAsia="zh-CN"/>
          <w14:textFill>
            <w14:solidFill>
              <w14:schemeClr w14:val="tx1"/>
            </w14:solidFill>
          </w14:textFill>
        </w:rPr>
        <w:t>有问题段</w:t>
      </w:r>
      <w:r>
        <w:rPr>
          <w:rFonts w:hint="eastAsia" w:ascii="仿宋" w:hAnsi="仿宋" w:eastAsia="仿宋" w:cs="仿宋"/>
          <w:color w:val="000000" w:themeColor="text1"/>
          <w:sz w:val="24"/>
          <w:highlight w:val="none"/>
          <w:lang w:val="en-US" w:eastAsia="zh-CN"/>
          <w14:textFill>
            <w14:solidFill>
              <w14:schemeClr w14:val="tx1"/>
            </w14:solidFill>
          </w14:textFill>
        </w:rPr>
        <w:t>CCTV检测配合、每年完成1/3的雨水管网CCTV检测工作并提供检测报告、</w:t>
      </w:r>
      <w:r>
        <w:rPr>
          <w:rFonts w:hint="eastAsia" w:ascii="仿宋" w:hAnsi="仿宋" w:eastAsia="仿宋" w:cs="仿宋"/>
          <w:color w:val="000000" w:themeColor="text1"/>
          <w:sz w:val="24"/>
          <w:highlight w:val="none"/>
          <w14:textFill>
            <w14:solidFill>
              <w14:schemeClr w14:val="tx1"/>
            </w14:solidFill>
          </w14:textFill>
        </w:rPr>
        <w:t>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w:t>
      </w:r>
    </w:p>
    <w:p>
      <w:pPr>
        <w:tabs>
          <w:tab w:val="left" w:pos="7260"/>
        </w:tabs>
        <w:spacing w:line="440" w:lineRule="exact"/>
        <w:ind w:firstLine="542" w:firstLineChars="225"/>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三、服务要求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1、投标人应具有市政管道设施养护所需</w:t>
      </w:r>
      <w:r>
        <w:rPr>
          <w:rFonts w:hint="eastAsia" w:ascii="仿宋" w:hAnsi="仿宋" w:eastAsia="仿宋" w:cs="仿宋"/>
          <w:color w:val="000000" w:themeColor="text1"/>
          <w:sz w:val="24"/>
          <w:highlight w:val="none"/>
          <w:lang w:eastAsia="zh-CN"/>
          <w14:textFill>
            <w14:solidFill>
              <w14:schemeClr w14:val="tx1"/>
            </w14:solidFill>
          </w14:textFill>
        </w:rPr>
        <w:t>临平区</w:t>
      </w:r>
      <w:r>
        <w:rPr>
          <w:rFonts w:hint="eastAsia" w:ascii="仿宋" w:hAnsi="仿宋" w:eastAsia="仿宋" w:cs="仿宋"/>
          <w:color w:val="000000" w:themeColor="text1"/>
          <w:sz w:val="24"/>
          <w:highlight w:val="none"/>
          <w14:textFill>
            <w14:solidFill>
              <w14:schemeClr w14:val="tx1"/>
            </w14:solidFill>
          </w14:textFill>
        </w:rPr>
        <w:t>内的固定办公与仓库场所。</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2、养护期内，中标人必须成立养护班组养护专业人员不得少于</w:t>
      </w:r>
      <w:r>
        <w:rPr>
          <w:rFonts w:hint="eastAsia" w:ascii="仿宋" w:hAnsi="仿宋" w:eastAsia="仿宋" w:cs="仿宋"/>
          <w:color w:val="000000" w:themeColor="text1"/>
          <w:sz w:val="24"/>
          <w:highlight w:val="none"/>
          <w:u w:val="single"/>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人。</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3、投标人中标后，必须有管道养护车辆购置发票或租赁合同以确保该处管道养护车辆使用得到保证（包括运行费用、保险等）均由中标人承担。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4、中标人根据养护考核办法配合甲方定期对养护质量进行考核，基本定为每月一小考，每个季度一大考。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5、在养护过程中，发包人若在该区域有新接收的市政管道设施，原养护范围内市政管道设施改造而增加的管道，承包人必须无条件养护，费用不再增加。</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6、养护期限内，明确承包人只有养护权，没有管理权，市政管道设施管理由公共服务中心全权管理。</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标人中标后，发包人与中标人签订安全生产责任书及消防安全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8、施工养护期间，对于原市政管道设施存在的问题，承包人负有担负调查，分析原因和提出整改方案的义务，具体更换或维修由发包人统一安排。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9、养护期内养护用水、用电的费用由中标单位承担，列入措施项目费用表。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10、养护期内不论自然环境（含气候）发生变化还是其它人为（含车辆）因素而导致的市政管道设施破坏，均由中标人负责维修，其费用由招标人承担。</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12、在养护期限内产生的各种费用（运输、装卸、堆放、场地租用费及有关费用）由投标单位负责，列入措施项目费用表。</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3、 养护管理期内，若发包人认为部分设施需改造，其材料及设施购置费用均由发包人负责，承包人须承担对单次改造人工、机械等其他费用在3000元以内的零星改造人机等费用，若人机等费用超过3000元，则所有改造费用由发包人全额承担，承包人须无条件服从发包人的改造要求。</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14、如所有投标报价均偏离招标人的设想范围较大时，为招标人不能接受的，则招标人有权否决所有投标。</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15、投标人应认真仔细地参加现场踏勘。</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16、投标人需承诺评标内的设施设备用于本项目使用，另需准备55KW发电机1台、4寸汽油泵1台（排水量80m³/h以上）、4寸水泵2台（排水量80m³/h以上）6寸水泵2台（排水量100m³/h以上）、8寸水泵1台（排水量160m³/h以上）及配套水带100米作于应急处置设备。      </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中标人必须做好相关工作人员安全，文明的教育交底工作，交通安全、用电安全尤其是如何避免养护中有毒气体的侵害，并为相关人员缴纳给类保险（养老，个人伤亡事故险等），日常养护工人禁止下井作业，如确实需要下井必须有城管中心的书面审批表，同意后严格按照《有限空间作业规程》及杭州市临平区有限空间作业安全专项整治实施方案等相关规定方可下井，如发生安全意外事故，一切责任由中标单位负责。</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19、养护单位必须做到应急设备一个季度演练一次，保证设备的正常使用，若该季度内经常使用，招标人可根据工作情况取消演练。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养护单位若被发现数字城管及市区级抄告等不及时导致扣分，应急响应不及时，污染源处置不恰当，每次罚款2000元，累计三次以上取消该年度的养护评优资格，养护期内，招标人有权制定处罚细则，对养护单位管养不力的情况采取相应的处罚措施和罚款，养护单位应无条件接受。</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管道养护巡查每周至少三次建立巡查台账，每次至少两个人，交通工具视具体情况而定，鼓励自行车或步行为主。巡查内容包括满溢、积水、井盖缺损错误、管道塌陷、违章占压、违章排放、私自接管、偷排以及影响市政管道正常运行的工程施工等情况并及时上报甲方并对违规内容报执法部门进行处置。若巡查不到位，造成不良影响的，每次罚款2000元。</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管道养护单位若发生养护不到位（养护项目见工程量清单及后续根据开发区道路建设新增路段管网），造成道路、河道污染等事故，赔偿责任由养护单位负责，在企业、饭店、小区聚集地带已达到养护次数，但仍造成管道堵塞、积水，养护单位应无偿继续养护，直至事故排除为止。</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23、应急事故、污染源调查所需的人工、材料、设备都已包含在技术措施费用里面，养护单位必须无条件的配合招标人的工作安排。</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24、养护人员需统一服装，并有相应上岗证，在道路上养护时，需做好用电安全、交通安全维护，如有需要须经交警部门审批后方可实施。</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25、防汛、抗台、抗雪等应急预案及措施，并根据甲方要求及时完成各项应急任务；</w:t>
      </w:r>
    </w:p>
    <w:p>
      <w:pPr>
        <w:tabs>
          <w:tab w:val="left" w:pos="7260"/>
        </w:tabs>
        <w:spacing w:line="440" w:lineRule="exact"/>
        <w:ind w:firstLine="540" w:firstLineChars="2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26、对养护范围内产生的积水点进行应急处置，保障通行安全并查明原因上报。</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四、其他要求</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按招标人的招标文件、临东湖办〔2023〕61号文件—《东湖街道市政管网及泵站养护考核评分细则》及其它有关规定、技术标准执行。月度考核成绩由日常检查和相关部门抄告问题组成，季度考核成绩为月度综合分数占80%，季度考核成绩占20%，年度考核成绩为年终考核占20%，各季度综合成绩占80%，其中养护未达8个月的，不具备评优资格</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2、考核结果分为优秀、合格和不合格三档。考核得分按照100分计算，在85分以上（含）为优秀；75分（含）至85分为合格；75分以下为不合格。其中考核成绩评定为不合格等次分为三种：年度考核得分在75分以下、季度考核得分累计2次（含）以上在75分以下、全年月考核得分累计4次（含）以上在75分以下。</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3、招标人根据考核结果支付给承包方养护费用：</w:t>
      </w:r>
      <w:r>
        <w:rPr>
          <w:rFonts w:hint="eastAsia" w:ascii="仿宋" w:hAnsi="仿宋" w:eastAsia="仿宋" w:cs="仿宋"/>
          <w:color w:val="000000" w:themeColor="text1"/>
          <w:sz w:val="24"/>
          <w:highlight w:val="none"/>
          <w14:textFill>
            <w14:solidFill>
              <w14:schemeClr w14:val="tx1"/>
            </w14:solidFill>
          </w14:textFill>
        </w:rPr>
        <w:t>日常养护费</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一般养护期限为三个月（季度）支付一次日常养护款。待完成移交并合同签署生效后，养护企业进场养护90天后，经采购人对养护进行考核，采购人向中标单位支付首付</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0%的日常养护费，以后每季度经采购人考核后，每次支付10%的当季日常养护费，直至所付日常养护费的</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0%止，剩余</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0%日常养护费在合同期满，经</w:t>
      </w:r>
      <w:r>
        <w:rPr>
          <w:rFonts w:hint="eastAsia" w:ascii="仿宋" w:hAnsi="仿宋" w:eastAsia="仿宋" w:cs="仿宋"/>
          <w:color w:val="000000" w:themeColor="text1"/>
          <w:sz w:val="24"/>
          <w:highlight w:val="none"/>
          <w:lang w:eastAsia="zh-CN"/>
          <w14:textFill>
            <w14:solidFill>
              <w14:schemeClr w14:val="tx1"/>
            </w14:solidFill>
          </w14:textFill>
        </w:rPr>
        <w:t>总</w:t>
      </w:r>
      <w:r>
        <w:rPr>
          <w:rFonts w:hint="eastAsia" w:ascii="仿宋" w:hAnsi="仿宋" w:eastAsia="仿宋" w:cs="仿宋"/>
          <w:color w:val="000000" w:themeColor="text1"/>
          <w:sz w:val="24"/>
          <w:highlight w:val="none"/>
          <w14:textFill>
            <w14:solidFill>
              <w14:schemeClr w14:val="tx1"/>
            </w14:solidFill>
          </w14:textFill>
        </w:rPr>
        <w:t>考核验收合格后30日内付清。</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2"/>
          <w:highlight w:val="none"/>
          <w14:textFill>
            <w14:solidFill>
              <w14:schemeClr w14:val="tx1"/>
            </w14:solidFill>
          </w14:textFill>
        </w:rPr>
        <w:t>、合同期限以时间为周期节点，招标养护时间到期，本项目合同期限结束。</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5</w:t>
      </w:r>
      <w:r>
        <w:rPr>
          <w:rFonts w:hint="eastAsia" w:ascii="仿宋" w:hAnsi="仿宋" w:eastAsia="仿宋" w:cs="仿宋"/>
          <w:color w:val="000000" w:themeColor="text1"/>
          <w:kern w:val="2"/>
          <w:sz w:val="24"/>
          <w:szCs w:val="22"/>
          <w:highlight w:val="none"/>
          <w14:textFill>
            <w14:solidFill>
              <w14:schemeClr w14:val="tx1"/>
            </w14:solidFill>
          </w14:textFill>
        </w:rPr>
        <w:t>、如中标单位出现下列情况的，招标人有权取消中标人的中标资格或终止合同并不作任何补偿：</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（1）中标单位无正当理由不接受甲方下达的任务书，或收到任务书后无正当理由三日内未动工的。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（2）工程完工但还在养护期内而擅自交付使用的。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14:textFill>
            <w14:solidFill>
              <w14:schemeClr w14:val="tx1"/>
            </w14:solidFill>
          </w14:textFill>
        </w:rPr>
        <w:t>（3）工程完工经甲方验收后认定为不合格，但中标单位未予整改或整改不力的。</w:t>
      </w:r>
    </w:p>
    <w:p>
      <w:pPr>
        <w:pStyle w:val="26"/>
        <w:adjustRightInd w:val="0"/>
        <w:snapToGrid w:val="0"/>
        <w:spacing w:line="360" w:lineRule="auto"/>
        <w:ind w:firstLine="480" w:firstLineChars="200"/>
        <w:rPr>
          <w:rFonts w:hint="eastAsia" w:ascii="仿宋" w:hAnsi="仿宋" w:eastAsia="仿宋" w:cs="仿宋"/>
          <w:color w:val="000000" w:themeColor="text1"/>
          <w:kern w:val="2"/>
          <w:sz w:val="24"/>
          <w:szCs w:val="22"/>
          <w:highlight w:val="none"/>
          <w14:textFill>
            <w14:solidFill>
              <w14:schemeClr w14:val="tx1"/>
            </w14:solidFill>
          </w14:textFill>
        </w:rPr>
      </w:pPr>
      <w:r>
        <w:rPr>
          <w:rFonts w:hint="eastAsia" w:ascii="仿宋" w:hAnsi="仿宋" w:eastAsia="仿宋" w:cs="仿宋"/>
          <w:color w:val="000000" w:themeColor="text1"/>
          <w:kern w:val="2"/>
          <w:sz w:val="24"/>
          <w:szCs w:val="22"/>
          <w:highlight w:val="none"/>
          <w:lang w:val="en-US" w:eastAsia="zh-CN"/>
          <w14:textFill>
            <w14:solidFill>
              <w14:schemeClr w14:val="tx1"/>
            </w14:solidFill>
          </w14:textFill>
        </w:rPr>
        <w:t>6</w:t>
      </w:r>
      <w:r>
        <w:rPr>
          <w:rFonts w:hint="eastAsia" w:ascii="仿宋" w:hAnsi="仿宋" w:eastAsia="仿宋" w:cs="仿宋"/>
          <w:color w:val="000000" w:themeColor="text1"/>
          <w:kern w:val="2"/>
          <w:sz w:val="24"/>
          <w:szCs w:val="22"/>
          <w:highlight w:val="none"/>
          <w14:textFill>
            <w14:solidFill>
              <w14:schemeClr w14:val="tx1"/>
            </w14:solidFill>
          </w14:textFill>
        </w:rPr>
        <w:t>、本招标文件未尽事宜按养护质量管理标准、本项目考核评分细则。</w:t>
      </w:r>
    </w:p>
    <w:p>
      <w:pPr>
        <w:pStyle w:val="35"/>
        <w:tabs>
          <w:tab w:val="left" w:pos="4830"/>
        </w:tabs>
        <w:adjustRightInd w:val="0"/>
        <w:snapToGrid w:val="0"/>
        <w:spacing w:line="360" w:lineRule="auto"/>
        <w:ind w:firstLine="590" w:firstLineChars="24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五、转让和分包</w:t>
      </w:r>
    </w:p>
    <w:p>
      <w:pPr>
        <w:pStyle w:val="35"/>
        <w:tabs>
          <w:tab w:val="left" w:pos="4830"/>
        </w:tabs>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本项目不允许转包或分包，若中标人转包或变相转包其应履行的合同义务，采购单位有权终止合同并没收全部</w:t>
      </w:r>
      <w:r>
        <w:rPr>
          <w:rFonts w:hint="eastAsia" w:ascii="仿宋" w:hAnsi="仿宋" w:eastAsia="仿宋" w:cs="仿宋"/>
          <w:color w:val="000000" w:themeColor="text1"/>
          <w:sz w:val="24"/>
          <w:szCs w:val="24"/>
          <w:highlight w:val="none"/>
          <w:lang w:eastAsia="zh-CN"/>
          <w14:textFill>
            <w14:solidFill>
              <w14:schemeClr w14:val="tx1"/>
            </w14:solidFill>
          </w14:textFill>
        </w:rPr>
        <w:t>安全保证金</w:t>
      </w:r>
      <w:r>
        <w:rPr>
          <w:rFonts w:hint="eastAsia" w:ascii="仿宋" w:hAnsi="仿宋" w:eastAsia="仿宋" w:cs="仿宋"/>
          <w:color w:val="000000" w:themeColor="text1"/>
          <w:sz w:val="24"/>
          <w:szCs w:val="24"/>
          <w:highlight w:val="none"/>
          <w14:textFill>
            <w14:solidFill>
              <w14:schemeClr w14:val="tx1"/>
            </w14:solidFill>
          </w14:textFill>
        </w:rPr>
        <w:t>，或者扣除合同总价的10%作为违约金。</w:t>
      </w:r>
    </w:p>
    <w:p>
      <w:pPr>
        <w:pStyle w:val="35"/>
        <w:tabs>
          <w:tab w:val="left" w:pos="4830"/>
        </w:tabs>
        <w:adjustRightInd w:val="0"/>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合同服务期</w:t>
      </w:r>
    </w:p>
    <w:p>
      <w:pPr>
        <w:adjustRightInd w:val="0"/>
        <w:snapToGrid w:val="0"/>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14:textFill>
            <w14:solidFill>
              <w14:schemeClr w14:val="tx1"/>
            </w14:solidFill>
          </w14:textFill>
        </w:rPr>
        <w:t>合同签订后立即开展工作，并按要求完成所有工作。</w:t>
      </w:r>
    </w:p>
    <w:p>
      <w:pPr>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合同期内，供应商能严格履行合同且通过采购人的考核。</w:t>
      </w:r>
    </w:p>
    <w:p>
      <w:pPr>
        <w:adjustRightInd w:val="0"/>
        <w:snapToGrid w:val="0"/>
        <w:spacing w:line="360" w:lineRule="auto"/>
        <w:ind w:firstLine="482" w:firstLineChars="200"/>
        <w:rPr>
          <w:rFonts w:hint="eastAsia" w:ascii="仿宋" w:hAnsi="仿宋" w:eastAsia="仿宋" w:cs="仿宋"/>
          <w:b/>
          <w:snapToGrid w:val="0"/>
          <w:color w:val="000000" w:themeColor="text1"/>
          <w:kern w:val="0"/>
          <w:sz w:val="24"/>
          <w:highlight w:val="none"/>
          <w14:textFill>
            <w14:solidFill>
              <w14:schemeClr w14:val="tx1"/>
            </w14:solidFill>
          </w14:textFill>
        </w:rPr>
      </w:pPr>
      <w:r>
        <w:rPr>
          <w:rFonts w:hint="eastAsia" w:ascii="仿宋" w:hAnsi="仿宋" w:eastAsia="仿宋" w:cs="仿宋"/>
          <w:b/>
          <w:snapToGrid w:val="0"/>
          <w:color w:val="000000" w:themeColor="text1"/>
          <w:kern w:val="0"/>
          <w:sz w:val="24"/>
          <w:highlight w:val="none"/>
          <w14:textFill>
            <w14:solidFill>
              <w14:schemeClr w14:val="tx1"/>
            </w14:solidFill>
          </w14:textFill>
        </w:rPr>
        <w:t>七、税费</w:t>
      </w:r>
    </w:p>
    <w:p>
      <w:pPr>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本合同执行中相关乙方的一切税费均由乙方负担。</w:t>
      </w:r>
    </w:p>
    <w:p>
      <w:pPr>
        <w:pStyle w:val="35"/>
        <w:adjustRightInd w:val="0"/>
        <w:snapToGrid w:val="0"/>
        <w:spacing w:line="360" w:lineRule="auto"/>
        <w:ind w:firstLine="477" w:firstLineChars="198"/>
        <w:rPr>
          <w:rFonts w:hint="eastAsia" w:ascii="仿宋" w:hAnsi="仿宋" w:eastAsia="仿宋" w:cs="仿宋"/>
          <w:b/>
          <w:snapToGrid w:val="0"/>
          <w:color w:val="000000" w:themeColor="text1"/>
          <w:sz w:val="24"/>
          <w:szCs w:val="24"/>
          <w:highlight w:val="none"/>
          <w14:textFill>
            <w14:solidFill>
              <w14:schemeClr w14:val="tx1"/>
            </w14:solidFill>
          </w14:textFill>
        </w:rPr>
      </w:pPr>
      <w:r>
        <w:rPr>
          <w:rFonts w:hint="eastAsia" w:ascii="仿宋" w:hAnsi="仿宋" w:eastAsia="仿宋" w:cs="仿宋"/>
          <w:b/>
          <w:snapToGrid w:val="0"/>
          <w:color w:val="000000" w:themeColor="text1"/>
          <w:sz w:val="24"/>
          <w:szCs w:val="24"/>
          <w:highlight w:val="none"/>
          <w14:textFill>
            <w14:solidFill>
              <w14:schemeClr w14:val="tx1"/>
            </w14:solidFill>
          </w14:textFill>
        </w:rPr>
        <w:t>八、质量保证及后续服务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1、乙方应按招标文件规定向甲方提供服务。</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（1）重做：由乙方承担所发生的全部费用。</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（2）解除合同。</w:t>
      </w:r>
    </w:p>
    <w:p>
      <w:pPr>
        <w:pStyle w:val="35"/>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3、在服务质量保证期内，乙方应对出现的质量及安全问题负责处理解决并承担一切费用。</w:t>
      </w:r>
    </w:p>
    <w:p>
      <w:pPr>
        <w:adjustRightInd w:val="0"/>
        <w:snapToGrid w:val="0"/>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九、养护质量标准及考核评分细则、养护质量标准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1、管道养护</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雨污水管道养护内容包括主管、支管高压疏通车疏通、人工基本疏通、气囊封堵、检查井、雨水口的清淤，根据清淤量、淤泥外运运距（不超过25km）启闭机养护、泵站日常养护、泵站零星小维修、五水共治污染源排查。养护标准参照最新的文件，采用一级市政养护标准执行。</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排水设施完好，无阻水物，泄水孔、排水管道通畅，积泥深度不超过1/5管径；检查井安全防护网设置到位。雨水口蓖子不得高于路面影响进水；各类管线井框固定平稳，井盖与井框吻合，无破裂、缺失现象。DN600及以下污水管道每年疏通不少于1次；窨井每年清淤泥不少于2次，；DN600以上管道一年检测淤泥深度2次；雨水管网管径≤D300每年疏通（清掏）8次，D300&lt;管径≤D600每年疏通（清掏）6次，D600&lt;管径≤D1000每年疏通（清掏）4次，D1000&lt;管径≤D1500每年疏通（清掏）2次，管径&gt;D1500每年疏通（清掏）1次，雨水口清掏次数每年12次；倒虹管启闭机，每半年一次维护保养</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2、综合管理</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（1）管理机构健全，管理人员配备合理。各项工作有明确的责任人。管理制度完备，执行有效。</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（2）修复各项规章制度健全。贯彻措施得力，定期监督检查，每月有修复工作完整的书面记录和相应台帐。中标单位进场后建立养护计划报甲方确认，后期未按计划养护造成的损失由投标人承担。</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（3）具有良好的质量形象，良好的视觉形象和文明的员工形象；确立自身的产品品牌标志，并全面恰当的使用。</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（4）养护人员等应持证上岗。作业现场必须按要求做好围护警示工作，作业人员需穿着公司统一工作装，夜间作业必须穿戴反光背心。</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（5）高级管理人员应具备中专以上文化程度。</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（6）安全等各项业务培训制度完善，并得到有效实施。上岗人员培训合格率达100%。</w:t>
      </w:r>
    </w:p>
    <w:p>
      <w:pPr>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3、考核评分细则</w:t>
      </w:r>
    </w:p>
    <w:p>
      <w:pPr>
        <w:widowControl w:val="0"/>
        <w:wordWrap/>
        <w:adjustRightInd/>
        <w:snapToGrid/>
        <w:spacing w:line="540" w:lineRule="exact"/>
        <w:ind w:left="0" w:leftChars="0" w:right="0" w:firstLine="0" w:firstLineChars="0"/>
        <w:jc w:val="center"/>
        <w:textAlignment w:val="auto"/>
        <w:outlineLvl w:val="9"/>
        <w:rPr>
          <w:rFonts w:hint="eastAsia" w:ascii="仿宋" w:hAnsi="仿宋" w:eastAsia="仿宋" w:cs="仿宋"/>
          <w:color w:val="000000" w:themeColor="text1"/>
          <w:sz w:val="40"/>
          <w:szCs w:val="40"/>
          <w:highlight w:val="none"/>
          <w:lang w:val="zh-TW"/>
          <w14:textFill>
            <w14:solidFill>
              <w14:schemeClr w14:val="tx1"/>
            </w14:solidFill>
          </w14:textFill>
        </w:rPr>
      </w:pPr>
      <w:r>
        <w:rPr>
          <w:rFonts w:hint="eastAsia" w:ascii="Times New Roman" w:hAnsi="Times New Roman" w:eastAsia="方正小标宋简体" w:cs="方正小标宋简体"/>
          <w:color w:val="000000" w:themeColor="text1"/>
          <w:sz w:val="40"/>
          <w:szCs w:val="40"/>
          <w:lang w:val="en-US" w:eastAsia="zh-CN"/>
          <w14:textFill>
            <w14:solidFill>
              <w14:schemeClr w14:val="tx1"/>
            </w14:solidFill>
          </w14:textFill>
        </w:rPr>
        <w:t>东湖街道市政管网及泵站养护考核评分细则</w:t>
      </w:r>
    </w:p>
    <w:p>
      <w:pPr>
        <w:widowControl w:val="0"/>
        <w:wordWrap/>
        <w:adjustRightInd/>
        <w:snapToGrid/>
        <w:spacing w:line="570" w:lineRule="exact"/>
        <w:ind w:left="0" w:leftChars="0" w:right="0" w:firstLine="0" w:firstLineChars="0"/>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考核对象：         考核</w:t>
      </w:r>
      <w:r>
        <w:rPr>
          <w:rFonts w:hint="eastAsia" w:ascii="仿宋" w:hAnsi="仿宋" w:eastAsia="仿宋" w:cs="仿宋"/>
          <w:b/>
          <w:color w:val="000000" w:themeColor="text1"/>
          <w:sz w:val="24"/>
          <w:highlight w:val="none"/>
          <w:lang w:eastAsia="zh-CN"/>
          <w14:textFill>
            <w14:solidFill>
              <w14:schemeClr w14:val="tx1"/>
            </w14:solidFill>
          </w14:textFill>
        </w:rPr>
        <w:t>标段</w:t>
      </w:r>
      <w:r>
        <w:rPr>
          <w:rFonts w:hint="eastAsia" w:ascii="仿宋" w:hAnsi="仿宋" w:eastAsia="仿宋" w:cs="仿宋"/>
          <w:b/>
          <w:color w:val="000000" w:themeColor="text1"/>
          <w:sz w:val="24"/>
          <w:highlight w:val="none"/>
          <w14:textFill>
            <w14:solidFill>
              <w14:schemeClr w14:val="tx1"/>
            </w14:solidFill>
          </w14:textFill>
        </w:rPr>
        <w:t xml:space="preserve">：          考核时间：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考评人员：</w:t>
      </w:r>
    </w:p>
    <w:tbl>
      <w:tblPr>
        <w:tblStyle w:val="63"/>
        <w:tblW w:w="9258"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02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考核内 容</w:t>
            </w:r>
          </w:p>
        </w:tc>
        <w:tc>
          <w:tcPr>
            <w:tcW w:w="8021"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评分标准</w:t>
            </w:r>
          </w:p>
        </w:tc>
        <w:tc>
          <w:tcPr>
            <w:tcW w:w="645" w:type="dxa"/>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考核评分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14:textFill>
                  <w14:solidFill>
                    <w14:schemeClr w14:val="tx1"/>
                  </w14:solidFill>
                </w14:textFill>
              </w:rPr>
              <w:t>管理制度</w:t>
            </w:r>
          </w:p>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项目部人员组成、养护工人、专职巡查员、设备配备是否满足投标文件要求。不符合要求的每次扣5分扣款1000元。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养护计划：编制养护总进度计划、当月工作总结、下月进度计划，不报每次扣5分扣款1000元。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具有养护范围内的管道线路图纸，要求标有管径、管材、长度，图纸更新及时、准确。不符合要求的每处扣2分扣款500元。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有泵站运行台帐、巡查记录台账、工作照片存档，不符合要求的每次扣5分扣款500元。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restart"/>
            <w:vAlign w:val="center"/>
          </w:tcPr>
          <w:p>
            <w:pPr>
              <w:spacing w:before="0" w:beforeAutospacing="0" w:after="0" w:afterAutospacing="0" w:line="300" w:lineRule="exact"/>
              <w:ind w:left="0" w:right="0"/>
              <w:jc w:val="center"/>
              <w:rPr>
                <w:rFonts w:hint="eastAsia" w:ascii="Times New Roman" w:hAnsi="Times New Roman" w:eastAsia="仿宋_GB2312" w:cs="宋体"/>
                <w:b/>
                <w:bCs/>
                <w:color w:val="000000" w:themeColor="text1"/>
                <w:kern w:val="0"/>
                <w:sz w:val="20"/>
                <w:szCs w:val="21"/>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综合管理</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55分</w:t>
            </w: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雨、污水检查井、雨水篦子及雨、污水管道应保持畅通，雨、污水检查井、雨水篦子和雨、污水管道积泥不超过20%，不符合要求每次扣5分扣款500元。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路面无积水，无污水满溢。每发现一次扣5分扣款500元。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检查井井室开裂破损，安全网挂钩锈蚀，破损每处扣1分扣款100元，无安全网每处扣5分扣款500元 。</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pStyle w:val="59"/>
              <w:spacing w:before="0" w:beforeAutospacing="0" w:after="0" w:afterAutospacing="0"/>
              <w:ind w:left="0" w:right="0"/>
              <w:jc w:val="both"/>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管道作业人员应具备相应资质，管道养护作业记录真实、完整。管道作业人员不具备相应资质的每人扣2 分扣款200元，记录不及时的每次扣1 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五水共治河道排出口，企业接入市政管网排出口巡查、及时、真实，每天做好各个项目的记录工作。少一项扣l 分扣款200元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养护进度完成情况：及时完成上报的计划工程量，未完成的扣5分，扣款500元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养护安全施工情况：养护时设置相应的交通标志牌，同时避免有毒气体的危害，泵站安全管理，发现安全隐患未及时整改的扣10分扣款10000元。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养护环保卫生情况：养护后垃圾、淤泥清理及时，避免路面发生污染，及时恢复干净，发现一处卫生污染扣1分扣款100元。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应急事故处理情况：及时配合业主单位做好应急事故的处理，排查污染源的原因，处理不妥当、不及时按情况扣5分扣款5000元。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2" w:type="dxa"/>
            <w:vMerge w:val="continue"/>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t>泵站养护情况：绿化、电气设施、启闭机、污水泵及起重设备、泵站总体设备保养完好。保养不到位发现一处扣1分扣款200元；</w:t>
            </w:r>
            <w:r>
              <w:rPr>
                <w:rFonts w:hint="eastAsia" w:ascii="Times New Roman" w:hAnsi="Times New Roman" w:eastAsia="仿宋_GB2312" w:cs="宋体"/>
                <w:color w:val="000000" w:themeColor="text1"/>
                <w:kern w:val="0"/>
                <w:sz w:val="20"/>
                <w:szCs w:val="20"/>
                <w:lang w:val="en-US" w:eastAsia="zh-CN" w:bidi="ar-SA"/>
                <w14:textFill>
                  <w14:solidFill>
                    <w14:schemeClr w14:val="tx1"/>
                  </w14:solidFill>
                </w14:textFill>
              </w:rPr>
              <w:t>泵站内放置与甲方无关设施物资发现一次扣5000元。</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相关部门抄告</w:t>
            </w: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20分</w:t>
            </w:r>
          </w:p>
        </w:tc>
        <w:tc>
          <w:tcPr>
            <w:tcW w:w="8021" w:type="dxa"/>
            <w:vAlign w:val="center"/>
          </w:tcPr>
          <w:p>
            <w:pPr>
              <w:wordWrap/>
              <w:adjustRightInd/>
              <w:snapToGrid/>
              <w:spacing w:before="0" w:beforeAutospacing="0" w:after="0" w:afterAutospacing="0" w:line="300" w:lineRule="exact"/>
              <w:ind w:left="0" w:leftChars="0" w:right="0" w:firstLine="0" w:firstLineChars="0"/>
              <w:jc w:val="left"/>
              <w:textAlignment w:val="auto"/>
              <w:outlineLvl w:val="9"/>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数字城管未处理好造成超时的每次扣1分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，应急情况未及时处理造成恶劣后果的每次扣1分</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，造成二次派遣的每次扣1分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，重复发生件每次扣1分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500元</w:t>
            </w:r>
            <w:r>
              <w:rPr>
                <w:rFonts w:hint="eastAsia" w:ascii="Times New Roman" w:hAnsi="Times New Roman" w:eastAsia="仿宋_GB2312" w:cs="宋体"/>
                <w:color w:val="000000" w:themeColor="text1"/>
                <w:kern w:val="0"/>
                <w:sz w:val="20"/>
                <w:szCs w:val="21"/>
                <w14:textFill>
                  <w14:solidFill>
                    <w14:schemeClr w14:val="tx1"/>
                  </w14:solidFill>
                </w14:textFill>
              </w:rPr>
              <w:t>。造成市级暗访、媒体扣分的，每次扣</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2</w:t>
            </w:r>
            <w:r>
              <w:rPr>
                <w:rFonts w:hint="eastAsia" w:ascii="Times New Roman" w:hAnsi="Times New Roman" w:eastAsia="仿宋_GB2312" w:cs="宋体"/>
                <w:color w:val="000000" w:themeColor="text1"/>
                <w:kern w:val="0"/>
                <w:sz w:val="20"/>
                <w:szCs w:val="21"/>
                <w14:textFill>
                  <w14:solidFill>
                    <w14:schemeClr w14:val="tx1"/>
                  </w14:solidFill>
                </w14:textFill>
              </w:rPr>
              <w:t>分</w:t>
            </w:r>
            <w:r>
              <w:rPr>
                <w:rFonts w:hint="eastAsia" w:ascii="Times New Roman" w:hAnsi="Times New Roman" w:eastAsia="仿宋_GB2312" w:cs="宋体"/>
                <w:color w:val="000000" w:themeColor="text1"/>
                <w:kern w:val="0"/>
                <w:sz w:val="20"/>
                <w:szCs w:val="21"/>
                <w:lang w:eastAsia="zh-CN"/>
                <w14:textFill>
                  <w14:solidFill>
                    <w14:schemeClr w14:val="tx1"/>
                  </w14:solidFill>
                </w14:textFill>
              </w:rPr>
              <w:t>扣款</w:t>
            </w: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1000元</w:t>
            </w:r>
            <w:r>
              <w:rPr>
                <w:rFonts w:hint="eastAsia" w:ascii="Times New Roman" w:hAnsi="Times New Roman" w:eastAsia="仿宋_GB2312" w:cs="宋体"/>
                <w:color w:val="000000" w:themeColor="text1"/>
                <w:kern w:val="0"/>
                <w:sz w:val="20"/>
                <w:szCs w:val="21"/>
                <w14:textFill>
                  <w14:solidFill>
                    <w14:schemeClr w14:val="tx1"/>
                  </w14:solidFill>
                </w14:textFill>
              </w:rPr>
              <w:t>。</w:t>
            </w: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信访每件扣2分，整改不及时加扣1分，扣款1000元，重复信访每次扣10分，扣款2000元。</w:t>
            </w:r>
          </w:p>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宋体"/>
                <w:b w:val="0"/>
                <w:bCs w:val="0"/>
                <w:color w:val="000000" w:themeColor="text1"/>
                <w:kern w:val="0"/>
                <w:sz w:val="21"/>
                <w:szCs w:val="21"/>
                <w:lang w:val="en-US" w:eastAsia="zh-CN"/>
                <w14:textFill>
                  <w14:solidFill>
                    <w14:schemeClr w14:val="tx1"/>
                  </w14:solidFill>
                </w14:textFill>
              </w:rPr>
              <w:t>区级抄告每条扣0.5分，如不按要求整改扣2分，扣款1000元；市级抄告造成不良影响的扣3分，扣款5000元；</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92" w:type="dxa"/>
            <w:vAlign w:val="center"/>
          </w:tcPr>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附加分值</w:t>
            </w:r>
          </w:p>
          <w:p>
            <w:pPr>
              <w:spacing w:before="0" w:beforeAutospacing="0" w:after="0" w:afterAutospacing="0"/>
              <w:ind w:left="0" w:right="0"/>
              <w:jc w:val="cente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val="en-US" w:eastAsia="zh-CN"/>
                <w14:textFill>
                  <w14:solidFill>
                    <w14:schemeClr w14:val="tx1"/>
                  </w14:solidFill>
                </w14:textFill>
              </w:rPr>
              <w:t>10分</w:t>
            </w:r>
          </w:p>
        </w:tc>
        <w:tc>
          <w:tcPr>
            <w:tcW w:w="8021" w:type="dxa"/>
            <w:vAlign w:val="center"/>
          </w:tcPr>
          <w:p>
            <w:pPr>
              <w:spacing w:before="0" w:beforeAutospacing="0" w:after="0" w:afterAutospacing="0" w:line="300" w:lineRule="exact"/>
              <w:ind w:left="0" w:right="0"/>
              <w:jc w:val="left"/>
              <w:rPr>
                <w:rFonts w:hint="eastAsia" w:ascii="Times New Roman" w:hAnsi="Times New Roman" w:eastAsia="仿宋_GB2312"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仿宋"/>
                <w:color w:val="000000" w:themeColor="text1"/>
                <w:sz w:val="21"/>
                <w:szCs w:val="21"/>
                <w:lang w:val="en-US" w:eastAsia="zh-CN"/>
                <w14:textFill>
                  <w14:solidFill>
                    <w14:schemeClr w14:val="tx1"/>
                  </w14:solidFill>
                </w14:textFill>
              </w:rPr>
              <w:t>根据以下情况酌情加分：</w:t>
            </w:r>
            <w:r>
              <w:rPr>
                <w:rFonts w:hint="eastAsia" w:ascii="Times New Roman" w:hAnsi="Times New Roman" w:eastAsia="仿宋_GB2312" w:cs="宋体"/>
                <w:color w:val="000000" w:themeColor="text1"/>
                <w:kern w:val="0"/>
                <w:sz w:val="21"/>
                <w:szCs w:val="21"/>
                <w:lang w:val="en-US" w:eastAsia="zh-CN"/>
                <w14:textFill>
                  <w14:solidFill>
                    <w14:schemeClr w14:val="tx1"/>
                  </w14:solidFill>
                </w14:textFill>
              </w:rPr>
              <w:t>圆满完成正常市政管网及泵站养护工作范围以外的领导交办任务的；采用先进管理办法、技术或机械设备，切实提高市政管网及泵站养护工作成效，受到相关部门肯定的；先进事迹受到相关部门表彰的；在重大活动中作出突出贡献的。</w:t>
            </w:r>
          </w:p>
        </w:tc>
        <w:tc>
          <w:tcPr>
            <w:tcW w:w="645" w:type="dxa"/>
            <w:vAlign w:val="center"/>
          </w:tcPr>
          <w:p>
            <w:pPr>
              <w:spacing w:before="0" w:beforeAutospacing="0" w:after="0" w:afterAutospacing="0"/>
              <w:ind w:left="0" w:right="0"/>
              <w:rPr>
                <w:rFonts w:hint="default"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3" w:type="dxa"/>
            <w:gridSpan w:val="2"/>
            <w:vAlign w:val="center"/>
          </w:tcPr>
          <w:p>
            <w:pPr>
              <w:spacing w:before="0" w:beforeAutospacing="0" w:after="0" w:afterAutospacing="0"/>
              <w:ind w:left="0" w:right="0"/>
              <w:jc w:val="center"/>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Times New Roman" w:cs="Times New Roman"/>
                <w:b/>
                <w:color w:val="000000" w:themeColor="text1"/>
                <w:sz w:val="22"/>
                <w:szCs w:val="22"/>
                <w14:textFill>
                  <w14:solidFill>
                    <w14:schemeClr w14:val="tx1"/>
                  </w14:solidFill>
                </w14:textFill>
              </w:rPr>
              <w:t>合   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92" w:type="dxa"/>
            <w:vAlign w:val="center"/>
          </w:tcPr>
          <w:p>
            <w:pPr>
              <w:spacing w:before="0" w:beforeAutospacing="0" w:after="0" w:afterAutospacing="0"/>
              <w:ind w:left="0" w:right="0"/>
              <w:jc w:val="center"/>
              <w:rPr>
                <w:rFonts w:hint="eastAsia" w:ascii="Times New Roman" w:hAnsi="Times New Roman" w:eastAsia="宋体" w:cs="Times New Roman"/>
                <w:b/>
                <w:color w:val="000000" w:themeColor="text1"/>
                <w:sz w:val="22"/>
                <w:szCs w:val="22"/>
                <w:lang w:eastAsia="zh-CN"/>
                <w14:textFill>
                  <w14:solidFill>
                    <w14:schemeClr w14:val="tx1"/>
                  </w14:solidFill>
                </w14:textFill>
              </w:rPr>
            </w:pPr>
            <w:r>
              <w:rPr>
                <w:rFonts w:hint="eastAsia" w:ascii="Times New Roman" w:hAnsi="Times New Roman" w:eastAsia="仿宋_GB2312" w:cs="宋体"/>
                <w:b/>
                <w:bCs/>
                <w:color w:val="000000" w:themeColor="text1"/>
                <w:kern w:val="0"/>
                <w:sz w:val="20"/>
                <w:szCs w:val="21"/>
                <w:lang w:eastAsia="zh-CN"/>
                <w14:textFill>
                  <w14:solidFill>
                    <w14:schemeClr w14:val="tx1"/>
                  </w14:solidFill>
                </w14:textFill>
              </w:rPr>
              <w:t>说明</w:t>
            </w:r>
          </w:p>
        </w:tc>
        <w:tc>
          <w:tcPr>
            <w:tcW w:w="8021" w:type="dxa"/>
            <w:vAlign w:val="center"/>
          </w:tcPr>
          <w:p>
            <w:pPr>
              <w:spacing w:before="0" w:beforeAutospacing="0" w:after="0" w:afterAutospacing="0" w:line="300" w:lineRule="exact"/>
              <w:ind w:left="0" w:right="0"/>
              <w:rPr>
                <w:rFonts w:hint="default" w:ascii="Times New Roman" w:hAnsi="Times New Roman" w:eastAsia="仿宋_GB2312" w:cs="宋体"/>
                <w:color w:val="000000" w:themeColor="text1"/>
                <w:kern w:val="0"/>
                <w:sz w:val="20"/>
                <w:szCs w:val="21"/>
                <w14:textFill>
                  <w14:solidFill>
                    <w14:schemeClr w14:val="tx1"/>
                  </w14:solidFill>
                </w14:textFill>
              </w:rPr>
            </w:pPr>
            <w:r>
              <w:rPr>
                <w:rFonts w:hint="eastAsia" w:ascii="Times New Roman" w:hAnsi="Times New Roman" w:eastAsia="仿宋_GB2312" w:cs="宋体"/>
                <w:color w:val="000000" w:themeColor="text1"/>
                <w:kern w:val="0"/>
                <w:sz w:val="20"/>
                <w:szCs w:val="21"/>
                <w14:textFill>
                  <w14:solidFill>
                    <w14:schemeClr w14:val="tx1"/>
                  </w14:solidFill>
                </w14:textFill>
              </w:rPr>
              <w:t>1、若每项扣分超过考核标准分数，不再扣分。2、管道因</w:t>
            </w:r>
            <w:r>
              <w:rPr>
                <w:rFonts w:hint="default" w:ascii="Times New Roman" w:hAnsi="Times New Roman" w:eastAsia="仿宋_GB2312" w:cs="宋体"/>
                <w:color w:val="000000" w:themeColor="text1"/>
                <w:kern w:val="0"/>
                <w:sz w:val="20"/>
                <w:szCs w:val="21"/>
                <w14:textFill>
                  <w14:solidFill>
                    <w14:schemeClr w14:val="tx1"/>
                  </w14:solidFill>
                </w14:textFill>
              </w:rPr>
              <w:t>结构原因堵塞及时上报的</w:t>
            </w:r>
            <w:r>
              <w:rPr>
                <w:rFonts w:hint="eastAsia" w:ascii="Times New Roman" w:hAnsi="Times New Roman" w:eastAsia="仿宋_GB2312" w:cs="宋体"/>
                <w:color w:val="000000" w:themeColor="text1"/>
                <w:kern w:val="0"/>
                <w:sz w:val="20"/>
                <w:szCs w:val="21"/>
                <w14:textFill>
                  <w14:solidFill>
                    <w14:schemeClr w14:val="tx1"/>
                  </w14:solidFill>
                </w14:textFill>
              </w:rPr>
              <w:t>不</w:t>
            </w:r>
            <w:r>
              <w:rPr>
                <w:rFonts w:hint="default" w:ascii="Times New Roman" w:hAnsi="Times New Roman" w:eastAsia="仿宋_GB2312" w:cs="宋体"/>
                <w:color w:val="000000" w:themeColor="text1"/>
                <w:kern w:val="0"/>
                <w:sz w:val="20"/>
                <w:szCs w:val="21"/>
                <w14:textFill>
                  <w14:solidFill>
                    <w14:schemeClr w14:val="tx1"/>
                  </w14:solidFill>
                </w14:textFill>
              </w:rPr>
              <w:t>纳入考核</w:t>
            </w:r>
            <w:r>
              <w:rPr>
                <w:rFonts w:hint="eastAsia" w:ascii="Times New Roman" w:hAnsi="Times New Roman" w:eastAsia="仿宋_GB2312" w:cs="宋体"/>
                <w:color w:val="000000" w:themeColor="text1"/>
                <w:kern w:val="0"/>
                <w:sz w:val="20"/>
                <w:szCs w:val="21"/>
                <w14:textFill>
                  <w14:solidFill>
                    <w14:schemeClr w14:val="tx1"/>
                  </w14:solidFill>
                </w14:textFill>
              </w:rPr>
              <w:t>。</w:t>
            </w:r>
          </w:p>
          <w:p>
            <w:pPr>
              <w:spacing w:before="0" w:beforeAutospacing="0" w:after="0" w:afterAutospacing="0"/>
              <w:ind w:left="0" w:right="0"/>
              <w:jc w:val="left"/>
              <w:rPr>
                <w:rFonts w:hint="eastAsia" w:ascii="Times New Roman" w:hAnsi="Times New Roman" w:eastAsia="Times New Roman" w:cs="Times New Roman"/>
                <w:b/>
                <w:color w:val="000000" w:themeColor="text1"/>
                <w:sz w:val="22"/>
                <w:szCs w:val="22"/>
                <w14:textFill>
                  <w14:solidFill>
                    <w14:schemeClr w14:val="tx1"/>
                  </w14:solidFill>
                </w14:textFill>
              </w:rPr>
            </w:pPr>
            <w:r>
              <w:rPr>
                <w:rFonts w:hint="eastAsia" w:ascii="Times New Roman" w:hAnsi="Times New Roman" w:eastAsia="仿宋_GB2312" w:cs="宋体"/>
                <w:color w:val="000000" w:themeColor="text1"/>
                <w:kern w:val="0"/>
                <w:sz w:val="20"/>
                <w:szCs w:val="21"/>
                <w:lang w:val="en-US" w:eastAsia="zh-CN"/>
                <w14:textFill>
                  <w14:solidFill>
                    <w14:schemeClr w14:val="tx1"/>
                  </w14:solidFill>
                </w14:textFill>
              </w:rPr>
              <w:t>3、一票否决：同一路段出现三个及以上的市政井盖缺失、管道积泥超80%以上，视为失管现象。</w:t>
            </w:r>
          </w:p>
        </w:tc>
        <w:tc>
          <w:tcPr>
            <w:tcW w:w="645" w:type="dxa"/>
            <w:vAlign w:val="center"/>
          </w:tcPr>
          <w:p>
            <w:pPr>
              <w:spacing w:before="0" w:beforeAutospacing="0" w:after="0" w:afterAutospacing="0"/>
              <w:ind w:left="0" w:right="0"/>
              <w:rPr>
                <w:rFonts w:hint="eastAsia" w:ascii="Times New Roman" w:hAnsi="Times New Roman" w:eastAsia="Times New Roman" w:cs="Times New Roman"/>
                <w:color w:val="000000" w:themeColor="text1"/>
                <w:sz w:val="22"/>
                <w:szCs w:val="22"/>
                <w14:textFill>
                  <w14:solidFill>
                    <w14:schemeClr w14:val="tx1"/>
                  </w14:solidFill>
                </w14:textFill>
              </w:rPr>
            </w:pPr>
          </w:p>
        </w:tc>
      </w:tr>
    </w:tbl>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br w:type="page"/>
      </w: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27" w:name="_Toc184314435"/>
      <w:bookmarkEnd w:id="27"/>
      <w:bookmarkStart w:id="28" w:name="_Toc184313247"/>
      <w:bookmarkEnd w:id="28"/>
      <w:bookmarkStart w:id="29" w:name="_Toc184314413"/>
      <w:bookmarkEnd w:id="29"/>
      <w:bookmarkStart w:id="30" w:name="_Toc184312073"/>
      <w:bookmarkEnd w:id="30"/>
      <w:bookmarkStart w:id="31" w:name="_Toc184312118"/>
      <w:bookmarkEnd w:id="31"/>
      <w:bookmarkStart w:id="32" w:name="_Toc184308068"/>
      <w:bookmarkEnd w:id="32"/>
      <w:bookmarkStart w:id="33" w:name="_Toc184314425"/>
      <w:bookmarkEnd w:id="33"/>
      <w:bookmarkStart w:id="34" w:name="_Toc184310274"/>
      <w:bookmarkEnd w:id="34"/>
      <w:bookmarkStart w:id="35" w:name="_Toc184310304"/>
      <w:bookmarkEnd w:id="35"/>
      <w:bookmarkStart w:id="36" w:name="_Toc184312091"/>
      <w:bookmarkEnd w:id="36"/>
      <w:bookmarkStart w:id="37" w:name="_Toc184312129"/>
      <w:bookmarkEnd w:id="37"/>
      <w:bookmarkStart w:id="38" w:name="_Toc184310288"/>
      <w:bookmarkEnd w:id="38"/>
      <w:bookmarkStart w:id="39" w:name="_Toc184312103"/>
      <w:bookmarkEnd w:id="39"/>
      <w:bookmarkStart w:id="40" w:name="_Toc184308056"/>
      <w:bookmarkEnd w:id="40"/>
      <w:bookmarkStart w:id="41" w:name="_Toc184310338"/>
      <w:bookmarkEnd w:id="41"/>
      <w:bookmarkStart w:id="42" w:name="_Toc184312081"/>
      <w:bookmarkEnd w:id="42"/>
      <w:bookmarkStart w:id="43" w:name="_Toc184314444"/>
      <w:bookmarkEnd w:id="43"/>
      <w:bookmarkStart w:id="44" w:name="_Toc184310336"/>
      <w:bookmarkEnd w:id="44"/>
      <w:bookmarkStart w:id="45" w:name="_Toc184310316"/>
      <w:bookmarkEnd w:id="45"/>
      <w:bookmarkStart w:id="46" w:name="_Toc184308070"/>
      <w:bookmarkEnd w:id="46"/>
      <w:bookmarkStart w:id="47" w:name="_Toc184310342"/>
      <w:bookmarkEnd w:id="47"/>
      <w:bookmarkStart w:id="48" w:name="_Toc184310334"/>
      <w:bookmarkEnd w:id="48"/>
      <w:bookmarkStart w:id="49" w:name="_Toc184313264"/>
      <w:bookmarkEnd w:id="49"/>
      <w:bookmarkStart w:id="50" w:name="_Toc184312095"/>
      <w:bookmarkEnd w:id="50"/>
      <w:bookmarkStart w:id="51" w:name="_Toc184313242"/>
      <w:bookmarkEnd w:id="51"/>
      <w:bookmarkStart w:id="52" w:name="_Toc184310272"/>
      <w:bookmarkEnd w:id="52"/>
      <w:bookmarkStart w:id="53" w:name="_Toc184314439"/>
      <w:bookmarkEnd w:id="53"/>
      <w:bookmarkStart w:id="54" w:name="_Toc184314416"/>
      <w:bookmarkEnd w:id="54"/>
      <w:bookmarkStart w:id="55" w:name="_Toc184310321"/>
      <w:bookmarkEnd w:id="55"/>
      <w:bookmarkStart w:id="56" w:name="_Toc184310324"/>
      <w:bookmarkEnd w:id="56"/>
      <w:bookmarkStart w:id="57" w:name="_Toc184308090"/>
      <w:bookmarkEnd w:id="57"/>
      <w:bookmarkStart w:id="58" w:name="_Toc184312127"/>
      <w:bookmarkEnd w:id="58"/>
      <w:bookmarkStart w:id="59" w:name="_Toc184314480"/>
      <w:bookmarkEnd w:id="59"/>
      <w:bookmarkStart w:id="60" w:name="_Toc184314429"/>
      <w:bookmarkEnd w:id="60"/>
      <w:bookmarkStart w:id="61" w:name="_Toc184310281"/>
      <w:bookmarkEnd w:id="61"/>
      <w:bookmarkStart w:id="62" w:name="_Toc184313306"/>
      <w:bookmarkEnd w:id="62"/>
      <w:bookmarkStart w:id="63" w:name="_Toc184310339"/>
      <w:bookmarkEnd w:id="63"/>
      <w:bookmarkStart w:id="64" w:name="_Toc184313286"/>
      <w:bookmarkEnd w:id="64"/>
      <w:bookmarkStart w:id="65" w:name="_Toc184313299"/>
      <w:bookmarkEnd w:id="65"/>
      <w:bookmarkStart w:id="66" w:name="_Toc184313308"/>
      <w:bookmarkEnd w:id="66"/>
      <w:bookmarkStart w:id="67" w:name="_Toc184312071"/>
      <w:bookmarkEnd w:id="67"/>
      <w:bookmarkStart w:id="68" w:name="_Toc184313238"/>
      <w:bookmarkEnd w:id="68"/>
      <w:bookmarkStart w:id="69" w:name="_Toc184313288"/>
      <w:bookmarkEnd w:id="69"/>
      <w:bookmarkStart w:id="70" w:name="_Toc184314455"/>
      <w:bookmarkEnd w:id="70"/>
      <w:bookmarkStart w:id="71" w:name="_Toc184308071"/>
      <w:bookmarkEnd w:id="71"/>
      <w:bookmarkStart w:id="72" w:name="_Toc184314424"/>
      <w:bookmarkEnd w:id="72"/>
      <w:bookmarkStart w:id="73" w:name="_Toc184314481"/>
      <w:bookmarkEnd w:id="73"/>
      <w:bookmarkStart w:id="74" w:name="_Toc184310276"/>
      <w:bookmarkEnd w:id="74"/>
      <w:bookmarkStart w:id="75" w:name="_Toc184308097"/>
      <w:bookmarkEnd w:id="75"/>
      <w:bookmarkStart w:id="76" w:name="_Toc184308103"/>
      <w:bookmarkEnd w:id="76"/>
      <w:bookmarkStart w:id="77" w:name="_Toc184308098"/>
      <w:bookmarkEnd w:id="77"/>
      <w:bookmarkStart w:id="78" w:name="_Toc184310319"/>
      <w:bookmarkEnd w:id="78"/>
      <w:bookmarkStart w:id="79" w:name="_Toc184314445"/>
      <w:bookmarkEnd w:id="79"/>
      <w:bookmarkStart w:id="80" w:name="_Toc184308100"/>
      <w:bookmarkEnd w:id="80"/>
      <w:bookmarkStart w:id="81" w:name="_Toc184314446"/>
      <w:bookmarkEnd w:id="81"/>
      <w:bookmarkStart w:id="82" w:name="_Toc184310307"/>
      <w:bookmarkEnd w:id="82"/>
      <w:bookmarkStart w:id="83" w:name="_Toc184308067"/>
      <w:bookmarkEnd w:id="83"/>
      <w:bookmarkStart w:id="84" w:name="_Toc184312111"/>
      <w:bookmarkEnd w:id="84"/>
      <w:bookmarkStart w:id="85" w:name="_Toc184314415"/>
      <w:bookmarkEnd w:id="85"/>
      <w:bookmarkStart w:id="86" w:name="_Toc184313296"/>
      <w:bookmarkEnd w:id="86"/>
      <w:bookmarkStart w:id="87" w:name="_Toc184314453"/>
      <w:bookmarkEnd w:id="87"/>
      <w:bookmarkStart w:id="88" w:name="_Toc184313256"/>
      <w:bookmarkEnd w:id="88"/>
      <w:bookmarkStart w:id="89" w:name="_Toc184313243"/>
      <w:bookmarkEnd w:id="89"/>
      <w:bookmarkStart w:id="90" w:name="_Toc184313261"/>
      <w:bookmarkEnd w:id="90"/>
      <w:bookmarkStart w:id="91" w:name="_Toc184313241"/>
      <w:bookmarkEnd w:id="91"/>
      <w:bookmarkStart w:id="92" w:name="_Toc184314412"/>
      <w:bookmarkEnd w:id="92"/>
      <w:bookmarkStart w:id="93" w:name="_Toc184308080"/>
      <w:bookmarkEnd w:id="93"/>
      <w:bookmarkStart w:id="94" w:name="_Toc184314410"/>
      <w:bookmarkEnd w:id="94"/>
      <w:bookmarkStart w:id="95" w:name="_Toc184313279"/>
      <w:bookmarkEnd w:id="95"/>
      <w:bookmarkStart w:id="96" w:name="_Toc184314420"/>
      <w:bookmarkEnd w:id="96"/>
      <w:bookmarkStart w:id="97" w:name="_Toc184310277"/>
      <w:bookmarkEnd w:id="97"/>
      <w:bookmarkStart w:id="98" w:name="_Toc184308061"/>
      <w:bookmarkEnd w:id="98"/>
      <w:bookmarkStart w:id="99" w:name="_Toc184310309"/>
      <w:bookmarkEnd w:id="99"/>
      <w:bookmarkStart w:id="100" w:name="_Toc184313250"/>
      <w:bookmarkEnd w:id="100"/>
      <w:bookmarkStart w:id="101" w:name="_Toc184308083"/>
      <w:bookmarkEnd w:id="101"/>
      <w:bookmarkStart w:id="102" w:name="_Toc184310311"/>
      <w:bookmarkEnd w:id="102"/>
      <w:bookmarkStart w:id="103" w:name="_Toc184312102"/>
      <w:bookmarkEnd w:id="103"/>
      <w:bookmarkStart w:id="104" w:name="_Toc184314452"/>
      <w:bookmarkEnd w:id="104"/>
      <w:bookmarkStart w:id="105" w:name="_Toc184308091"/>
      <w:bookmarkEnd w:id="105"/>
      <w:bookmarkStart w:id="106" w:name="_Toc184314472"/>
      <w:bookmarkEnd w:id="106"/>
      <w:bookmarkStart w:id="107" w:name="_Toc184308095"/>
      <w:bookmarkEnd w:id="107"/>
      <w:bookmarkStart w:id="108" w:name="_Toc184310318"/>
      <w:bookmarkEnd w:id="108"/>
      <w:bookmarkStart w:id="109" w:name="_Toc184308063"/>
      <w:bookmarkEnd w:id="109"/>
      <w:bookmarkStart w:id="110" w:name="_Toc184312128"/>
      <w:bookmarkEnd w:id="110"/>
      <w:bookmarkStart w:id="111" w:name="_Toc184310279"/>
      <w:bookmarkEnd w:id="111"/>
      <w:bookmarkStart w:id="112" w:name="_Toc184313268"/>
      <w:bookmarkEnd w:id="112"/>
      <w:bookmarkStart w:id="113" w:name="_Toc184310340"/>
      <w:bookmarkEnd w:id="113"/>
      <w:bookmarkStart w:id="114" w:name="_Toc184314470"/>
      <w:bookmarkEnd w:id="114"/>
      <w:bookmarkStart w:id="115" w:name="_Toc184314465"/>
      <w:bookmarkEnd w:id="115"/>
      <w:bookmarkStart w:id="116" w:name="_Toc184313252"/>
      <w:bookmarkEnd w:id="116"/>
      <w:bookmarkStart w:id="117" w:name="_Toc184312107"/>
      <w:bookmarkEnd w:id="117"/>
      <w:bookmarkStart w:id="118" w:name="_Toc184312109"/>
      <w:bookmarkEnd w:id="118"/>
      <w:bookmarkStart w:id="119" w:name="_Toc184312119"/>
      <w:bookmarkEnd w:id="119"/>
      <w:bookmarkStart w:id="120" w:name="_Toc184308062"/>
      <w:bookmarkEnd w:id="120"/>
      <w:bookmarkStart w:id="121" w:name="_Toc184310283"/>
      <w:bookmarkEnd w:id="121"/>
      <w:bookmarkStart w:id="122" w:name="_Toc184312139"/>
      <w:bookmarkEnd w:id="122"/>
      <w:bookmarkStart w:id="123" w:name="_Toc184312136"/>
      <w:bookmarkEnd w:id="123"/>
      <w:bookmarkStart w:id="124" w:name="_Toc184312134"/>
      <w:bookmarkEnd w:id="124"/>
      <w:bookmarkStart w:id="125" w:name="_Toc184312090"/>
      <w:bookmarkEnd w:id="125"/>
      <w:bookmarkStart w:id="126" w:name="_Toc184310302"/>
      <w:bookmarkEnd w:id="126"/>
      <w:bookmarkStart w:id="127" w:name="_Toc184312074"/>
      <w:bookmarkEnd w:id="127"/>
      <w:bookmarkStart w:id="128" w:name="_Toc184313266"/>
      <w:bookmarkEnd w:id="128"/>
      <w:bookmarkStart w:id="129" w:name="_Toc184312100"/>
      <w:bookmarkEnd w:id="129"/>
      <w:bookmarkStart w:id="130" w:name="_Toc184308066"/>
      <w:bookmarkEnd w:id="130"/>
      <w:bookmarkStart w:id="131" w:name="_Toc184313244"/>
      <w:bookmarkEnd w:id="131"/>
      <w:bookmarkStart w:id="132" w:name="_Toc184310325"/>
      <w:bookmarkEnd w:id="132"/>
      <w:bookmarkStart w:id="133" w:name="_Toc184308059"/>
      <w:bookmarkEnd w:id="133"/>
      <w:bookmarkStart w:id="134" w:name="_Toc184314417"/>
      <w:bookmarkEnd w:id="134"/>
      <w:bookmarkStart w:id="135" w:name="_Toc184308039"/>
      <w:bookmarkEnd w:id="135"/>
      <w:bookmarkStart w:id="136" w:name="_Toc184310322"/>
      <w:bookmarkEnd w:id="136"/>
      <w:bookmarkStart w:id="137" w:name="_Toc184312072"/>
      <w:bookmarkEnd w:id="137"/>
      <w:bookmarkStart w:id="138" w:name="_Toc184310326"/>
      <w:bookmarkEnd w:id="138"/>
      <w:bookmarkStart w:id="139" w:name="_Toc184314441"/>
      <w:bookmarkEnd w:id="139"/>
      <w:bookmarkStart w:id="140" w:name="_Toc184308049"/>
      <w:bookmarkEnd w:id="140"/>
      <w:bookmarkStart w:id="141" w:name="_Toc184310289"/>
      <w:bookmarkEnd w:id="141"/>
      <w:bookmarkStart w:id="142" w:name="_Toc184312105"/>
      <w:bookmarkEnd w:id="142"/>
      <w:bookmarkStart w:id="143" w:name="_Toc184310273"/>
      <w:bookmarkEnd w:id="143"/>
      <w:bookmarkStart w:id="144" w:name="_Toc184308040"/>
      <w:bookmarkEnd w:id="144"/>
      <w:bookmarkStart w:id="145" w:name="_Toc184310330"/>
      <w:bookmarkEnd w:id="145"/>
      <w:bookmarkStart w:id="146" w:name="_Toc184314482"/>
      <w:bookmarkEnd w:id="146"/>
      <w:bookmarkStart w:id="147" w:name="_Toc184310278"/>
      <w:bookmarkEnd w:id="147"/>
      <w:bookmarkStart w:id="148" w:name="_Toc184313294"/>
      <w:bookmarkEnd w:id="148"/>
      <w:bookmarkStart w:id="149" w:name="_Toc184313293"/>
      <w:bookmarkEnd w:id="149"/>
      <w:bookmarkStart w:id="150" w:name="_Toc184308089"/>
      <w:bookmarkEnd w:id="150"/>
      <w:bookmarkStart w:id="151" w:name="_Toc184314421"/>
      <w:bookmarkEnd w:id="151"/>
      <w:bookmarkStart w:id="152" w:name="_Toc184314428"/>
      <w:bookmarkEnd w:id="152"/>
      <w:bookmarkStart w:id="153" w:name="_Toc184308037"/>
      <w:bookmarkEnd w:id="153"/>
      <w:bookmarkStart w:id="154" w:name="_Toc184313278"/>
      <w:bookmarkEnd w:id="154"/>
      <w:bookmarkStart w:id="155" w:name="_Toc184310299"/>
      <w:bookmarkEnd w:id="155"/>
      <w:bookmarkStart w:id="156" w:name="_Toc184314457"/>
      <w:bookmarkEnd w:id="156"/>
      <w:bookmarkStart w:id="157" w:name="_Toc184312131"/>
      <w:bookmarkEnd w:id="157"/>
      <w:bookmarkStart w:id="158" w:name="_Toc184308047"/>
      <w:bookmarkEnd w:id="158"/>
      <w:bookmarkStart w:id="159" w:name="_Toc184313300"/>
      <w:bookmarkEnd w:id="159"/>
      <w:bookmarkStart w:id="160" w:name="_Toc184310308"/>
      <w:bookmarkEnd w:id="160"/>
      <w:bookmarkStart w:id="161" w:name="_Toc184310312"/>
      <w:bookmarkEnd w:id="161"/>
      <w:bookmarkStart w:id="162" w:name="_Toc184308084"/>
      <w:bookmarkEnd w:id="162"/>
      <w:bookmarkStart w:id="163" w:name="_Toc184310301"/>
      <w:bookmarkEnd w:id="163"/>
      <w:bookmarkStart w:id="164" w:name="_Toc184312117"/>
      <w:bookmarkEnd w:id="164"/>
      <w:bookmarkStart w:id="165" w:name="_Toc184308099"/>
      <w:bookmarkEnd w:id="165"/>
      <w:bookmarkStart w:id="166" w:name="_Toc184313275"/>
      <w:bookmarkEnd w:id="166"/>
      <w:bookmarkStart w:id="167" w:name="_Toc184312084"/>
      <w:bookmarkEnd w:id="167"/>
      <w:bookmarkStart w:id="168" w:name="_Toc184314436"/>
      <w:bookmarkEnd w:id="168"/>
      <w:bookmarkStart w:id="169" w:name="_Toc184310291"/>
      <w:bookmarkEnd w:id="169"/>
      <w:bookmarkStart w:id="170" w:name="_Toc184314450"/>
      <w:bookmarkEnd w:id="170"/>
      <w:bookmarkStart w:id="171" w:name="_Toc184313251"/>
      <w:bookmarkEnd w:id="171"/>
      <w:bookmarkStart w:id="172" w:name="_Toc184313248"/>
      <w:bookmarkEnd w:id="172"/>
      <w:bookmarkStart w:id="173" w:name="_Toc184312137"/>
      <w:bookmarkEnd w:id="173"/>
      <w:bookmarkStart w:id="174" w:name="_Toc184310293"/>
      <w:bookmarkEnd w:id="174"/>
      <w:bookmarkStart w:id="175" w:name="_Toc184312116"/>
      <w:bookmarkEnd w:id="175"/>
      <w:bookmarkStart w:id="176" w:name="_Toc184314475"/>
      <w:bookmarkEnd w:id="176"/>
      <w:bookmarkStart w:id="177" w:name="_Toc184314466"/>
      <w:bookmarkEnd w:id="177"/>
      <w:bookmarkStart w:id="178" w:name="_Toc184310280"/>
      <w:bookmarkEnd w:id="178"/>
      <w:bookmarkStart w:id="179" w:name="_Toc184313280"/>
      <w:bookmarkEnd w:id="179"/>
      <w:bookmarkStart w:id="180" w:name="_Toc184308065"/>
      <w:bookmarkEnd w:id="180"/>
      <w:bookmarkStart w:id="181" w:name="_Toc184312138"/>
      <w:bookmarkEnd w:id="181"/>
      <w:bookmarkStart w:id="182" w:name="_Toc184312121"/>
      <w:bookmarkEnd w:id="182"/>
      <w:bookmarkStart w:id="183" w:name="_Toc184314454"/>
      <w:bookmarkEnd w:id="183"/>
      <w:bookmarkStart w:id="184" w:name="_Toc184308104"/>
      <w:bookmarkEnd w:id="184"/>
      <w:bookmarkStart w:id="185" w:name="_Toc184313292"/>
      <w:bookmarkEnd w:id="185"/>
      <w:bookmarkStart w:id="186" w:name="_Toc184312069"/>
      <w:bookmarkEnd w:id="186"/>
      <w:bookmarkStart w:id="187" w:name="_Toc184312101"/>
      <w:bookmarkEnd w:id="187"/>
      <w:bookmarkStart w:id="188" w:name="_Toc184314451"/>
      <w:bookmarkEnd w:id="188"/>
      <w:bookmarkStart w:id="189" w:name="_Toc184308051"/>
      <w:bookmarkEnd w:id="189"/>
      <w:bookmarkStart w:id="190" w:name="_Toc184313271"/>
      <w:bookmarkEnd w:id="190"/>
      <w:bookmarkStart w:id="191" w:name="_Toc184314464"/>
      <w:bookmarkEnd w:id="191"/>
      <w:bookmarkStart w:id="192" w:name="_Toc184310329"/>
      <w:bookmarkEnd w:id="192"/>
      <w:bookmarkStart w:id="193" w:name="_Toc184314474"/>
      <w:bookmarkEnd w:id="193"/>
      <w:bookmarkStart w:id="194" w:name="_Toc184314414"/>
      <w:bookmarkEnd w:id="194"/>
      <w:bookmarkStart w:id="195" w:name="_Toc184308087"/>
      <w:bookmarkEnd w:id="195"/>
      <w:bookmarkStart w:id="196" w:name="_Toc184312087"/>
      <w:bookmarkEnd w:id="196"/>
      <w:bookmarkStart w:id="197" w:name="_Toc184312079"/>
      <w:bookmarkEnd w:id="197"/>
      <w:bookmarkStart w:id="198" w:name="_Toc184312088"/>
      <w:bookmarkEnd w:id="198"/>
      <w:bookmarkStart w:id="199" w:name="_Toc184310328"/>
      <w:bookmarkEnd w:id="199"/>
      <w:bookmarkStart w:id="200" w:name="_Toc184308069"/>
      <w:bookmarkEnd w:id="200"/>
      <w:bookmarkStart w:id="201" w:name="_Toc184308041"/>
      <w:bookmarkEnd w:id="201"/>
      <w:bookmarkStart w:id="202" w:name="_Toc184308038"/>
      <w:bookmarkEnd w:id="202"/>
      <w:bookmarkStart w:id="203" w:name="_Toc184312092"/>
      <w:bookmarkEnd w:id="203"/>
      <w:bookmarkStart w:id="204" w:name="_Toc184314443"/>
      <w:bookmarkEnd w:id="204"/>
      <w:bookmarkStart w:id="205" w:name="_Toc184312125"/>
      <w:bookmarkEnd w:id="205"/>
      <w:bookmarkStart w:id="206" w:name="_Toc184312126"/>
      <w:bookmarkEnd w:id="206"/>
      <w:bookmarkStart w:id="207" w:name="_Toc184310315"/>
      <w:bookmarkEnd w:id="207"/>
      <w:bookmarkStart w:id="208" w:name="_Toc184310320"/>
      <w:bookmarkEnd w:id="208"/>
      <w:bookmarkStart w:id="209" w:name="_Toc184314419"/>
      <w:bookmarkEnd w:id="209"/>
      <w:bookmarkStart w:id="210" w:name="_Toc184314440"/>
      <w:bookmarkEnd w:id="210"/>
      <w:bookmarkStart w:id="211" w:name="_Toc184308102"/>
      <w:bookmarkEnd w:id="211"/>
      <w:bookmarkStart w:id="212" w:name="_Toc184314469"/>
      <w:bookmarkEnd w:id="212"/>
      <w:bookmarkStart w:id="213" w:name="_Toc184313297"/>
      <w:bookmarkEnd w:id="213"/>
      <w:bookmarkStart w:id="214" w:name="_Toc184314458"/>
      <w:bookmarkEnd w:id="214"/>
      <w:bookmarkStart w:id="215" w:name="_Toc184308042"/>
      <w:bookmarkEnd w:id="215"/>
      <w:bookmarkStart w:id="216" w:name="_Toc184310332"/>
      <w:bookmarkEnd w:id="216"/>
      <w:bookmarkStart w:id="217" w:name="_Toc184314427"/>
      <w:bookmarkEnd w:id="217"/>
      <w:bookmarkStart w:id="218" w:name="_Toc184310282"/>
      <w:bookmarkEnd w:id="218"/>
      <w:bookmarkStart w:id="219" w:name="_Toc184314430"/>
      <w:bookmarkEnd w:id="219"/>
      <w:bookmarkStart w:id="220" w:name="_Toc184313298"/>
      <w:bookmarkEnd w:id="220"/>
      <w:bookmarkStart w:id="221" w:name="_Toc184310337"/>
      <w:bookmarkEnd w:id="221"/>
      <w:bookmarkStart w:id="222" w:name="_Toc184308050"/>
      <w:bookmarkEnd w:id="222"/>
      <w:bookmarkStart w:id="223" w:name="_Toc184313285"/>
      <w:bookmarkEnd w:id="223"/>
      <w:bookmarkStart w:id="224" w:name="_Toc184310341"/>
      <w:bookmarkEnd w:id="224"/>
      <w:bookmarkStart w:id="225" w:name="_Toc184308081"/>
      <w:bookmarkEnd w:id="225"/>
      <w:bookmarkStart w:id="226" w:name="_Toc184308057"/>
      <w:bookmarkEnd w:id="226"/>
      <w:bookmarkStart w:id="227" w:name="_Toc184310294"/>
      <w:bookmarkEnd w:id="227"/>
      <w:bookmarkStart w:id="228" w:name="_Toc184312122"/>
      <w:bookmarkEnd w:id="228"/>
      <w:bookmarkStart w:id="229" w:name="_Toc184312082"/>
      <w:bookmarkEnd w:id="229"/>
      <w:bookmarkStart w:id="230" w:name="_Toc184312108"/>
      <w:bookmarkEnd w:id="230"/>
      <w:bookmarkStart w:id="231" w:name="_Toc184313255"/>
      <w:bookmarkEnd w:id="231"/>
      <w:bookmarkStart w:id="232" w:name="_Toc184314422"/>
      <w:bookmarkEnd w:id="232"/>
      <w:bookmarkStart w:id="233" w:name="_Toc184313295"/>
      <w:bookmarkEnd w:id="233"/>
      <w:bookmarkStart w:id="234" w:name="_Toc184313307"/>
      <w:bookmarkEnd w:id="234"/>
      <w:bookmarkStart w:id="235" w:name="_Toc184312076"/>
      <w:bookmarkEnd w:id="235"/>
      <w:bookmarkStart w:id="236" w:name="_Toc184314460"/>
      <w:bookmarkEnd w:id="236"/>
      <w:bookmarkStart w:id="237" w:name="_Toc184312112"/>
      <w:bookmarkEnd w:id="237"/>
      <w:bookmarkStart w:id="238" w:name="_Toc184314463"/>
      <w:bookmarkEnd w:id="238"/>
      <w:bookmarkStart w:id="239" w:name="_Toc184313263"/>
      <w:bookmarkEnd w:id="239"/>
      <w:bookmarkStart w:id="240" w:name="_Toc184313302"/>
      <w:bookmarkEnd w:id="240"/>
      <w:bookmarkStart w:id="241" w:name="_Toc184308105"/>
      <w:bookmarkEnd w:id="241"/>
      <w:bookmarkStart w:id="242" w:name="_Toc184313290"/>
      <w:bookmarkEnd w:id="242"/>
      <w:bookmarkStart w:id="243" w:name="_Toc184308055"/>
      <w:bookmarkEnd w:id="243"/>
      <w:bookmarkStart w:id="244" w:name="_Toc184312068"/>
      <w:bookmarkEnd w:id="244"/>
      <w:bookmarkStart w:id="245" w:name="_Toc184308060"/>
      <w:bookmarkEnd w:id="245"/>
      <w:bookmarkStart w:id="246" w:name="_Toc184313309"/>
      <w:bookmarkEnd w:id="246"/>
      <w:bookmarkStart w:id="247" w:name="_Toc184312130"/>
      <w:bookmarkEnd w:id="247"/>
      <w:bookmarkStart w:id="248" w:name="_Toc184308054"/>
      <w:bookmarkEnd w:id="248"/>
      <w:bookmarkStart w:id="249" w:name="_Toc184308044"/>
      <w:bookmarkEnd w:id="249"/>
      <w:bookmarkStart w:id="250" w:name="_Toc184314448"/>
      <w:bookmarkEnd w:id="250"/>
      <w:bookmarkStart w:id="251" w:name="_Toc184308082"/>
      <w:bookmarkEnd w:id="251"/>
      <w:bookmarkStart w:id="252" w:name="_Toc184310300"/>
      <w:bookmarkEnd w:id="252"/>
      <w:bookmarkStart w:id="253" w:name="_Toc184308107"/>
      <w:bookmarkEnd w:id="253"/>
      <w:bookmarkStart w:id="254" w:name="_Toc184308073"/>
      <w:bookmarkEnd w:id="254"/>
      <w:bookmarkStart w:id="255" w:name="_Toc184308079"/>
      <w:bookmarkEnd w:id="255"/>
      <w:bookmarkStart w:id="256" w:name="_Toc184308048"/>
      <w:bookmarkEnd w:id="256"/>
      <w:bookmarkStart w:id="257" w:name="_Toc184308052"/>
      <w:bookmarkEnd w:id="257"/>
      <w:bookmarkStart w:id="258" w:name="_Toc184310331"/>
      <w:bookmarkEnd w:id="258"/>
      <w:bookmarkStart w:id="259" w:name="_Toc184310298"/>
      <w:bookmarkEnd w:id="259"/>
      <w:bookmarkStart w:id="260" w:name="_Toc184310290"/>
      <w:bookmarkEnd w:id="260"/>
      <w:bookmarkStart w:id="261" w:name="_Toc184308064"/>
      <w:bookmarkEnd w:id="261"/>
      <w:bookmarkStart w:id="262" w:name="_Toc184313303"/>
      <w:bookmarkEnd w:id="262"/>
      <w:bookmarkStart w:id="263" w:name="_Toc184313240"/>
      <w:bookmarkEnd w:id="263"/>
      <w:bookmarkStart w:id="264" w:name="_Toc184313258"/>
      <w:bookmarkEnd w:id="264"/>
      <w:bookmarkStart w:id="265" w:name="_Toc184312075"/>
      <w:bookmarkEnd w:id="265"/>
      <w:bookmarkStart w:id="266" w:name="_Toc184313267"/>
      <w:bookmarkEnd w:id="266"/>
      <w:bookmarkStart w:id="267" w:name="_Toc184314437"/>
      <w:bookmarkEnd w:id="267"/>
      <w:bookmarkStart w:id="268" w:name="_Toc184310317"/>
      <w:bookmarkEnd w:id="268"/>
      <w:bookmarkStart w:id="269" w:name="_Toc184308046"/>
      <w:bookmarkEnd w:id="269"/>
      <w:bookmarkStart w:id="270" w:name="_Toc184314473"/>
      <w:bookmarkEnd w:id="270"/>
      <w:bookmarkStart w:id="271" w:name="_Toc184312094"/>
      <w:bookmarkEnd w:id="271"/>
      <w:bookmarkStart w:id="272" w:name="_Toc184312098"/>
      <w:bookmarkEnd w:id="272"/>
      <w:bookmarkStart w:id="273" w:name="_Toc184313284"/>
      <w:bookmarkEnd w:id="273"/>
      <w:bookmarkStart w:id="274" w:name="_Toc184314449"/>
      <w:bookmarkEnd w:id="274"/>
      <w:bookmarkStart w:id="275" w:name="_Toc184308045"/>
      <w:bookmarkEnd w:id="275"/>
      <w:bookmarkStart w:id="276" w:name="_Toc184308093"/>
      <w:bookmarkEnd w:id="276"/>
      <w:bookmarkStart w:id="277" w:name="_Toc184308094"/>
      <w:bookmarkEnd w:id="277"/>
      <w:bookmarkStart w:id="278" w:name="_Toc184313287"/>
      <w:bookmarkEnd w:id="278"/>
      <w:bookmarkStart w:id="279" w:name="_Toc184308077"/>
      <w:bookmarkEnd w:id="279"/>
      <w:bookmarkStart w:id="280" w:name="_Toc184314411"/>
      <w:bookmarkEnd w:id="280"/>
      <w:bookmarkStart w:id="281" w:name="_Toc184313262"/>
      <w:bookmarkEnd w:id="281"/>
      <w:bookmarkStart w:id="282" w:name="_Toc184312077"/>
      <w:bookmarkEnd w:id="282"/>
      <w:bookmarkStart w:id="283" w:name="_Toc184312093"/>
      <w:bookmarkEnd w:id="283"/>
      <w:bookmarkStart w:id="284" w:name="_Toc184313272"/>
      <w:bookmarkEnd w:id="284"/>
      <w:bookmarkStart w:id="285" w:name="_Toc184310285"/>
      <w:bookmarkEnd w:id="285"/>
      <w:bookmarkStart w:id="286" w:name="_Toc184314459"/>
      <w:bookmarkEnd w:id="286"/>
      <w:bookmarkStart w:id="287" w:name="_Toc184314431"/>
      <w:bookmarkEnd w:id="287"/>
      <w:bookmarkStart w:id="288" w:name="_Toc184313310"/>
      <w:bookmarkEnd w:id="288"/>
      <w:bookmarkStart w:id="289" w:name="_Toc184314456"/>
      <w:bookmarkEnd w:id="289"/>
      <w:bookmarkStart w:id="290" w:name="_Toc184312124"/>
      <w:bookmarkEnd w:id="290"/>
      <w:bookmarkStart w:id="291" w:name="_Toc184314438"/>
      <w:bookmarkEnd w:id="291"/>
      <w:bookmarkStart w:id="292" w:name="_Toc184308092"/>
      <w:bookmarkEnd w:id="292"/>
      <w:bookmarkStart w:id="293" w:name="_Toc184312110"/>
      <w:bookmarkEnd w:id="293"/>
      <w:bookmarkStart w:id="294" w:name="_Toc184312133"/>
      <w:bookmarkEnd w:id="294"/>
      <w:bookmarkStart w:id="295" w:name="_Toc184312096"/>
      <w:bookmarkEnd w:id="295"/>
      <w:bookmarkStart w:id="296" w:name="_Toc184313246"/>
      <w:bookmarkEnd w:id="296"/>
      <w:bookmarkStart w:id="297" w:name="_Toc184308036"/>
      <w:bookmarkEnd w:id="297"/>
      <w:bookmarkStart w:id="298" w:name="_Toc184314476"/>
      <w:bookmarkEnd w:id="298"/>
      <w:bookmarkStart w:id="299" w:name="_Toc184314418"/>
      <w:bookmarkEnd w:id="299"/>
      <w:bookmarkStart w:id="300" w:name="_Toc184312086"/>
      <w:bookmarkEnd w:id="300"/>
      <w:bookmarkStart w:id="301" w:name="_Toc184314426"/>
      <w:bookmarkEnd w:id="301"/>
      <w:bookmarkStart w:id="302" w:name="_Toc184310292"/>
      <w:bookmarkEnd w:id="302"/>
      <w:bookmarkStart w:id="303" w:name="_Toc184314447"/>
      <w:bookmarkEnd w:id="303"/>
      <w:bookmarkStart w:id="304" w:name="_Toc184314479"/>
      <w:bookmarkEnd w:id="304"/>
      <w:bookmarkStart w:id="305" w:name="_Toc184310295"/>
      <w:bookmarkEnd w:id="305"/>
      <w:bookmarkStart w:id="306" w:name="_Toc184314477"/>
      <w:bookmarkEnd w:id="306"/>
      <w:bookmarkStart w:id="307" w:name="_Toc184314461"/>
      <w:bookmarkEnd w:id="307"/>
      <w:bookmarkStart w:id="308" w:name="_Toc184312099"/>
      <w:bookmarkEnd w:id="308"/>
      <w:bookmarkStart w:id="309" w:name="_Toc184310314"/>
      <w:bookmarkEnd w:id="309"/>
      <w:bookmarkStart w:id="310" w:name="_Toc184314432"/>
      <w:bookmarkEnd w:id="310"/>
      <w:bookmarkStart w:id="311" w:name="_Toc184308086"/>
      <w:bookmarkEnd w:id="311"/>
      <w:bookmarkStart w:id="312" w:name="_Toc184313260"/>
      <w:bookmarkEnd w:id="312"/>
      <w:bookmarkStart w:id="313" w:name="_Toc184313265"/>
      <w:bookmarkEnd w:id="313"/>
      <w:bookmarkStart w:id="314" w:name="_Toc184310305"/>
      <w:bookmarkEnd w:id="314"/>
      <w:bookmarkStart w:id="315" w:name="_Toc184310296"/>
      <w:bookmarkEnd w:id="315"/>
      <w:bookmarkStart w:id="316" w:name="_Toc184312123"/>
      <w:bookmarkEnd w:id="316"/>
      <w:bookmarkStart w:id="317" w:name="_Toc184312083"/>
      <w:bookmarkEnd w:id="317"/>
      <w:bookmarkStart w:id="318" w:name="_Toc184313289"/>
      <w:bookmarkEnd w:id="318"/>
      <w:bookmarkStart w:id="319" w:name="_Toc184310287"/>
      <w:bookmarkEnd w:id="319"/>
      <w:bookmarkStart w:id="320" w:name="_Toc184310303"/>
      <w:bookmarkEnd w:id="320"/>
      <w:bookmarkStart w:id="321" w:name="_Toc184312089"/>
      <w:bookmarkEnd w:id="321"/>
      <w:bookmarkStart w:id="322" w:name="_Toc184313249"/>
      <w:bookmarkEnd w:id="322"/>
      <w:bookmarkStart w:id="323" w:name="_Toc184310297"/>
      <w:bookmarkEnd w:id="323"/>
      <w:bookmarkStart w:id="324" w:name="_Toc184312078"/>
      <w:bookmarkEnd w:id="324"/>
      <w:bookmarkStart w:id="325" w:name="_Toc184312067"/>
      <w:bookmarkEnd w:id="325"/>
      <w:bookmarkStart w:id="326" w:name="_Toc184313301"/>
      <w:bookmarkEnd w:id="326"/>
      <w:bookmarkStart w:id="327" w:name="_Toc184312135"/>
      <w:bookmarkEnd w:id="327"/>
      <w:bookmarkStart w:id="328" w:name="_Toc184313273"/>
      <w:bookmarkEnd w:id="328"/>
      <w:bookmarkStart w:id="329" w:name="_Toc184310310"/>
      <w:bookmarkEnd w:id="329"/>
      <w:bookmarkStart w:id="330" w:name="_Toc184308088"/>
      <w:bookmarkEnd w:id="330"/>
      <w:bookmarkStart w:id="331" w:name="_Toc184308076"/>
      <w:bookmarkEnd w:id="331"/>
      <w:bookmarkStart w:id="332" w:name="_Toc184310327"/>
      <w:bookmarkEnd w:id="332"/>
      <w:bookmarkStart w:id="333" w:name="_Toc184313281"/>
      <w:bookmarkEnd w:id="333"/>
      <w:bookmarkStart w:id="334" w:name="_Toc184308074"/>
      <w:bookmarkEnd w:id="334"/>
      <w:bookmarkStart w:id="335" w:name="_Toc184308101"/>
      <w:bookmarkEnd w:id="335"/>
      <w:bookmarkStart w:id="336" w:name="_Toc184314433"/>
      <w:bookmarkEnd w:id="336"/>
      <w:bookmarkStart w:id="337" w:name="_Toc184313277"/>
      <w:bookmarkEnd w:id="337"/>
      <w:bookmarkStart w:id="338" w:name="_Toc184308096"/>
      <w:bookmarkEnd w:id="338"/>
      <w:bookmarkStart w:id="339" w:name="_Toc184310335"/>
      <w:bookmarkEnd w:id="339"/>
      <w:bookmarkStart w:id="340" w:name="_Toc184308072"/>
      <w:bookmarkEnd w:id="340"/>
      <w:bookmarkStart w:id="341" w:name="_Toc184314478"/>
      <w:bookmarkEnd w:id="341"/>
      <w:bookmarkStart w:id="342" w:name="_Toc184313239"/>
      <w:bookmarkEnd w:id="342"/>
      <w:bookmarkStart w:id="343" w:name="_Toc184310286"/>
      <w:bookmarkEnd w:id="343"/>
      <w:bookmarkStart w:id="344" w:name="_Toc184313257"/>
      <w:bookmarkEnd w:id="344"/>
      <w:bookmarkStart w:id="345" w:name="_Toc184308078"/>
      <w:bookmarkEnd w:id="345"/>
      <w:bookmarkStart w:id="346" w:name="_Toc184308053"/>
      <w:bookmarkEnd w:id="346"/>
      <w:bookmarkStart w:id="347" w:name="_Toc184313276"/>
      <w:bookmarkEnd w:id="347"/>
      <w:bookmarkStart w:id="348" w:name="_Toc184314434"/>
      <w:bookmarkEnd w:id="348"/>
      <w:bookmarkStart w:id="349" w:name="_Toc184308106"/>
      <w:bookmarkEnd w:id="349"/>
      <w:bookmarkStart w:id="350" w:name="_Toc184313259"/>
      <w:bookmarkEnd w:id="350"/>
      <w:bookmarkStart w:id="351" w:name="_Toc184312120"/>
      <w:bookmarkEnd w:id="351"/>
      <w:bookmarkStart w:id="352" w:name="_Toc184313245"/>
      <w:bookmarkEnd w:id="352"/>
      <w:bookmarkStart w:id="353" w:name="_Toc184312104"/>
      <w:bookmarkEnd w:id="353"/>
      <w:bookmarkStart w:id="354" w:name="_Toc184310343"/>
      <w:bookmarkEnd w:id="354"/>
      <w:bookmarkStart w:id="355" w:name="_Toc184314467"/>
      <w:bookmarkEnd w:id="355"/>
      <w:bookmarkStart w:id="356" w:name="_Toc184313253"/>
      <w:bookmarkEnd w:id="356"/>
      <w:bookmarkStart w:id="357" w:name="_Toc184313274"/>
      <w:bookmarkEnd w:id="357"/>
      <w:bookmarkStart w:id="358" w:name="_Toc184308058"/>
      <w:bookmarkEnd w:id="358"/>
      <w:bookmarkStart w:id="359" w:name="_Toc184312106"/>
      <w:bookmarkEnd w:id="359"/>
      <w:bookmarkStart w:id="360" w:name="_Toc184310344"/>
      <w:bookmarkEnd w:id="360"/>
      <w:bookmarkStart w:id="361" w:name="_Toc184308085"/>
      <w:bookmarkEnd w:id="361"/>
      <w:bookmarkStart w:id="362" w:name="_Toc184308108"/>
      <w:bookmarkEnd w:id="362"/>
      <w:bookmarkStart w:id="363" w:name="_Toc184312114"/>
      <w:bookmarkEnd w:id="363"/>
      <w:bookmarkStart w:id="364" w:name="_Toc184313282"/>
      <w:bookmarkEnd w:id="364"/>
      <w:bookmarkStart w:id="365" w:name="_Toc184313291"/>
      <w:bookmarkEnd w:id="365"/>
      <w:bookmarkStart w:id="366" w:name="_Toc184313304"/>
      <w:bookmarkEnd w:id="366"/>
      <w:bookmarkStart w:id="367" w:name="_Toc184312115"/>
      <w:bookmarkEnd w:id="367"/>
      <w:bookmarkStart w:id="368" w:name="_Toc184313283"/>
      <w:bookmarkEnd w:id="368"/>
      <w:bookmarkStart w:id="369" w:name="_Toc184312132"/>
      <w:bookmarkEnd w:id="369"/>
      <w:bookmarkStart w:id="370" w:name="_Toc184310275"/>
      <w:bookmarkEnd w:id="370"/>
      <w:bookmarkStart w:id="371" w:name="_Toc184314471"/>
      <w:bookmarkEnd w:id="371"/>
      <w:bookmarkStart w:id="372" w:name="_Toc184310284"/>
      <w:bookmarkEnd w:id="372"/>
      <w:bookmarkStart w:id="373" w:name="_Toc184312097"/>
      <w:bookmarkEnd w:id="373"/>
      <w:bookmarkStart w:id="374" w:name="_Toc184314468"/>
      <w:bookmarkEnd w:id="374"/>
      <w:bookmarkStart w:id="375" w:name="_Toc184314442"/>
      <w:bookmarkEnd w:id="375"/>
      <w:bookmarkStart w:id="376" w:name="_Toc184313269"/>
      <w:bookmarkEnd w:id="376"/>
      <w:bookmarkStart w:id="377" w:name="_Toc184308075"/>
      <w:bookmarkEnd w:id="377"/>
      <w:bookmarkStart w:id="378" w:name="_Toc184312070"/>
      <w:bookmarkEnd w:id="378"/>
      <w:bookmarkStart w:id="379" w:name="_Toc184310323"/>
      <w:bookmarkEnd w:id="379"/>
      <w:bookmarkStart w:id="380" w:name="_Toc184314462"/>
      <w:bookmarkEnd w:id="380"/>
      <w:bookmarkStart w:id="381" w:name="_Toc184310333"/>
      <w:bookmarkEnd w:id="381"/>
      <w:bookmarkStart w:id="382" w:name="_Toc184310313"/>
      <w:bookmarkEnd w:id="382"/>
      <w:bookmarkStart w:id="383" w:name="_Toc184308043"/>
      <w:bookmarkEnd w:id="383"/>
      <w:bookmarkStart w:id="384" w:name="_Toc184310306"/>
      <w:bookmarkEnd w:id="384"/>
      <w:bookmarkStart w:id="385" w:name="_Toc184313305"/>
      <w:bookmarkEnd w:id="385"/>
      <w:bookmarkStart w:id="386" w:name="_Toc184312113"/>
      <w:bookmarkEnd w:id="386"/>
      <w:bookmarkStart w:id="387" w:name="_Toc184312080"/>
      <w:bookmarkEnd w:id="387"/>
      <w:bookmarkStart w:id="388" w:name="_Toc184312085"/>
      <w:bookmarkEnd w:id="388"/>
      <w:bookmarkStart w:id="389" w:name="_Toc184313270"/>
      <w:bookmarkEnd w:id="389"/>
      <w:bookmarkStart w:id="390" w:name="_Toc184313254"/>
      <w:bookmarkEnd w:id="390"/>
      <w:bookmarkStart w:id="391" w:name="_Toc184314423"/>
      <w:bookmarkEnd w:id="391"/>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
          <w:b/>
          <w:color w:val="000000" w:themeColor="text1"/>
          <w:sz w:val="32"/>
          <w:szCs w:val="20"/>
          <w:highlight w:val="none"/>
          <w:lang w:eastAsia="zh-CN"/>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r>
        <w:rPr>
          <w:rFonts w:hint="eastAsia" w:ascii="仿宋" w:hAnsi="仿宋" w:eastAsia="仿宋" w:cs="仿宋"/>
          <w:b/>
          <w:color w:val="000000" w:themeColor="text1"/>
          <w:sz w:val="32"/>
          <w:szCs w:val="20"/>
          <w:highlight w:val="none"/>
          <w:lang w:eastAsia="zh-CN"/>
          <w14:textFill>
            <w14:solidFill>
              <w14:schemeClr w14:val="tx1"/>
            </w14:solidFill>
          </w14:textFill>
        </w:rPr>
        <w:t>（</w:t>
      </w:r>
      <w:r>
        <w:rPr>
          <w:rFonts w:hint="eastAsia" w:ascii="仿宋" w:hAnsi="仿宋" w:eastAsia="仿宋" w:cs="仿宋"/>
          <w:b/>
          <w:color w:val="000000" w:themeColor="text1"/>
          <w:sz w:val="32"/>
          <w:szCs w:val="20"/>
          <w:highlight w:val="none"/>
          <w:lang w:val="en-US" w:eastAsia="zh-CN"/>
          <w14:textFill>
            <w14:solidFill>
              <w14:schemeClr w14:val="tx1"/>
            </w14:solidFill>
          </w14:textFill>
        </w:rPr>
        <w:t>标项一、二、三、四、五</w:t>
      </w:r>
      <w:r>
        <w:rPr>
          <w:rFonts w:hint="eastAsia" w:ascii="仿宋" w:hAnsi="仿宋" w:eastAsia="仿宋" w:cs="仿宋"/>
          <w:b/>
          <w:color w:val="000000" w:themeColor="text1"/>
          <w:sz w:val="32"/>
          <w:szCs w:val="20"/>
          <w:highlight w:val="none"/>
          <w:lang w:eastAsia="zh-CN"/>
          <w14:textFill>
            <w14:solidFill>
              <w14:schemeClr w14:val="tx1"/>
            </w14:solidFill>
          </w14:textFill>
        </w:rPr>
        <w:t>）</w:t>
      </w:r>
    </w:p>
    <w:tbl>
      <w:tblPr>
        <w:tblStyle w:val="6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序号</w:t>
            </w:r>
          </w:p>
        </w:tc>
        <w:tc>
          <w:tcPr>
            <w:tcW w:w="4464"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评标标准</w:t>
            </w:r>
          </w:p>
        </w:tc>
        <w:tc>
          <w:tcPr>
            <w:tcW w:w="851"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权重</w:t>
            </w:r>
          </w:p>
        </w:tc>
        <w:tc>
          <w:tcPr>
            <w:tcW w:w="1134" w:type="dxa"/>
            <w:vAlign w:val="center"/>
          </w:tcPr>
          <w:p>
            <w:pPr>
              <w:snapToGrid w:val="0"/>
              <w:spacing w:before="0" w:beforeAutospacing="0" w:after="0" w:afterAutospacing="0" w:line="360" w:lineRule="auto"/>
              <w:ind w:left="0" w:right="0"/>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主观分/客观分属性</w:t>
            </w:r>
          </w:p>
        </w:tc>
        <w:tc>
          <w:tcPr>
            <w:tcW w:w="1559" w:type="dxa"/>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p>
        </w:tc>
        <w:tc>
          <w:tcPr>
            <w:tcW w:w="4464" w:type="dxa"/>
            <w:vAlign w:val="center"/>
          </w:tcPr>
          <w:p>
            <w:pPr>
              <w:widowControl w:val="0"/>
              <w:wordWrap/>
              <w:adjustRightInd/>
              <w:snapToGrid/>
              <w:spacing w:before="0" w:beforeAutospacing="0" w:after="0" w:afterAutospacing="0" w:line="288" w:lineRule="auto"/>
              <w:ind w:left="0" w:right="0" w:firstLine="0" w:firstLineChars="0"/>
              <w:jc w:val="left"/>
              <w:textAlignment w:val="auto"/>
              <w:rPr>
                <w:rFonts w:hint="eastAsia" w:ascii="仿宋" w:hAnsi="仿宋" w:eastAsia="仿宋" w:cs="仿宋"/>
                <w:color w:val="000000" w:themeColor="text1"/>
                <w:spacing w:val="14"/>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pacing w:val="14"/>
                <w:kern w:val="2"/>
                <w:sz w:val="21"/>
                <w:szCs w:val="21"/>
                <w:highlight w:val="none"/>
                <w:lang w:val="en-US" w:eastAsia="zh-CN" w:bidi="ar-SA"/>
                <w14:textFill>
                  <w14:solidFill>
                    <w14:schemeClr w14:val="tx1"/>
                  </w14:solidFill>
                </w14:textFill>
              </w:rPr>
              <w:t>投标人具有质量管理体系认证、环境管理体系认证、职业健康安全管理体系认证每提供一项得2分，本项目最多得6分。</w:t>
            </w:r>
          </w:p>
          <w:p>
            <w:pPr>
              <w:widowControl w:val="0"/>
              <w:wordWrap/>
              <w:adjustRightInd/>
              <w:snapToGrid/>
              <w:spacing w:before="0" w:beforeAutospacing="0" w:after="0" w:afterAutospacing="0" w:line="288" w:lineRule="auto"/>
              <w:ind w:left="0" w:right="0" w:firstLine="0" w:firstLineChars="0"/>
              <w:jc w:val="left"/>
              <w:textAlignment w:val="auto"/>
              <w:rPr>
                <w:rFonts w:hint="eastAsia" w:ascii="仿宋" w:hAnsi="仿宋" w:eastAsia="仿宋" w:cs="仿宋"/>
                <w:color w:val="000000" w:themeColor="text1"/>
                <w:spacing w:val="14"/>
                <w:kern w:val="2"/>
                <w:sz w:val="21"/>
                <w:szCs w:val="21"/>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（提供相应证明材料的复印件或扫描件并加盖公章，否则不得分）</w:t>
            </w:r>
          </w:p>
        </w:tc>
        <w:tc>
          <w:tcPr>
            <w:tcW w:w="851" w:type="dxa"/>
            <w:vAlign w:val="center"/>
          </w:tcPr>
          <w:p>
            <w:pPr>
              <w:widowControl/>
              <w:wordWrap/>
              <w:adjustRightInd/>
              <w:spacing w:before="0" w:beforeAutospacing="0" w:after="0" w:afterAutospacing="0" w:line="288" w:lineRule="auto"/>
              <w:ind w:left="0" w:right="0" w:firstLine="0" w:firstLineChars="0"/>
              <w:jc w:val="center"/>
              <w:textAlignment w:val="baseline"/>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6</w:t>
            </w:r>
          </w:p>
        </w:tc>
        <w:tc>
          <w:tcPr>
            <w:tcW w:w="1134" w:type="dxa"/>
            <w:vAlign w:val="center"/>
          </w:tcPr>
          <w:p>
            <w:pPr>
              <w:wordWrap/>
              <w:snapToGrid w:val="0"/>
              <w:spacing w:before="0" w:beforeAutospacing="0" w:after="0" w:afterAutospacing="0" w:line="360" w:lineRule="auto"/>
              <w:ind w:left="0" w:right="0"/>
              <w:jc w:val="both"/>
              <w:textAlignment w:val="auto"/>
              <w:rPr>
                <w:rFonts w:hint="eastAsia" w:ascii="仿宋" w:hAnsi="仿宋" w:eastAsia="仿宋" w:cs="仿宋"/>
                <w:bCs/>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客观分</w:t>
            </w:r>
          </w:p>
        </w:tc>
        <w:tc>
          <w:tcPr>
            <w:tcW w:w="1559" w:type="dxa"/>
            <w:vAlign w:val="center"/>
          </w:tcPr>
          <w:p>
            <w:pPr>
              <w:wordWrap/>
              <w:adjustRightInd/>
              <w:spacing w:before="0" w:beforeAutospacing="0" w:after="0" w:afterAutospacing="0" w:line="360" w:lineRule="auto"/>
              <w:ind w:left="0" w:leftChars="0" w:right="0"/>
              <w:jc w:val="both"/>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pacing w:val="14"/>
                <w:kern w:val="2"/>
                <w:sz w:val="21"/>
                <w:szCs w:val="21"/>
                <w:highlight w:val="none"/>
                <w:lang w:val="en-US" w:eastAsia="zh-CN" w:bidi="ar-SA"/>
                <w14:textFill>
                  <w14:solidFill>
                    <w14:schemeClr w14:val="tx1"/>
                  </w14:solidFill>
                </w14:textFill>
              </w:rPr>
              <w:t>企业认证证书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p>
        </w:tc>
        <w:tc>
          <w:tcPr>
            <w:tcW w:w="4464" w:type="dxa"/>
            <w:vAlign w:val="center"/>
          </w:tcPr>
          <w:p>
            <w:pPr>
              <w:widowControl w:val="0"/>
              <w:wordWrap/>
              <w:adjustRightInd/>
              <w:snapToGrid/>
              <w:spacing w:before="0" w:beforeAutospacing="0" w:after="0" w:afterAutospacing="0" w:line="288" w:lineRule="auto"/>
              <w:ind w:left="0" w:right="0" w:firstLine="0" w:firstLineChars="0"/>
              <w:jc w:val="left"/>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自2020年1月1日至投标截止时间（以合同签订时间为准），投标单位有类似项目业绩的，每提供一份类似项目合同得1分，本项最多得1分。</w:t>
            </w:r>
          </w:p>
          <w:p>
            <w:pPr>
              <w:widowControl w:val="0"/>
              <w:wordWrap/>
              <w:adjustRightInd/>
              <w:snapToGrid/>
              <w:spacing w:before="0" w:beforeAutospacing="0" w:after="0" w:afterAutospacing="0" w:line="288" w:lineRule="auto"/>
              <w:ind w:left="0" w:right="0" w:firstLine="0" w:firstLineChars="0"/>
              <w:jc w:val="left"/>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1"/>
                <w:szCs w:val="21"/>
                <w:highlight w:val="none"/>
                <w:lang w:val="en-US" w:eastAsia="zh-CN" w:bidi="ar-SA"/>
                <w14:textFill>
                  <w14:solidFill>
                    <w14:schemeClr w14:val="tx1"/>
                  </w14:solidFill>
                </w14:textFill>
              </w:rPr>
              <w:t>投标文件中提供合同扫描件并加盖公章，否则不得分。</w:t>
            </w:r>
          </w:p>
        </w:tc>
        <w:tc>
          <w:tcPr>
            <w:tcW w:w="851" w:type="dxa"/>
            <w:vAlign w:val="center"/>
          </w:tcPr>
          <w:p>
            <w:pPr>
              <w:pStyle w:val="35"/>
              <w:wordWrap/>
              <w:spacing w:before="0" w:beforeAutospacing="0" w:after="0" w:afterAutospacing="0" w:line="288" w:lineRule="auto"/>
              <w:ind w:left="0" w:right="0" w:firstLine="0" w:firstLineChars="0"/>
              <w:jc w:val="center"/>
              <w:rPr>
                <w:rFonts w:hint="eastAsia" w:ascii="仿宋" w:hAnsi="仿宋" w:eastAsia="仿宋" w:cs="仿宋"/>
                <w:snapToGrid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2"/>
                <w:sz w:val="21"/>
                <w:szCs w:val="21"/>
                <w:highlight w:val="none"/>
                <w:lang w:val="en-US" w:eastAsia="zh-CN" w:bidi="ar-SA"/>
                <w14:textFill>
                  <w14:solidFill>
                    <w14:schemeClr w14:val="tx1"/>
                  </w14:solidFill>
                </w14:textFill>
              </w:rPr>
              <w:t>1</w:t>
            </w:r>
          </w:p>
        </w:tc>
        <w:tc>
          <w:tcPr>
            <w:tcW w:w="1134" w:type="dxa"/>
            <w:vAlign w:val="center"/>
          </w:tcPr>
          <w:p>
            <w:pPr>
              <w:wordWrap/>
              <w:snapToGrid w:val="0"/>
              <w:spacing w:before="0" w:beforeAutospacing="0" w:after="0" w:afterAutospacing="0" w:line="360" w:lineRule="auto"/>
              <w:ind w:left="0" w:right="0"/>
              <w:jc w:val="both"/>
              <w:textAlignment w:val="auto"/>
              <w:rPr>
                <w:rFonts w:hint="eastAsia" w:ascii="仿宋" w:hAnsi="仿宋" w:eastAsia="仿宋" w:cs="仿宋"/>
                <w:bCs/>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客观分</w:t>
            </w:r>
          </w:p>
        </w:tc>
        <w:tc>
          <w:tcPr>
            <w:tcW w:w="1559" w:type="dxa"/>
            <w:vAlign w:val="center"/>
          </w:tcPr>
          <w:p>
            <w:pPr>
              <w:wordWrap/>
              <w:adjustRightInd/>
              <w:spacing w:before="0" w:beforeAutospacing="0" w:after="0" w:afterAutospacing="0" w:line="360" w:lineRule="auto"/>
              <w:ind w:left="0" w:leftChars="0" w:right="0"/>
              <w:jc w:val="both"/>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p>
        </w:tc>
        <w:tc>
          <w:tcPr>
            <w:tcW w:w="4464" w:type="dxa"/>
            <w:vAlign w:val="top"/>
          </w:tcPr>
          <w:p>
            <w:pPr>
              <w:shd w:val="clear" w:color="000000" w:fill="auto"/>
              <w:autoSpaceDE w:val="0"/>
              <w:autoSpaceDN w:val="0"/>
              <w:snapToGrid w:val="0"/>
              <w:spacing w:before="0" w:beforeAutospacing="0" w:after="0" w:afterAutospacing="0"/>
              <w:ind w:left="0" w:right="-105" w:rightChars="-50"/>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①</w:t>
            </w:r>
            <w:r>
              <w:rPr>
                <w:rFonts w:hint="eastAsia" w:ascii="仿宋" w:hAnsi="仿宋" w:eastAsia="仿宋" w:cs="仿宋"/>
                <w:color w:val="000000" w:themeColor="text1"/>
                <w:kern w:val="0"/>
                <w:sz w:val="21"/>
                <w:szCs w:val="21"/>
                <w:highlight w:val="none"/>
                <w14:textFill>
                  <w14:solidFill>
                    <w14:schemeClr w14:val="tx1"/>
                  </w14:solidFill>
                </w14:textFill>
              </w:rPr>
              <w:t>投标人</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拟投入本项目的，</w:t>
            </w:r>
            <w:r>
              <w:rPr>
                <w:rFonts w:hint="eastAsia" w:ascii="仿宋" w:hAnsi="仿宋" w:eastAsia="仿宋" w:cs="仿宋"/>
                <w:color w:val="000000" w:themeColor="text1"/>
                <w:kern w:val="0"/>
                <w:sz w:val="21"/>
                <w:szCs w:val="21"/>
                <w:highlight w:val="none"/>
                <w14:textFill>
                  <w14:solidFill>
                    <w14:schemeClr w14:val="tx1"/>
                  </w14:solidFill>
                </w14:textFill>
              </w:rPr>
              <w:t>自备或租赁</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吸污车</w:t>
            </w:r>
            <w:r>
              <w:rPr>
                <w:rFonts w:hint="eastAsia" w:ascii="仿宋" w:hAnsi="仿宋" w:eastAsia="仿宋" w:cs="仿宋"/>
                <w:color w:val="000000" w:themeColor="text1"/>
                <w:kern w:val="0"/>
                <w:sz w:val="21"/>
                <w:szCs w:val="21"/>
                <w:highlight w:val="none"/>
                <w14:textFill>
                  <w14:solidFill>
                    <w14:schemeClr w14:val="tx1"/>
                  </w14:solidFill>
                </w14:textFill>
              </w:rPr>
              <w:t>，每辆得</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2.5</w:t>
            </w:r>
            <w:r>
              <w:rPr>
                <w:rFonts w:hint="eastAsia" w:ascii="仿宋" w:hAnsi="仿宋" w:eastAsia="仿宋" w:cs="仿宋"/>
                <w:color w:val="000000" w:themeColor="text1"/>
                <w:kern w:val="0"/>
                <w:sz w:val="21"/>
                <w:szCs w:val="21"/>
                <w:highlight w:val="none"/>
                <w14:textFill>
                  <w14:solidFill>
                    <w14:schemeClr w14:val="tx1"/>
                  </w14:solidFill>
                </w14:textFill>
              </w:rPr>
              <w:t>分，最高不超过5分；</w:t>
            </w:r>
          </w:p>
          <w:p>
            <w:pPr>
              <w:shd w:val="clear" w:color="000000" w:fill="auto"/>
              <w:autoSpaceDE w:val="0"/>
              <w:autoSpaceDN w:val="0"/>
              <w:snapToGrid w:val="0"/>
              <w:spacing w:before="0" w:beforeAutospacing="0" w:after="0" w:afterAutospacing="0"/>
              <w:ind w:left="0" w:right="-105" w:rightChars="-5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②</w:t>
            </w:r>
            <w:r>
              <w:rPr>
                <w:rFonts w:hint="eastAsia" w:ascii="仿宋" w:hAnsi="仿宋" w:eastAsia="仿宋" w:cs="仿宋"/>
                <w:color w:val="000000" w:themeColor="text1"/>
                <w:sz w:val="21"/>
                <w:szCs w:val="21"/>
                <w:highlight w:val="none"/>
                <w14:textFill>
                  <w14:solidFill>
                    <w14:schemeClr w14:val="tx1"/>
                  </w14:solidFill>
                </w14:textFill>
              </w:rPr>
              <w:t>投标人</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拟投入本项目的，</w:t>
            </w:r>
            <w:r>
              <w:rPr>
                <w:rFonts w:hint="eastAsia" w:ascii="仿宋" w:hAnsi="仿宋" w:eastAsia="仿宋" w:cs="仿宋"/>
                <w:color w:val="000000" w:themeColor="text1"/>
                <w:kern w:val="0"/>
                <w:sz w:val="21"/>
                <w:szCs w:val="21"/>
                <w:highlight w:val="none"/>
                <w14:textFill>
                  <w14:solidFill>
                    <w14:schemeClr w14:val="tx1"/>
                  </w14:solidFill>
                </w14:textFill>
              </w:rPr>
              <w:t>自备或租赁巡查车，每辆得2.5分，最高不超过5分；</w:t>
            </w:r>
          </w:p>
          <w:p>
            <w:pPr>
              <w:shd w:val="clear" w:color="000000" w:fill="auto"/>
              <w:spacing w:before="0" w:beforeAutospacing="0" w:after="120" w:afterAutospacing="0"/>
              <w:ind w:left="0" w:right="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③</w:t>
            </w:r>
            <w:r>
              <w:rPr>
                <w:rFonts w:hint="eastAsia" w:ascii="仿宋" w:hAnsi="仿宋" w:eastAsia="仿宋" w:cs="仿宋"/>
                <w:color w:val="000000" w:themeColor="text1"/>
                <w:kern w:val="0"/>
                <w:sz w:val="21"/>
                <w:szCs w:val="21"/>
                <w:highlight w:val="none"/>
                <w14:textFill>
                  <w14:solidFill>
                    <w14:schemeClr w14:val="tx1"/>
                  </w14:solidFill>
                </w14:textFill>
              </w:rPr>
              <w:t>投标人</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拟投入本项目的，</w:t>
            </w:r>
            <w:r>
              <w:rPr>
                <w:rFonts w:hint="eastAsia" w:ascii="仿宋" w:hAnsi="仿宋" w:eastAsia="仿宋" w:cs="仿宋"/>
                <w:color w:val="000000" w:themeColor="text1"/>
                <w:kern w:val="0"/>
                <w:sz w:val="21"/>
                <w:szCs w:val="21"/>
                <w:highlight w:val="none"/>
                <w14:textFill>
                  <w14:solidFill>
                    <w14:schemeClr w14:val="tx1"/>
                  </w14:solidFill>
                </w14:textFill>
              </w:rPr>
              <w:t>自备或租赁货车（整备质量1.5T及以上），每辆得</w:t>
            </w:r>
            <w:r>
              <w:rPr>
                <w:rFonts w:hint="eastAsia" w:ascii="仿宋" w:hAnsi="仿宋" w:eastAsia="仿宋" w:cs="仿宋"/>
                <w:color w:val="000000" w:themeColor="text1"/>
                <w:kern w:val="0"/>
                <w:sz w:val="21"/>
                <w:szCs w:val="21"/>
                <w:highlight w:val="none"/>
                <w:lang w:val="en-US" w:eastAsia="zh-CN"/>
                <w14:textFill>
                  <w14:solidFill>
                    <w14:schemeClr w14:val="tx1"/>
                  </w14:solidFill>
                </w14:textFill>
              </w:rPr>
              <w:t>2.5</w:t>
            </w:r>
            <w:r>
              <w:rPr>
                <w:rFonts w:hint="eastAsia" w:ascii="仿宋" w:hAnsi="仿宋" w:eastAsia="仿宋" w:cs="仿宋"/>
                <w:color w:val="000000" w:themeColor="text1"/>
                <w:kern w:val="0"/>
                <w:sz w:val="21"/>
                <w:szCs w:val="21"/>
                <w:highlight w:val="none"/>
                <w14:textFill>
                  <w14:solidFill>
                    <w14:schemeClr w14:val="tx1"/>
                  </w14:solidFill>
                </w14:textFill>
              </w:rPr>
              <w:t>分，最高不超过5分；</w:t>
            </w:r>
          </w:p>
          <w:p>
            <w:pPr>
              <w:shd w:val="clear" w:color="000000" w:fill="auto"/>
              <w:spacing w:before="0" w:beforeAutospacing="0" w:after="0" w:afterAutospacing="0" w:line="360" w:lineRule="atLeast"/>
              <w:ind w:left="0" w:right="0"/>
              <w:rPr>
                <w:rFonts w:hint="eastAsia" w:ascii="仿宋" w:hAnsi="仿宋" w:eastAsia="仿宋" w:cs="仿宋"/>
                <w:b/>
                <w:bCs/>
                <w:color w:val="000000" w:themeColor="text1"/>
                <w:kern w:val="0"/>
                <w:sz w:val="21"/>
                <w:szCs w:val="21"/>
                <w:highlight w:val="none"/>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（自备车辆提供购置发票，租赁车辆提供租赁合同及相关购置发票，在投标文件中提供相应证明材料的复印件或扫描件，否则不得分）</w:t>
            </w:r>
          </w:p>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851"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15</w:t>
            </w:r>
          </w:p>
        </w:tc>
        <w:tc>
          <w:tcPr>
            <w:tcW w:w="1134"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客观分</w:t>
            </w:r>
          </w:p>
        </w:tc>
        <w:tc>
          <w:tcPr>
            <w:tcW w:w="155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_GB2312"/>
                <w:color w:val="000000" w:themeColor="text1"/>
                <w:sz w:val="21"/>
                <w:szCs w:val="21"/>
                <w:highlight w:val="none"/>
                <w:lang w:val="en-US" w:eastAsia="zh-CN"/>
                <w14:textFill>
                  <w14:solidFill>
                    <w14:schemeClr w14:val="tx1"/>
                  </w14:solidFill>
                </w14:textFill>
              </w:rPr>
              <w:t>拟投入本项目的车辆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w:t>
            </w:r>
          </w:p>
        </w:tc>
        <w:tc>
          <w:tcPr>
            <w:tcW w:w="4464" w:type="dxa"/>
            <w:vAlign w:val="top"/>
          </w:tcPr>
          <w:p>
            <w:pPr>
              <w:shd w:val="clear" w:color="000000" w:fill="auto"/>
              <w:autoSpaceDE w:val="0"/>
              <w:autoSpaceDN w:val="0"/>
              <w:snapToGrid w:val="0"/>
              <w:spacing w:before="0" w:beforeAutospacing="0" w:after="0" w:afterAutospacing="0"/>
              <w:ind w:left="0" w:right="-105" w:rightChars="-5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val="en-US" w:eastAsia="zh-CN"/>
                <w14:textFill>
                  <w14:solidFill>
                    <w14:schemeClr w14:val="tx1"/>
                  </w14:solidFill>
                </w14:textFill>
              </w:rPr>
              <w:t>①</w:t>
            </w:r>
            <w:r>
              <w:rPr>
                <w:rFonts w:hint="eastAsia" w:ascii="仿宋" w:hAnsi="仿宋" w:eastAsia="仿宋" w:cs="仿宋"/>
                <w:color w:val="000000" w:themeColor="text1"/>
                <w:kern w:val="0"/>
                <w:szCs w:val="21"/>
                <w:highlight w:val="none"/>
                <w14:textFill>
                  <w14:solidFill>
                    <w14:schemeClr w14:val="tx1"/>
                  </w14:solidFill>
                </w14:textFill>
              </w:rPr>
              <w:t>投标人自备或租赁CCTV管道检测设备</w:t>
            </w:r>
            <w:r>
              <w:rPr>
                <w:rFonts w:hint="eastAsia" w:ascii="仿宋" w:hAnsi="仿宋" w:eastAsia="仿宋" w:cs="仿宋"/>
                <w:color w:val="000000" w:themeColor="text1"/>
                <w:kern w:val="0"/>
                <w:szCs w:val="21"/>
                <w:highlight w:val="none"/>
                <w:lang w:val="en-US" w:eastAsia="zh-CN"/>
                <w14:textFill>
                  <w14:solidFill>
                    <w14:schemeClr w14:val="tx1"/>
                  </w14:solidFill>
                </w14:textFill>
              </w:rPr>
              <w:t>的得3分</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000000" w:fill="auto"/>
              <w:autoSpaceDE w:val="0"/>
              <w:autoSpaceDN w:val="0"/>
              <w:snapToGrid w:val="0"/>
              <w:spacing w:before="0" w:beforeAutospacing="0" w:after="0" w:afterAutospacing="0"/>
              <w:ind w:left="0" w:right="-105" w:rightChars="-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②</w:t>
            </w:r>
            <w:r>
              <w:rPr>
                <w:rFonts w:hint="eastAsia" w:ascii="仿宋" w:hAnsi="仿宋" w:eastAsia="仿宋" w:cs="仿宋"/>
                <w:color w:val="000000" w:themeColor="text1"/>
                <w:szCs w:val="21"/>
                <w:highlight w:val="none"/>
                <w14:textFill>
                  <w14:solidFill>
                    <w14:schemeClr w14:val="tx1"/>
                  </w14:solidFill>
                </w14:textFill>
              </w:rPr>
              <w:t>投标人</w:t>
            </w:r>
            <w:r>
              <w:rPr>
                <w:rFonts w:hint="eastAsia" w:ascii="仿宋" w:hAnsi="仿宋" w:eastAsia="仿宋" w:cs="仿宋"/>
                <w:color w:val="000000" w:themeColor="text1"/>
                <w:kern w:val="0"/>
                <w:szCs w:val="21"/>
                <w:highlight w:val="none"/>
                <w14:textFill>
                  <w14:solidFill>
                    <w14:schemeClr w14:val="tx1"/>
                  </w14:solidFill>
                </w14:textFill>
              </w:rPr>
              <w:t>自备或租赁雨污水管道专用高压清洗车设备</w:t>
            </w:r>
            <w:r>
              <w:rPr>
                <w:rFonts w:hint="eastAsia" w:ascii="仿宋" w:hAnsi="仿宋" w:eastAsia="仿宋" w:cs="仿宋"/>
                <w:color w:val="000000" w:themeColor="text1"/>
                <w:kern w:val="0"/>
                <w:szCs w:val="21"/>
                <w:highlight w:val="none"/>
                <w:lang w:val="en-US" w:eastAsia="zh-CN"/>
                <w14:textFill>
                  <w14:solidFill>
                    <w14:schemeClr w14:val="tx1"/>
                  </w14:solidFill>
                </w14:textFill>
              </w:rPr>
              <w:t>的得3分</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000000" w:fill="auto"/>
              <w:spacing w:before="0" w:beforeAutospacing="0" w:after="120" w:afterAutospacing="0"/>
              <w:ind w:left="0" w:right="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val="en-US" w:eastAsia="zh-CN"/>
                <w14:textFill>
                  <w14:solidFill>
                    <w14:schemeClr w14:val="tx1"/>
                  </w14:solidFill>
                </w14:textFill>
              </w:rPr>
              <w:t>③</w:t>
            </w:r>
            <w:r>
              <w:rPr>
                <w:rFonts w:hint="eastAsia" w:ascii="仿宋" w:hAnsi="仿宋" w:eastAsia="仿宋" w:cs="仿宋"/>
                <w:color w:val="000000" w:themeColor="text1"/>
                <w:kern w:val="0"/>
                <w:szCs w:val="21"/>
                <w:highlight w:val="none"/>
                <w14:textFill>
                  <w14:solidFill>
                    <w14:schemeClr w14:val="tx1"/>
                  </w14:solidFill>
                </w14:textFill>
              </w:rPr>
              <w:t>投标人自备或租赁G450有毒有害气体检测仪</w:t>
            </w:r>
            <w:r>
              <w:rPr>
                <w:rFonts w:hint="eastAsia" w:ascii="仿宋" w:hAnsi="仿宋" w:eastAsia="仿宋" w:cs="仿宋"/>
                <w:color w:val="000000" w:themeColor="text1"/>
                <w:kern w:val="0"/>
                <w:szCs w:val="21"/>
                <w:highlight w:val="none"/>
                <w:lang w:val="en-US" w:eastAsia="zh-CN"/>
                <w14:textFill>
                  <w14:solidFill>
                    <w14:schemeClr w14:val="tx1"/>
                  </w14:solidFill>
                </w14:textFill>
              </w:rPr>
              <w:t>的得3分</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000000" w:fill="auto"/>
              <w:spacing w:before="0" w:beforeAutospacing="0" w:after="0" w:afterAutospacing="0" w:line="360" w:lineRule="atLeast"/>
              <w:ind w:left="0" w:right="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0"/>
                <w:szCs w:val="21"/>
                <w:highlight w:val="none"/>
                <w14:textFill>
                  <w14:solidFill>
                    <w14:schemeClr w14:val="tx1"/>
                  </w14:solidFill>
                </w14:textFill>
              </w:rPr>
              <w:t>（自备</w:t>
            </w:r>
            <w:r>
              <w:rPr>
                <w:rFonts w:hint="eastAsia" w:ascii="仿宋" w:hAnsi="仿宋" w:eastAsia="仿宋" w:cs="仿宋"/>
                <w:b/>
                <w:bCs/>
                <w:color w:val="000000" w:themeColor="text1"/>
                <w:kern w:val="0"/>
                <w:szCs w:val="21"/>
                <w:highlight w:val="none"/>
                <w:lang w:val="en-US" w:eastAsia="zh-CN"/>
                <w14:textFill>
                  <w14:solidFill>
                    <w14:schemeClr w14:val="tx1"/>
                  </w14:solidFill>
                </w14:textFill>
              </w:rPr>
              <w:t>设备</w:t>
            </w:r>
            <w:r>
              <w:rPr>
                <w:rFonts w:hint="eastAsia" w:ascii="仿宋" w:hAnsi="仿宋" w:eastAsia="仿宋" w:cs="仿宋"/>
                <w:b/>
                <w:bCs/>
                <w:color w:val="000000" w:themeColor="text1"/>
                <w:kern w:val="0"/>
                <w:szCs w:val="21"/>
                <w:highlight w:val="none"/>
                <w14:textFill>
                  <w14:solidFill>
                    <w14:schemeClr w14:val="tx1"/>
                  </w14:solidFill>
                </w14:textFill>
              </w:rPr>
              <w:t>提供购置发票，租赁</w:t>
            </w:r>
            <w:r>
              <w:rPr>
                <w:rFonts w:hint="eastAsia" w:ascii="仿宋" w:hAnsi="仿宋" w:eastAsia="仿宋" w:cs="仿宋"/>
                <w:b/>
                <w:bCs/>
                <w:color w:val="000000" w:themeColor="text1"/>
                <w:kern w:val="0"/>
                <w:szCs w:val="21"/>
                <w:highlight w:val="none"/>
                <w:lang w:val="en-US" w:eastAsia="zh-CN"/>
                <w14:textFill>
                  <w14:solidFill>
                    <w14:schemeClr w14:val="tx1"/>
                  </w14:solidFill>
                </w14:textFill>
              </w:rPr>
              <w:t>设备</w:t>
            </w:r>
            <w:r>
              <w:rPr>
                <w:rFonts w:hint="eastAsia" w:ascii="仿宋" w:hAnsi="仿宋" w:eastAsia="仿宋" w:cs="仿宋"/>
                <w:b/>
                <w:bCs/>
                <w:color w:val="000000" w:themeColor="text1"/>
                <w:kern w:val="0"/>
                <w:szCs w:val="21"/>
                <w:highlight w:val="none"/>
                <w14:textFill>
                  <w14:solidFill>
                    <w14:schemeClr w14:val="tx1"/>
                  </w14:solidFill>
                </w14:textFill>
              </w:rPr>
              <w:t>提供租赁合同及相关购置发票，在投标文件中提供相应证明材料的复印件或扫描件，否则不得分）</w:t>
            </w:r>
          </w:p>
        </w:tc>
        <w:tc>
          <w:tcPr>
            <w:tcW w:w="851"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9</w:t>
            </w:r>
          </w:p>
        </w:tc>
        <w:tc>
          <w:tcPr>
            <w:tcW w:w="1134"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lang w:val="en-US" w:eastAsia="zh-CN"/>
                <w14:textFill>
                  <w14:solidFill>
                    <w14:schemeClr w14:val="tx1"/>
                  </w14:solidFill>
                </w14:textFill>
              </w:rPr>
              <w:t>客观分</w:t>
            </w:r>
          </w:p>
        </w:tc>
        <w:tc>
          <w:tcPr>
            <w:tcW w:w="155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拟投入本项目设备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89"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5</w:t>
            </w:r>
          </w:p>
        </w:tc>
        <w:tc>
          <w:tcPr>
            <w:tcW w:w="4464" w:type="dxa"/>
            <w:vAlign w:val="top"/>
          </w:tcPr>
          <w:p>
            <w:pPr>
              <w:snapToGrid w:val="0"/>
              <w:spacing w:before="0" w:beforeAutospacing="0" w:after="0" w:afterAutospacing="0" w:line="360" w:lineRule="auto"/>
              <w:ind w:left="0" w:right="0"/>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拟派项目负责人具备市政相关专业中级及以上职称得</w:t>
            </w: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r>
              <w:rPr>
                <w:rFonts w:hint="eastAsia" w:ascii="仿宋" w:hAnsi="仿宋" w:eastAsia="仿宋" w:cs="仿宋"/>
                <w:color w:val="000000" w:themeColor="text1"/>
                <w:sz w:val="21"/>
                <w:szCs w:val="21"/>
                <w:highlight w:val="none"/>
                <w14:textFill>
                  <w14:solidFill>
                    <w14:schemeClr w14:val="tx1"/>
                  </w14:solidFill>
                </w14:textFill>
              </w:rPr>
              <w:t>分，拟派技术负责人具备市政相关专业高级及以上以上职称的得</w:t>
            </w: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r>
              <w:rPr>
                <w:rFonts w:hint="eastAsia" w:ascii="仿宋" w:hAnsi="仿宋" w:eastAsia="仿宋" w:cs="仿宋"/>
                <w:color w:val="000000" w:themeColor="text1"/>
                <w:sz w:val="21"/>
                <w:szCs w:val="21"/>
                <w:highlight w:val="none"/>
                <w14:textFill>
                  <w14:solidFill>
                    <w14:schemeClr w14:val="tx1"/>
                  </w14:solidFill>
                </w14:textFill>
              </w:rPr>
              <w:t>分，本项最高得</w:t>
            </w: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r>
              <w:rPr>
                <w:rFonts w:hint="eastAsia" w:ascii="仿宋" w:hAnsi="仿宋" w:eastAsia="仿宋" w:cs="仿宋"/>
                <w:color w:val="000000" w:themeColor="text1"/>
                <w:sz w:val="21"/>
                <w:szCs w:val="21"/>
                <w:highlight w:val="none"/>
                <w14:textFill>
                  <w14:solidFill>
                    <w14:schemeClr w14:val="tx1"/>
                  </w14:solidFill>
                </w14:textFill>
              </w:rPr>
              <w:t>分。（投标单位须提供职称证书和人员合同复印件或扫描打印件</w:t>
            </w:r>
            <w:r>
              <w:rPr>
                <w:rFonts w:hint="eastAsia" w:ascii="仿宋" w:hAnsi="仿宋" w:eastAsia="仿宋" w:cs="仿宋"/>
                <w:color w:val="000000" w:themeColor="text1"/>
                <w:sz w:val="21"/>
                <w:szCs w:val="21"/>
                <w:highlight w:val="none"/>
                <w:lang w:val="en-US" w:eastAsia="zh-CN"/>
                <w14:textFill>
                  <w14:solidFill>
                    <w14:schemeClr w14:val="tx1"/>
                  </w14:solidFill>
                </w14:textFill>
              </w:rPr>
              <w:t>并加盖公章</w:t>
            </w:r>
            <w:r>
              <w:rPr>
                <w:rFonts w:hint="eastAsia" w:ascii="仿宋" w:hAnsi="仿宋" w:eastAsia="仿宋" w:cs="仿宋"/>
                <w:color w:val="000000" w:themeColor="text1"/>
                <w:sz w:val="21"/>
                <w:szCs w:val="21"/>
                <w:highlight w:val="none"/>
                <w14:textFill>
                  <w14:solidFill>
                    <w14:schemeClr w14:val="tx1"/>
                  </w14:solidFill>
                </w14:textFill>
              </w:rPr>
              <w:t>，并提供相应人员</w:t>
            </w:r>
            <w:r>
              <w:rPr>
                <w:rFonts w:hint="eastAsia" w:ascii="仿宋" w:hAnsi="仿宋" w:eastAsia="仿宋" w:cs="仿宋"/>
                <w:color w:val="000000" w:themeColor="text1"/>
                <w:sz w:val="21"/>
                <w:szCs w:val="21"/>
                <w:highlight w:val="none"/>
                <w:lang w:val="en-US" w:eastAsia="zh-CN"/>
                <w14:textFill>
                  <w14:solidFill>
                    <w14:schemeClr w14:val="tx1"/>
                  </w14:solidFill>
                </w14:textFill>
              </w:rPr>
              <w:t>近1个月社保证明</w:t>
            </w:r>
            <w:r>
              <w:rPr>
                <w:rFonts w:hint="eastAsia" w:ascii="仿宋" w:hAnsi="仿宋" w:eastAsia="仿宋" w:cs="仿宋"/>
                <w:color w:val="000000" w:themeColor="text1"/>
                <w:sz w:val="21"/>
                <w:szCs w:val="21"/>
                <w:highlight w:val="none"/>
                <w14:textFill>
                  <w14:solidFill>
                    <w14:schemeClr w14:val="tx1"/>
                  </w14:solidFill>
                </w14:textFill>
              </w:rPr>
              <w:t>，否则不得分）</w:t>
            </w:r>
          </w:p>
        </w:tc>
        <w:tc>
          <w:tcPr>
            <w:tcW w:w="851"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p>
        </w:tc>
        <w:tc>
          <w:tcPr>
            <w:tcW w:w="1134"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客观分</w:t>
            </w:r>
          </w:p>
        </w:tc>
        <w:tc>
          <w:tcPr>
            <w:tcW w:w="1559"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项目人员的配备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89" w:type="dxa"/>
            <w:vMerge w:val="continue"/>
            <w:vAlign w:val="center"/>
          </w:tcPr>
          <w:p>
            <w:pPr>
              <w:snapToGrid w:val="0"/>
              <w:spacing w:before="0" w:beforeAutospacing="0" w:after="0" w:afterAutospacing="0" w:line="360" w:lineRule="auto"/>
              <w:ind w:left="0" w:right="0"/>
              <w:jc w:val="center"/>
              <w:rPr>
                <w:rFonts w:hint="default"/>
                <w:color w:val="000000" w:themeColor="text1"/>
                <w:highlight w:val="none"/>
                <w14:textFill>
                  <w14:solidFill>
                    <w14:schemeClr w14:val="tx1"/>
                  </w14:solidFill>
                </w14:textFill>
              </w:rPr>
            </w:pPr>
          </w:p>
        </w:tc>
        <w:tc>
          <w:tcPr>
            <w:tcW w:w="4464" w:type="dxa"/>
            <w:vAlign w:val="top"/>
          </w:tcPr>
          <w:p>
            <w:pPr>
              <w:snapToGrid w:val="0"/>
              <w:spacing w:before="0" w:beforeAutospacing="0" w:after="0" w:afterAutospacing="0" w:line="360" w:lineRule="auto"/>
              <w:ind w:left="0" w:right="0"/>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拟投入本项目的</w:t>
            </w:r>
            <w:r>
              <w:rPr>
                <w:rFonts w:hint="eastAsia" w:ascii="仿宋" w:hAnsi="仿宋" w:eastAsia="仿宋" w:cs="仿宋"/>
                <w:color w:val="000000" w:themeColor="text1"/>
                <w:sz w:val="21"/>
                <w:szCs w:val="21"/>
                <w:highlight w:val="none"/>
                <w14:textFill>
                  <w14:solidFill>
                    <w14:schemeClr w14:val="tx1"/>
                  </w14:solidFill>
                </w14:textFill>
              </w:rPr>
              <w:t>人员</w:t>
            </w:r>
            <w:r>
              <w:rPr>
                <w:rFonts w:hint="eastAsia" w:ascii="仿宋" w:hAnsi="仿宋" w:eastAsia="仿宋" w:cs="仿宋"/>
                <w:color w:val="000000" w:themeColor="text1"/>
                <w:sz w:val="21"/>
                <w:szCs w:val="21"/>
                <w:highlight w:val="none"/>
                <w:lang w:val="en-US" w:eastAsia="zh-CN"/>
                <w14:textFill>
                  <w14:solidFill>
                    <w14:schemeClr w14:val="tx1"/>
                  </w14:solidFill>
                </w14:textFill>
              </w:rPr>
              <w:t>中具有</w:t>
            </w:r>
            <w:r>
              <w:rPr>
                <w:rFonts w:hint="eastAsia" w:ascii="仿宋" w:hAnsi="仿宋" w:eastAsia="仿宋" w:cs="仿宋"/>
                <w:color w:val="000000" w:themeColor="text1"/>
                <w:sz w:val="21"/>
                <w:szCs w:val="21"/>
                <w:highlight w:val="none"/>
                <w14:textFill>
                  <w14:solidFill>
                    <w14:schemeClr w14:val="tx1"/>
                  </w14:solidFill>
                </w14:textFill>
              </w:rPr>
              <w:t>施工员、质检员、安全员、材料员、造价师、专业下水道养护工得6分，少一个扣1分。（投标单位须提供职称证书和人员合同复印件或扫描打印件</w:t>
            </w:r>
            <w:r>
              <w:rPr>
                <w:rFonts w:hint="eastAsia" w:ascii="仿宋" w:hAnsi="仿宋" w:eastAsia="仿宋" w:cs="仿宋"/>
                <w:color w:val="000000" w:themeColor="text1"/>
                <w:sz w:val="21"/>
                <w:szCs w:val="21"/>
                <w:highlight w:val="none"/>
                <w:lang w:val="en-US" w:eastAsia="zh-CN"/>
                <w14:textFill>
                  <w14:solidFill>
                    <w14:schemeClr w14:val="tx1"/>
                  </w14:solidFill>
                </w14:textFill>
              </w:rPr>
              <w:t>并加盖公章</w:t>
            </w:r>
            <w:r>
              <w:rPr>
                <w:rFonts w:hint="eastAsia" w:ascii="仿宋" w:hAnsi="仿宋" w:eastAsia="仿宋" w:cs="仿宋"/>
                <w:color w:val="000000" w:themeColor="text1"/>
                <w:sz w:val="21"/>
                <w:szCs w:val="21"/>
                <w:highlight w:val="none"/>
                <w14:textFill>
                  <w14:solidFill>
                    <w14:schemeClr w14:val="tx1"/>
                  </w14:solidFill>
                </w14:textFill>
              </w:rPr>
              <w:t>，并提供相应人员</w:t>
            </w:r>
            <w:r>
              <w:rPr>
                <w:rFonts w:hint="eastAsia" w:ascii="仿宋" w:hAnsi="仿宋" w:eastAsia="仿宋" w:cs="仿宋"/>
                <w:color w:val="000000" w:themeColor="text1"/>
                <w:sz w:val="21"/>
                <w:szCs w:val="21"/>
                <w:highlight w:val="none"/>
                <w:lang w:val="en-US" w:eastAsia="zh-CN"/>
                <w14:textFill>
                  <w14:solidFill>
                    <w14:schemeClr w14:val="tx1"/>
                  </w14:solidFill>
                </w14:textFill>
              </w:rPr>
              <w:t>近1个月社保证明</w:t>
            </w:r>
            <w:r>
              <w:rPr>
                <w:rFonts w:hint="eastAsia" w:ascii="仿宋" w:hAnsi="仿宋" w:eastAsia="仿宋" w:cs="仿宋"/>
                <w:color w:val="000000" w:themeColor="text1"/>
                <w:sz w:val="21"/>
                <w:szCs w:val="21"/>
                <w:highlight w:val="none"/>
                <w14:textFill>
                  <w14:solidFill>
                    <w14:schemeClr w14:val="tx1"/>
                  </w14:solidFill>
                </w14:textFill>
              </w:rPr>
              <w:t>，否则不得分）</w:t>
            </w:r>
          </w:p>
        </w:tc>
        <w:tc>
          <w:tcPr>
            <w:tcW w:w="851"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p>
        </w:tc>
        <w:tc>
          <w:tcPr>
            <w:tcW w:w="1134"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55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89" w:type="dxa"/>
            <w:vMerge w:val="restart"/>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p>
        </w:tc>
        <w:tc>
          <w:tcPr>
            <w:tcW w:w="4464" w:type="dxa"/>
            <w:vAlign w:val="top"/>
          </w:tcPr>
          <w:p>
            <w:pPr>
              <w:snapToGrid w:val="0"/>
              <w:spacing w:before="0" w:beforeAutospacing="0" w:after="0" w:afterAutospacing="0" w:line="360" w:lineRule="auto"/>
              <w:ind w:left="0" w:right="0"/>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t>投标单位须提供书面承诺，承诺中标后需要购买该项目所有养护内容及工作内容的公共责任险，提供承诺书的得2分，不提供不得分。（格式自拟）</w:t>
            </w:r>
          </w:p>
        </w:tc>
        <w:tc>
          <w:tcPr>
            <w:tcW w:w="851"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p>
        </w:tc>
        <w:tc>
          <w:tcPr>
            <w:tcW w:w="1134"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客观分</w:t>
            </w:r>
          </w:p>
        </w:tc>
        <w:tc>
          <w:tcPr>
            <w:tcW w:w="1559"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作业承诺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89" w:type="dxa"/>
            <w:vMerge w:val="continue"/>
            <w:vAlign w:val="center"/>
          </w:tcPr>
          <w:p>
            <w:pPr>
              <w:snapToGrid w:val="0"/>
              <w:spacing w:before="0" w:beforeAutospacing="0" w:after="0" w:afterAutospacing="0" w:line="360" w:lineRule="auto"/>
              <w:ind w:left="0" w:right="0"/>
              <w:jc w:val="left"/>
              <w:rPr>
                <w:rFonts w:hint="default"/>
                <w:color w:val="000000" w:themeColor="text1"/>
                <w:highlight w:val="none"/>
                <w14:textFill>
                  <w14:solidFill>
                    <w14:schemeClr w14:val="tx1"/>
                  </w14:solidFill>
                </w14:textFill>
              </w:rPr>
            </w:pPr>
          </w:p>
        </w:tc>
        <w:tc>
          <w:tcPr>
            <w:tcW w:w="4464" w:type="dxa"/>
            <w:vAlign w:val="top"/>
          </w:tcPr>
          <w:p>
            <w:pPr>
              <w:snapToGrid w:val="0"/>
              <w:spacing w:before="0" w:beforeAutospacing="0" w:after="0" w:afterAutospacing="0" w:line="360" w:lineRule="auto"/>
              <w:ind w:left="0" w:right="0"/>
              <w:jc w:val="left"/>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t>提供清淤外运工作承诺书，（格式自拟，内容须包含：①书面承诺管道清淤后的淤泥外运，不排入河道，得1分；②承诺中标后中标单位自行将管道内清理出来的淤泥、垃圾消纳至合法场地，得1分；没有不得分）</w:t>
            </w:r>
          </w:p>
        </w:tc>
        <w:tc>
          <w:tcPr>
            <w:tcW w:w="851" w:type="dxa"/>
            <w:vAlign w:val="center"/>
          </w:tcPr>
          <w:p>
            <w:pPr>
              <w:snapToGrid w:val="0"/>
              <w:spacing w:before="0" w:beforeAutospacing="0" w:after="0" w:afterAutospacing="0" w:line="360" w:lineRule="auto"/>
              <w:ind w:left="0" w:right="0"/>
              <w:jc w:val="center"/>
              <w:rPr>
                <w:rFonts w:hint="default" w:ascii="仿宋" w:hAnsi="仿宋" w:eastAsia="仿宋" w:cs="仿宋"/>
                <w:b w:val="0"/>
                <w:bCs w:val="0"/>
                <w:color w:val="000000" w:themeColor="text1"/>
                <w:kern w:val="0"/>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t>2</w:t>
            </w:r>
          </w:p>
        </w:tc>
        <w:tc>
          <w:tcPr>
            <w:tcW w:w="1134" w:type="dxa"/>
            <w:vMerge w:val="continue"/>
            <w:vAlign w:val="center"/>
          </w:tcPr>
          <w:p>
            <w:pPr>
              <w:snapToGrid w:val="0"/>
              <w:spacing w:before="0" w:beforeAutospacing="0" w:after="0" w:afterAutospacing="0" w:line="360" w:lineRule="auto"/>
              <w:ind w:left="0" w:right="0"/>
              <w:jc w:val="left"/>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pPr>
          </w:p>
        </w:tc>
        <w:tc>
          <w:tcPr>
            <w:tcW w:w="1559" w:type="dxa"/>
            <w:vMerge w:val="continue"/>
            <w:vAlign w:val="top"/>
          </w:tcPr>
          <w:p>
            <w:pPr>
              <w:snapToGrid w:val="0"/>
              <w:spacing w:before="0" w:beforeAutospacing="0" w:after="0" w:afterAutospacing="0" w:line="360" w:lineRule="auto"/>
              <w:ind w:left="0" w:right="0"/>
              <w:jc w:val="left"/>
              <w:rPr>
                <w:rFonts w:hint="eastAsia" w:ascii="仿宋" w:hAnsi="仿宋" w:eastAsia="仿宋" w:cs="仿宋"/>
                <w:b w:val="0"/>
                <w:bCs w:val="0"/>
                <w:color w:val="000000" w:themeColor="text1"/>
                <w:kern w:val="0"/>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7</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应急抢修</w:t>
            </w:r>
            <w:r>
              <w:rPr>
                <w:rFonts w:hint="eastAsia" w:ascii="仿宋" w:hAnsi="仿宋" w:eastAsia="仿宋" w:cs="仿宋"/>
                <w:color w:val="000000" w:themeColor="text1"/>
                <w:szCs w:val="21"/>
                <w:highlight w:val="none"/>
                <w:lang w:val="en-US" w:eastAsia="zh-CN"/>
                <w14:textFill>
                  <w14:solidFill>
                    <w14:schemeClr w14:val="tx1"/>
                  </w14:solidFill>
                </w14:textFill>
              </w:rPr>
              <w:t>实施</w:t>
            </w:r>
            <w:r>
              <w:rPr>
                <w:rFonts w:hint="eastAsia" w:ascii="仿宋" w:hAnsi="仿宋" w:eastAsia="仿宋" w:cs="仿宋"/>
                <w:color w:val="000000" w:themeColor="text1"/>
                <w:szCs w:val="21"/>
                <w:highlight w:val="none"/>
                <w14:textFill>
                  <w14:solidFill>
                    <w14:schemeClr w14:val="tx1"/>
                  </w14:solidFill>
                </w14:textFill>
              </w:rPr>
              <w:t>方案切合本项目采购需求，针对性、操作性强，计划安排科学合理得5分；应急抢修</w:t>
            </w:r>
            <w:r>
              <w:rPr>
                <w:rFonts w:hint="eastAsia" w:ascii="仿宋" w:hAnsi="仿宋" w:eastAsia="仿宋" w:cs="仿宋"/>
                <w:color w:val="000000" w:themeColor="text1"/>
                <w:szCs w:val="21"/>
                <w:highlight w:val="none"/>
                <w:lang w:val="en-US" w:eastAsia="zh-CN"/>
                <w14:textFill>
                  <w14:solidFill>
                    <w14:schemeClr w14:val="tx1"/>
                  </w14:solidFill>
                </w14:textFill>
              </w:rPr>
              <w:t>实施</w:t>
            </w:r>
            <w:r>
              <w:rPr>
                <w:rFonts w:hint="eastAsia" w:ascii="仿宋" w:hAnsi="仿宋" w:eastAsia="仿宋" w:cs="仿宋"/>
                <w:color w:val="000000" w:themeColor="text1"/>
                <w:szCs w:val="21"/>
                <w:highlight w:val="none"/>
                <w14:textFill>
                  <w14:solidFill>
                    <w14:schemeClr w14:val="tx1"/>
                  </w14:solidFill>
                </w14:textFill>
              </w:rPr>
              <w:t>方案较为切合本项目采购需求，针对性、操作性较强，计划安排较为科学合理得3分；应急抢修</w:t>
            </w:r>
            <w:r>
              <w:rPr>
                <w:rFonts w:hint="eastAsia" w:ascii="仿宋" w:hAnsi="仿宋" w:eastAsia="仿宋" w:cs="仿宋"/>
                <w:color w:val="000000" w:themeColor="text1"/>
                <w:szCs w:val="21"/>
                <w:highlight w:val="none"/>
                <w:lang w:val="en-US" w:eastAsia="zh-CN"/>
                <w14:textFill>
                  <w14:solidFill>
                    <w14:schemeClr w14:val="tx1"/>
                  </w14:solidFill>
                </w14:textFill>
              </w:rPr>
              <w:t>实施</w:t>
            </w:r>
            <w:r>
              <w:rPr>
                <w:rFonts w:hint="eastAsia" w:ascii="仿宋" w:hAnsi="仿宋" w:eastAsia="仿宋" w:cs="仿宋"/>
                <w:color w:val="000000" w:themeColor="text1"/>
                <w:szCs w:val="21"/>
                <w:highlight w:val="none"/>
                <w14:textFill>
                  <w14:solidFill>
                    <w14:schemeClr w14:val="tx1"/>
                  </w14:solidFill>
                </w14:textFill>
              </w:rPr>
              <w:t>方案与本项目采购需求切合度一般，针对性、操作性一般，计划安排一般得1分；方案有缺项或不合理或未提供方案不得分。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应急抢修</w:t>
            </w:r>
            <w:r>
              <w:rPr>
                <w:rFonts w:hint="eastAsia" w:ascii="仿宋" w:hAnsi="仿宋" w:eastAsia="仿宋" w:cs="仿宋"/>
                <w:color w:val="000000" w:themeColor="text1"/>
                <w:szCs w:val="21"/>
                <w:highlight w:val="none"/>
                <w:lang w:val="en-US" w:eastAsia="zh-CN"/>
                <w14:textFill>
                  <w14:solidFill>
                    <w14:schemeClr w14:val="tx1"/>
                  </w14:solidFill>
                </w14:textFill>
              </w:rPr>
              <w:t>实施</w:t>
            </w:r>
            <w:r>
              <w:rPr>
                <w:rFonts w:hint="eastAsia" w:ascii="仿宋" w:hAnsi="仿宋" w:eastAsia="仿宋" w:cs="仿宋"/>
                <w:color w:val="000000" w:themeColor="text1"/>
                <w:szCs w:val="21"/>
                <w:highlight w:val="none"/>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8</w:t>
            </w:r>
          </w:p>
        </w:tc>
        <w:tc>
          <w:tcPr>
            <w:tcW w:w="4464" w:type="dxa"/>
            <w:vAlign w:val="top"/>
          </w:tcPr>
          <w:p>
            <w:pPr>
              <w:shd w:val="clear" w:color="000000" w:fill="auto"/>
              <w:snapToGrid w:val="0"/>
              <w:spacing w:before="0" w:beforeAutospacing="0" w:after="0" w:afterAutospacing="0" w:line="360" w:lineRule="auto"/>
              <w:ind w:left="0" w:leftChars="0" w:right="0"/>
              <w:jc w:val="both"/>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根据投标人质量保证体系及质量保证措施方案，文明安全保证体系和安全保证措施方案，方案全面、详细、合理的得5分</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文明安全保证体系和安全保证措施方案</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较为全面、详细、合理的得3分</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文明安全保证体系和安全保证措施方案方案一般的得1分，方案有缺项或不合理或未提供方案不得分。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文明安全保证体系和安全保证措施方案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9</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进场作业机构的设置方案切合本项目采购需求，针对性、操作性强，计划安排科学合理得5分；进场作业机构的设置方案较为切合本项目采购需求，针对性、操作性较强，计划安排较为科学合理得3分；进场作业机构的设置方案与本项目采购需求切合度一般，针对性、操作性一般，计划安排一般得1分；方案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default" w:ascii="仿宋" w:hAnsi="仿宋" w:eastAsia="仿宋" w:cs="仿宋_GB2312"/>
                <w:color w:val="000000" w:themeColor="text1"/>
                <w:sz w:val="24"/>
                <w:highlight w:val="none"/>
                <w14:textFill>
                  <w14:solidFill>
                    <w14:schemeClr w14:val="tx1"/>
                  </w14:solidFill>
                </w14:textFill>
              </w:rPr>
              <w:t>进场作业机构的设置方案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10</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档案资料管理制度切合本项目采购需求，针对性、操作性强，计划安排科学合理得5分；档案资料管理制度较为切合本项目采购需求，针对性、操作性较强，计划安排较为科学合理得3分；进档案资料管理制度与本项目采购需求切合度一般，针对性、操作性一般，计划安排一般得1分；</w:t>
            </w:r>
            <w:r>
              <w:rPr>
                <w:rFonts w:hint="eastAsia" w:ascii="仿宋" w:hAnsi="仿宋" w:eastAsia="仿宋" w:cs="仿宋"/>
                <w:color w:val="000000" w:themeColor="text1"/>
                <w:szCs w:val="21"/>
                <w:highlight w:val="none"/>
                <w:lang w:val="en-US" w:eastAsia="zh-CN"/>
                <w14:textFill>
                  <w14:solidFill>
                    <w14:schemeClr w14:val="tx1"/>
                  </w14:solidFill>
                </w14:textFill>
              </w:rPr>
              <w:t>制度</w:t>
            </w:r>
            <w:r>
              <w:rPr>
                <w:rFonts w:hint="eastAsia" w:ascii="仿宋" w:hAnsi="仿宋" w:eastAsia="仿宋" w:cs="仿宋"/>
                <w:color w:val="000000" w:themeColor="text1"/>
                <w:szCs w:val="21"/>
                <w:highlight w:val="none"/>
                <w14:textFill>
                  <w14:solidFill>
                    <w14:schemeClr w14:val="tx1"/>
                  </w14:solidFill>
                </w14:textFill>
              </w:rPr>
              <w:t>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default" w:ascii="仿宋" w:hAnsi="仿宋" w:eastAsia="仿宋" w:cs="仿宋_GB2312"/>
                <w:color w:val="000000" w:themeColor="text1"/>
                <w:sz w:val="24"/>
                <w:highlight w:val="none"/>
                <w14:textFill>
                  <w14:solidFill>
                    <w14:schemeClr w14:val="tx1"/>
                  </w14:solidFill>
                </w14:textFill>
              </w:rPr>
              <w:t>档案资料管理制度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11</w:t>
            </w:r>
          </w:p>
        </w:tc>
        <w:tc>
          <w:tcPr>
            <w:tcW w:w="4464" w:type="dxa"/>
            <w:vAlign w:val="top"/>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有完善的重大活动保障方案，方案科学合理，具有针对性及可操作性，能圆满完成大型活动、节庆假日等重大活动保障任务情况的得5分；有较为完善的重大活动保障方案，方案较为科学合理，针对性及可操作性较好，能较为圆满完成大型活动、节庆假日等重大活动保障任务情况的得3分；重大活动保障方案一般，针对性及可操作性一般，对大型活动、节庆假日等重大活动保障任务保障的可靠性一般得1分；方案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重大活动保障方案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12</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根据投标人提供的合理化建议，</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w:t>
            </w:r>
            <w:r>
              <w:rPr>
                <w:rFonts w:hint="eastAsia" w:ascii="仿宋" w:hAnsi="仿宋" w:eastAsia="仿宋" w:cs="仿宋"/>
                <w:color w:val="000000" w:themeColor="text1"/>
                <w:sz w:val="21"/>
                <w:szCs w:val="21"/>
                <w:highlight w:val="none"/>
                <w14:textFill>
                  <w14:solidFill>
                    <w14:schemeClr w14:val="tx1"/>
                  </w14:solidFill>
                </w14:textFill>
              </w:rPr>
              <w:t>强</w:t>
            </w:r>
            <w:r>
              <w:rPr>
                <w:rFonts w:hint="eastAsia" w:ascii="仿宋" w:hAnsi="仿宋" w:eastAsia="仿宋" w:cs="仿宋"/>
                <w:color w:val="000000" w:themeColor="text1"/>
                <w:sz w:val="21"/>
                <w:szCs w:val="21"/>
                <w:highlight w:val="none"/>
                <w:lang w:val="en-US" w:eastAsia="zh-CN"/>
                <w14:textFill>
                  <w14:solidFill>
                    <w14:schemeClr w14:val="tx1"/>
                  </w14:solidFill>
                </w14:textFill>
              </w:rPr>
              <w:t>的</w:t>
            </w:r>
            <w:r>
              <w:rPr>
                <w:rFonts w:hint="eastAsia" w:ascii="仿宋" w:hAnsi="仿宋" w:eastAsia="仿宋" w:cs="仿宋"/>
                <w:color w:val="000000" w:themeColor="text1"/>
                <w:sz w:val="21"/>
                <w:szCs w:val="21"/>
                <w:highlight w:val="none"/>
                <w14:textFill>
                  <w14:solidFill>
                    <w14:schemeClr w14:val="tx1"/>
                  </w14:solidFill>
                </w14:textFill>
              </w:rPr>
              <w:t>得5分</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根据投标人提供的合理化建议，</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可行性较</w:t>
            </w:r>
            <w:r>
              <w:rPr>
                <w:rFonts w:hint="eastAsia" w:ascii="仿宋" w:hAnsi="仿宋" w:eastAsia="仿宋" w:cs="仿宋"/>
                <w:color w:val="000000" w:themeColor="text1"/>
                <w:sz w:val="21"/>
                <w:szCs w:val="21"/>
                <w:highlight w:val="none"/>
                <w14:textFill>
                  <w14:solidFill>
                    <w14:schemeClr w14:val="tx1"/>
                  </w14:solidFill>
                </w14:textFill>
              </w:rPr>
              <w:t>强</w:t>
            </w:r>
            <w:r>
              <w:rPr>
                <w:rFonts w:hint="eastAsia" w:ascii="仿宋" w:hAnsi="仿宋" w:eastAsia="仿宋" w:cs="仿宋"/>
                <w:color w:val="000000" w:themeColor="text1"/>
                <w:sz w:val="21"/>
                <w:szCs w:val="21"/>
                <w:highlight w:val="none"/>
                <w:lang w:val="en-US" w:eastAsia="zh-CN"/>
                <w14:textFill>
                  <w14:solidFill>
                    <w14:schemeClr w14:val="tx1"/>
                  </w14:solidFill>
                </w14:textFill>
              </w:rPr>
              <w:t>的</w:t>
            </w:r>
            <w:r>
              <w:rPr>
                <w:rFonts w:hint="eastAsia" w:ascii="仿宋" w:hAnsi="仿宋" w:eastAsia="仿宋" w:cs="仿宋"/>
                <w:color w:val="000000" w:themeColor="text1"/>
                <w:sz w:val="21"/>
                <w:szCs w:val="21"/>
                <w:highlight w:val="none"/>
                <w14:textFill>
                  <w14:solidFill>
                    <w14:schemeClr w14:val="tx1"/>
                  </w14:solidFill>
                </w14:textFill>
              </w:rPr>
              <w:t>得</w:t>
            </w: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r>
              <w:rPr>
                <w:rFonts w:hint="eastAsia" w:ascii="仿宋" w:hAnsi="仿宋" w:eastAsia="仿宋" w:cs="仿宋"/>
                <w:color w:val="000000" w:themeColor="text1"/>
                <w:sz w:val="21"/>
                <w:szCs w:val="21"/>
                <w:highlight w:val="none"/>
                <w14:textFill>
                  <w14:solidFill>
                    <w14:schemeClr w14:val="tx1"/>
                  </w14:solidFill>
                </w14:textFill>
              </w:rPr>
              <w:t>分</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根据投标人提供的合理化建议，</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可行性一般的</w:t>
            </w:r>
            <w:r>
              <w:rPr>
                <w:rFonts w:hint="eastAsia" w:ascii="仿宋" w:hAnsi="仿宋" w:eastAsia="仿宋" w:cs="仿宋"/>
                <w:color w:val="000000" w:themeColor="text1"/>
                <w:sz w:val="21"/>
                <w:szCs w:val="21"/>
                <w:highlight w:val="none"/>
                <w14:textFill>
                  <w14:solidFill>
                    <w14:schemeClr w14:val="tx1"/>
                  </w14:solidFill>
                </w14:textFill>
              </w:rPr>
              <w:t>得</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分</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建议不合理或未提供合理化建议的不得分。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default" w:ascii="仿宋" w:hAnsi="仿宋" w:eastAsia="仿宋" w:cs="仿宋_GB2312"/>
                <w:color w:val="000000" w:themeColor="text1"/>
                <w:sz w:val="24"/>
                <w:highlight w:val="none"/>
                <w14:textFill>
                  <w14:solidFill>
                    <w14:schemeClr w14:val="tx1"/>
                  </w14:solidFill>
                </w14:textFill>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13</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供应商对现有现状了解全面、存在问题的分析到位，符合实际，对本项目难点、要点等问题进行调查剖析，调查剖析到位、科学得5分；供应商对现有现状了解较为全面、存在问题的分析较为到位，对本项目难点、要点等问题进行调查剖析，调查剖析较为到位、科学得3分；供应商对现有现状了解一般、存在问题的分析一般，对本项目难点、要点等问题进行调查剖析，调查剖析一般得1分；方案不合理或未提供方案不得分。</w:t>
            </w:r>
          </w:p>
        </w:tc>
        <w:tc>
          <w:tcPr>
            <w:tcW w:w="851" w:type="dxa"/>
            <w:vAlign w:val="center"/>
          </w:tcPr>
          <w:p>
            <w:pPr>
              <w:pStyle w:val="35"/>
              <w:shd w:val="clear" w:color="040000" w:fill="auto"/>
              <w:wordWrap/>
              <w:spacing w:before="0" w:beforeAutospacing="0" w:after="0" w:afterAutospacing="0" w:line="288" w:lineRule="auto"/>
              <w:ind w:left="0" w:leftChars="0" w:right="0" w:firstLine="0" w:firstLineChars="0"/>
              <w:jc w:val="center"/>
              <w:rPr>
                <w:rFonts w:hint="eastAsia" w:ascii="仿宋" w:hAnsi="仿宋" w:eastAsia="仿宋" w:cs="仿宋"/>
                <w:snapToGrid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2"/>
                <w:sz w:val="21"/>
                <w:szCs w:val="21"/>
                <w:highlight w:val="none"/>
                <w:lang w:val="en-US" w:eastAsia="zh-CN" w:bidi="ar-SA"/>
                <w14:textFill>
                  <w14:solidFill>
                    <w14:schemeClr w14:val="tx1"/>
                  </w14:solidFill>
                </w14:textFill>
              </w:rPr>
              <w:t>5</w:t>
            </w:r>
          </w:p>
        </w:tc>
        <w:tc>
          <w:tcPr>
            <w:tcW w:w="1134" w:type="dxa"/>
            <w:vAlign w:val="center"/>
          </w:tcPr>
          <w:p>
            <w:pPr>
              <w:shd w:val="clear" w:color="030000" w:fill="auto"/>
              <w:wordWrap/>
              <w:snapToGrid w:val="0"/>
              <w:spacing w:before="0" w:beforeAutospacing="0" w:after="0" w:afterAutospacing="0" w:line="360" w:lineRule="auto"/>
              <w:ind w:left="0" w:leftChars="0" w:right="0"/>
              <w:jc w:val="center"/>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主观</w:t>
            </w:r>
            <w:r>
              <w:rPr>
                <w:rFonts w:hint="eastAsia" w:ascii="仿宋" w:hAnsi="仿宋" w:eastAsia="仿宋" w:cs="仿宋"/>
                <w:bCs/>
                <w:color w:val="000000" w:themeColor="text1"/>
                <w:sz w:val="21"/>
                <w:szCs w:val="21"/>
                <w:highlight w:val="none"/>
                <w14:textFill>
                  <w14:solidFill>
                    <w14:schemeClr w14:val="tx1"/>
                  </w14:solidFill>
                </w14:textFill>
              </w:rPr>
              <w:t>分</w:t>
            </w:r>
          </w:p>
        </w:tc>
        <w:tc>
          <w:tcPr>
            <w:tcW w:w="1559" w:type="dxa"/>
            <w:vAlign w:val="center"/>
          </w:tcPr>
          <w:p>
            <w:pPr>
              <w:shd w:val="clear" w:color="030000" w:fill="auto"/>
              <w:wordWrap/>
              <w:snapToGrid w:val="0"/>
              <w:spacing w:before="0" w:beforeAutospacing="0" w:after="0" w:afterAutospacing="0" w:line="360" w:lineRule="auto"/>
              <w:ind w:left="0" w:leftChars="0" w:right="0"/>
              <w:jc w:val="center"/>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项目难点分析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14</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根据投标人提供的售后服务响应时间、售后服务方案，方案全面、详细、合理的得</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分；根据投标人提供的售后服务响应时间、售后服务方案，方案较为全面、详细、合理的得</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分；根据投标人提供的售后服务响应时间、售后服务方案，方案一般的得1分；方案有缺项或不合理或未提供方案不得分。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3</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售后服务响应时间、售后服务方案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15</w:t>
            </w:r>
          </w:p>
        </w:tc>
        <w:tc>
          <w:tcPr>
            <w:tcW w:w="4464" w:type="dxa"/>
            <w:vAlign w:val="top"/>
          </w:tcPr>
          <w:p>
            <w:pPr>
              <w:shd w:val="clear" w:color="000000" w:fill="auto"/>
              <w:snapToGrid w:val="0"/>
              <w:spacing w:before="0" w:beforeAutospacing="0" w:after="0" w:afterAutospacing="0" w:line="360" w:lineRule="auto"/>
              <w:ind w:left="0" w:leftChars="0" w:right="0"/>
              <w:jc w:val="left"/>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w:t>
            </w:r>
            <w:r>
              <w:rPr>
                <w:rFonts w:hint="eastAsia" w:ascii="仿宋" w:hAnsi="仿宋" w:eastAsia="仿宋" w:cs="仿宋"/>
                <w:color w:val="000000" w:themeColor="text1"/>
                <w:sz w:val="21"/>
                <w:szCs w:val="21"/>
                <w:highlight w:val="none"/>
                <w14:textFill>
                  <w14:solidFill>
                    <w14:schemeClr w14:val="tx1"/>
                  </w14:solidFill>
                </w14:textFill>
              </w:rPr>
              <w:t>其他承诺和优惠条件</w:t>
            </w:r>
            <w:r>
              <w:rPr>
                <w:rFonts w:hint="eastAsia" w:ascii="仿宋" w:hAnsi="仿宋" w:eastAsia="仿宋" w:cs="仿宋"/>
                <w:color w:val="000000" w:themeColor="text1"/>
                <w:sz w:val="21"/>
                <w:szCs w:val="21"/>
                <w:highlight w:val="none"/>
                <w:lang w:val="en-US" w:eastAsia="zh-CN"/>
                <w14:textFill>
                  <w14:solidFill>
                    <w14:schemeClr w14:val="tx1"/>
                  </w14:solidFill>
                </w14:textFill>
              </w:rPr>
              <w:t>方案，</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w:t>
            </w:r>
            <w:r>
              <w:rPr>
                <w:rFonts w:hint="eastAsia" w:ascii="仿宋" w:hAnsi="仿宋" w:eastAsia="仿宋" w:cs="仿宋"/>
                <w:color w:val="000000" w:themeColor="text1"/>
                <w:sz w:val="21"/>
                <w:szCs w:val="21"/>
                <w:highlight w:val="none"/>
                <w14:textFill>
                  <w14:solidFill>
                    <w14:schemeClr w14:val="tx1"/>
                  </w14:solidFill>
                </w14:textFill>
              </w:rPr>
              <w:t>强</w:t>
            </w:r>
            <w:r>
              <w:rPr>
                <w:rFonts w:hint="eastAsia" w:ascii="仿宋" w:hAnsi="仿宋" w:eastAsia="仿宋" w:cs="仿宋"/>
                <w:color w:val="000000" w:themeColor="text1"/>
                <w:sz w:val="21"/>
                <w:szCs w:val="21"/>
                <w:highlight w:val="none"/>
                <w:lang w:val="en-US" w:eastAsia="zh-CN"/>
                <w14:textFill>
                  <w14:solidFill>
                    <w14:schemeClr w14:val="tx1"/>
                  </w14:solidFill>
                </w14:textFill>
              </w:rPr>
              <w:t>的</w:t>
            </w:r>
            <w:r>
              <w:rPr>
                <w:rFonts w:hint="eastAsia" w:ascii="仿宋" w:hAnsi="仿宋" w:eastAsia="仿宋" w:cs="仿宋"/>
                <w:color w:val="000000" w:themeColor="text1"/>
                <w:sz w:val="21"/>
                <w:szCs w:val="21"/>
                <w:highlight w:val="none"/>
                <w14:textFill>
                  <w14:solidFill>
                    <w14:schemeClr w14:val="tx1"/>
                  </w14:solidFill>
                </w14:textFill>
              </w:rPr>
              <w:t>得5分；</w:t>
            </w: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w:t>
            </w:r>
            <w:r>
              <w:rPr>
                <w:rFonts w:hint="eastAsia" w:ascii="仿宋" w:hAnsi="仿宋" w:eastAsia="仿宋" w:cs="仿宋"/>
                <w:color w:val="000000" w:themeColor="text1"/>
                <w:sz w:val="21"/>
                <w:szCs w:val="21"/>
                <w:highlight w:val="none"/>
                <w14:textFill>
                  <w14:solidFill>
                    <w14:schemeClr w14:val="tx1"/>
                  </w14:solidFill>
                </w14:textFill>
              </w:rPr>
              <w:t>其他承诺和优惠条件</w:t>
            </w:r>
            <w:r>
              <w:rPr>
                <w:rFonts w:hint="eastAsia" w:ascii="仿宋" w:hAnsi="仿宋" w:eastAsia="仿宋" w:cs="仿宋"/>
                <w:color w:val="000000" w:themeColor="text1"/>
                <w:sz w:val="21"/>
                <w:szCs w:val="21"/>
                <w:highlight w:val="none"/>
                <w:lang w:val="en-US" w:eastAsia="zh-CN"/>
                <w14:textFill>
                  <w14:solidFill>
                    <w14:schemeClr w14:val="tx1"/>
                  </w14:solidFill>
                </w14:textFill>
              </w:rPr>
              <w:t>方案，</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可行性较</w:t>
            </w:r>
            <w:r>
              <w:rPr>
                <w:rFonts w:hint="eastAsia" w:ascii="仿宋" w:hAnsi="仿宋" w:eastAsia="仿宋" w:cs="仿宋"/>
                <w:color w:val="000000" w:themeColor="text1"/>
                <w:sz w:val="21"/>
                <w:szCs w:val="21"/>
                <w:highlight w:val="none"/>
                <w14:textFill>
                  <w14:solidFill>
                    <w14:schemeClr w14:val="tx1"/>
                  </w14:solidFill>
                </w14:textFill>
              </w:rPr>
              <w:t>强</w:t>
            </w:r>
            <w:r>
              <w:rPr>
                <w:rFonts w:hint="eastAsia" w:ascii="仿宋" w:hAnsi="仿宋" w:eastAsia="仿宋" w:cs="仿宋"/>
                <w:color w:val="000000" w:themeColor="text1"/>
                <w:sz w:val="21"/>
                <w:szCs w:val="21"/>
                <w:highlight w:val="none"/>
                <w:lang w:val="en-US" w:eastAsia="zh-CN"/>
                <w14:textFill>
                  <w14:solidFill>
                    <w14:schemeClr w14:val="tx1"/>
                  </w14:solidFill>
                </w14:textFill>
              </w:rPr>
              <w:t>的</w:t>
            </w:r>
            <w:r>
              <w:rPr>
                <w:rFonts w:hint="eastAsia" w:ascii="仿宋" w:hAnsi="仿宋" w:eastAsia="仿宋" w:cs="仿宋"/>
                <w:color w:val="000000" w:themeColor="text1"/>
                <w:sz w:val="21"/>
                <w:szCs w:val="21"/>
                <w:highlight w:val="none"/>
                <w14:textFill>
                  <w14:solidFill>
                    <w14:schemeClr w14:val="tx1"/>
                  </w14:solidFill>
                </w14:textFill>
              </w:rPr>
              <w:t>得</w:t>
            </w: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r>
              <w:rPr>
                <w:rFonts w:hint="eastAsia" w:ascii="仿宋" w:hAnsi="仿宋" w:eastAsia="仿宋" w:cs="仿宋"/>
                <w:color w:val="000000" w:themeColor="text1"/>
                <w:sz w:val="21"/>
                <w:szCs w:val="21"/>
                <w:highlight w:val="none"/>
                <w14:textFill>
                  <w14:solidFill>
                    <w14:schemeClr w14:val="tx1"/>
                  </w14:solidFill>
                </w14:textFill>
              </w:rPr>
              <w:t>分；</w:t>
            </w:r>
            <w:r>
              <w:rPr>
                <w:rFonts w:hint="eastAsia" w:ascii="仿宋" w:hAnsi="仿宋" w:eastAsia="仿宋" w:cs="仿宋"/>
                <w:color w:val="000000" w:themeColor="text1"/>
                <w:sz w:val="21"/>
                <w:szCs w:val="21"/>
                <w:highlight w:val="none"/>
                <w:lang w:val="en-US" w:eastAsia="zh-CN"/>
                <w14:textFill>
                  <w14:solidFill>
                    <w14:schemeClr w14:val="tx1"/>
                  </w14:solidFill>
                </w14:textFill>
              </w:rPr>
              <w:t>根据投标人提供的</w:t>
            </w:r>
            <w:r>
              <w:rPr>
                <w:rFonts w:hint="eastAsia" w:ascii="仿宋" w:hAnsi="仿宋" w:eastAsia="仿宋" w:cs="仿宋"/>
                <w:color w:val="000000" w:themeColor="text1"/>
                <w:sz w:val="21"/>
                <w:szCs w:val="21"/>
                <w:highlight w:val="none"/>
                <w14:textFill>
                  <w14:solidFill>
                    <w14:schemeClr w14:val="tx1"/>
                  </w14:solidFill>
                </w14:textFill>
              </w:rPr>
              <w:t>其他承诺和优惠条件</w:t>
            </w:r>
            <w:r>
              <w:rPr>
                <w:rFonts w:hint="eastAsia" w:ascii="仿宋" w:hAnsi="仿宋" w:eastAsia="仿宋" w:cs="仿宋"/>
                <w:color w:val="000000" w:themeColor="text1"/>
                <w:sz w:val="21"/>
                <w:szCs w:val="21"/>
                <w:highlight w:val="none"/>
                <w:lang w:val="en-US" w:eastAsia="zh-CN"/>
                <w14:textFill>
                  <w14:solidFill>
                    <w14:schemeClr w14:val="tx1"/>
                  </w14:solidFill>
                </w14:textFill>
              </w:rPr>
              <w:t>方案，</w:t>
            </w:r>
            <w:r>
              <w:rPr>
                <w:rFonts w:hint="eastAsia" w:ascii="仿宋" w:hAnsi="仿宋" w:eastAsia="仿宋" w:cs="仿宋"/>
                <w:color w:val="000000" w:themeColor="text1"/>
                <w:sz w:val="21"/>
                <w:szCs w:val="21"/>
                <w:highlight w:val="none"/>
                <w14:textFill>
                  <w14:solidFill>
                    <w14:schemeClr w14:val="tx1"/>
                  </w14:solidFill>
                </w14:textFill>
              </w:rPr>
              <w:t>切合本项目采购需求，针对性、操作性</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可行性一般的</w:t>
            </w:r>
            <w:r>
              <w:rPr>
                <w:rFonts w:hint="eastAsia" w:ascii="仿宋" w:hAnsi="仿宋" w:eastAsia="仿宋" w:cs="仿宋"/>
                <w:color w:val="000000" w:themeColor="text1"/>
                <w:sz w:val="21"/>
                <w:szCs w:val="21"/>
                <w:highlight w:val="none"/>
                <w14:textFill>
                  <w14:solidFill>
                    <w14:schemeClr w14:val="tx1"/>
                  </w14:solidFill>
                </w14:textFill>
              </w:rPr>
              <w:t>得</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r>
              <w:rPr>
                <w:rFonts w:hint="eastAsia" w:ascii="仿宋" w:hAnsi="仿宋" w:eastAsia="仿宋" w:cs="仿宋"/>
                <w:color w:val="000000" w:themeColor="text1"/>
                <w:sz w:val="21"/>
                <w:szCs w:val="21"/>
                <w:highlight w:val="none"/>
                <w14:textFill>
                  <w14:solidFill>
                    <w14:schemeClr w14:val="tx1"/>
                  </w14:solidFill>
                </w14:textFill>
              </w:rPr>
              <w:t>分；方案不合理或未提供方案不得分。</w:t>
            </w:r>
          </w:p>
        </w:tc>
        <w:tc>
          <w:tcPr>
            <w:tcW w:w="851"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5</w:t>
            </w:r>
          </w:p>
        </w:tc>
        <w:tc>
          <w:tcPr>
            <w:tcW w:w="1134"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主观</w:t>
            </w:r>
          </w:p>
        </w:tc>
        <w:tc>
          <w:tcPr>
            <w:tcW w:w="1559" w:type="dxa"/>
            <w:vAlign w:val="center"/>
          </w:tcPr>
          <w:p>
            <w:pPr>
              <w:shd w:val="clear" w:color="000000" w:fill="auto"/>
              <w:snapToGrid w:val="0"/>
              <w:spacing w:before="0" w:beforeAutospacing="0" w:after="0" w:afterAutospacing="0" w:line="360" w:lineRule="auto"/>
              <w:ind w:left="0" w:leftChars="0" w:right="0"/>
              <w:jc w:val="center"/>
              <w:rPr>
                <w:rFonts w:hint="eastAsia" w:ascii="仿宋" w:hAnsi="仿宋" w:eastAsia="仿宋" w:cs="仿宋_GB2312"/>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其他承诺和优惠条件</w:t>
            </w:r>
            <w:r>
              <w:rPr>
                <w:rFonts w:hint="eastAsia" w:ascii="仿宋" w:hAnsi="仿宋" w:eastAsia="仿宋" w:cs="仿宋"/>
                <w:color w:val="000000" w:themeColor="text1"/>
                <w:sz w:val="21"/>
                <w:szCs w:val="21"/>
                <w:highlight w:val="none"/>
                <w:lang w:val="en-US" w:eastAsia="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4464" w:type="dxa"/>
            <w:vAlign w:val="top"/>
          </w:tcPr>
          <w:p>
            <w:pPr>
              <w:spacing w:before="0" w:beforeAutospacing="0" w:after="0" w:afterAutospacing="0" w:line="360" w:lineRule="auto"/>
              <w:ind w:left="0" w:right="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有效投标报价的最低价作为评标基准价，其最低报价为满分；按［投标报价得分=（评标基准价/投标报价）*权重］的计算公式计算（报价得分保留两位小数，后一位四舍五入）。</w:t>
            </w:r>
          </w:p>
          <w:p>
            <w:pPr>
              <w:spacing w:before="0" w:beforeAutospacing="0" w:after="0" w:afterAutospacing="0" w:line="360" w:lineRule="auto"/>
              <w:ind w:left="0" w:right="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评标过程中，不得去掉报价中的最高报价和最低报价。</w:t>
            </w:r>
          </w:p>
          <w:p>
            <w:pPr>
              <w:spacing w:before="0" w:beforeAutospacing="0" w:after="0" w:afterAutospacing="0" w:line="360" w:lineRule="auto"/>
              <w:ind w:left="0" w:right="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851" w:type="dxa"/>
            <w:vAlign w:val="center"/>
          </w:tcPr>
          <w:p>
            <w:pPr>
              <w:spacing w:before="0" w:beforeAutospacing="0" w:after="0" w:afterAutospacing="0" w:line="360" w:lineRule="auto"/>
              <w:ind w:left="0" w:right="0"/>
              <w:jc w:val="center"/>
              <w:outlineLvl w:val="0"/>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10</w:t>
            </w:r>
          </w:p>
        </w:tc>
        <w:tc>
          <w:tcPr>
            <w:tcW w:w="1134" w:type="dxa"/>
            <w:vAlign w:val="center"/>
          </w:tcPr>
          <w:p>
            <w:pPr>
              <w:spacing w:before="0" w:beforeAutospacing="0" w:after="0" w:afterAutospacing="0" w:line="360" w:lineRule="auto"/>
              <w:ind w:left="0" w:right="0"/>
              <w:jc w:val="center"/>
              <w:outlineLvl w:val="0"/>
              <w:rPr>
                <w:rFonts w:hint="eastAsia" w:ascii="仿宋" w:hAnsi="仿宋" w:eastAsia="仿宋" w:cs="仿宋"/>
                <w:color w:val="000000" w:themeColor="text1"/>
                <w:sz w:val="21"/>
                <w:szCs w:val="21"/>
                <w:highlight w:val="none"/>
                <w14:textFill>
                  <w14:solidFill>
                    <w14:schemeClr w14:val="tx1"/>
                  </w14:solidFill>
                </w14:textFill>
              </w:rPr>
            </w:pPr>
          </w:p>
        </w:tc>
        <w:tc>
          <w:tcPr>
            <w:tcW w:w="1559" w:type="dxa"/>
            <w:vAlign w:val="center"/>
          </w:tcPr>
          <w:p>
            <w:pPr>
              <w:spacing w:before="0" w:beforeAutospacing="0" w:after="0" w:afterAutospacing="0" w:line="360" w:lineRule="auto"/>
              <w:ind w:left="0" w:right="0"/>
              <w:jc w:val="center"/>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tc>
      </w:tr>
    </w:tbl>
    <w:p>
      <w:pPr>
        <w:spacing w:line="360" w:lineRule="auto"/>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r>
        <w:rPr>
          <w:rFonts w:hint="eastAsia" w:ascii="仿宋" w:hAnsi="仿宋" w:eastAsia="仿宋" w:cs="仿宋"/>
          <w:b/>
          <w:color w:val="000000" w:themeColor="text1"/>
          <w:kern w:val="0"/>
          <w:sz w:val="24"/>
          <w:highlight w:val="none"/>
          <w14:textFill>
            <w14:solidFill>
              <w14:schemeClr w14:val="tx1"/>
            </w14:solidFill>
          </w14:textFill>
        </w:rPr>
        <w:t>（评标委员会各成员评分的算术平均值，保留两位小数，后一位四舍五入）</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3.4报价评审（电子交易平台客户端里开标一览表录入的投标报价信息与扫描上传的报价文件不一致的，以扫描上传的报价文件中的报价为准）。</w:t>
      </w:r>
    </w:p>
    <w:p>
      <w:pPr>
        <w:pStyle w:val="85"/>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85"/>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4.2.12投标人仅提交备份投标文件，未在电子交易平台传输递交投标文件的，投标无效；</w:t>
      </w:r>
    </w:p>
    <w:p>
      <w:pPr>
        <w:pStyle w:val="6"/>
        <w:ind w:left="862" w:leftChars="205"/>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7.1未确定中标供应商的，终止本次政府采购活动，重新开展政府采购活动。</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26"/>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p>
    <w:bookmarkEnd w:id="26"/>
    <w:p>
      <w:pPr>
        <w:rPr>
          <w:rFonts w:hint="eastAsia" w:ascii="仿宋" w:hAnsi="仿宋" w:eastAsia="仿宋" w:cs="仿宋"/>
          <w:b/>
          <w:color w:val="000000" w:themeColor="text1"/>
          <w:sz w:val="36"/>
          <w:szCs w:val="36"/>
          <w:highlight w:val="none"/>
          <w14:textFill>
            <w14:solidFill>
              <w14:schemeClr w14:val="tx1"/>
            </w14:solidFill>
          </w14:textFill>
        </w:rPr>
      </w:pPr>
      <w:bookmarkStart w:id="392" w:name="第五部分"/>
      <w:bookmarkStart w:id="393" w:name="_Toc86217003"/>
      <w:r>
        <w:rPr>
          <w:rFonts w:hint="eastAsia" w:ascii="仿宋" w:hAnsi="仿宋" w:eastAsia="仿宋" w:cs="仿宋"/>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 拟签订的合同文本</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政府采购合同参考范本</w:t>
      </w:r>
    </w:p>
    <w:p>
      <w:pPr>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（服务类）</w:t>
      </w:r>
    </w:p>
    <w:p>
      <w:pPr>
        <w:pStyle w:val="385"/>
        <w:ind w:firstLine="2843" w:firstLineChars="11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第一部分 合同书</w:t>
      </w:r>
    </w:p>
    <w:p>
      <w:pPr>
        <w:spacing w:before="120" w:line="360" w:lineRule="auto"/>
        <w:rPr>
          <w:rFonts w:hint="eastAsia" w:ascii="仿宋" w:hAnsi="仿宋" w:eastAsia="仿宋" w:cs="仿宋"/>
          <w:color w:val="000000" w:themeColor="text1"/>
          <w:sz w:val="24"/>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spacing w:before="120" w:line="360" w:lineRule="auto"/>
        <w:ind w:left="96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p>
    <w:p>
      <w:pPr>
        <w:pStyle w:val="282"/>
        <w:spacing w:before="120"/>
        <w:rPr>
          <w:rFonts w:hint="eastAsia" w:ascii="仿宋" w:hAnsi="仿宋" w:eastAsia="仿宋" w:cs="仿宋"/>
          <w:color w:val="000000" w:themeColor="text1"/>
          <w:szCs w:val="24"/>
          <w:highlight w:val="none"/>
          <w14:textFill>
            <w14:solidFill>
              <w14:schemeClr w14:val="tx1"/>
            </w14:solidFill>
          </w14:textFill>
        </w:rPr>
      </w:pPr>
    </w:p>
    <w:p>
      <w:pPr>
        <w:pStyle w:val="282"/>
        <w:spacing w:before="120"/>
        <w:rPr>
          <w:rFonts w:hint="eastAsia" w:ascii="仿宋" w:hAnsi="仿宋" w:eastAsia="仿宋" w:cs="仿宋"/>
          <w:color w:val="000000" w:themeColor="text1"/>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before="120" w:line="360" w:lineRule="auto"/>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w:t>
      </w:r>
    </w:p>
    <w:p>
      <w:pPr>
        <w:spacing w:before="120" w:line="360" w:lineRule="auto"/>
        <w:rPr>
          <w:rFonts w:hint="eastAsia" w:ascii="仿宋" w:hAnsi="仿宋" w:eastAsia="仿宋" w:cs="仿宋"/>
          <w:color w:val="000000" w:themeColor="text1"/>
          <w:sz w:val="24"/>
          <w:highlight w:val="none"/>
          <w14:textFill>
            <w14:solidFill>
              <w14:schemeClr w14:val="tx1"/>
            </w14:solidFill>
          </w14:textFill>
        </w:rPr>
      </w:pPr>
    </w:p>
    <w:p>
      <w:pPr>
        <w:spacing w:before="120" w:line="360" w:lineRule="auto"/>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p>
    <w:p>
      <w:pPr>
        <w:spacing w:before="120" w:line="360" w:lineRule="auto"/>
        <w:rPr>
          <w:rFonts w:hint="eastAsia" w:ascii="仿宋" w:hAnsi="仿宋" w:eastAsia="仿宋" w:cs="仿宋"/>
          <w:color w:val="000000" w:themeColor="text1"/>
          <w:sz w:val="24"/>
          <w:highlight w:val="none"/>
          <w14:textFill>
            <w14:solidFill>
              <w14:schemeClr w14:val="tx1"/>
            </w14:solidFill>
          </w14:textFill>
        </w:rPr>
      </w:pPr>
    </w:p>
    <w:p>
      <w:pPr>
        <w:spacing w:before="120" w:line="360" w:lineRule="auto"/>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签订地：</w:t>
      </w:r>
    </w:p>
    <w:p>
      <w:pPr>
        <w:spacing w:before="120" w:line="360" w:lineRule="auto"/>
        <w:rPr>
          <w:rFonts w:hint="eastAsia" w:ascii="仿宋" w:hAnsi="仿宋" w:eastAsia="仿宋" w:cs="仿宋"/>
          <w:color w:val="000000" w:themeColor="text1"/>
          <w:sz w:val="24"/>
          <w:highlight w:val="none"/>
          <w14:textFill>
            <w14:solidFill>
              <w14:schemeClr w14:val="tx1"/>
            </w14:solidFill>
          </w14:textFill>
        </w:rPr>
      </w:pPr>
    </w:p>
    <w:p>
      <w:pPr>
        <w:spacing w:before="120" w:line="360" w:lineRule="auto"/>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签订日期：年月日</w:t>
      </w:r>
    </w:p>
    <w:p>
      <w:pPr>
        <w:widowControl/>
        <w:spacing w:line="360" w:lineRule="auto"/>
        <w:jc w:val="left"/>
        <w:rPr>
          <w:rFonts w:hint="eastAsia" w:ascii="仿宋" w:hAnsi="仿宋" w:eastAsia="仿宋" w:cs="仿宋"/>
          <w:color w:val="000000" w:themeColor="text1"/>
          <w:kern w:val="0"/>
          <w:sz w:val="24"/>
          <w:highlight w:val="none"/>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1" w:charSpace="0"/>
        </w:sect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年月日</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以</w:t>
      </w:r>
      <w:r>
        <w:rPr>
          <w:rFonts w:hint="eastAsia" w:ascii="仿宋" w:hAnsi="仿宋" w:eastAsia="仿宋" w:cs="仿宋"/>
          <w:color w:val="000000" w:themeColor="text1"/>
          <w:sz w:val="24"/>
          <w:highlight w:val="none"/>
          <w:u w:val="single"/>
          <w14:textFill>
            <w14:solidFill>
              <w14:schemeClr w14:val="tx1"/>
            </w14:solidFill>
          </w14:textFill>
        </w:rPr>
        <w:t xml:space="preserve">   （政府采购方式）  </w:t>
      </w:r>
      <w:r>
        <w:rPr>
          <w:rFonts w:hint="eastAsia" w:ascii="仿宋" w:hAnsi="仿宋" w:eastAsia="仿宋" w:cs="仿宋"/>
          <w:color w:val="000000" w:themeColor="text1"/>
          <w:sz w:val="24"/>
          <w:highlight w:val="none"/>
          <w14:textFill>
            <w14:solidFill>
              <w14:schemeClr w14:val="tx1"/>
            </w14:solidFill>
          </w14:textFill>
        </w:rPr>
        <w:t>对</w:t>
      </w:r>
      <w:r>
        <w:rPr>
          <w:rFonts w:hint="eastAsia" w:ascii="仿宋" w:hAnsi="仿宋" w:eastAsia="仿宋" w:cs="仿宋"/>
          <w:color w:val="000000" w:themeColor="text1"/>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sz w:val="24"/>
          <w:highlight w:val="none"/>
          <w14:textFill>
            <w14:solidFill>
              <w14:schemeClr w14:val="tx1"/>
            </w14:solidFill>
          </w14:textFill>
        </w:rPr>
        <w:t>项目进行了采购。经</w:t>
      </w:r>
      <w:r>
        <w:rPr>
          <w:rFonts w:hint="eastAsia" w:ascii="仿宋" w:hAnsi="仿宋" w:eastAsia="仿宋" w:cs="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s="仿宋"/>
          <w:color w:val="000000" w:themeColor="text1"/>
          <w:sz w:val="24"/>
          <w:highlight w:val="none"/>
          <w14:textFill>
            <w14:solidFill>
              <w14:schemeClr w14:val="tx1"/>
            </w14:solidFill>
          </w14:textFill>
        </w:rPr>
        <w:t>评定，</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14:textFill>
            <w14:solidFill>
              <w14:schemeClr w14:val="tx1"/>
            </w14:solidFill>
          </w14:textFill>
        </w:rPr>
        <w:t>为该项目中标供应商。现于中标通知书发出之日起10个工作日内，按照采购文件确定的事项签订本合同。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根据《中华人民共和国民法典》《中华人民共和国政府采购法》等相关法律法规之规定，按照平等、自愿、公平和诚实信用的原则，经</w:t>
      </w:r>
      <w:r>
        <w:rPr>
          <w:rFonts w:hint="eastAsia" w:ascii="仿宋" w:hAnsi="仿宋" w:eastAsia="仿宋" w:cs="仿宋"/>
          <w:color w:val="000000" w:themeColor="text1"/>
          <w:sz w:val="24"/>
          <w:highlight w:val="none"/>
          <w:u w:val="single"/>
          <w14:textFill>
            <w14:solidFill>
              <w14:schemeClr w14:val="tx1"/>
            </w14:solidFill>
          </w14:textFill>
        </w:rPr>
        <w:t xml:space="preserve">（采购人） </w:t>
      </w:r>
      <w:r>
        <w:rPr>
          <w:rFonts w:hint="eastAsia" w:ascii="仿宋" w:hAnsi="仿宋" w:eastAsia="仿宋" w:cs="仿宋"/>
          <w:color w:val="000000" w:themeColor="text1"/>
          <w:sz w:val="24"/>
          <w:highlight w:val="none"/>
          <w:lang w:val="zh-CN"/>
          <w14:textFill>
            <w14:solidFill>
              <w14:schemeClr w14:val="tx1"/>
            </w14:solidFill>
          </w14:textFill>
        </w:rPr>
        <w:t>(以下简称：甲方)和</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s="仿宋"/>
          <w:color w:val="000000" w:themeColor="text1"/>
          <w:sz w:val="24"/>
          <w:highlight w:val="none"/>
          <w14:textFill>
            <w14:solidFill>
              <w14:schemeClr w14:val="tx1"/>
            </w14:solidFill>
          </w14:textFill>
        </w:rPr>
        <w:t>条款，以兹共同遵守、全面履行。</w:t>
      </w:r>
    </w:p>
    <w:p>
      <w:pPr>
        <w:spacing w:line="360" w:lineRule="auto"/>
        <w:ind w:firstLine="482" w:firstLineChars="200"/>
        <w:outlineLvl w:val="0"/>
        <w:rPr>
          <w:rFonts w:hint="eastAsia" w:ascii="仿宋" w:hAnsi="仿宋" w:eastAsia="仿宋" w:cs="仿宋"/>
          <w:color w:val="000000" w:themeColor="text1"/>
          <w:sz w:val="24"/>
          <w:highlight w:val="none"/>
          <w14:textFill>
            <w14:solidFill>
              <w14:schemeClr w14:val="tx1"/>
            </w14:solidFill>
          </w14:textFill>
        </w:rPr>
      </w:pPr>
      <w:bookmarkStart w:id="394" w:name="_Toc22967"/>
      <w:bookmarkStart w:id="395" w:name="_Toc19273"/>
      <w:bookmarkStart w:id="396" w:name="_Toc20421"/>
      <w:bookmarkStart w:id="397" w:name="_Toc28855"/>
      <w:bookmarkStart w:id="398" w:name="_Toc15367"/>
      <w:r>
        <w:rPr>
          <w:rFonts w:hint="eastAsia" w:ascii="仿宋" w:hAnsi="仿宋" w:eastAsia="仿宋" w:cs="仿宋"/>
          <w:b/>
          <w:color w:val="000000" w:themeColor="text1"/>
          <w:sz w:val="24"/>
          <w:highlight w:val="none"/>
          <w14:textFill>
            <w14:solidFill>
              <w14:schemeClr w14:val="tx1"/>
            </w14:solidFill>
          </w14:textFill>
        </w:rPr>
        <w:t>1.1 合同组成部分</w:t>
      </w:r>
      <w:bookmarkEnd w:id="394"/>
      <w:bookmarkEnd w:id="395"/>
      <w:bookmarkEnd w:id="396"/>
      <w:bookmarkEnd w:id="397"/>
      <w:bookmarkEnd w:id="398"/>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 本合同及其补充合同、变更协议；</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 中标通知书；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 投标文件（含澄清或者说明文件）；</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 招标文件（含澄清或者修改文件）；</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 其他相关采购文件。</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99" w:name="_Toc6773"/>
      <w:bookmarkStart w:id="400" w:name="_Toc18585"/>
      <w:bookmarkStart w:id="401" w:name="_Toc6311"/>
      <w:bookmarkStart w:id="402" w:name="_Toc2918"/>
      <w:bookmarkStart w:id="403" w:name="_Toc22185"/>
      <w:r>
        <w:rPr>
          <w:rFonts w:hint="eastAsia" w:ascii="仿宋" w:hAnsi="仿宋" w:eastAsia="仿宋" w:cs="仿宋"/>
          <w:b/>
          <w:color w:val="000000" w:themeColor="text1"/>
          <w:sz w:val="24"/>
          <w:highlight w:val="none"/>
          <w14:textFill>
            <w14:solidFill>
              <w14:schemeClr w14:val="tx1"/>
            </w14:solidFill>
          </w14:textFill>
        </w:rPr>
        <w:t>1.2 标的</w:t>
      </w:r>
      <w:bookmarkEnd w:id="399"/>
      <w:bookmarkEnd w:id="400"/>
      <w:bookmarkEnd w:id="401"/>
      <w:bookmarkEnd w:id="402"/>
      <w:bookmarkEnd w:id="403"/>
    </w:p>
    <w:p>
      <w:pP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 标的名称：；</w:t>
      </w:r>
    </w:p>
    <w:p>
      <w:pP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 标的数量：；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1.2.3 标的质量：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04" w:name="_Toc13918"/>
      <w:bookmarkStart w:id="405" w:name="_Toc5635"/>
      <w:bookmarkStart w:id="406" w:name="_Toc4929"/>
      <w:bookmarkStart w:id="407" w:name="_Toc1386"/>
      <w:bookmarkStart w:id="408" w:name="_Toc21124"/>
      <w:r>
        <w:rPr>
          <w:rFonts w:hint="eastAsia" w:ascii="仿宋" w:hAnsi="仿宋" w:eastAsia="仿宋" w:cs="仿宋"/>
          <w:b/>
          <w:color w:val="000000" w:themeColor="text1"/>
          <w:sz w:val="24"/>
          <w:highlight w:val="none"/>
          <w14:textFill>
            <w14:solidFill>
              <w14:schemeClr w14:val="tx1"/>
            </w14:solidFill>
          </w14:textFill>
        </w:rPr>
        <w:t>1.3 价款</w:t>
      </w:r>
      <w:bookmarkEnd w:id="404"/>
      <w:bookmarkEnd w:id="405"/>
      <w:bookmarkEnd w:id="406"/>
      <w:bookmarkEnd w:id="407"/>
      <w:bookmarkEnd w:id="408"/>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本合同总价为：￥元（大写：元人民币）。</w:t>
      </w:r>
    </w:p>
    <w:p>
      <w:pP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before="0" w:beforeAutospacing="0" w:after="0" w:afterAutospacing="0" w:line="360" w:lineRule="auto"/>
              <w:ind w:left="0" w:right="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340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分项名称</w:t>
            </w:r>
          </w:p>
        </w:tc>
        <w:tc>
          <w:tcPr>
            <w:tcW w:w="2552" w:type="dxa"/>
            <w:vAlign w:val="center"/>
          </w:tcPr>
          <w:p>
            <w:pPr>
              <w:pStyle w:val="105"/>
              <w:spacing w:before="0" w:beforeAutospacing="0" w:after="0" w:afterAutospacing="0" w:line="360" w:lineRule="auto"/>
              <w:ind w:left="0" w:right="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总价</w:t>
            </w:r>
          </w:p>
        </w:tc>
        <w:tc>
          <w:tcPr>
            <w:tcW w:w="2552" w:type="dxa"/>
            <w:vAlign w:val="center"/>
          </w:tcPr>
          <w:p>
            <w:pPr>
              <w:pStyle w:val="105"/>
              <w:spacing w:before="0" w:beforeAutospacing="0" w:after="0" w:afterAutospacing="0" w:line="360" w:lineRule="auto"/>
              <w:ind w:left="0" w:right="0" w:firstLine="200"/>
              <w:jc w:val="center"/>
              <w:rPr>
                <w:rFonts w:hint="eastAsia" w:ascii="仿宋" w:hAnsi="仿宋" w:eastAsia="仿宋" w:cs="仿宋"/>
                <w:color w:val="000000" w:themeColor="text1"/>
                <w:sz w:val="24"/>
                <w:szCs w:val="24"/>
                <w:highlight w:val="none"/>
                <w14:textFill>
                  <w14:solidFill>
                    <w14:schemeClr w14:val="tx1"/>
                  </w14:solidFill>
                </w14:textFill>
              </w:rPr>
            </w:pPr>
          </w:p>
        </w:tc>
      </w:tr>
    </w:tbl>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09" w:name="_Toc30506"/>
      <w:bookmarkStart w:id="410" w:name="_Toc26916"/>
      <w:bookmarkStart w:id="411" w:name="_Toc30158"/>
      <w:bookmarkStart w:id="412" w:name="_Toc14993"/>
      <w:bookmarkStart w:id="413" w:name="_Toc3654"/>
      <w:r>
        <w:rPr>
          <w:rFonts w:hint="eastAsia" w:ascii="仿宋" w:hAnsi="仿宋" w:eastAsia="仿宋" w:cs="仿宋"/>
          <w:b/>
          <w:color w:val="000000" w:themeColor="text1"/>
          <w:sz w:val="24"/>
          <w:highlight w:val="none"/>
          <w14:textFill>
            <w14:solidFill>
              <w14:schemeClr w14:val="tx1"/>
            </w14:solidFill>
          </w14:textFill>
        </w:rPr>
        <w:t>1.4 付款方式和发票开具方式</w:t>
      </w:r>
      <w:bookmarkEnd w:id="409"/>
      <w:bookmarkEnd w:id="410"/>
      <w:bookmarkEnd w:id="411"/>
      <w:bookmarkEnd w:id="412"/>
      <w:bookmarkEnd w:id="413"/>
    </w:p>
    <w:p>
      <w:pPr>
        <w:pStyle w:val="617"/>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1.4.2 合同预付款比例为不低于合同金额的40％；项目分年安排预算的，每年预付款比例为不低于项目年度计划支付资金额的40％；采购项目实施以人工投入为主的，预付款比例为不低于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1.4.4资金支付的方式、时间和条件详见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4" w:name="_Toc4760"/>
      <w:bookmarkStart w:id="415" w:name="_Toc3625"/>
      <w:bookmarkStart w:id="416" w:name="_Toc11108"/>
      <w:bookmarkStart w:id="417" w:name="_Toc31421"/>
      <w:bookmarkStart w:id="418" w:name="_Toc8772"/>
      <w:r>
        <w:rPr>
          <w:rFonts w:hint="eastAsia" w:ascii="仿宋" w:hAnsi="仿宋" w:eastAsia="仿宋" w:cs="仿宋"/>
          <w:b/>
          <w:color w:val="000000" w:themeColor="text1"/>
          <w:sz w:val="24"/>
          <w:highlight w:val="none"/>
          <w14:textFill>
            <w14:solidFill>
              <w14:schemeClr w14:val="tx1"/>
            </w14:solidFill>
          </w14:textFill>
        </w:rPr>
        <w:t>1.5 履行期限、地点和方式</w:t>
      </w:r>
      <w:bookmarkEnd w:id="414"/>
      <w:bookmarkEnd w:id="415"/>
      <w:bookmarkEnd w:id="416"/>
      <w:bookmarkEnd w:id="417"/>
      <w:bookmarkEnd w:id="418"/>
    </w:p>
    <w:p>
      <w:pP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1.5.1 履行期限：</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 履行地点：</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1.5.3 履行方式：</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outlineLvl w:val="0"/>
        <w:rPr>
          <w:rFonts w:hint="eastAsia" w:ascii="仿宋" w:hAnsi="仿宋" w:eastAsia="仿宋" w:cs="仿宋"/>
          <w:color w:val="000000" w:themeColor="text1"/>
          <w:sz w:val="24"/>
          <w:highlight w:val="none"/>
          <w:u w:val="single"/>
          <w14:textFill>
            <w14:solidFill>
              <w14:schemeClr w14:val="tx1"/>
            </w14:solidFill>
          </w14:textFill>
        </w:rPr>
      </w:pPr>
      <w:bookmarkStart w:id="419" w:name="_Toc5698"/>
      <w:bookmarkStart w:id="420" w:name="_Toc2375"/>
      <w:bookmarkStart w:id="421" w:name="_Toc24662"/>
      <w:bookmarkStart w:id="422" w:name="_Toc8586"/>
      <w:bookmarkStart w:id="423" w:name="_Toc3079"/>
      <w:r>
        <w:rPr>
          <w:rFonts w:hint="eastAsia" w:ascii="仿宋" w:hAnsi="仿宋" w:eastAsia="仿宋" w:cs="仿宋"/>
          <w:b/>
          <w:color w:val="000000" w:themeColor="text1"/>
          <w:sz w:val="24"/>
          <w:highlight w:val="none"/>
          <w14:textFill>
            <w14:solidFill>
              <w14:schemeClr w14:val="tx1"/>
            </w14:solidFill>
          </w14:textFill>
        </w:rPr>
        <w:t>1.6 违约责任</w:t>
      </w:r>
      <w:bookmarkEnd w:id="419"/>
      <w:bookmarkEnd w:id="420"/>
      <w:bookmarkEnd w:id="421"/>
      <w:bookmarkEnd w:id="422"/>
      <w:bookmarkEnd w:id="423"/>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%；迟延履行的违约金计算数额达到前述最高限额之日起，甲方有权在要求乙方支付违约金的同时，书面通知乙方解除本合同；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1.6.7违约责任</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另有约定的，从其约定。</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24" w:name="_Toc30329"/>
      <w:bookmarkStart w:id="425" w:name="_Toc26807"/>
      <w:bookmarkStart w:id="426" w:name="_Toc32454"/>
      <w:bookmarkStart w:id="427" w:name="_Toc9497"/>
      <w:bookmarkStart w:id="428" w:name="_Toc18683"/>
      <w:r>
        <w:rPr>
          <w:rFonts w:hint="eastAsia" w:ascii="仿宋" w:hAnsi="仿宋" w:eastAsia="仿宋" w:cs="仿宋"/>
          <w:b/>
          <w:color w:val="000000" w:themeColor="text1"/>
          <w:sz w:val="24"/>
          <w:highlight w:val="none"/>
          <w14:textFill>
            <w14:solidFill>
              <w14:schemeClr w14:val="tx1"/>
            </w14:solidFill>
          </w14:textFill>
        </w:rPr>
        <w:t>1.7 合同争议的解决</w:t>
      </w:r>
      <w:bookmarkEnd w:id="424"/>
      <w:bookmarkEnd w:id="425"/>
      <w:bookmarkEnd w:id="426"/>
      <w:bookmarkEnd w:id="427"/>
      <w:bookmarkEnd w:id="428"/>
    </w:p>
    <w:p>
      <w:pPr>
        <w:spacing w:line="360" w:lineRule="auto"/>
        <w:ind w:left="-61" w:leftChars="-29" w:right="-420" w:rightChars="-200"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14:textFill>
            <w14:solidFill>
              <w14:schemeClr w14:val="tx1"/>
            </w14:solidFill>
          </w14:textFill>
        </w:rPr>
        <w:t xml:space="preserve"> 合同专用条款  </w:t>
      </w:r>
      <w:r>
        <w:rPr>
          <w:rFonts w:hint="eastAsia" w:ascii="仿宋" w:hAnsi="仿宋" w:eastAsia="仿宋" w:cs="仿宋"/>
          <w:color w:val="000000" w:themeColor="text1"/>
          <w:sz w:val="24"/>
          <w:highlight w:val="none"/>
          <w14:textFill>
            <w14:solidFill>
              <w14:schemeClr w14:val="tx1"/>
            </w14:solidFill>
          </w14:textFill>
        </w:rPr>
        <w:t>条款规定的方式解决：</w:t>
      </w:r>
    </w:p>
    <w:p>
      <w:pPr>
        <w:spacing w:line="360" w:lineRule="auto"/>
        <w:ind w:left="-420" w:leftChars="-200" w:right="-420" w:rightChars="-200"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 将争议提交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仲裁委员会依申请仲裁时其现行有效的仲裁规则裁决；</w:t>
      </w:r>
    </w:p>
    <w:p>
      <w:pPr>
        <w:spacing w:line="360" w:lineRule="auto"/>
        <w:ind w:left="-420" w:leftChars="-200" w:right="-420" w:rightChars="-200"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 向</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人民法院起诉。</w:t>
      </w:r>
    </w:p>
    <w:p>
      <w:pPr>
        <w:spacing w:line="360" w:lineRule="auto"/>
        <w:ind w:firstLine="241" w:firstLineChars="100"/>
        <w:outlineLvl w:val="0"/>
        <w:rPr>
          <w:rFonts w:hint="eastAsia" w:ascii="仿宋" w:hAnsi="仿宋" w:eastAsia="仿宋" w:cs="仿宋"/>
          <w:b/>
          <w:color w:val="000000" w:themeColor="text1"/>
          <w:sz w:val="24"/>
          <w:highlight w:val="none"/>
          <w14:textFill>
            <w14:solidFill>
              <w14:schemeClr w14:val="tx1"/>
            </w14:solidFill>
          </w14:textFill>
        </w:rPr>
      </w:pPr>
      <w:bookmarkStart w:id="429" w:name="_Toc23784"/>
      <w:bookmarkStart w:id="430" w:name="_Toc15827"/>
      <w:bookmarkStart w:id="431" w:name="_Toc16417"/>
      <w:bookmarkStart w:id="432" w:name="_Toc26227"/>
      <w:bookmarkStart w:id="433" w:name="_Toc12273"/>
      <w:r>
        <w:rPr>
          <w:rFonts w:hint="eastAsia" w:ascii="仿宋" w:hAnsi="仿宋" w:eastAsia="仿宋" w:cs="仿宋"/>
          <w:b/>
          <w:color w:val="000000" w:themeColor="text1"/>
          <w:sz w:val="24"/>
          <w:highlight w:val="none"/>
          <w14:textFill>
            <w14:solidFill>
              <w14:schemeClr w14:val="tx1"/>
            </w14:solidFill>
          </w14:textFill>
        </w:rPr>
        <w:t>1.8 合同生效</w:t>
      </w:r>
      <w:bookmarkEnd w:id="429"/>
      <w:bookmarkEnd w:id="430"/>
      <w:bookmarkEnd w:id="431"/>
      <w:bookmarkEnd w:id="432"/>
      <w:bookmarkEnd w:id="433"/>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本合同自双方当事人盖章或者签字时生效。</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b/>
          <w:color w:val="000000" w:themeColor="text1"/>
          <w:sz w:val="24"/>
          <w:highlight w:val="none"/>
          <w:lang w:val="zh-CN"/>
          <w14:textFill>
            <w14:solidFill>
              <w14:schemeClr w14:val="tx1"/>
            </w14:solidFill>
          </w14:textFill>
        </w:rPr>
        <w:t>甲方</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b/>
          <w:color w:val="000000" w:themeColor="text1"/>
          <w:sz w:val="24"/>
          <w:highlight w:val="none"/>
          <w:lang w:val="zh-CN"/>
          <w14:textFill>
            <w14:solidFill>
              <w14:schemeClr w14:val="tx1"/>
            </w14:solidFill>
          </w14:textFill>
        </w:rPr>
        <w:t xml:space="preserve">                 乙方</w:t>
      </w:r>
      <w:r>
        <w:rPr>
          <w:rFonts w:hint="eastAsia" w:ascii="仿宋" w:hAnsi="仿宋" w:eastAsia="仿宋" w:cs="仿宋"/>
          <w:color w:val="000000" w:themeColor="text1"/>
          <w:sz w:val="24"/>
          <w:highlight w:val="none"/>
          <w:lang w:val="zh-CN"/>
          <w14:textFill>
            <w14:solidFill>
              <w14:schemeClr w14:val="tx1"/>
            </w14:solidFill>
          </w14:textFill>
        </w:rPr>
        <w:t>：</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住所：                  住所：</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                             法定代表人或</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授权代表（签字）：                       授权代表（签字）: </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联系人：                                 联系人：</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约定送达地址：                           约定送达地址：</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邮政编码：                               邮政编码：</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电话:                                    电话: </w:t>
      </w:r>
    </w:p>
    <w:p>
      <w:pPr>
        <w:autoSpaceDE w:val="0"/>
        <w:autoSpaceDN w:val="0"/>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传真:                                    传真:</w:t>
      </w:r>
    </w:p>
    <w:p>
      <w:pPr>
        <w:autoSpaceDE w:val="0"/>
        <w:autoSpaceDN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电子邮箱：                               电子邮箱：</w:t>
      </w:r>
    </w:p>
    <w:p>
      <w:pPr>
        <w:autoSpaceDE w:val="0"/>
        <w:autoSpaceDN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autoSpaceDE w:val="0"/>
        <w:autoSpaceDN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开户名称：                               开户名称： </w:t>
      </w:r>
    </w:p>
    <w:p>
      <w:pPr>
        <w:autoSpaceDE w:val="0"/>
        <w:autoSpaceDN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开户账号：                               开户账号：</w:t>
      </w:r>
    </w:p>
    <w:p>
      <w:pPr>
        <w:pStyle w:val="385"/>
        <w:ind w:firstLine="482"/>
        <w:jc w:val="cente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第二部分合同一般条款</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34" w:name="_Toc25079"/>
      <w:bookmarkStart w:id="435" w:name="_Toc19680"/>
      <w:bookmarkStart w:id="436" w:name="_Toc5228"/>
      <w:bookmarkStart w:id="437" w:name="_Toc31297"/>
      <w:bookmarkStart w:id="438" w:name="_Toc14021"/>
      <w:r>
        <w:rPr>
          <w:rFonts w:hint="eastAsia" w:ascii="仿宋" w:hAnsi="仿宋" w:eastAsia="仿宋" w:cs="仿宋"/>
          <w:b/>
          <w:color w:val="000000" w:themeColor="text1"/>
          <w:sz w:val="24"/>
          <w:highlight w:val="none"/>
          <w14:textFill>
            <w14:solidFill>
              <w14:schemeClr w14:val="tx1"/>
            </w14:solidFill>
          </w14:textFill>
        </w:rPr>
        <w:t>2.1 定义</w:t>
      </w:r>
      <w:bookmarkEnd w:id="434"/>
      <w:bookmarkEnd w:id="435"/>
      <w:bookmarkEnd w:id="436"/>
      <w:bookmarkEnd w:id="437"/>
      <w:bookmarkEnd w:id="438"/>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本合同中的下列词语应按以下内容进行解释：</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 “服务”系指中标供应商根据合同约定应向采购人履行的除货物和工程以外的其他政府采购对象，包括采购人自身需要的服务和向社会公众提供的公共服务。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 “甲方”系指与中标供应商签署合同的采购人；采购人委托采购代理机构代表其与乙方签订合同的，采购人的授权委托书作为合同附件。</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 “现场”系指合同约定提供服务的地点。</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39" w:name="_Toc23289"/>
      <w:bookmarkStart w:id="440" w:name="_Toc19539"/>
      <w:bookmarkStart w:id="441" w:name="_Toc31402"/>
      <w:bookmarkStart w:id="442" w:name="_Toc16752"/>
      <w:bookmarkStart w:id="443" w:name="_Toc3769"/>
      <w:r>
        <w:rPr>
          <w:rFonts w:hint="eastAsia" w:ascii="仿宋" w:hAnsi="仿宋" w:eastAsia="仿宋" w:cs="仿宋"/>
          <w:b/>
          <w:color w:val="000000" w:themeColor="text1"/>
          <w:sz w:val="24"/>
          <w:highlight w:val="none"/>
          <w14:textFill>
            <w14:solidFill>
              <w14:schemeClr w14:val="tx1"/>
            </w14:solidFill>
          </w14:textFill>
        </w:rPr>
        <w:t>2.2 技术规范</w:t>
      </w:r>
      <w:bookmarkEnd w:id="439"/>
      <w:bookmarkEnd w:id="440"/>
      <w:bookmarkEnd w:id="441"/>
      <w:bookmarkEnd w:id="442"/>
      <w:bookmarkEnd w:id="443"/>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4" w:name="_Toc9161"/>
      <w:bookmarkStart w:id="445" w:name="_Toc13673"/>
      <w:bookmarkStart w:id="446" w:name="_Toc12412"/>
      <w:bookmarkStart w:id="447" w:name="_Toc4133"/>
      <w:bookmarkStart w:id="448" w:name="_Toc27945"/>
      <w:r>
        <w:rPr>
          <w:rFonts w:hint="eastAsia" w:ascii="仿宋" w:hAnsi="仿宋" w:eastAsia="仿宋" w:cs="仿宋"/>
          <w:b/>
          <w:color w:val="000000" w:themeColor="text1"/>
          <w:sz w:val="24"/>
          <w:highlight w:val="none"/>
          <w14:textFill>
            <w14:solidFill>
              <w14:schemeClr w14:val="tx1"/>
            </w14:solidFill>
          </w14:textFill>
        </w:rPr>
        <w:t>2.3 知识产权</w:t>
      </w:r>
      <w:bookmarkEnd w:id="444"/>
      <w:bookmarkEnd w:id="445"/>
      <w:bookmarkEnd w:id="446"/>
      <w:bookmarkEnd w:id="447"/>
      <w:bookmarkEnd w:id="448"/>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 合同涉及技术成果的归属和收益的分成办法的，详见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2.4 履约检查和问题反馈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9" w:name="_Toc26555"/>
      <w:bookmarkStart w:id="450" w:name="_Toc31233"/>
      <w:bookmarkStart w:id="451" w:name="_Toc32670"/>
      <w:bookmarkStart w:id="452" w:name="_Toc22011"/>
      <w:bookmarkStart w:id="453" w:name="_Toc15447"/>
      <w:r>
        <w:rPr>
          <w:rFonts w:hint="eastAsia" w:ascii="仿宋" w:hAnsi="仿宋" w:eastAsia="仿宋" w:cs="仿宋"/>
          <w:b/>
          <w:color w:val="000000" w:themeColor="text1"/>
          <w:sz w:val="24"/>
          <w:highlight w:val="none"/>
          <w14:textFill>
            <w14:solidFill>
              <w14:schemeClr w14:val="tx1"/>
            </w14:solidFill>
          </w14:textFill>
        </w:rPr>
        <w:t>2.5 结算方式和付款条件</w:t>
      </w:r>
      <w:bookmarkEnd w:id="449"/>
      <w:bookmarkEnd w:id="450"/>
      <w:bookmarkEnd w:id="451"/>
      <w:bookmarkEnd w:id="452"/>
      <w:bookmarkEnd w:id="453"/>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4" w:name="_Toc13467"/>
      <w:bookmarkStart w:id="455" w:name="_Toc16163"/>
      <w:bookmarkStart w:id="456" w:name="_Toc13154"/>
      <w:bookmarkStart w:id="457" w:name="_Toc18990"/>
      <w:bookmarkStart w:id="458" w:name="_Toc30507"/>
      <w:r>
        <w:rPr>
          <w:rFonts w:hint="eastAsia" w:ascii="仿宋" w:hAnsi="仿宋" w:eastAsia="仿宋" w:cs="仿宋"/>
          <w:b/>
          <w:color w:val="000000" w:themeColor="text1"/>
          <w:sz w:val="24"/>
          <w:highlight w:val="none"/>
          <w14:textFill>
            <w14:solidFill>
              <w14:schemeClr w14:val="tx1"/>
            </w14:solidFill>
          </w14:textFill>
        </w:rPr>
        <w:t>2.6 技术资料和保密义务</w:t>
      </w:r>
      <w:bookmarkEnd w:id="454"/>
      <w:bookmarkEnd w:id="455"/>
      <w:bookmarkEnd w:id="456"/>
      <w:bookmarkEnd w:id="457"/>
      <w:bookmarkEnd w:id="458"/>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2.6.2 乙方有义务妥善保管和保护由甲方提供的前款信息和资料等；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9" w:name="_Toc19069"/>
      <w:r>
        <w:rPr>
          <w:rFonts w:hint="eastAsia" w:ascii="仿宋" w:hAnsi="仿宋" w:eastAsia="仿宋" w:cs="仿宋"/>
          <w:b/>
          <w:color w:val="000000" w:themeColor="text1"/>
          <w:sz w:val="24"/>
          <w:highlight w:val="none"/>
          <w14:textFill>
            <w14:solidFill>
              <w14:schemeClr w14:val="tx1"/>
            </w14:solidFill>
          </w14:textFill>
        </w:rPr>
        <w:t>2.7 质量保证</w:t>
      </w:r>
      <w:bookmarkEnd w:id="459"/>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0" w:name="_Toc22267"/>
      <w:r>
        <w:rPr>
          <w:rFonts w:hint="eastAsia" w:ascii="仿宋" w:hAnsi="仿宋" w:eastAsia="仿宋" w:cs="仿宋"/>
          <w:b/>
          <w:color w:val="000000" w:themeColor="text1"/>
          <w:sz w:val="24"/>
          <w:highlight w:val="none"/>
          <w14:textFill>
            <w14:solidFill>
              <w14:schemeClr w14:val="tx1"/>
            </w14:solidFill>
          </w14:textFill>
        </w:rPr>
        <w:t>2.8 延迟履行</w:t>
      </w:r>
      <w:bookmarkEnd w:id="460"/>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1" w:name="_Toc10611"/>
      <w:r>
        <w:rPr>
          <w:rFonts w:hint="eastAsia" w:ascii="仿宋" w:hAnsi="仿宋" w:eastAsia="仿宋" w:cs="仿宋"/>
          <w:b/>
          <w:color w:val="000000" w:themeColor="text1"/>
          <w:sz w:val="24"/>
          <w:highlight w:val="none"/>
          <w14:textFill>
            <w14:solidFill>
              <w14:schemeClr w14:val="tx1"/>
            </w14:solidFill>
          </w14:textFill>
        </w:rPr>
        <w:t>2.9 合同变更</w:t>
      </w:r>
      <w:bookmarkEnd w:id="461"/>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2" w:name="_Toc10663"/>
      <w:bookmarkStart w:id="463" w:name="_Toc21830"/>
      <w:bookmarkStart w:id="464" w:name="_Toc42"/>
      <w:bookmarkStart w:id="465" w:name="_Toc23368"/>
      <w:bookmarkStart w:id="466" w:name="_Toc26689"/>
      <w:r>
        <w:rPr>
          <w:rFonts w:hint="eastAsia" w:ascii="仿宋" w:hAnsi="仿宋" w:eastAsia="仿宋" w:cs="仿宋"/>
          <w:b/>
          <w:color w:val="000000" w:themeColor="text1"/>
          <w:sz w:val="24"/>
          <w:highlight w:val="none"/>
          <w14:textFill>
            <w14:solidFill>
              <w14:schemeClr w14:val="tx1"/>
            </w14:solidFill>
          </w14:textFill>
        </w:rPr>
        <w:t>2.10 合同转让和分包</w:t>
      </w:r>
      <w:bookmarkEnd w:id="462"/>
      <w:bookmarkEnd w:id="463"/>
      <w:bookmarkEnd w:id="464"/>
      <w:bookmarkEnd w:id="465"/>
      <w:bookmarkEnd w:id="466"/>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7" w:name="_Toc14371"/>
      <w:bookmarkStart w:id="468" w:name="_Toc26633"/>
      <w:bookmarkStart w:id="469" w:name="_Toc25571"/>
      <w:bookmarkStart w:id="470" w:name="_Toc4720"/>
      <w:bookmarkStart w:id="471" w:name="_Toc32494"/>
      <w:r>
        <w:rPr>
          <w:rFonts w:hint="eastAsia" w:ascii="仿宋" w:hAnsi="仿宋" w:eastAsia="仿宋" w:cs="仿宋"/>
          <w:b/>
          <w:color w:val="000000" w:themeColor="text1"/>
          <w:sz w:val="24"/>
          <w:highlight w:val="none"/>
          <w14:textFill>
            <w14:solidFill>
              <w14:schemeClr w14:val="tx1"/>
            </w14:solidFill>
          </w14:textFill>
        </w:rPr>
        <w:t>2.11 不可抗力</w:t>
      </w:r>
      <w:bookmarkEnd w:id="467"/>
      <w:bookmarkEnd w:id="468"/>
      <w:bookmarkEnd w:id="469"/>
      <w:bookmarkEnd w:id="470"/>
      <w:bookmarkEnd w:id="471"/>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 因不可抗力致使不能实现合同目的的，当事人可以解除合同；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2.11.3 因不可抗力致使合同有变更必要的，双方当事人应在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约定时间内以书面形式变更合同；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2.11.4受不可抗力影响的一方在不可抗力发生后，应在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约定时间内，将有关部门出具的证明文件送达对方当事人。</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2" w:name="_Toc24465"/>
      <w:bookmarkStart w:id="473" w:name="_Toc3638"/>
      <w:bookmarkStart w:id="474" w:name="_Toc25783"/>
      <w:bookmarkStart w:id="475" w:name="_Toc14115"/>
      <w:bookmarkStart w:id="476" w:name="_Toc23854"/>
      <w:r>
        <w:rPr>
          <w:rFonts w:hint="eastAsia" w:ascii="仿宋" w:hAnsi="仿宋" w:eastAsia="仿宋" w:cs="仿宋"/>
          <w:b/>
          <w:color w:val="000000" w:themeColor="text1"/>
          <w:sz w:val="24"/>
          <w:highlight w:val="none"/>
          <w14:textFill>
            <w14:solidFill>
              <w14:schemeClr w14:val="tx1"/>
            </w14:solidFill>
          </w14:textFill>
        </w:rPr>
        <w:t>2.12 税费</w:t>
      </w:r>
      <w:bookmarkEnd w:id="472"/>
      <w:bookmarkEnd w:id="473"/>
      <w:bookmarkEnd w:id="474"/>
      <w:bookmarkEnd w:id="475"/>
      <w:bookmarkEnd w:id="476"/>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与合同有关的一切税费，均按照中华人民共和国法律的相关规定缴纳。</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7" w:name="_Toc30105"/>
      <w:bookmarkStart w:id="478" w:name="_Toc7315"/>
      <w:bookmarkStart w:id="479" w:name="_Toc26883"/>
      <w:bookmarkStart w:id="480" w:name="_Toc25525"/>
      <w:bookmarkStart w:id="481" w:name="_Toc14814"/>
      <w:r>
        <w:rPr>
          <w:rFonts w:hint="eastAsia" w:ascii="仿宋" w:hAnsi="仿宋" w:eastAsia="仿宋" w:cs="仿宋"/>
          <w:b/>
          <w:color w:val="000000" w:themeColor="text1"/>
          <w:sz w:val="24"/>
          <w:highlight w:val="none"/>
          <w14:textFill>
            <w14:solidFill>
              <w14:schemeClr w14:val="tx1"/>
            </w14:solidFill>
          </w14:textFill>
        </w:rPr>
        <w:t>2.13 乙方破产</w:t>
      </w:r>
      <w:bookmarkEnd w:id="477"/>
      <w:bookmarkEnd w:id="478"/>
      <w:bookmarkEnd w:id="479"/>
      <w:bookmarkEnd w:id="480"/>
      <w:bookmarkEnd w:id="481"/>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2" w:name="_Toc23323"/>
      <w:bookmarkStart w:id="483" w:name="_Toc2016"/>
      <w:bookmarkStart w:id="484" w:name="_Toc1123"/>
      <w:r>
        <w:rPr>
          <w:rFonts w:hint="eastAsia" w:ascii="仿宋" w:hAnsi="仿宋" w:eastAsia="仿宋" w:cs="仿宋"/>
          <w:b/>
          <w:color w:val="000000" w:themeColor="text1"/>
          <w:sz w:val="24"/>
          <w:highlight w:val="none"/>
          <w14:textFill>
            <w14:solidFill>
              <w14:schemeClr w14:val="tx1"/>
            </w14:solidFill>
          </w14:textFill>
        </w:rPr>
        <w:t>2.14 合同中止、终止</w:t>
      </w:r>
      <w:bookmarkEnd w:id="482"/>
      <w:bookmarkEnd w:id="483"/>
      <w:bookmarkEnd w:id="484"/>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2.14.1 双方当事人不得擅自中止或者终止合同；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5" w:name="_Toc14525"/>
      <w:bookmarkStart w:id="486" w:name="_Toc1969"/>
      <w:bookmarkStart w:id="487" w:name="_Toc17363"/>
      <w:r>
        <w:rPr>
          <w:rFonts w:hint="eastAsia" w:ascii="仿宋" w:hAnsi="仿宋" w:eastAsia="仿宋" w:cs="仿宋"/>
          <w:b/>
          <w:color w:val="000000" w:themeColor="text1"/>
          <w:sz w:val="24"/>
          <w:highlight w:val="none"/>
          <w14:textFill>
            <w14:solidFill>
              <w14:schemeClr w14:val="tx1"/>
            </w14:solidFill>
          </w14:textFill>
        </w:rPr>
        <w:t>2.15 检验和验收</w:t>
      </w:r>
      <w:bookmarkEnd w:id="485"/>
      <w:bookmarkEnd w:id="486"/>
      <w:bookmarkEnd w:id="487"/>
    </w:p>
    <w:p>
      <w:pPr>
        <w:tabs>
          <w:tab w:val="left" w:pos="360"/>
          <w:tab w:val="left" w:pos="540"/>
          <w:tab w:val="left" w:pos="1080"/>
        </w:tabs>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2.15.1 乙方按照</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的约定，定期提交服务报告，甲方按照</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的约定进行定期验收；</w:t>
      </w:r>
    </w:p>
    <w:p>
      <w:pPr>
        <w:tabs>
          <w:tab w:val="left" w:pos="360"/>
          <w:tab w:val="left" w:pos="540"/>
          <w:tab w:val="left" w:pos="1080"/>
        </w:tabs>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2.15.3 检验和验收标准、程序等具体内容以及前述验收书的效力详见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i/>
          <w:color w:val="000000" w:themeColor="text1"/>
          <w:sz w:val="24"/>
          <w:highlight w:val="none"/>
          <w14:textFill>
            <w14:solidFill>
              <w14:schemeClr w14:val="tx1"/>
            </w14:solidFill>
          </w14:textFill>
        </w:rPr>
        <w:t>。</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8" w:name="_Toc31892"/>
      <w:bookmarkStart w:id="489" w:name="_Toc2308"/>
      <w:bookmarkStart w:id="490" w:name="_Toc12666"/>
      <w:bookmarkStart w:id="491" w:name="_Toc9808"/>
      <w:bookmarkStart w:id="492" w:name="_Toc25198"/>
      <w:r>
        <w:rPr>
          <w:rFonts w:hint="eastAsia" w:ascii="仿宋" w:hAnsi="仿宋" w:eastAsia="仿宋" w:cs="仿宋"/>
          <w:b/>
          <w:color w:val="000000" w:themeColor="text1"/>
          <w:sz w:val="24"/>
          <w:highlight w:val="none"/>
          <w14:textFill>
            <w14:solidFill>
              <w14:schemeClr w14:val="tx1"/>
            </w14:solidFill>
          </w14:textFill>
        </w:rPr>
        <w:t>2.16 通知和送达</w:t>
      </w:r>
      <w:bookmarkEnd w:id="488"/>
      <w:bookmarkEnd w:id="489"/>
      <w:bookmarkEnd w:id="490"/>
      <w:bookmarkEnd w:id="491"/>
      <w:bookmarkEnd w:id="492"/>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93" w:name="_Toc27674"/>
      <w:bookmarkStart w:id="494" w:name="_Toc18401"/>
      <w:r>
        <w:rPr>
          <w:rFonts w:hint="eastAsia" w:ascii="仿宋" w:hAnsi="仿宋" w:eastAsia="仿宋" w:cs="仿宋"/>
          <w:color w:val="000000" w:themeColor="text1"/>
          <w:sz w:val="24"/>
          <w:highlight w:val="none"/>
          <w14:textFill>
            <w14:solidFill>
              <w14:schemeClr w14:val="tx1"/>
            </w14:solidFill>
          </w14:textFill>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3"/>
      <w:bookmarkEnd w:id="494"/>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5" w:name="_Toc20808"/>
      <w:bookmarkStart w:id="496" w:name="_Toc12254"/>
      <w:bookmarkStart w:id="497" w:name="_Toc5063"/>
      <w:bookmarkStart w:id="498" w:name="_Toc28906"/>
      <w:bookmarkStart w:id="499" w:name="_Toc27644"/>
      <w:r>
        <w:rPr>
          <w:rFonts w:hint="eastAsia" w:ascii="仿宋" w:hAnsi="仿宋" w:eastAsia="仿宋" w:cs="仿宋"/>
          <w:b/>
          <w:color w:val="000000" w:themeColor="text1"/>
          <w:sz w:val="24"/>
          <w:highlight w:val="none"/>
          <w14:textFill>
            <w14:solidFill>
              <w14:schemeClr w14:val="tx1"/>
            </w14:solidFill>
          </w14:textFill>
        </w:rPr>
        <w:t>2.17 合同使用的文字和适用的法律</w:t>
      </w:r>
      <w:bookmarkEnd w:id="495"/>
      <w:bookmarkEnd w:id="496"/>
      <w:bookmarkEnd w:id="497"/>
      <w:bookmarkEnd w:id="498"/>
      <w:bookmarkEnd w:id="499"/>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2.17.1 合同使用汉语书就、变更和解释；</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2.17.2 合同适用中华人民共和国法律。</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0" w:name="_Toc22266"/>
      <w:bookmarkStart w:id="501" w:name="_Toc30096"/>
      <w:bookmarkStart w:id="502" w:name="_Toc27127"/>
      <w:bookmarkStart w:id="503" w:name="_Toc1492"/>
      <w:bookmarkStart w:id="504" w:name="_Toc27403"/>
      <w:r>
        <w:rPr>
          <w:rFonts w:hint="eastAsia" w:ascii="仿宋" w:hAnsi="仿宋" w:eastAsia="仿宋" w:cs="仿宋"/>
          <w:b/>
          <w:color w:val="000000" w:themeColor="text1"/>
          <w:sz w:val="24"/>
          <w:highlight w:val="none"/>
          <w14:textFill>
            <w14:solidFill>
              <w14:schemeClr w14:val="tx1"/>
            </w14:solidFill>
          </w14:textFill>
        </w:rPr>
        <w:t>2.18 履约保证金</w:t>
      </w:r>
      <w:bookmarkEnd w:id="500"/>
      <w:bookmarkEnd w:id="501"/>
      <w:bookmarkEnd w:id="502"/>
      <w:bookmarkEnd w:id="503"/>
      <w:bookmarkEnd w:id="504"/>
    </w:p>
    <w:p>
      <w:pPr>
        <w:pStyle w:val="617"/>
        <w:spacing w:before="0" w:beforeAutospacing="0" w:after="0" w:afterAutospacing="0" w:line="360" w:lineRule="auto"/>
        <w:ind w:firstLine="42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2.18.1 采购文件要求乙方提交履约保证金的，乙方应按</w:t>
      </w:r>
      <w:r>
        <w:rPr>
          <w:rFonts w:hint="eastAsia" w:ascii="仿宋" w:hAnsi="仿宋" w:eastAsia="仿宋" w:cs="仿宋"/>
          <w:b/>
          <w:i/>
          <w:color w:val="000000" w:themeColor="text1"/>
          <w:highlight w:val="none"/>
          <w:u w:val="single"/>
          <w14:textFill>
            <w14:solidFill>
              <w14:schemeClr w14:val="tx1"/>
            </w14:solidFill>
          </w14:textFill>
        </w:rPr>
        <w:t>合同专用条款</w:t>
      </w:r>
      <w:r>
        <w:rPr>
          <w:rFonts w:hint="eastAsia" w:ascii="仿宋" w:hAnsi="仿宋" w:eastAsia="仿宋" w:cs="仿宋"/>
          <w:color w:val="000000" w:themeColor="text1"/>
          <w:highlight w:val="none"/>
          <w14:textFill>
            <w14:solidFill>
              <w14:schemeClr w14:val="tx1"/>
            </w14:solidFill>
          </w14:textFill>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2.18.2  甲方在项目验收结束后及时退还履约保证金。甲方在项目通过验收之日起</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个工作日内将履约保证金退还乙方，逾期退还的，乙方可要求甲方支付违约金，违约金按每迟延退还一日的应退还而未退还金额的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2.18.4 甲方在乙方履行完合同约定义务事项后及时退还，延迟退还的，应当按照合同约定和法律规定承担相应的赔偿责任。</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2.19</w:t>
      </w:r>
      <w:r>
        <w:rPr>
          <w:rFonts w:hint="eastAsia" w:ascii="仿宋" w:hAnsi="仿宋" w:eastAsia="仿宋" w:cs="仿宋"/>
          <w:color w:val="000000" w:themeColor="text1"/>
          <w:sz w:val="24"/>
          <w:highlight w:val="none"/>
          <w14:textFill>
            <w14:solidFill>
              <w14:schemeClr w14:val="tx1"/>
            </w14:solidFill>
          </w14:textFill>
        </w:rPr>
        <w:t>对于因甲方原因导致变更、中止或者终止政府采购合同的，甲方应当依照合同约定对供应商受到的损失予以赔偿或者补偿。</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2.20合同份数</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规定，每份均具有同等法律效力。</w:t>
      </w:r>
    </w:p>
    <w:p>
      <w:pPr>
        <w:spacing w:line="360" w:lineRule="auto"/>
        <w:jc w:val="center"/>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bookmarkStart w:id="505" w:name="_Toc331685784"/>
      <w:bookmarkEnd w:id="505"/>
      <w:r>
        <w:rPr>
          <w:rFonts w:hint="eastAsia" w:ascii="仿宋" w:hAnsi="仿宋" w:eastAsia="仿宋" w:cs="仿宋"/>
          <w:b/>
          <w:color w:val="000000" w:themeColor="text1"/>
          <w:sz w:val="24"/>
          <w:highlight w:val="none"/>
          <w14:textFill>
            <w14:solidFill>
              <w14:schemeClr w14:val="tx1"/>
            </w14:solidFill>
          </w14:textFill>
        </w:rPr>
        <w:t>第三部分  合同专用条款</w:t>
      </w:r>
    </w:p>
    <w:p>
      <w:pPr>
        <w:spacing w:line="360" w:lineRule="auto"/>
        <w:ind w:left="-420" w:leftChars="-200" w:right="-420" w:rightChars="-200"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83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7"/>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77" w:type="dxa"/>
            <w:tcBorders>
              <w:lef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条款号</w:t>
            </w:r>
          </w:p>
        </w:tc>
        <w:tc>
          <w:tcPr>
            <w:tcW w:w="7558"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1.4.4</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 xml:space="preserve">1.5.1 </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1.5.2</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 xml:space="preserve">1.5.3 </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1.6.7</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1.7.2</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2.3.2</w:t>
            </w:r>
          </w:p>
        </w:tc>
        <w:tc>
          <w:tcPr>
            <w:tcW w:w="7558" w:type="dxa"/>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2.5</w:t>
            </w:r>
          </w:p>
        </w:tc>
        <w:tc>
          <w:tcPr>
            <w:tcW w:w="7558" w:type="dxa"/>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2.11.3</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2.11.4</w:t>
            </w:r>
          </w:p>
        </w:tc>
        <w:tc>
          <w:tcPr>
            <w:tcW w:w="7558"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2.15.1</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2.15.3</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2.18.1</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2.18.2</w:t>
            </w:r>
          </w:p>
        </w:tc>
        <w:tc>
          <w:tcPr>
            <w:tcW w:w="7558"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2.20</w:t>
            </w:r>
          </w:p>
        </w:tc>
        <w:tc>
          <w:tcPr>
            <w:tcW w:w="7558"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tc>
      </w:tr>
    </w:tbl>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此仅为合同书样本，中标单位需根据实际情况和采购人签订相应的合同！</w:t>
      </w: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92"/>
      <w:bookmarkEnd w:id="393"/>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（2）联合协议</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（3）落实政府采购政策需满足的资格要求………………………………（页码）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（4）本项目的特定资格要求………………………………………………（页码）</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（采购人）、（采购代理机构）</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w:t>
      </w:r>
      <w:r>
        <w:rPr>
          <w:rFonts w:hint="eastAsia" w:ascii="仿宋" w:hAnsi="仿宋" w:eastAsia="仿宋" w:cs="仿宋"/>
          <w:color w:val="000000" w:themeColor="text1"/>
          <w:sz w:val="24"/>
          <w:highlight w:val="none"/>
          <w:u w:val="single"/>
          <w14:textFill>
            <w14:solidFill>
              <w14:schemeClr w14:val="tx1"/>
            </w14:solidFill>
          </w14:textFill>
        </w:rPr>
        <w:t>（项目名称）</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u w:val="singl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snapToGrid w:val="0"/>
        <w:spacing w:line="360" w:lineRule="auto"/>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 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adjustRightInd/>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二、联合协议（如果有）</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 xml:space="preserve">.专门面向中小企业，服务全部由符合政策要求的中小企业（或小微企业）承接的，提供相应的中小企业声明函（附件7）。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000000" w:themeColor="text1"/>
          <w:spacing w:val="8"/>
          <w:kern w:val="0"/>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000000" w:themeColor="text1"/>
          <w:spacing w:val="8"/>
          <w:kern w:val="0"/>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（根据招标公告本项目的特定资格要求提供相应的材料；未要求的，无需提供）</w:t>
      </w:r>
    </w:p>
    <w:p>
      <w:pPr>
        <w:spacing w:line="360" w:lineRule="auto"/>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adjustRightInd/>
        <w:spacing w:line="360" w:lineRule="auto"/>
        <w:jc w:val="left"/>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ind w:right="420"/>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（1）投标函……………………………………………………………………………（页码）（2）授权委托书或法定代表人（单位负责人、自然人本人）身份证明…………（页码）</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（3）分包意向协议……………………………………………………………………（页码）</w:t>
      </w:r>
    </w:p>
    <w:p>
      <w:pPr>
        <w:snapToGrid w:val="0"/>
        <w:spacing w:line="360" w:lineRule="auto"/>
        <w:ind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（4）符合性审查资料…………………………………………………………………（页码）</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（5）评标标准相应的商务技术资料…………………………………………………（页码）</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（6）投标标的清单……………………………………………………………………（页码）</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（7）商务技术偏离表…………………………………………………………………（页码）</w:t>
      </w:r>
    </w:p>
    <w:p>
      <w:pPr>
        <w:snapToGrid w:val="0"/>
        <w:spacing w:line="360" w:lineRule="auto"/>
        <w:ind w:left="479" w:leftChars="228"/>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8</w:t>
      </w:r>
      <w:r>
        <w:rPr>
          <w:rFonts w:hint="eastAsia" w:ascii="仿宋" w:hAnsi="仿宋" w:eastAsia="仿宋" w:cs="仿宋"/>
          <w:color w:val="000000" w:themeColor="text1"/>
          <w:sz w:val="21"/>
          <w:szCs w:val="21"/>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sz w:val="21"/>
          <w:szCs w:val="21"/>
          <w:highlight w:val="none"/>
          <w14:textFill>
            <w14:solidFill>
              <w14:schemeClr w14:val="tx1"/>
            </w14:solidFill>
          </w14:textFill>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pacing w:line="360" w:lineRule="auto"/>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widowControl/>
        <w:adjustRightInd/>
        <w:spacing w:line="360" w:lineRule="auto"/>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w:t>
      </w:r>
      <w:r>
        <w:rPr>
          <w:rFonts w:hint="eastAsia" w:ascii="仿宋" w:hAnsi="仿宋" w:eastAsia="仿宋" w:cs="仿宋"/>
          <w:snapToGrid w:val="0"/>
          <w:color w:val="000000" w:themeColor="text1"/>
          <w:kern w:val="28"/>
          <w:sz w:val="24"/>
          <w:szCs w:val="20"/>
          <w:highlight w:val="none"/>
          <w14:textFill>
            <w14:solidFill>
              <w14:schemeClr w14:val="tx1"/>
            </w14:solidFill>
          </w14:textFill>
        </w:rPr>
        <w:t>联合协议</w:t>
      </w:r>
      <w:bookmarkStart w:id="506" w:name="_Hlk101257010"/>
      <w:r>
        <w:rPr>
          <w:rFonts w:hint="eastAsia" w:ascii="仿宋" w:hAnsi="仿宋" w:eastAsia="仿宋" w:cs="仿宋"/>
          <w:color w:val="000000" w:themeColor="text1"/>
          <w:sz w:val="24"/>
          <w:highlight w:val="none"/>
          <w14:textFill>
            <w14:solidFill>
              <w14:schemeClr w14:val="tx1"/>
            </w14:solidFill>
          </w14:textFill>
        </w:rPr>
        <w:t>（如果有)</w:t>
      </w:r>
      <w:bookmarkEnd w:id="506"/>
      <w:r>
        <w:rPr>
          <w:rFonts w:hint="eastAsia" w:ascii="仿宋" w:hAnsi="仿宋" w:eastAsia="仿宋" w:cs="仿宋"/>
          <w:snapToGrid w:val="0"/>
          <w:color w:val="000000" w:themeColor="text1"/>
          <w:kern w:val="28"/>
          <w:sz w:val="24"/>
          <w:szCs w:val="20"/>
          <w:highlight w:val="none"/>
          <w14:textFill>
            <w14:solidFill>
              <w14:schemeClr w14:val="tx1"/>
            </w14:solidFill>
          </w14:textFill>
        </w:rPr>
        <w:t>；</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2.1.4本项目的特定资格要求（如果有)。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2.2.6投标标的清单；</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p>
    <w:p>
      <w:pPr>
        <w:spacing w:line="360" w:lineRule="auto"/>
        <w:ind w:firstLine="3600" w:firstLineChars="150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14:textFill>
            <w14:solidFill>
              <w14:schemeClr w14:val="tx1"/>
            </w14:solidFill>
          </w14:textFill>
        </w:rPr>
      </w:pPr>
    </w:p>
    <w:p>
      <w:pPr>
        <w:spacing w:line="360" w:lineRule="auto"/>
        <w:ind w:right="42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注：按本格式和要求提供。</w:t>
      </w:r>
    </w:p>
    <w:p>
      <w:pPr>
        <w:snapToGrid w:val="0"/>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（姓名）</w:t>
      </w:r>
      <w:r>
        <w:rPr>
          <w:rFonts w:hint="eastAsia" w:ascii="仿宋" w:hAnsi="仿宋" w:eastAsia="仿宋" w:cs="仿宋"/>
          <w:color w:val="000000" w:themeColor="text1"/>
          <w:kern w:val="0"/>
          <w:sz w:val="24"/>
          <w:highlight w:val="none"/>
          <w:lang w:val="zh-CN"/>
          <w14:textFill>
            <w14:solidFill>
              <w14:schemeClr w14:val="tx1"/>
            </w14:solidFill>
          </w14:textFill>
        </w:rPr>
        <w:t>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投标人（或联合体牵头人）名称(电子签名)：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（姓名）</w:t>
      </w:r>
      <w:r>
        <w:rPr>
          <w:rFonts w:hint="eastAsia" w:ascii="仿宋" w:hAnsi="仿宋" w:eastAsia="仿宋" w:cs="仿宋"/>
          <w:color w:val="000000" w:themeColor="text1"/>
          <w:kern w:val="0"/>
          <w:sz w:val="24"/>
          <w:highlight w:val="none"/>
          <w:lang w:val="zh-CN"/>
          <w14:textFill>
            <w14:solidFill>
              <w14:schemeClr w14:val="tx1"/>
            </w14:solidFill>
          </w14:textFill>
        </w:rPr>
        <w:t>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jc w:val="righ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87"/>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before="0" w:beforeAutospacing="0" w:after="0" w:afterAutospacing="0" w:line="360" w:lineRule="auto"/>
              <w:ind w:left="0" w:right="0"/>
              <w:rPr>
                <w:rFonts w:hint="eastAsia" w:ascii="仿宋" w:hAnsi="仿宋" w:eastAsia="仿宋" w:cs="仿宋"/>
                <w:bCs/>
                <w:color w:val="000000" w:themeColor="text1"/>
                <w:sz w:val="24"/>
                <w:szCs w:val="20"/>
                <w:highlight w:val="none"/>
                <w14:textFill>
                  <w14:solidFill>
                    <w14:schemeClr w14:val="tx1"/>
                  </w14:solidFill>
                </w14:textFill>
              </w:rPr>
            </w:pPr>
            <w:r>
              <w:rPr>
                <w:rFonts w:hint="eastAsia" w:ascii="仿宋" w:hAnsi="仿宋" w:eastAsia="仿宋" w:cs="仿宋"/>
                <w:bCs/>
                <w:color w:val="000000" w:themeColor="text1"/>
                <w:sz w:val="24"/>
                <w:szCs w:val="20"/>
                <w:highlight w:val="none"/>
                <w14:textFill>
                  <w14:solidFill>
                    <w14:schemeClr w14:val="tx1"/>
                  </w14:solidFill>
                </w14:textFill>
              </w:rPr>
              <w:t>正面：                                 反面：</w:t>
            </w:r>
          </w:p>
          <w:p>
            <w:pPr>
              <w:pStyle w:val="87"/>
              <w:adjustRightInd w:val="0"/>
              <w:spacing w:before="0" w:beforeAutospacing="0" w:after="0" w:afterAutospacing="0" w:line="360" w:lineRule="auto"/>
              <w:ind w:left="0" w:right="0"/>
              <w:rPr>
                <w:rFonts w:hint="eastAsia" w:ascii="仿宋" w:hAnsi="仿宋" w:eastAsia="仿宋" w:cs="仿宋"/>
                <w:bCs/>
                <w:color w:val="000000" w:themeColor="text1"/>
                <w:sz w:val="24"/>
                <w:szCs w:val="20"/>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注：联合体投标的，提供联合体牵头人相关证明即可</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投标人（或联合体牵头人）名称(电子签名)：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三、分包意向协议（如果有）</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中标后以分包方式履行合同的，提供分包意向协议(附件6)；采购人不同意分包或者投标人中标后不以分包方式履行合同的，则不需要提供。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四、符合性审查资料</w:t>
      </w: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4991"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实质性要求</w:t>
            </w:r>
          </w:p>
        </w:tc>
        <w:tc>
          <w:tcPr>
            <w:tcW w:w="2551"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投标文件中的</w:t>
            </w:r>
          </w:p>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投标文件按照招标文件要求签署、盖章。</w:t>
            </w:r>
          </w:p>
        </w:tc>
        <w:tc>
          <w:tcPr>
            <w:tcW w:w="2551"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w:t>
            </w:r>
          </w:p>
          <w:p>
            <w:pPr>
              <w:spacing w:before="0" w:beforeAutospacing="0" w:after="0" w:afterAutospacing="0" w:line="360" w:lineRule="auto"/>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投标函</w:t>
            </w:r>
          </w:p>
        </w:tc>
        <w:tc>
          <w:tcPr>
            <w:tcW w:w="1418" w:type="dxa"/>
            <w:vAlign w:val="top"/>
          </w:tcPr>
          <w:p>
            <w:pPr>
              <w:spacing w:before="0" w:beforeAutospacing="0" w:after="0" w:afterAutospacing="0" w:line="360" w:lineRule="auto"/>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投标文件满足招标文件的其它实质性要求。</w:t>
            </w:r>
          </w:p>
        </w:tc>
        <w:tc>
          <w:tcPr>
            <w:tcW w:w="2551"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见投标文件第页</w:t>
            </w:r>
          </w:p>
        </w:tc>
      </w:tr>
    </w:tbl>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投标人（或联合体牵头人）名称(电子签名)：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pacing w:line="360" w:lineRule="auto"/>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六、投标标的清单</w:t>
      </w:r>
    </w:p>
    <w:tbl>
      <w:tblPr>
        <w:tblStyle w:val="6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服务时间和服务标准</w:t>
            </w: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备注（如果有）</w:t>
            </w: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bl>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投标人（或联合体牵头人）名称(电子签名)：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vAlign w:val="top"/>
          </w:tcPr>
          <w:p>
            <w:pPr>
              <w:spacing w:before="0" w:beforeAutospacing="0" w:after="0" w:afterAutospacing="0" w:line="360" w:lineRule="auto"/>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vAlign w:val="top"/>
          </w:tcPr>
          <w:p>
            <w:pPr>
              <w:spacing w:before="0" w:beforeAutospacing="0" w:after="0" w:afterAutospacing="0" w:line="360" w:lineRule="auto"/>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spacing w:line="360" w:lineRule="auto"/>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spacing w:line="360" w:lineRule="auto"/>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投标人（或联合体牵头人）名称(电子签名)：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ind w:firstLine="1911" w:firstLineChars="595"/>
        <w:rPr>
          <w:rFonts w:hint="eastAsia" w:ascii="仿宋" w:hAnsi="仿宋" w:eastAsia="仿宋" w:cs="仿宋"/>
          <w:b/>
          <w:bCs/>
          <w:color w:val="000000" w:themeColor="text1"/>
          <w:sz w:val="32"/>
          <w:szCs w:val="32"/>
          <w:highlight w:val="none"/>
          <w14:textFill>
            <w14:solidFill>
              <w14:schemeClr w14:val="tx1"/>
            </w14:solidFill>
          </w14:textFill>
        </w:rPr>
      </w:pPr>
    </w:p>
    <w:p>
      <w:pPr>
        <w:spacing w:line="360" w:lineRule="auto"/>
        <w:ind w:firstLine="1911" w:firstLineChars="595"/>
        <w:rPr>
          <w:rFonts w:hint="eastAsia" w:ascii="仿宋" w:hAnsi="仿宋" w:eastAsia="仿宋" w:cs="仿宋"/>
          <w:b/>
          <w:bCs/>
          <w:color w:val="000000" w:themeColor="text1"/>
          <w:sz w:val="32"/>
          <w:szCs w:val="32"/>
          <w:highlight w:val="none"/>
          <w14:textFill>
            <w14:solidFill>
              <w14:schemeClr w14:val="tx1"/>
            </w14:solidFill>
          </w14:textFill>
        </w:rPr>
      </w:pPr>
    </w:p>
    <w:p>
      <w:pPr>
        <w:spacing w:line="360" w:lineRule="auto"/>
        <w:ind w:firstLine="1911" w:firstLineChars="595"/>
        <w:rPr>
          <w:rFonts w:hint="eastAsia" w:ascii="仿宋" w:hAnsi="仿宋" w:eastAsia="仿宋" w:cs="仿宋"/>
          <w:b/>
          <w:bCs/>
          <w:color w:val="000000" w:themeColor="text1"/>
          <w:sz w:val="32"/>
          <w:szCs w:val="32"/>
          <w:highlight w:val="none"/>
          <w14:textFill>
            <w14:solidFill>
              <w14:schemeClr w14:val="tx1"/>
            </w14:solidFill>
          </w14:textFill>
        </w:rPr>
      </w:pPr>
    </w:p>
    <w:p>
      <w:pPr>
        <w:spacing w:line="360" w:lineRule="auto"/>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八</w:t>
      </w:r>
      <w:r>
        <w:rPr>
          <w:rFonts w:hint="eastAsia" w:ascii="仿宋" w:hAnsi="仿宋" w:eastAsia="仿宋" w:cs="仿宋"/>
          <w:b/>
          <w:color w:val="000000" w:themeColor="text1"/>
          <w:kern w:val="0"/>
          <w:sz w:val="32"/>
          <w:szCs w:val="32"/>
          <w:highlight w:val="none"/>
          <w14:textFill>
            <w14:solidFill>
              <w14:schemeClr w14:val="tx1"/>
            </w14:solidFill>
          </w14:textFill>
        </w:rPr>
        <w:t>、</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投标人（或联合体牵头人）名称(电子签名)：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sectPr>
          <w:headerReference r:id="rId9" w:type="first"/>
          <w:footerReference r:id="rId11" w:type="first"/>
          <w:headerReference r:id="rId8" w:type="default"/>
          <w:footerReference r:id="rId10" w:type="default"/>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（1）开标一览表（报价表）…………………………………………………（页码）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3" w:type="first"/>
          <w:footerReference r:id="rId15" w:type="first"/>
          <w:headerReference r:id="rId12" w:type="default"/>
          <w:footerReference r:id="rId14" w:type="default"/>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w:t>
      </w:r>
      <w:r>
        <w:rPr>
          <w:rFonts w:hint="eastAsia" w:ascii="仿宋" w:hAnsi="仿宋" w:eastAsia="仿宋" w:cs="仿宋"/>
          <w:color w:val="000000" w:themeColor="text1"/>
          <w:kern w:val="2"/>
          <w:sz w:val="32"/>
          <w:szCs w:val="32"/>
          <w:highlight w:val="none"/>
          <w:lang w:val="en-US"/>
          <w14:textFill>
            <w14:solidFill>
              <w14:schemeClr w14:val="tx1"/>
            </w14:solidFill>
          </w14:textFill>
        </w:rPr>
        <w:t>标项一</w:t>
      </w:r>
      <w:r>
        <w:rPr>
          <w:rFonts w:hint="eastAsia" w:ascii="仿宋" w:hAnsi="仿宋" w:eastAsia="仿宋" w:cs="仿宋"/>
          <w:color w:val="000000" w:themeColor="text1"/>
          <w:kern w:val="2"/>
          <w:sz w:val="32"/>
          <w:szCs w:val="32"/>
          <w:highlight w:val="none"/>
          <w14:textFill>
            <w14:solidFill>
              <w14:schemeClr w14:val="tx1"/>
            </w14:solidFill>
          </w14:textFill>
        </w:rPr>
        <w:t>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26"/>
        <w:gridCol w:w="3187"/>
        <w:gridCol w:w="693"/>
        <w:gridCol w:w="1267"/>
        <w:gridCol w:w="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序号</w:t>
            </w:r>
          </w:p>
        </w:tc>
        <w:tc>
          <w:tcPr>
            <w:tcW w:w="1426"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养护内容</w:t>
            </w:r>
          </w:p>
        </w:tc>
        <w:tc>
          <w:tcPr>
            <w:tcW w:w="31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养护特征描述</w:t>
            </w:r>
          </w:p>
        </w:tc>
        <w:tc>
          <w:tcPr>
            <w:tcW w:w="693"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单位</w:t>
            </w:r>
          </w:p>
        </w:tc>
        <w:tc>
          <w:tcPr>
            <w:tcW w:w="1267"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工程量</w:t>
            </w:r>
          </w:p>
        </w:tc>
        <w:tc>
          <w:tcPr>
            <w:tcW w:w="960"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综合单价</w:t>
            </w:r>
          </w:p>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（元）</w:t>
            </w:r>
          </w:p>
        </w:tc>
        <w:tc>
          <w:tcPr>
            <w:tcW w:w="999"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合计（元）</w:t>
            </w: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400*500雨水口清理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雨水口淤泥、垃圾等杂物的清理，并清扫作业现场，每年至少清理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2296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Φ700雨水井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雨水检查井淤泥、垃圾等杂物的清理，并清扫作业现场，每年至少清理2次，为期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1033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Φ700污水井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污水检查井淤泥、垃圾等杂物的清理，并清扫作业现场，每年至少清理4次，为期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1005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D300以下雨水管道疏通（机械通管，含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D300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23349.48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D600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6</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15912.03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default"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7926.15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7</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4889.42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leftChars="0" w:right="0"/>
              <w:jc w:val="center"/>
              <w:rPr>
                <w:rFonts w:hint="eastAsia"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783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leftChars="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9</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690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D300以下污水管道疏通（人工摇车通管，含D300）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11041.24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D300-600以下污水管道疏通（机械通管，含D600）</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20902.84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1614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2550.7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启闭机保养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启闭机定期清除油垢，凃护新油，上油漆、黄油，以防锈蚀，及日常零星小维修等工作，每年至少维护保养一次，为期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台</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垃圾及淤泥的弃置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垃圾及淤泥的弃置场地及运距由施工单位自行考虑，为期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m3</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800.00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五水共治处理费用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按照五水共治的要求，对施工现场进行污染源的排查与处理工作，达到五水共治的控制要求，为期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17</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应急设备专项资金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应急设备包括抽水设备的使用及发电机组等应急所需类型设备，以及购买安全维护设施等费用，采用按时结算，实报实销的方式，为期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气囊</w:t>
            </w:r>
            <w:r>
              <w:rPr>
                <w:rFonts w:hint="eastAsia" w:ascii="仿宋" w:hAnsi="仿宋" w:eastAsia="仿宋" w:cs="仿宋"/>
                <w:color w:val="000000" w:themeColor="text1"/>
                <w:kern w:val="0"/>
                <w:sz w:val="18"/>
                <w:szCs w:val="18"/>
                <w14:textFill>
                  <w14:solidFill>
                    <w14:schemeClr w14:val="tx1"/>
                  </w14:solidFill>
                </w14:textFill>
              </w:rPr>
              <w:t xml:space="preserve">封堵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管道清淤施工，采用充气管塞（气囊）进行临时性封堵工作，气囊规格综合考虑，为期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每月泵站日常巡查人工拉泵、垃圾清理等（保证每月4次）保证泵站基本运行，泵站数量0~50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每月泵站日常巡查人工拉泵、垃圾清理等（保证每月4次）保证泵站基本运行，泵站数量0~50，为期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泵站配件检查、维修，确保泵站的基本运行，要求包含单项维修费用在5000元以下的所有维修内容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泵站配件检查、维修，确保泵站的基本运行，要求包含单项维修费用在5000元以下的所有维修内容</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21</w:t>
            </w:r>
          </w:p>
        </w:tc>
        <w:tc>
          <w:tcPr>
            <w:tcW w:w="6573" w:type="dxa"/>
            <w:gridSpan w:val="4"/>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雨水管网CCTV检测工作，每年完成1/3的工程量，合同到期前提供养护范围内完整的检测报告</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投标报价（小写）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投标报价（大写）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spacing w:line="360" w:lineRule="auto"/>
        <w:ind w:left="4620" w:leftChars="2200" w:firstLine="236" w:firstLineChars="98"/>
        <w:jc w:val="right"/>
        <w:rPr>
          <w:rFonts w:hint="eastAsia" w:ascii="仿宋" w:hAnsi="仿宋" w:eastAsia="仿宋" w:cs="仿宋"/>
          <w:b/>
          <w:color w:val="000000" w:themeColor="text1"/>
          <w:kern w:val="0"/>
          <w:sz w:val="24"/>
          <w:szCs w:val="20"/>
          <w:highlight w:val="none"/>
          <w:lang w:val="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日期：   年   月   日</w:t>
      </w: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开标一览表（</w:t>
      </w:r>
      <w:r>
        <w:rPr>
          <w:rFonts w:hint="eastAsia" w:ascii="仿宋" w:hAnsi="仿宋" w:eastAsia="仿宋" w:cs="仿宋"/>
          <w:color w:val="000000" w:themeColor="text1"/>
          <w:kern w:val="2"/>
          <w:sz w:val="32"/>
          <w:szCs w:val="32"/>
          <w:highlight w:val="none"/>
          <w:lang w:val="en-US"/>
          <w14:textFill>
            <w14:solidFill>
              <w14:schemeClr w14:val="tx1"/>
            </w14:solidFill>
          </w14:textFill>
        </w:rPr>
        <w:t>标项二</w:t>
      </w:r>
      <w:r>
        <w:rPr>
          <w:rFonts w:hint="eastAsia" w:ascii="仿宋" w:hAnsi="仿宋" w:eastAsia="仿宋" w:cs="仿宋"/>
          <w:color w:val="000000" w:themeColor="text1"/>
          <w:kern w:val="2"/>
          <w:sz w:val="32"/>
          <w:szCs w:val="32"/>
          <w:highlight w:val="none"/>
          <w14:textFill>
            <w14:solidFill>
              <w14:schemeClr w14:val="tx1"/>
            </w14:solidFill>
          </w14:textFill>
        </w:rPr>
        <w:t>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26"/>
        <w:gridCol w:w="3187"/>
        <w:gridCol w:w="693"/>
        <w:gridCol w:w="1267"/>
        <w:gridCol w:w="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序号</w:t>
            </w:r>
          </w:p>
        </w:tc>
        <w:tc>
          <w:tcPr>
            <w:tcW w:w="1426"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养护内容</w:t>
            </w:r>
          </w:p>
        </w:tc>
        <w:tc>
          <w:tcPr>
            <w:tcW w:w="31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养护特征描述</w:t>
            </w:r>
          </w:p>
        </w:tc>
        <w:tc>
          <w:tcPr>
            <w:tcW w:w="693"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单位</w:t>
            </w:r>
          </w:p>
        </w:tc>
        <w:tc>
          <w:tcPr>
            <w:tcW w:w="1267"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工程量</w:t>
            </w:r>
          </w:p>
        </w:tc>
        <w:tc>
          <w:tcPr>
            <w:tcW w:w="960"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综合单价</w:t>
            </w:r>
          </w:p>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（元）</w:t>
            </w:r>
          </w:p>
        </w:tc>
        <w:tc>
          <w:tcPr>
            <w:tcW w:w="999"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合计（元）</w:t>
            </w: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400*500雨水口清理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雨水口淤泥、垃圾等杂物的清理，并清扫作业现场，每年至少清理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1598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Φ700雨水井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雨水检查井淤泥、垃圾等杂物的清理，并清扫作业现场，每年至少清理2次，为期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880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Φ700污水井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污水检查井淤泥、垃圾等杂物的清理，并清扫作业现场，每年至少清理4次，为期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924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D300以下雨水管道疏通（机械通管，含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D300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18836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D600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6</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21240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7838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7</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9627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leftChars="0" w:right="0"/>
              <w:jc w:val="center"/>
              <w:rPr>
                <w:rFonts w:hint="eastAsia"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180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leftChars="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9</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615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D300以下污水管道疏通（人工摇车通管，含D300）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16574.72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D300-600以下污水管道疏通（机械通管，含D600）</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20431.07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4583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2858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启闭机保养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启闭机定期清除油垢，凃护新油，上油漆、黄油，以防锈蚀，及日常零星小维修等工作，每年至少维护保养一次，为期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台</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垃圾及淤泥的弃置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垃圾及淤泥的弃置场地及运距由施工单位自行考虑，为期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m3</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800.00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五水共治处理费用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按照五水共治的要求，对施工现场进行污染源的排查与处理工作，达到五水共治的控制要求，为期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17</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应急设备专项资金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应急设备包括抽水设备的使用及发电机组等应急所需类型设备，以及购买安全维护设施等费用，采用按时结算，实报实销的方式，为期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气囊</w:t>
            </w:r>
            <w:r>
              <w:rPr>
                <w:rFonts w:hint="eastAsia" w:ascii="仿宋" w:hAnsi="仿宋" w:eastAsia="仿宋" w:cs="仿宋"/>
                <w:color w:val="000000" w:themeColor="text1"/>
                <w:kern w:val="0"/>
                <w:sz w:val="18"/>
                <w:szCs w:val="18"/>
                <w14:textFill>
                  <w14:solidFill>
                    <w14:schemeClr w14:val="tx1"/>
                  </w14:solidFill>
                </w14:textFill>
              </w:rPr>
              <w:t xml:space="preserve">封堵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管道清淤施工，采用充气管塞（气囊）进行临时性封堵工作，气囊规格综合考虑，为期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每月泵站日常巡查人工拉泵、垃圾清理等（保证每月4次）保证泵站基本运行，泵站数量0~50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每月泵站日常巡查人工拉泵、垃圾清理等（保证每月4次）保证泵站基本运行，泵站数量0~50，为期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泵站配件检查、维修，确保泵站的基本运行，要求包含单项维修费用在5000元以下的所有维修内容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泵站配件检查、维修，确保泵站的基本运行，要求包含单项维修费用在5000元以下的所有维修内容</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21</w:t>
            </w:r>
          </w:p>
        </w:tc>
        <w:tc>
          <w:tcPr>
            <w:tcW w:w="6573" w:type="dxa"/>
            <w:gridSpan w:val="4"/>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雨水管网CCTV检测工作，每年完成1/3的工程量，合同到期前提供养护范围内完整的检测报告</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投标报价（小写）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投标报价（大写）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pStyle w:val="3"/>
        <w:jc w:val="right"/>
        <w:rPr>
          <w:rFonts w:hint="eastAsia" w:ascii="仿宋" w:hAnsi="仿宋" w:eastAsia="仿宋" w:cs="仿宋"/>
          <w:b/>
          <w:color w:val="000000" w:themeColor="text1"/>
          <w:kern w:val="0"/>
          <w:sz w:val="24"/>
          <w:szCs w:val="20"/>
          <w:highlight w:val="none"/>
          <w:lang w:val="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日期：   年   月   日</w:t>
      </w: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开标一览表（</w:t>
      </w:r>
      <w:r>
        <w:rPr>
          <w:rFonts w:hint="eastAsia" w:ascii="仿宋" w:hAnsi="仿宋" w:eastAsia="仿宋" w:cs="仿宋"/>
          <w:color w:val="000000" w:themeColor="text1"/>
          <w:kern w:val="2"/>
          <w:sz w:val="32"/>
          <w:szCs w:val="32"/>
          <w:highlight w:val="none"/>
          <w:lang w:val="en-US"/>
          <w14:textFill>
            <w14:solidFill>
              <w14:schemeClr w14:val="tx1"/>
            </w14:solidFill>
          </w14:textFill>
        </w:rPr>
        <w:t>标项三</w:t>
      </w:r>
      <w:r>
        <w:rPr>
          <w:rFonts w:hint="eastAsia" w:ascii="仿宋" w:hAnsi="仿宋" w:eastAsia="仿宋" w:cs="仿宋"/>
          <w:color w:val="000000" w:themeColor="text1"/>
          <w:kern w:val="2"/>
          <w:sz w:val="32"/>
          <w:szCs w:val="32"/>
          <w:highlight w:val="none"/>
          <w14:textFill>
            <w14:solidFill>
              <w14:schemeClr w14:val="tx1"/>
            </w14:solidFill>
          </w14:textFill>
        </w:rPr>
        <w:t>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26"/>
        <w:gridCol w:w="3187"/>
        <w:gridCol w:w="693"/>
        <w:gridCol w:w="1267"/>
        <w:gridCol w:w="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序号</w:t>
            </w:r>
          </w:p>
        </w:tc>
        <w:tc>
          <w:tcPr>
            <w:tcW w:w="1426"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养护内容</w:t>
            </w:r>
          </w:p>
        </w:tc>
        <w:tc>
          <w:tcPr>
            <w:tcW w:w="31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养护特征描述</w:t>
            </w:r>
          </w:p>
        </w:tc>
        <w:tc>
          <w:tcPr>
            <w:tcW w:w="693"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单位</w:t>
            </w:r>
          </w:p>
        </w:tc>
        <w:tc>
          <w:tcPr>
            <w:tcW w:w="1267"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工程量</w:t>
            </w:r>
          </w:p>
        </w:tc>
        <w:tc>
          <w:tcPr>
            <w:tcW w:w="960"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综合单价</w:t>
            </w:r>
          </w:p>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（元）</w:t>
            </w:r>
          </w:p>
        </w:tc>
        <w:tc>
          <w:tcPr>
            <w:tcW w:w="999"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合计（元）</w:t>
            </w: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400*500雨水口清理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雨水口淤泥、垃圾等杂物的清理，并清扫作业现场，每年至少清理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2685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Φ700雨水井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雨水检查井淤泥、垃圾等杂物的清理，并清扫作业现场，每年至少清理2次，为期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1157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Φ700污水井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污水检查井淤泥、垃圾等杂物的清理，并清扫作业现场，每年至少清理4次，为期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1009</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D300以下雨水管道疏通（机械通管，含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D300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46003.57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D600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6</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26577.57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9604.82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7</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4450.49</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p>
        </w:tc>
        <w:tc>
          <w:tcPr>
            <w:tcW w:w="1426"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rightChars="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35.82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9</w:t>
            </w:r>
          </w:p>
        </w:tc>
        <w:tc>
          <w:tcPr>
            <w:tcW w:w="1426"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rightChars="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87.41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D300以下污水管道疏通（人工摇车通管，含D300）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9173.83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D300-600以下污水管道疏通（机械通管，含D600）</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24949.23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4824.8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14</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1796.34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启闭机保养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启闭机定期清除油垢，凃护新油，上油漆、黄油，以防锈蚀，及日常零星小维修等工作，每年至少维护保养一次，为期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台</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垃圾及淤泥的弃置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垃圾及淤泥的弃置场地及运距由施工单位自行考虑，为期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m3</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800.00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五水共治处理费用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按照五水共治的要求，对施工现场进行污染源的排查与处理工作，达到五水共治的控制要求，为期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17</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应急设备专项资金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应急设备包括抽水设备的使用及发电机组等应急所需类型设备，以及购买安全维护设施等费用，采用按时结算，实报实销的方式，为期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气囊</w:t>
            </w:r>
            <w:r>
              <w:rPr>
                <w:rFonts w:hint="eastAsia" w:ascii="仿宋" w:hAnsi="仿宋" w:eastAsia="仿宋" w:cs="仿宋"/>
                <w:color w:val="000000" w:themeColor="text1"/>
                <w:kern w:val="0"/>
                <w:sz w:val="18"/>
                <w:szCs w:val="18"/>
                <w14:textFill>
                  <w14:solidFill>
                    <w14:schemeClr w14:val="tx1"/>
                  </w14:solidFill>
                </w14:textFill>
              </w:rPr>
              <w:t xml:space="preserve">封堵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管道清淤施工，采用充气管塞（气囊）进行临时性封堵工作，气囊规格综合考虑，为期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每月泵站日常巡查人工拉泵、垃圾清理等（保证每月4次）保证泵站基本运行，泵站数量0~50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每月泵站日常巡查人工拉泵、垃圾清理等（保证每月4次）保证泵站基本运行，泵站数量0~50，为期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泵站配件检查、维修，确保泵站的基本运行，要求包含单项维修费用在5000元以下的所有维修内容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泵站配件检查、维修，确保泵站的基本运行，要求包含单项维修费用在5000元以下的所有维修内容</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21</w:t>
            </w:r>
          </w:p>
        </w:tc>
        <w:tc>
          <w:tcPr>
            <w:tcW w:w="6573" w:type="dxa"/>
            <w:gridSpan w:val="4"/>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雨水管网CCTV检测工作，每年完成1/3的工程量，合同到期前提供养护范围内完整的检测报告</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投标报价（小写）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投标报价（大写）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jc w:val="right"/>
        <w:rPr>
          <w:rFonts w:hint="eastAsia"/>
          <w:color w:val="000000" w:themeColor="text1"/>
          <w:lang w:val="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日期：   年   月   日</w:t>
      </w: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开标一览表（</w:t>
      </w:r>
      <w:r>
        <w:rPr>
          <w:rFonts w:hint="eastAsia" w:ascii="仿宋" w:hAnsi="仿宋" w:eastAsia="仿宋" w:cs="仿宋"/>
          <w:color w:val="000000" w:themeColor="text1"/>
          <w:kern w:val="2"/>
          <w:sz w:val="32"/>
          <w:szCs w:val="32"/>
          <w:highlight w:val="none"/>
          <w:lang w:val="en-US"/>
          <w14:textFill>
            <w14:solidFill>
              <w14:schemeClr w14:val="tx1"/>
            </w14:solidFill>
          </w14:textFill>
        </w:rPr>
        <w:t>标项四</w:t>
      </w:r>
      <w:r>
        <w:rPr>
          <w:rFonts w:hint="eastAsia" w:ascii="仿宋" w:hAnsi="仿宋" w:eastAsia="仿宋" w:cs="仿宋"/>
          <w:color w:val="000000" w:themeColor="text1"/>
          <w:kern w:val="2"/>
          <w:sz w:val="32"/>
          <w:szCs w:val="32"/>
          <w:highlight w:val="none"/>
          <w14:textFill>
            <w14:solidFill>
              <w14:schemeClr w14:val="tx1"/>
            </w14:solidFill>
          </w14:textFill>
        </w:rPr>
        <w:t>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26"/>
        <w:gridCol w:w="3187"/>
        <w:gridCol w:w="693"/>
        <w:gridCol w:w="1267"/>
        <w:gridCol w:w="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序号</w:t>
            </w:r>
          </w:p>
        </w:tc>
        <w:tc>
          <w:tcPr>
            <w:tcW w:w="1426"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养护内容</w:t>
            </w:r>
          </w:p>
        </w:tc>
        <w:tc>
          <w:tcPr>
            <w:tcW w:w="31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养护特征描述</w:t>
            </w:r>
          </w:p>
        </w:tc>
        <w:tc>
          <w:tcPr>
            <w:tcW w:w="693"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单位</w:t>
            </w:r>
          </w:p>
        </w:tc>
        <w:tc>
          <w:tcPr>
            <w:tcW w:w="1267"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工程量</w:t>
            </w:r>
          </w:p>
        </w:tc>
        <w:tc>
          <w:tcPr>
            <w:tcW w:w="960"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综合单价</w:t>
            </w:r>
          </w:p>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（元）</w:t>
            </w:r>
          </w:p>
        </w:tc>
        <w:tc>
          <w:tcPr>
            <w:tcW w:w="999"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合计（元）</w:t>
            </w: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400*500雨水口清理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雨水口淤泥、垃圾等杂物的清理，并清扫作业现场，每年至少清理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2335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Φ700雨水井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雨水检查井淤泥、垃圾等杂物的清理，并清扫作业现场，每年至少清理2次，为期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1390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Φ700污水井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污水检查井淤泥、垃圾等杂物的清理，并清扫作业现场，每年至少清理4次，为期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1414</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D300以下雨水管道疏通（机械通管，含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D300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20788.48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D600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6</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19017.87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9110.4</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7</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10928.13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p>
        </w:tc>
        <w:tc>
          <w:tcPr>
            <w:tcW w:w="1426"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1800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cs="Times New Roman"/>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rightChars="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1995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D300以下污水管道疏通（人工摇车通管，含D300）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14459.82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D300-600以下污水管道疏通（机械通管，含D600）</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25944.02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11</w:t>
            </w:r>
          </w:p>
        </w:tc>
        <w:tc>
          <w:tcPr>
            <w:tcW w:w="1426"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rightChars="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rightChars="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2987</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375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1400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14</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m</w:t>
            </w:r>
          </w:p>
        </w:tc>
        <w:tc>
          <w:tcPr>
            <w:tcW w:w="126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1090</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启闭机保养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启闭机定期清除油垢，凃护新油，上油漆、黄油，以防锈蚀，及日常零星小维修等工作，每年至少维护保养一次，为期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台</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垃圾及淤泥的弃置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垃圾及淤泥的弃置场地及运距由施工单位自行考虑，为期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m3</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800.00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五水共治处理费用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按照五水共治的要求，对施工现场进行污染源的排查与处理工作，达到五水共治的控制要求，为期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17</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应急设备专项资金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应急设备包括抽水设备的使用及发电机组等应急所需类型设备，以及购买安全维护设施等费用，采用按时结算，实报实销的方式，为期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气囊</w:t>
            </w:r>
            <w:r>
              <w:rPr>
                <w:rFonts w:hint="eastAsia" w:ascii="仿宋" w:hAnsi="仿宋" w:eastAsia="仿宋" w:cs="仿宋"/>
                <w:color w:val="000000" w:themeColor="text1"/>
                <w:kern w:val="0"/>
                <w:sz w:val="18"/>
                <w:szCs w:val="18"/>
                <w14:textFill>
                  <w14:solidFill>
                    <w14:schemeClr w14:val="tx1"/>
                  </w14:solidFill>
                </w14:textFill>
              </w:rPr>
              <w:t xml:space="preserve">封堵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管道清淤施工，采用充气管塞（气囊）进行临时性封堵工作，气囊规格综合考虑，为期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每月泵站日常巡查人工拉泵、垃圾清理等（保证每月4次）保证泵站基本运行，泵站数量0~50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每月泵站日常巡查人工拉泵、垃圾清理等（保证每月4次）保证泵站基本运行，泵站数量0~50，为期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泵站配件检查、维修，确保泵站的基本运行，要求包含单项维修费用在5000元以下的所有维修内容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泵站配件检查、维修，确保泵站的基本运行，要求包含单项维修费用在5000元以下的所有维修内容</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21</w:t>
            </w:r>
          </w:p>
        </w:tc>
        <w:tc>
          <w:tcPr>
            <w:tcW w:w="6573" w:type="dxa"/>
            <w:gridSpan w:val="4"/>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雨水管网CCTV检测工作，每年完成1/3的工程量，合同到期前提供养护范围内完整的检测报告</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投标报价（小写）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投标报价（大写）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pStyle w:val="3"/>
        <w:jc w:val="right"/>
        <w:rPr>
          <w:rFonts w:hint="eastAsia"/>
          <w:color w:val="000000" w:themeColor="text1"/>
          <w:lang w:val="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日期：   年   月   日</w:t>
      </w: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开标一览表（</w:t>
      </w:r>
      <w:r>
        <w:rPr>
          <w:rFonts w:hint="eastAsia" w:ascii="仿宋" w:hAnsi="仿宋" w:eastAsia="仿宋" w:cs="仿宋"/>
          <w:color w:val="000000" w:themeColor="text1"/>
          <w:kern w:val="2"/>
          <w:sz w:val="32"/>
          <w:szCs w:val="32"/>
          <w:highlight w:val="none"/>
          <w:lang w:val="en-US"/>
          <w14:textFill>
            <w14:solidFill>
              <w14:schemeClr w14:val="tx1"/>
            </w14:solidFill>
          </w14:textFill>
        </w:rPr>
        <w:t>标项五</w:t>
      </w:r>
      <w:r>
        <w:rPr>
          <w:rFonts w:hint="eastAsia" w:ascii="仿宋" w:hAnsi="仿宋" w:eastAsia="仿宋" w:cs="仿宋"/>
          <w:color w:val="000000" w:themeColor="text1"/>
          <w:kern w:val="2"/>
          <w:sz w:val="32"/>
          <w:szCs w:val="32"/>
          <w:highlight w:val="none"/>
          <w14:textFill>
            <w14:solidFill>
              <w14:schemeClr w14:val="tx1"/>
            </w14:solidFill>
          </w14:textFill>
        </w:rPr>
        <w:t>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14:textFill>
            <w14:solidFill>
              <w14:schemeClr w14:val="tx1"/>
            </w14:solidFill>
          </w14:textFill>
        </w:rPr>
        <w:t>（采购编号）】的实施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tbl>
      <w:tblPr>
        <w:tblStyle w:val="6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26"/>
        <w:gridCol w:w="3187"/>
        <w:gridCol w:w="693"/>
        <w:gridCol w:w="1267"/>
        <w:gridCol w:w="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序号</w:t>
            </w:r>
          </w:p>
        </w:tc>
        <w:tc>
          <w:tcPr>
            <w:tcW w:w="1426"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养护内容</w:t>
            </w:r>
          </w:p>
        </w:tc>
        <w:tc>
          <w:tcPr>
            <w:tcW w:w="3187" w:type="dxa"/>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sz w:val="18"/>
                <w:szCs w:val="18"/>
                <w:highlight w:val="none"/>
                <w14:textFill>
                  <w14:solidFill>
                    <w14:schemeClr w14:val="tx1"/>
                  </w14:solidFill>
                </w14:textFill>
              </w:rPr>
              <w:t>养护特征描述</w:t>
            </w:r>
          </w:p>
        </w:tc>
        <w:tc>
          <w:tcPr>
            <w:tcW w:w="693"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单位</w:t>
            </w:r>
          </w:p>
        </w:tc>
        <w:tc>
          <w:tcPr>
            <w:tcW w:w="1267"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工程量</w:t>
            </w:r>
          </w:p>
        </w:tc>
        <w:tc>
          <w:tcPr>
            <w:tcW w:w="960"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综合单价</w:t>
            </w:r>
          </w:p>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（元）</w:t>
            </w:r>
          </w:p>
        </w:tc>
        <w:tc>
          <w:tcPr>
            <w:tcW w:w="999" w:type="dxa"/>
            <w:vAlign w:val="center"/>
          </w:tcPr>
          <w:p>
            <w:pPr>
              <w:pStyle w:val="26"/>
              <w:adjustRightInd w:val="0"/>
              <w:snapToGrid w:val="0"/>
              <w:spacing w:before="0" w:beforeAutospacing="0" w:after="0" w:afterAutospacing="0"/>
              <w:ind w:left="0" w:leftChars="0" w:right="0" w:firstLine="0" w:firstLineChars="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eastAsia" w:ascii="仿宋" w:hAnsi="仿宋" w:eastAsia="仿宋" w:cs="仿宋"/>
                <w:b/>
                <w:color w:val="000000" w:themeColor="text1"/>
                <w:kern w:val="2"/>
                <w:sz w:val="18"/>
                <w:szCs w:val="18"/>
                <w:highlight w:val="none"/>
                <w:lang w:val="en-US" w:eastAsia="zh-CN" w:bidi="ar-SA"/>
                <w14:textFill>
                  <w14:solidFill>
                    <w14:schemeClr w14:val="tx1"/>
                  </w14:solidFill>
                </w14:textFill>
              </w:rPr>
              <w:t>合计（元）</w:t>
            </w:r>
          </w:p>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400*500雨水口清理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雨水口淤泥、垃圾等杂物的清理，并清扫作业现场，每年至少清理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2668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Φ700雨水井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雨水检查井淤泥、垃圾等杂物的清理，并清扫作业现场，每年至少清理2次，为期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1506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Φ700污水井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污水检查井淤泥、垃圾等杂物的清理，并清扫作业现场，每年至少清理4次，为期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1392</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D300以下雨水管道疏通（机械通管，含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D300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32875</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D300-600雨水管道疏通（机械通管，含</w:t>
            </w:r>
            <w:r>
              <w:rPr>
                <w:rFonts w:hint="eastAsia" w:ascii="仿宋" w:hAnsi="仿宋" w:eastAsia="仿宋" w:cs="仿宋"/>
                <w:color w:val="000000" w:themeColor="text1"/>
                <w:kern w:val="0"/>
                <w:sz w:val="18"/>
                <w:szCs w:val="18"/>
                <w:lang w:val="en-US" w:eastAsia="zh-CN"/>
                <w14:textFill>
                  <w14:solidFill>
                    <w14:schemeClr w14:val="tx1"/>
                  </w14:solidFill>
                </w14:textFill>
              </w:rPr>
              <w:t>D600</w:t>
            </w:r>
            <w:r>
              <w:rPr>
                <w:rFonts w:hint="eastAsia" w:ascii="仿宋" w:hAnsi="仿宋" w:eastAsia="仿宋" w:cs="仿宋"/>
                <w:color w:val="000000" w:themeColor="text1"/>
                <w:kern w:val="0"/>
                <w:sz w:val="18"/>
                <w:szCs w:val="18"/>
                <w14:textFill>
                  <w14:solidFill>
                    <w14:schemeClr w14:val="tx1"/>
                  </w14:solidFill>
                </w14:textFill>
              </w:rPr>
              <w:t xml:space="preserve">）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6</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15679</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11776</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7</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00-</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00雨水管道疏通（机械通管，含D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雨水管道淤泥、垃圾等杂物的完全清理，并清扫作业现场，采用高压疏通车全管位疏通，有问题段CCTV检测配合，每年至少清理</w:t>
            </w:r>
            <w:r>
              <w:rPr>
                <w:rFonts w:hint="eastAsia" w:ascii="仿宋" w:hAnsi="仿宋" w:eastAsia="仿宋" w:cs="仿宋"/>
                <w:color w:val="000000" w:themeColor="text1"/>
                <w:kern w:val="0"/>
                <w:sz w:val="18"/>
                <w:szCs w:val="18"/>
                <w:lang w:val="en-US" w:eastAsia="zh-CN"/>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leftChars="0" w:right="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4321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D300以下污水管道疏通（人工摇车通管，含D300）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10060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9</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D300-600以下污水管道疏通（机械通管，含D600）</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25133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D600-</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8</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3018</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11</w:t>
            </w:r>
          </w:p>
        </w:tc>
        <w:tc>
          <w:tcPr>
            <w:tcW w:w="1426"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D</w:t>
            </w:r>
            <w:r>
              <w:rPr>
                <w:rFonts w:hint="eastAsia" w:ascii="仿宋" w:hAnsi="仿宋" w:eastAsia="仿宋" w:cs="仿宋"/>
                <w:color w:val="000000" w:themeColor="text1"/>
                <w:kern w:val="0"/>
                <w:sz w:val="18"/>
                <w:szCs w:val="18"/>
                <w:lang w:val="en-US" w:eastAsia="zh-CN"/>
                <w14:textFill>
                  <w14:solidFill>
                    <w14:schemeClr w14:val="tx1"/>
                  </w14:solidFill>
                </w14:textFill>
              </w:rPr>
              <w:t>800</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val="en-US" w:eastAsia="zh-CN"/>
                <w14:textFill>
                  <w14:solidFill>
                    <w14:schemeClr w14:val="tx1"/>
                  </w14:solidFill>
                </w14:textFill>
              </w:rPr>
              <w:t>1200</w:t>
            </w:r>
            <w:r>
              <w:rPr>
                <w:rFonts w:hint="eastAsia" w:ascii="仿宋" w:hAnsi="仿宋" w:eastAsia="仿宋" w:cs="仿宋"/>
                <w:color w:val="000000" w:themeColor="text1"/>
                <w:kern w:val="0"/>
                <w:sz w:val="18"/>
                <w:szCs w:val="18"/>
                <w14:textFill>
                  <w14:solidFill>
                    <w14:schemeClr w14:val="tx1"/>
                  </w14:solidFill>
                </w14:textFill>
              </w:rPr>
              <w:t>污水管道疏通（机械通管，含D</w:t>
            </w:r>
            <w:r>
              <w:rPr>
                <w:rFonts w:hint="eastAsia" w:ascii="仿宋" w:hAnsi="仿宋" w:eastAsia="仿宋" w:cs="仿宋"/>
                <w:color w:val="000000" w:themeColor="text1"/>
                <w:kern w:val="0"/>
                <w:sz w:val="18"/>
                <w:szCs w:val="18"/>
                <w:lang w:val="en-US" w:eastAsia="zh-CN"/>
                <w14:textFill>
                  <w14:solidFill>
                    <w14:schemeClr w14:val="tx1"/>
                  </w14:solidFill>
                </w14:textFill>
              </w:rPr>
              <w:t>12</w:t>
            </w:r>
            <w:r>
              <w:rPr>
                <w:rFonts w:hint="eastAsia" w:ascii="仿宋" w:hAnsi="仿宋" w:eastAsia="仿宋" w:cs="仿宋"/>
                <w:color w:val="000000" w:themeColor="text1"/>
                <w:kern w:val="0"/>
                <w:sz w:val="18"/>
                <w:szCs w:val="18"/>
                <w14:textFill>
                  <w14:solidFill>
                    <w14:schemeClr w14:val="tx1"/>
                  </w14:solidFill>
                </w14:textFill>
              </w:rPr>
              <w:t xml:space="preserve">00） </w:t>
            </w:r>
          </w:p>
        </w:tc>
        <w:tc>
          <w:tcPr>
            <w:tcW w:w="3187" w:type="dxa"/>
            <w:vAlign w:val="center"/>
          </w:tcPr>
          <w:p>
            <w:pPr>
              <w:widowControl/>
              <w:spacing w:before="0" w:beforeAutospacing="0" w:after="0" w:afterAutospacing="0"/>
              <w:ind w:left="0" w:leftChars="0" w:right="0"/>
              <w:jc w:val="left"/>
              <w:textAlignment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污</w:t>
            </w:r>
            <w:r>
              <w:rPr>
                <w:rFonts w:hint="eastAsia" w:ascii="仿宋" w:hAnsi="仿宋" w:eastAsia="仿宋" w:cs="仿宋"/>
                <w:color w:val="000000" w:themeColor="text1"/>
                <w:kern w:val="0"/>
                <w:sz w:val="18"/>
                <w:szCs w:val="18"/>
                <w14:textFill>
                  <w14:solidFill>
                    <w14:schemeClr w14:val="tx1"/>
                  </w14:solidFill>
                </w14:textFill>
              </w:rPr>
              <w:t>水管道淤泥、垃圾等杂物的</w:t>
            </w:r>
            <w:r>
              <w:rPr>
                <w:rFonts w:hint="eastAsia" w:ascii="仿宋" w:hAnsi="仿宋" w:eastAsia="仿宋" w:cs="仿宋"/>
                <w:color w:val="000000" w:themeColor="text1"/>
                <w:kern w:val="0"/>
                <w:sz w:val="18"/>
                <w:szCs w:val="18"/>
                <w:lang w:eastAsia="zh-CN"/>
                <w14:textFill>
                  <w14:solidFill>
                    <w14:schemeClr w14:val="tx1"/>
                  </w14:solidFill>
                </w14:textFill>
              </w:rPr>
              <w:t>完全</w:t>
            </w:r>
            <w:r>
              <w:rPr>
                <w:rFonts w:hint="eastAsia" w:ascii="仿宋" w:hAnsi="仿宋" w:eastAsia="仿宋" w:cs="仿宋"/>
                <w:color w:val="000000" w:themeColor="text1"/>
                <w:kern w:val="0"/>
                <w:sz w:val="18"/>
                <w:szCs w:val="18"/>
                <w14:textFill>
                  <w14:solidFill>
                    <w14:schemeClr w14:val="tx1"/>
                  </w14:solidFill>
                </w14:textFill>
              </w:rPr>
              <w:t>清理，并清扫作业现场，采用</w:t>
            </w:r>
            <w:r>
              <w:rPr>
                <w:rFonts w:hint="eastAsia" w:ascii="仿宋" w:hAnsi="仿宋" w:eastAsia="仿宋" w:cs="仿宋"/>
                <w:color w:val="000000" w:themeColor="text1"/>
                <w:kern w:val="0"/>
                <w:sz w:val="18"/>
                <w:szCs w:val="18"/>
                <w:lang w:eastAsia="zh-CN"/>
                <w14:textFill>
                  <w14:solidFill>
                    <w14:schemeClr w14:val="tx1"/>
                  </w14:solidFill>
                </w14:textFill>
              </w:rPr>
              <w:t>高压疏通车全管位疏通</w:t>
            </w: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有问题段</w:t>
            </w:r>
            <w:r>
              <w:rPr>
                <w:rFonts w:hint="eastAsia" w:ascii="仿宋" w:hAnsi="仿宋" w:eastAsia="仿宋" w:cs="仿宋"/>
                <w:color w:val="000000" w:themeColor="text1"/>
                <w:kern w:val="0"/>
                <w:sz w:val="18"/>
                <w:szCs w:val="18"/>
                <w:lang w:val="en-US" w:eastAsia="zh-CN"/>
                <w14:textFill>
                  <w14:solidFill>
                    <w14:schemeClr w14:val="tx1"/>
                  </w14:solidFill>
                </w14:textFill>
              </w:rPr>
              <w:t>CCTV检测配合</w:t>
            </w:r>
            <w:r>
              <w:rPr>
                <w:rFonts w:hint="eastAsia" w:ascii="仿宋" w:hAnsi="仿宋" w:eastAsia="仿宋" w:cs="仿宋"/>
                <w:color w:val="000000" w:themeColor="text1"/>
                <w:kern w:val="0"/>
                <w:sz w:val="18"/>
                <w:szCs w:val="18"/>
                <w14:textFill>
                  <w14:solidFill>
                    <w14:schemeClr w14:val="tx1"/>
                  </w14:solidFill>
                </w14:textFill>
              </w:rPr>
              <w:t>，每年至少清理1次，保持管道日常的畅通，为期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m</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1883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启闭机保养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启闭机定期清除油垢，凃护新油，上油漆、黄油，以防锈蚀，及日常零星小维修等工作，每年至少维护保养一次，为期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台</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垃圾及淤泥的弃置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垃圾及淤泥的弃置场地及运距由施工单位自行考虑，为期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m3</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800.00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14</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五水共治处理费用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按照五水共治的要求，对施工现场进行污染源的排查与处理工作，达到五水共治的控制要求，为期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 xml:space="preserve">应急设备专项资金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应急设备包括抽水设备的使用及发电机组等应急所需类型设备，以及购买安全维护设施等费用，采用按时结算，实报实销的方式，为期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项</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14:textFill>
                  <w14:solidFill>
                    <w14:schemeClr w14:val="tx1"/>
                  </w14:solidFill>
                </w14:textFill>
              </w:rPr>
              <w:t>1</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气囊</w:t>
            </w:r>
            <w:r>
              <w:rPr>
                <w:rFonts w:hint="eastAsia" w:ascii="仿宋" w:hAnsi="仿宋" w:eastAsia="仿宋" w:cs="仿宋"/>
                <w:color w:val="000000" w:themeColor="text1"/>
                <w:kern w:val="0"/>
                <w:sz w:val="18"/>
                <w:szCs w:val="18"/>
                <w14:textFill>
                  <w14:solidFill>
                    <w14:schemeClr w14:val="tx1"/>
                  </w14:solidFill>
                </w14:textFill>
              </w:rPr>
              <w:t>封堵</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管道清淤施工，采用充气管塞（气囊）进行临时性封堵工作，气囊规格综合考虑，为期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只</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17</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每月泵站日常巡查人工拉泵、垃圾清理等（保证每月4次）保证泵站基本运行，泵站数量0~50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每月泵站日常巡查人工拉泵、垃圾清理等（保证每月4次）保证泵站基本运行，泵站数量0~50，为期</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年（单价为</w:t>
            </w:r>
            <w:r>
              <w:rPr>
                <w:rFonts w:hint="eastAsia" w:ascii="仿宋" w:hAnsi="仿宋" w:eastAsia="仿宋" w:cs="仿宋"/>
                <w:color w:val="000000" w:themeColor="text1"/>
                <w:kern w:val="0"/>
                <w:sz w:val="18"/>
                <w:szCs w:val="18"/>
                <w:lang w:val="en-US" w:eastAsia="zh-CN"/>
                <w14:textFill>
                  <w14:solidFill>
                    <w14:schemeClr w14:val="tx1"/>
                  </w14:solidFill>
                </w14:textFill>
              </w:rPr>
              <w:t>三</w:t>
            </w:r>
            <w:r>
              <w:rPr>
                <w:rFonts w:hint="eastAsia" w:ascii="仿宋" w:hAnsi="仿宋" w:eastAsia="仿宋" w:cs="仿宋"/>
                <w:color w:val="000000" w:themeColor="text1"/>
                <w:kern w:val="0"/>
                <w:sz w:val="18"/>
                <w:szCs w:val="18"/>
                <w14:textFill>
                  <w14:solidFill>
                    <w14:schemeClr w14:val="tx1"/>
                  </w14:solidFill>
                </w14:textFill>
              </w:rPr>
              <w:t>年的费用）</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18</w:t>
            </w:r>
          </w:p>
        </w:tc>
        <w:tc>
          <w:tcPr>
            <w:tcW w:w="1426"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泵站配件检查、维修，确保泵站的基本运行，要求包含单项维修费用在5000元以下的所有维修内容 </w:t>
            </w:r>
          </w:p>
        </w:tc>
        <w:tc>
          <w:tcPr>
            <w:tcW w:w="3187" w:type="dxa"/>
            <w:vAlign w:val="center"/>
          </w:tcPr>
          <w:p>
            <w:pPr>
              <w:widowControl/>
              <w:spacing w:before="0" w:beforeAutospacing="0" w:after="0" w:afterAutospacing="0"/>
              <w:ind w:left="0" w:right="0"/>
              <w:jc w:val="left"/>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泵站配件检查、维修，确保泵站的基本运行，要求包含单项维修费用在5000元以下的所有维修内容</w:t>
            </w:r>
          </w:p>
        </w:tc>
        <w:tc>
          <w:tcPr>
            <w:tcW w:w="693"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座</w:t>
            </w:r>
          </w:p>
        </w:tc>
        <w:tc>
          <w:tcPr>
            <w:tcW w:w="1267" w:type="dxa"/>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19</w:t>
            </w:r>
          </w:p>
        </w:tc>
        <w:tc>
          <w:tcPr>
            <w:tcW w:w="6573" w:type="dxa"/>
            <w:gridSpan w:val="4"/>
            <w:vAlign w:val="center"/>
          </w:tcPr>
          <w:p>
            <w:pPr>
              <w:widowControl/>
              <w:spacing w:before="0" w:beforeAutospacing="0" w:after="0" w:afterAutospacing="0"/>
              <w:ind w:left="0" w:right="0"/>
              <w:jc w:val="center"/>
              <w:textAlignment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kern w:val="2"/>
                <w:sz w:val="18"/>
                <w:szCs w:val="18"/>
                <w:lang w:val="en-US" w:eastAsia="zh-CN" w:bidi="ar-SA"/>
                <w14:textFill>
                  <w14:solidFill>
                    <w14:schemeClr w14:val="tx1"/>
                  </w14:solidFill>
                </w14:textFill>
              </w:rPr>
              <w:t>雨水管网CCTV检测工作，每年完成1/3的工程量，合同到期前提供养护范围内完整的检测报告</w:t>
            </w:r>
          </w:p>
        </w:tc>
        <w:tc>
          <w:tcPr>
            <w:tcW w:w="960" w:type="dxa"/>
            <w:vAlign w:val="center"/>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c>
          <w:tcPr>
            <w:tcW w:w="999" w:type="dxa"/>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投标报价（小写）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793" w:type="dxa"/>
            <w:gridSpan w:val="4"/>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18"/>
                <w:szCs w:val="18"/>
                <w:highlight w:val="none"/>
                <w14:textFill>
                  <w14:solidFill>
                    <w14:schemeClr w14:val="tx1"/>
                  </w14:solidFill>
                </w14:textFill>
              </w:rPr>
            </w:pPr>
            <w:r>
              <w:rPr>
                <w:rFonts w:hint="default" w:ascii="仿宋" w:hAnsi="仿宋" w:eastAsia="仿宋" w:cs="仿宋"/>
                <w:b/>
                <w:color w:val="000000" w:themeColor="text1"/>
                <w:sz w:val="18"/>
                <w:szCs w:val="18"/>
                <w:highlight w:val="none"/>
                <w14:textFill>
                  <w14:solidFill>
                    <w14:schemeClr w14:val="tx1"/>
                  </w14:solidFill>
                </w14:textFill>
              </w:rPr>
              <w:t>3</w:t>
            </w:r>
            <w:r>
              <w:rPr>
                <w:rFonts w:hint="eastAsia" w:ascii="仿宋" w:hAnsi="仿宋" w:eastAsia="仿宋" w:cs="仿宋"/>
                <w:b/>
                <w:color w:val="000000" w:themeColor="text1"/>
                <w:sz w:val="18"/>
                <w:szCs w:val="18"/>
                <w:highlight w:val="none"/>
                <w:lang w:val="en-US"/>
                <w14:textFill>
                  <w14:solidFill>
                    <w14:schemeClr w14:val="tx1"/>
                  </w14:solidFill>
                </w14:textFill>
              </w:rPr>
              <w:t>年</w:t>
            </w:r>
            <w:r>
              <w:rPr>
                <w:rFonts w:hint="eastAsia" w:ascii="仿宋" w:hAnsi="仿宋" w:eastAsia="仿宋" w:cs="仿宋"/>
                <w:b/>
                <w:color w:val="000000" w:themeColor="text1"/>
                <w:sz w:val="18"/>
                <w:szCs w:val="18"/>
                <w:highlight w:val="none"/>
                <w14:textFill>
                  <w14:solidFill>
                    <w14:schemeClr w14:val="tx1"/>
                  </w14:solidFill>
                </w14:textFill>
              </w:rPr>
              <w:t>投标报价（大写）</w:t>
            </w:r>
          </w:p>
        </w:tc>
        <w:tc>
          <w:tcPr>
            <w:tcW w:w="3226" w:type="dxa"/>
            <w:gridSpan w:val="3"/>
            <w:vAlign w:val="top"/>
          </w:tcPr>
          <w:p>
            <w:pPr>
              <w:spacing w:before="0" w:beforeAutospacing="0" w:after="0" w:afterAutospacing="0" w:line="360" w:lineRule="auto"/>
              <w:ind w:left="0" w:right="0"/>
              <w:jc w:val="center"/>
              <w:rPr>
                <w:rFonts w:hint="eastAsia" w:ascii="仿宋" w:hAnsi="仿宋" w:eastAsia="仿宋" w:cs="仿宋"/>
                <w:color w:val="000000" w:themeColor="text1"/>
                <w:sz w:val="18"/>
                <w:szCs w:val="18"/>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仿宋" w:hAnsi="仿宋" w:eastAsia="仿宋" w:cs="仿宋"/>
          <w:b/>
          <w:color w:val="000000" w:themeColor="text1"/>
          <w:kern w:val="0"/>
          <w:sz w:val="24"/>
          <w:highlight w:val="none"/>
          <w14:textFill>
            <w14:solidFill>
              <w14:schemeClr w14:val="tx1"/>
            </w14:solidFill>
          </w14:textFill>
        </w:rPr>
        <w:t>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480" w:firstLineChars="2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p>
    <w:p>
      <w:pPr>
        <w:pStyle w:val="3"/>
        <w:jc w:val="right"/>
        <w:rPr>
          <w:rFonts w:hint="eastAsia"/>
          <w:color w:val="000000" w:themeColor="text1"/>
          <w:lang w:val="zh-CN"/>
          <w14:textFill>
            <w14:solidFill>
              <w14:schemeClr w14:val="tx1"/>
            </w14:solidFill>
          </w14:textFill>
        </w:rPr>
        <w:sectPr>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日期：   年   月   日</w:t>
      </w:r>
    </w:p>
    <w:p>
      <w:pPr>
        <w:pStyle w:val="376"/>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中小企业声明函（如果有）</w:t>
      </w:r>
    </w:p>
    <w:p>
      <w:pPr>
        <w:widowControl/>
        <w:spacing w:line="360" w:lineRule="auto"/>
        <w:ind w:firstLine="120" w:firstLineChars="5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5"/>
        <w:pageBreakBefore/>
        <w:widowControl/>
        <w:spacing w:before="100" w:beforeAutospacing="1" w:after="100" w:afterAutospacing="1" w:line="360" w:lineRule="auto"/>
        <w:ind w:left="0" w:leftChars="0" w:firstLine="0" w:firstLineChars="0"/>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附件</w:t>
      </w:r>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507" w:name="OLE_LINK13"/>
      <w:bookmarkStart w:id="508"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507"/>
    <w:bookmarkEnd w:id="508"/>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00" w:themeColor="text1"/>
          <w:sz w:val="24"/>
          <w:highlight w:val="none"/>
          <w:u w:val="single"/>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_单位的_</w:t>
      </w:r>
      <w:r>
        <w:rPr>
          <w:rFonts w:hint="eastAsia" w:ascii="仿宋" w:hAnsi="仿宋" w:eastAsia="仿宋" w:cs="仿宋"/>
          <w:color w:val="000000" w:themeColor="text1"/>
          <w:sz w:val="24"/>
          <w:highlight w:val="none"/>
          <w:u w:val="single"/>
          <w14:textFill>
            <w14:solidFill>
              <w14:schemeClr w14:val="tx1"/>
            </w14:solidFill>
          </w14:textFill>
        </w:rPr>
        <w:t>（项目名称）</w:t>
      </w:r>
      <w:r>
        <w:rPr>
          <w:rFonts w:hint="eastAsia" w:ascii="仿宋" w:hAnsi="仿宋" w:eastAsia="仿宋" w:cs="仿宋"/>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投标人（或联合体牵头人）名称(电子签名)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附件2：</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地址：邮编：</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 邮编：</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质疑项目的编号：包号：</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br w:type="page"/>
      </w: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附件3：</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址：邮编：</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址：邮编：</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联系人：联系电话：</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采购项目编号：包号：</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投诉人于年月日,向提出质疑，质疑事项为：</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于年月日,就质疑事项作出了答复/没有在法定期限内作出答复。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autoSpaceDE w:val="0"/>
        <w:autoSpaceDN w:val="0"/>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附件4：</w:t>
      </w:r>
    </w:p>
    <w:p>
      <w:pPr>
        <w:autoSpaceDE w:val="0"/>
        <w:autoSpaceDN w:val="0"/>
        <w:spacing w:line="360" w:lineRule="auto"/>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你方组织的（项目名称）【招标编号：（采购编号）】</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spacing w:line="360" w:lineRule="auto"/>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                投标单位“XX专用章”（印模）</w:t>
      </w: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p>
    <w:p>
      <w:pPr>
        <w:autoSpaceDE w:val="0"/>
        <w:autoSpaceDN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（联合体成员1）</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（填写承担工作和义务，如本项目有特定资格要求的，相应工作内容必须由符合相应特定资格要求的供应商承担）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（联合体成员2）</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（填写承担工作和义务，如本项目有特定资格要求的，相应工作内容必须由符合相应特定资格要求的供应商承担）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w:t>
      </w:r>
      <w:r>
        <w:rPr>
          <w:rFonts w:hint="eastAsia" w:ascii="仿宋" w:hAnsi="仿宋" w:eastAsia="仿宋" w:cs="仿宋"/>
          <w:color w:val="000000" w:themeColor="text1"/>
          <w:kern w:val="0"/>
          <w:sz w:val="24"/>
          <w:highlight w:val="none"/>
          <w:u w:val="single"/>
          <w14:textFill>
            <w14:solidFill>
              <w14:schemeClr w14:val="tx1"/>
            </w14:solidFill>
          </w14:textFill>
        </w:rPr>
        <w:t>（</w:t>
      </w:r>
      <w:bookmarkStart w:id="509" w:name="_Hlk101131882"/>
      <w:r>
        <w:rPr>
          <w:rFonts w:hint="eastAsia" w:ascii="仿宋" w:hAnsi="仿宋" w:eastAsia="仿宋" w:cs="仿宋"/>
          <w:color w:val="000000" w:themeColor="text1"/>
          <w:kern w:val="0"/>
          <w:sz w:val="24"/>
          <w:highlight w:val="none"/>
          <w:u w:val="single"/>
          <w14:textFill>
            <w14:solidFill>
              <w14:schemeClr w14:val="tx1"/>
            </w14:solidFill>
          </w14:textFill>
        </w:rPr>
        <w:t>联合体成员X,……</w:t>
      </w:r>
      <w:bookmarkEnd w:id="509"/>
      <w:r>
        <w:rPr>
          <w:rFonts w:hint="eastAsia" w:ascii="仿宋" w:hAnsi="仿宋" w:eastAsia="仿宋" w:cs="仿宋"/>
          <w:color w:val="000000" w:themeColor="text1"/>
          <w:kern w:val="0"/>
          <w:sz w:val="24"/>
          <w:highlight w:val="none"/>
          <w:u w:val="singl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提供的服务由小微企业承接，其合同份额占到合同总金额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w:t>
      </w:r>
      <w:bookmarkStart w:id="510" w:name="_Hlk101133598"/>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000000" w:themeColor="text1"/>
          <w:sz w:val="24"/>
          <w:highlight w:val="none"/>
          <w14:textFill>
            <w14:solidFill>
              <w14:schemeClr w14:val="tx1"/>
            </w14:solidFill>
          </w14:textFill>
        </w:rPr>
        <w:t>拟享受以上价格扣除政策的，填写有关内容。</w:t>
      </w:r>
      <w:bookmarkEnd w:id="510"/>
      <w:r>
        <w:rPr>
          <w:rFonts w:hint="eastAsia" w:ascii="仿宋" w:hAnsi="仿宋" w:eastAsia="仿宋" w:cs="仿宋"/>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bookmarkStart w:id="511" w:name="_Hlk101133173"/>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highlight w:val="none"/>
          <w:lang w:val="zh-CN"/>
          <w14:textFill>
            <w14:solidFill>
              <w14:schemeClr w14:val="tx1"/>
            </w14:solidFill>
          </w14:textFill>
        </w:rPr>
        <w:t>）</w:t>
      </w:r>
      <w:bookmarkEnd w:id="511"/>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widowControl/>
        <w:adjustRightInd/>
        <w:spacing w:line="360" w:lineRule="auto"/>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附件6：</w:t>
      </w:r>
      <w:r>
        <w:rPr>
          <w:rFonts w:hint="eastAsia" w:ascii="仿宋" w:hAnsi="仿宋" w:eastAsia="仿宋" w:cs="仿宋"/>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kern w:val="0"/>
          <w:sz w:val="24"/>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（分包供应商1名称）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（分包供应商2名称），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b/>
          <w:color w:val="000000" w:themeColor="text1"/>
          <w:sz w:val="32"/>
          <w:szCs w:val="32"/>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u w:val="single"/>
          <w14:textFill>
            <w14:solidFill>
              <w14:schemeClr w14:val="tx1"/>
            </w14:solidFill>
          </w14:textFill>
        </w:rPr>
        <w:t>（分包供应商X,……）</w:t>
      </w:r>
      <w:r>
        <w:rPr>
          <w:rFonts w:hint="eastAsia" w:ascii="仿宋" w:hAnsi="仿宋" w:eastAsia="仿宋" w:cs="仿宋"/>
          <w:color w:val="000000" w:themeColor="text1"/>
          <w:kern w:val="0"/>
          <w:sz w:val="24"/>
          <w:highlight w:val="none"/>
          <w14:textFill>
            <w14:solidFill>
              <w14:schemeClr w14:val="tx1"/>
            </w14:solidFill>
          </w14:textFill>
        </w:rPr>
        <w:t>提供的服务全部由小微企业承接，其合同份额占到合同总金额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000000" w:themeColor="text1"/>
          <w:sz w:val="24"/>
          <w:highlight w:val="none"/>
          <w14:textFill>
            <w14:solidFill>
              <w14:schemeClr w14:val="tx1"/>
            </w14:solidFill>
          </w14:textFill>
        </w:rPr>
        <w:t>拟享受以上价格扣除政策的，填写有关内容。</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kern w:val="0"/>
          <w:sz w:val="24"/>
          <w:highlight w:val="none"/>
          <w:lang w:val="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仿宋" w:hAnsi="仿宋" w:eastAsia="仿宋" w:cs="仿宋"/>
          <w:b/>
          <w:color w:val="000000" w:themeColor="text1"/>
          <w:kern w:val="0"/>
          <w:sz w:val="24"/>
          <w:highlight w:val="none"/>
          <w:lang w:val="zh-CN"/>
          <w14:textFill>
            <w14:solidFill>
              <w14:schemeClr w14:val="tx1"/>
            </w14:solidFill>
          </w14:textFill>
        </w:rPr>
        <w:t>分包意向协议</w:t>
      </w:r>
      <w:r>
        <w:rPr>
          <w:rFonts w:hint="eastAsia" w:ascii="仿宋" w:hAnsi="仿宋" w:eastAsia="仿宋" w:cs="仿宋"/>
          <w:b/>
          <w:bCs/>
          <w:color w:val="000000" w:themeColor="text1"/>
          <w:sz w:val="24"/>
          <w:highlight w:val="none"/>
          <w14:textFill>
            <w14:solidFill>
              <w14:schemeClr w14:val="tx1"/>
            </w14:solidFill>
          </w14:textFill>
        </w:rPr>
        <w:t>中中小企业、小微企业合同金额应当达到的比例要求填写。</w:t>
      </w:r>
      <w:r>
        <w:rPr>
          <w:rFonts w:hint="eastAsia" w:ascii="仿宋" w:hAnsi="仿宋" w:eastAsia="仿宋" w:cs="仿宋"/>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七、争议解决的办法</w:t>
      </w:r>
    </w:p>
    <w:p>
      <w:pPr>
        <w:snapToGrid w:val="0"/>
        <w:spacing w:line="360" w:lineRule="auto"/>
        <w:ind w:right="480" w:firstLine="57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八、其他：</w:t>
      </w:r>
    </w:p>
    <w:p>
      <w:pPr>
        <w:snapToGrid w:val="0"/>
        <w:spacing w:line="360" w:lineRule="auto"/>
        <w:ind w:right="480"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jc w:val="righ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分包供应商名称(电子签名/公章)：</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spacing w:line="360" w:lineRule="auto"/>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附件7：</w:t>
      </w:r>
    </w:p>
    <w:p>
      <w:pPr>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中小企业声明函</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中小企业声明函（服务）</w:t>
      </w: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仿宋" w:hAnsi="仿宋" w:eastAsia="仿宋" w:cs="仿宋"/>
          <w:color w:val="000000" w:themeColor="text1"/>
          <w:sz w:val="24"/>
          <w:highlight w:val="none"/>
          <w:u w:val="single"/>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u w:val="single"/>
          <w14:textFill>
            <w14:solidFill>
              <w14:schemeClr w14:val="tx1"/>
            </w14:solidFill>
          </w14:textFill>
        </w:rPr>
        <w:t xml:space="preserve"> （项目名称） </w:t>
      </w:r>
      <w:r>
        <w:rPr>
          <w:rFonts w:hint="eastAsia" w:ascii="仿宋" w:hAnsi="仿宋" w:eastAsia="仿宋" w:cs="仿宋"/>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 xml:space="preserve"> （采购文件中明确的所属行业）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，从业人员人，营业收入为万元，资产总额为万元属于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 xml:space="preserve"> （标的名称），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 xml:space="preserve">（采购文件中明确的所属行业） </w:t>
      </w:r>
      <w:r>
        <w:rPr>
          <w:rFonts w:hint="eastAsia" w:ascii="仿宋" w:hAnsi="仿宋" w:eastAsia="仿宋" w:cs="仿宋"/>
          <w:color w:val="000000" w:themeColor="text1"/>
          <w:sz w:val="24"/>
          <w:highlight w:val="none"/>
          <w14:textFill>
            <w14:solidFill>
              <w14:schemeClr w14:val="tx1"/>
            </w14:solidFill>
          </w14:textFill>
        </w:rPr>
        <w:t xml:space="preserve">；承建（承接）企业为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，从业人员人，营业收入为万元，资产总额为万元属于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投标人（或联合体牵头人）名称（电子签名）：</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p>
      <w:pPr>
        <w:spacing w:line="360" w:lineRule="auto"/>
        <w:ind w:firstLine="354" w:firstLineChars="147"/>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hint="eastAsia" w:ascii="仿宋" w:hAnsi="仿宋" w:eastAsia="仿宋" w:cs="仿宋"/>
          <w:color w:val="000000" w:themeColor="text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lang w:val="en-US"/>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Cs w:val="21"/>
          <w:highlight w:val="none"/>
          <w14:textFill>
            <w14:solidFill>
              <w14:schemeClr w14:val="tx1"/>
            </w14:solidFill>
          </w14:textFill>
        </w:rPr>
      </w:pPr>
    </w:p>
    <w:p>
      <w:pPr>
        <w:pStyle w:val="3"/>
        <w:ind w:firstLine="0"/>
        <w:rPr>
          <w:rFonts w:hint="eastAsia" w:ascii="仿宋" w:hAnsi="仿宋" w:eastAsia="仿宋" w:cs="仿宋"/>
          <w:b/>
          <w:color w:val="000000" w:themeColor="text1"/>
          <w:sz w:val="36"/>
          <w:highlight w:val="none"/>
          <w:lang w:val="en-US"/>
          <w14:textFill>
            <w14:solidFill>
              <w14:schemeClr w14:val="tx1"/>
            </w14:solidFill>
          </w14:textFill>
        </w:rPr>
      </w:pPr>
      <w:r>
        <w:rPr>
          <w:rFonts w:hint="eastAsia" w:ascii="仿宋" w:hAnsi="仿宋" w:eastAsia="仿宋" w:cs="仿宋"/>
          <w:b/>
          <w:color w:val="000000" w:themeColor="text1"/>
          <w:sz w:val="36"/>
          <w:highlight w:val="none"/>
          <w:lang w:val="en-US"/>
          <w14:textFill>
            <w14:solidFill>
              <w14:schemeClr w14:val="tx1"/>
            </w14:solidFill>
          </w14:textFill>
        </w:rPr>
        <w:t>附件8：</w:t>
      </w:r>
    </w:p>
    <w:p>
      <w:pPr>
        <w:pStyle w:val="3"/>
        <w:ind w:firstLine="0"/>
        <w:jc w:val="center"/>
        <w:rPr>
          <w:rFonts w:hint="eastAsia" w:ascii="仿宋" w:hAnsi="仿宋" w:eastAsia="仿宋" w:cs="仿宋"/>
          <w:b/>
          <w:color w:val="000000" w:themeColor="text1"/>
          <w:sz w:val="36"/>
          <w:highlight w:val="none"/>
          <w:lang w:val="en-US"/>
          <w14:textFill>
            <w14:solidFill>
              <w14:schemeClr w14:val="tx1"/>
            </w14:solidFill>
          </w14:textFill>
        </w:rPr>
      </w:pPr>
      <w:r>
        <w:rPr>
          <w:rFonts w:hint="eastAsia" w:ascii="仿宋" w:hAnsi="仿宋" w:eastAsia="仿宋" w:cs="仿宋"/>
          <w:b/>
          <w:color w:val="000000" w:themeColor="text1"/>
          <w:sz w:val="36"/>
          <w:highlight w:val="none"/>
          <w:lang w:val="en-US"/>
          <w14:textFill>
            <w14:solidFill>
              <w14:schemeClr w14:val="tx1"/>
            </w14:solidFill>
          </w14:textFill>
        </w:rPr>
        <w:t>中小企业划型标准规定</w:t>
      </w:r>
    </w:p>
    <w:p>
      <w:pPr>
        <w:pStyle w:val="619"/>
        <w:spacing w:line="360" w:lineRule="auto"/>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一、根据《中华人民共和国中小企业促进法》和《</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"https://www.shui5.cn/article/47/26142.html"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国务院关于进一步促进中小企业发展的若干意见</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"https://www.shui5.cn/article/47/26142.html"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国发〔2009〕36号</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)，制定本规定。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四、各行业划型标准为：</w:t>
      </w:r>
      <w:r>
        <w:rPr>
          <w:rFonts w:hint="eastAsia" w:ascii="仿宋" w:hAnsi="仿宋" w:eastAsia="仿宋" w:cs="仿宋"/>
          <w:color w:val="000000" w:themeColor="text1"/>
          <w:spacing w:val="6"/>
          <w:szCs w:val="21"/>
          <w:highlight w:val="none"/>
          <w14:textFill>
            <w14:solidFill>
              <w14:schemeClr w14:val="tx1"/>
            </w14:solidFill>
          </w14:textFill>
        </w:rPr>
        <w:br w:type="textWrapping"/>
      </w:r>
      <w:r>
        <w:rPr>
          <w:rFonts w:hint="eastAsia" w:ascii="仿宋" w:hAnsi="仿宋" w:eastAsia="仿宋" w:cs="仿宋"/>
          <w:color w:val="000000" w:themeColor="text1"/>
          <w:spacing w:val="6"/>
          <w:szCs w:val="21"/>
          <w:highlight w:val="none"/>
          <w14:textFill>
            <w14:solidFill>
              <w14:schemeClr w14:val="tx1"/>
            </w14:solidFill>
          </w14:textFill>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pacing w:val="6"/>
          <w:sz w:val="21"/>
          <w:szCs w:val="21"/>
          <w:highlight w:val="none"/>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五、企业类型的划分以统计部门的统计数据为依据。</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九、本规定由工业和信息化部、国家统计局会同有关部门负责解释。</w:t>
      </w:r>
    </w:p>
    <w:p>
      <w:pPr>
        <w:pStyle w:val="619"/>
        <w:adjustRightInd w:val="0"/>
        <w:spacing w:line="360" w:lineRule="auto"/>
        <w:ind w:firstLine="444" w:firstLineChars="200"/>
        <w:jc w:val="both"/>
        <w:rPr>
          <w:rFonts w:hint="eastAsia" w:ascii="仿宋" w:hAnsi="仿宋" w:eastAsia="仿宋" w:cs="仿宋"/>
          <w:color w:val="000000" w:themeColor="text1"/>
          <w:spacing w:val="6"/>
          <w:szCs w:val="21"/>
          <w:highlight w:val="none"/>
          <w14:textFill>
            <w14:solidFill>
              <w14:schemeClr w14:val="tx1"/>
            </w14:solidFill>
          </w14:textFill>
        </w:rPr>
      </w:pPr>
      <w:r>
        <w:rPr>
          <w:rFonts w:hint="eastAsia" w:ascii="仿宋" w:hAnsi="仿宋" w:eastAsia="仿宋" w:cs="仿宋"/>
          <w:color w:val="000000" w:themeColor="text1"/>
          <w:spacing w:val="6"/>
          <w:szCs w:val="21"/>
          <w:highlight w:val="none"/>
          <w14:textFill>
            <w14:solidFill>
              <w14:schemeClr w14:val="tx1"/>
            </w14:solidFill>
          </w14:textFill>
        </w:rPr>
        <w:t>十、本规定自发布之日起执行，原国家经贸委、原国家计委、财政部和国家统计局2003年颁布的《</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"https://www.shui5.cn/article/df/24263.html"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中小企业标准暂行规定</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"https://www.shui5.cn/article/df/24263.html"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pacing w:val="6"/>
          <w:szCs w:val="21"/>
          <w:highlight w:val="none"/>
          <w14:textFill>
            <w14:solidFill>
              <w14:schemeClr w14:val="tx1"/>
            </w14:solidFill>
          </w14:textFill>
        </w:rPr>
        <w:t>国经贸中小企[2003]143号</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spacing w:val="6"/>
          <w:szCs w:val="21"/>
          <w:highlight w:val="none"/>
          <w14:textFill>
            <w14:solidFill>
              <w14:schemeClr w14:val="tx1"/>
            </w14:solidFill>
          </w14:textFill>
        </w:rPr>
        <w:t>同时废止。</w:t>
      </w:r>
    </w:p>
    <w:p>
      <w:pPr>
        <w:pStyle w:val="396"/>
        <w:ind w:firstLine="480"/>
        <w:rPr>
          <w:rFonts w:hint="eastAsia" w:ascii="仿宋" w:hAnsi="仿宋" w:eastAsia="仿宋" w:cs="仿宋"/>
          <w:color w:val="000000" w:themeColor="text1"/>
          <w:highlight w:val="none"/>
          <w14:textFill>
            <w14:solidFill>
              <w14:schemeClr w14:val="tx1"/>
            </w14:solidFill>
          </w14:textFill>
        </w:rPr>
      </w:pPr>
    </w:p>
    <w:p>
      <w:pPr>
        <w:pStyle w:val="396"/>
        <w:ind w:firstLine="480"/>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36"/>
          <w:highlight w:val="none"/>
          <w:lang w:val="en-US"/>
          <w14:textFill>
            <w14:solidFill>
              <w14:schemeClr w14:val="tx1"/>
            </w14:solidFill>
          </w14:textFill>
        </w:rPr>
      </w:pPr>
      <w:r>
        <w:rPr>
          <w:rFonts w:hint="eastAsia" w:ascii="仿宋" w:hAnsi="仿宋" w:eastAsia="仿宋" w:cs="仿宋"/>
          <w:b/>
          <w:color w:val="000000" w:themeColor="text1"/>
          <w:sz w:val="36"/>
          <w:highlight w:val="none"/>
          <w:lang w:val="en-US"/>
          <w14:textFill>
            <w14:solidFill>
              <w14:schemeClr w14:val="tx1"/>
            </w14:solidFill>
          </w14:textFill>
        </w:rPr>
        <w:br w:type="page"/>
      </w:r>
    </w:p>
    <w:p>
      <w:pPr>
        <w:pStyle w:val="3"/>
        <w:ind w:firstLine="0"/>
        <w:rPr>
          <w:rFonts w:hint="eastAsia" w:ascii="仿宋" w:hAnsi="仿宋" w:eastAsia="仿宋" w:cs="仿宋"/>
          <w:b/>
          <w:color w:val="000000" w:themeColor="text1"/>
          <w:sz w:val="36"/>
          <w:highlight w:val="none"/>
          <w:lang w:val="en-US"/>
          <w14:textFill>
            <w14:solidFill>
              <w14:schemeClr w14:val="tx1"/>
            </w14:solidFill>
          </w14:textFill>
        </w:rPr>
      </w:pPr>
      <w:r>
        <w:rPr>
          <w:rFonts w:hint="eastAsia" w:ascii="仿宋" w:hAnsi="仿宋" w:eastAsia="仿宋" w:cs="仿宋"/>
          <w:b/>
          <w:color w:val="000000" w:themeColor="text1"/>
          <w:sz w:val="36"/>
          <w:highlight w:val="none"/>
          <w:lang w:val="en-US"/>
          <w14:textFill>
            <w14:solidFill>
              <w14:schemeClr w14:val="tx1"/>
            </w14:solidFill>
          </w14:textFill>
        </w:rPr>
        <w:t>附件9：</w:t>
      </w:r>
    </w:p>
    <w:p>
      <w:pPr>
        <w:pStyle w:val="6"/>
        <w:jc w:val="center"/>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政府采购活动现场确认声明书</w:t>
      </w:r>
    </w:p>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杭州益嘉工程咨询代理有限公司</w:t>
      </w:r>
      <w:r>
        <w:rPr>
          <w:rFonts w:hint="eastAsia" w:ascii="仿宋" w:hAnsi="仿宋" w:eastAsia="仿宋" w:cs="仿宋"/>
          <w:color w:val="000000" w:themeColor="text1"/>
          <w:szCs w:val="21"/>
          <w:highlight w:val="none"/>
          <w14:textFill>
            <w14:solidFill>
              <w14:schemeClr w14:val="tx1"/>
            </w14:solidFill>
          </w14:textFill>
        </w:rPr>
        <w:t>：</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本人 ____________（授权代表姓名），经由_____________（单位） ______ （法定代表人姓名）合法授权参加 </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（编号：</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）政府采购活动．经与本单位法人代表（负责人）联系确认，现就有关公平竞争事项郑重声明如下:</w:t>
      </w:r>
      <w:r>
        <w:rPr>
          <w:rFonts w:hint="eastAsia" w:ascii="仿宋" w:hAnsi="仿宋" w:eastAsia="仿宋" w:cs="仿宋"/>
          <w:color w:val="000000" w:themeColor="text1"/>
          <w:szCs w:val="21"/>
          <w:highlight w:val="none"/>
          <w14:textFill>
            <w14:solidFill>
              <w14:schemeClr w14:val="tx1"/>
            </w14:solidFill>
          </w14:textFill>
        </w:rPr>
        <w:cr/>
      </w:r>
      <w:r>
        <w:rPr>
          <w:rFonts w:hint="eastAsia" w:ascii="仿宋" w:hAnsi="仿宋" w:eastAsia="仿宋" w:cs="仿宋"/>
          <w:color w:val="000000" w:themeColor="text1"/>
          <w:szCs w:val="21"/>
          <w:highlight w:val="none"/>
          <w14:textFill>
            <w14:solidFill>
              <w14:schemeClr w14:val="tx1"/>
            </w14:solidFill>
          </w14:textFill>
        </w:rPr>
        <w:t xml:space="preserve">    一、本单位与采购人之间口不存在利害关系口存在下列利害关系: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A．投资关系 B．行政隶属关系 C．业务指导关系 D．其他可能影响采购公正的利害关系（如有，请如实说明）。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二、现己清楚知道参加本项目采购活动的其他所有供应商名称，本单位  口与其他所有供应商之间均不存在利害关系   口与______________（供应商名称）之间存在下列利害关系: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A．法定代表人或负责人或实际控制人是同一人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B．法定代表人或负责人或实际控制人是夫妻关系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C．法定代表人或负责人或实际控制人是直系血亲关系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D．法定代表人或负责人或实际控制人存在三代以内旁系血亲关系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E．法定代表人或负责人或实际控制人存在近姻亲关系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F．法定代表人或负责人或实际控制人存在股份控制或实际控制关系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G．存在共同直接或间接投资设立子公司、联营企业和合营企业情况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I．其他利害关系情况 ________________________________________。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三、现己清楚知道并严格遵守政府采购法律法规和现场纪律。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四、我发现 ____________________供应商之间存在或可能存在上述第二条第 ____________项利害关系。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hint="eastAsia" w:ascii="仿宋" w:hAnsi="仿宋" w:eastAsia="仿宋" w:cs="仿宋"/>
          <w:color w:val="000000" w:themeColor="text1"/>
          <w:szCs w:val="21"/>
          <w:highlight w:val="none"/>
          <w14:textFill>
            <w14:solidFill>
              <w14:schemeClr w14:val="tx1"/>
            </w14:solidFill>
          </w14:textFill>
        </w:rPr>
      </w:pPr>
    </w:p>
    <w:p>
      <w:pPr>
        <w:spacing w:line="360" w:lineRule="auto"/>
        <w:ind w:firstLine="420" w:firstLineChars="200"/>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（供应商代表签名）: </w:t>
      </w:r>
    </w:p>
    <w:p>
      <w:pPr>
        <w:spacing w:line="360" w:lineRule="auto"/>
        <w:ind w:firstLine="420" w:firstLineChars="200"/>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202  年  月   日</w:t>
      </w: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注：在供应商完成本项目在线解密，并知道参加本项目采购活动的其他所有供应商名称后进行签署，签署完毕后将扫描件发送至采购代理机构邮箱：</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"mailto:289427596@qq.com"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b/>
          <w:color w:val="000000" w:themeColor="text1"/>
          <w:sz w:val="28"/>
          <w:szCs w:val="28"/>
          <w:highlight w:val="none"/>
          <w:lang w:val="en-US" w:eastAsia="zh-CN"/>
          <w14:textFill>
            <w14:solidFill>
              <w14:schemeClr w14:val="tx1"/>
            </w14:solidFill>
          </w14:textFill>
        </w:rPr>
        <w:t>1046849947</w:t>
      </w:r>
      <w:r>
        <w:rPr>
          <w:rFonts w:hint="eastAsia" w:ascii="仿宋" w:hAnsi="仿宋" w:eastAsia="仿宋" w:cs="仿宋"/>
          <w:b/>
          <w:color w:val="000000" w:themeColor="text1"/>
          <w:sz w:val="28"/>
          <w:szCs w:val="28"/>
          <w:highlight w:val="none"/>
          <w14:textFill>
            <w14:solidFill>
              <w14:schemeClr w14:val="tx1"/>
            </w14:solidFill>
          </w14:textFill>
        </w:rPr>
        <w:t>@qq.com</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b/>
          <w:color w:val="000000" w:themeColor="text1"/>
          <w:sz w:val="28"/>
          <w:szCs w:val="28"/>
          <w:highlight w:val="none"/>
          <w14:textFill>
            <w14:solidFill>
              <w14:schemeClr w14:val="tx1"/>
            </w14:solidFill>
          </w14:textFill>
        </w:rPr>
        <w:t>。投标文件中无需提供此声明书。</w:t>
      </w:r>
    </w:p>
    <w:p>
      <w:pPr>
        <w:pStyle w:val="396"/>
        <w:ind w:firstLine="480"/>
        <w:rPr>
          <w:rFonts w:hint="eastAsia" w:ascii="仿宋" w:hAnsi="仿宋" w:eastAsia="仿宋" w:cs="仿宋"/>
          <w:color w:val="000000" w:themeColor="text1"/>
          <w:highlight w:val="none"/>
          <w14:textFill>
            <w14:solidFill>
              <w14:schemeClr w14:val="tx1"/>
            </w14:solidFill>
          </w14:textFill>
        </w:rPr>
      </w:pPr>
    </w:p>
    <w:sectPr>
      <w:headerReference r:id="rId17" w:type="first"/>
      <w:footerReference r:id="rId20" w:type="first"/>
      <w:headerReference r:id="rId16" w:type="default"/>
      <w:footerReference r:id="rId18" w:type="default"/>
      <w:footerReference r:id="rId19" w:type="even"/>
      <w:pgSz w:w="11905" w:h="16838"/>
      <w:pgMar w:top="1474" w:right="1814" w:bottom="1474" w:left="1814" w:header="851" w:footer="850"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00" w:usb3="00000000" w:csb0="003E0000" w:csb1="00000000"/>
  </w:font>
  <w:font w:name="Helvetica">
    <w:altName w:val="Arial"/>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UI Semi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itka Text">
    <w:panose1 w:val="02000505000000020004"/>
    <w:charset w:val="00"/>
    <w:family w:val="auto"/>
    <w:pitch w:val="default"/>
    <w:sig w:usb0="A00002EF" w:usb1="4000204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2" w:name="_Toc164085800"/>
    <w:bookmarkStart w:id="513" w:name="_Toc36110187"/>
    <w:bookmarkStart w:id="514" w:name="_Toc91899912"/>
    <w:bookmarkStart w:id="515" w:name="_Toc131845147"/>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78AD2"/>
    <w:multiLevelType w:val="singleLevel"/>
    <w:tmpl w:val="30178AD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MWQ3Y2NkMjhhNjI2YTA5ZWI4ZDA1YTExOTQ0MT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02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4A1"/>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943000"/>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6E496E"/>
    <w:rsid w:val="0B7F3F11"/>
    <w:rsid w:val="0B884417"/>
    <w:rsid w:val="0BF364F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EFE2F29"/>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2B184D"/>
    <w:rsid w:val="146D271E"/>
    <w:rsid w:val="14982588"/>
    <w:rsid w:val="149A5AD9"/>
    <w:rsid w:val="14A7619D"/>
    <w:rsid w:val="150536C3"/>
    <w:rsid w:val="150C1963"/>
    <w:rsid w:val="151447A0"/>
    <w:rsid w:val="154A6454"/>
    <w:rsid w:val="15762120"/>
    <w:rsid w:val="16A8729C"/>
    <w:rsid w:val="16B33777"/>
    <w:rsid w:val="16BC70A7"/>
    <w:rsid w:val="16C6339E"/>
    <w:rsid w:val="171844F3"/>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4519C"/>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AD3E18"/>
    <w:rsid w:val="1FE868A9"/>
    <w:rsid w:val="20034907"/>
    <w:rsid w:val="20173E4B"/>
    <w:rsid w:val="204E48BC"/>
    <w:rsid w:val="207F67F5"/>
    <w:rsid w:val="208921B3"/>
    <w:rsid w:val="20973DEB"/>
    <w:rsid w:val="20B26522"/>
    <w:rsid w:val="20B44310"/>
    <w:rsid w:val="211116EB"/>
    <w:rsid w:val="216133FC"/>
    <w:rsid w:val="21CF14F4"/>
    <w:rsid w:val="21D55C87"/>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F30FA"/>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8F506B3"/>
    <w:rsid w:val="290F4697"/>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85231"/>
    <w:rsid w:val="2E5D4E86"/>
    <w:rsid w:val="2E5D790B"/>
    <w:rsid w:val="2E7468DB"/>
    <w:rsid w:val="2E9A3C18"/>
    <w:rsid w:val="2EBB0FEE"/>
    <w:rsid w:val="2EC63002"/>
    <w:rsid w:val="2F0A6B38"/>
    <w:rsid w:val="2F946CCB"/>
    <w:rsid w:val="2FD25781"/>
    <w:rsid w:val="2FDC745C"/>
    <w:rsid w:val="2FFD7934"/>
    <w:rsid w:val="30601E43"/>
    <w:rsid w:val="30733ACD"/>
    <w:rsid w:val="308C3862"/>
    <w:rsid w:val="309379D8"/>
    <w:rsid w:val="30A270F7"/>
    <w:rsid w:val="30DF1478"/>
    <w:rsid w:val="30EC586F"/>
    <w:rsid w:val="319C6071"/>
    <w:rsid w:val="31AC537E"/>
    <w:rsid w:val="31E3679B"/>
    <w:rsid w:val="31E732FD"/>
    <w:rsid w:val="32517576"/>
    <w:rsid w:val="32A4773D"/>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31F1"/>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06303A"/>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C05D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20083"/>
    <w:rsid w:val="40FF545D"/>
    <w:rsid w:val="410067C8"/>
    <w:rsid w:val="41846C20"/>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66B47"/>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161D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7E5989"/>
    <w:rsid w:val="49B64211"/>
    <w:rsid w:val="49F02676"/>
    <w:rsid w:val="49F6167F"/>
    <w:rsid w:val="4A064FA0"/>
    <w:rsid w:val="4A065382"/>
    <w:rsid w:val="4A16615C"/>
    <w:rsid w:val="4A41153E"/>
    <w:rsid w:val="4A4424D7"/>
    <w:rsid w:val="4AB82D0F"/>
    <w:rsid w:val="4AEB7664"/>
    <w:rsid w:val="4AFD7C19"/>
    <w:rsid w:val="4B0567D1"/>
    <w:rsid w:val="4B236AAE"/>
    <w:rsid w:val="4B707271"/>
    <w:rsid w:val="4B9739F7"/>
    <w:rsid w:val="4BEE2503"/>
    <w:rsid w:val="4C245A30"/>
    <w:rsid w:val="4CB6685F"/>
    <w:rsid w:val="4CC367FE"/>
    <w:rsid w:val="4CDD4DE6"/>
    <w:rsid w:val="4D077F3C"/>
    <w:rsid w:val="4D123355"/>
    <w:rsid w:val="4D2A3B31"/>
    <w:rsid w:val="4D2B4C2A"/>
    <w:rsid w:val="4D312C52"/>
    <w:rsid w:val="4D905305"/>
    <w:rsid w:val="4D964A72"/>
    <w:rsid w:val="4D9C1254"/>
    <w:rsid w:val="4E793892"/>
    <w:rsid w:val="4E800872"/>
    <w:rsid w:val="4EC569ED"/>
    <w:rsid w:val="4ED50EA1"/>
    <w:rsid w:val="4EEC050C"/>
    <w:rsid w:val="4F104EC3"/>
    <w:rsid w:val="4F47354A"/>
    <w:rsid w:val="4F911C54"/>
    <w:rsid w:val="4FB85557"/>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BF118B"/>
    <w:rsid w:val="52D94AA4"/>
    <w:rsid w:val="52EA3A62"/>
    <w:rsid w:val="52F50BB8"/>
    <w:rsid w:val="53097272"/>
    <w:rsid w:val="53544462"/>
    <w:rsid w:val="5397158E"/>
    <w:rsid w:val="54013861"/>
    <w:rsid w:val="54487265"/>
    <w:rsid w:val="544D6070"/>
    <w:rsid w:val="54605E1E"/>
    <w:rsid w:val="54B3506A"/>
    <w:rsid w:val="54CA0D16"/>
    <w:rsid w:val="54DD4057"/>
    <w:rsid w:val="54E63D3C"/>
    <w:rsid w:val="54E7490F"/>
    <w:rsid w:val="550764A4"/>
    <w:rsid w:val="550B2BF6"/>
    <w:rsid w:val="55214EB5"/>
    <w:rsid w:val="55364EFD"/>
    <w:rsid w:val="555D4828"/>
    <w:rsid w:val="557A4C8B"/>
    <w:rsid w:val="55835564"/>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A4972"/>
    <w:rsid w:val="58917D2F"/>
    <w:rsid w:val="5894085C"/>
    <w:rsid w:val="58AE4F0C"/>
    <w:rsid w:val="58B85899"/>
    <w:rsid w:val="58E363A9"/>
    <w:rsid w:val="595E1678"/>
    <w:rsid w:val="596D5BD4"/>
    <w:rsid w:val="597E3DD8"/>
    <w:rsid w:val="59AB6484"/>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89708B"/>
    <w:rsid w:val="5C02690E"/>
    <w:rsid w:val="5C196DA7"/>
    <w:rsid w:val="5C2A048C"/>
    <w:rsid w:val="5C4B5160"/>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5B0B85"/>
    <w:rsid w:val="607330CE"/>
    <w:rsid w:val="60825176"/>
    <w:rsid w:val="609B4063"/>
    <w:rsid w:val="609F2AC4"/>
    <w:rsid w:val="60A22FE3"/>
    <w:rsid w:val="60FA2EE8"/>
    <w:rsid w:val="61054A27"/>
    <w:rsid w:val="610A52BC"/>
    <w:rsid w:val="611D2366"/>
    <w:rsid w:val="61421856"/>
    <w:rsid w:val="615227C4"/>
    <w:rsid w:val="61654E3F"/>
    <w:rsid w:val="6182292A"/>
    <w:rsid w:val="619F7F92"/>
    <w:rsid w:val="61F94C26"/>
    <w:rsid w:val="62000E56"/>
    <w:rsid w:val="623F2EA3"/>
    <w:rsid w:val="624F3E49"/>
    <w:rsid w:val="62632286"/>
    <w:rsid w:val="62885958"/>
    <w:rsid w:val="62F40B65"/>
    <w:rsid w:val="62FC2CFE"/>
    <w:rsid w:val="63024505"/>
    <w:rsid w:val="630B5ED7"/>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4D37A6"/>
    <w:rsid w:val="67551CE3"/>
    <w:rsid w:val="6782772E"/>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74BF4"/>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B318D0"/>
    <w:rsid w:val="70F5661B"/>
    <w:rsid w:val="71360107"/>
    <w:rsid w:val="713B688E"/>
    <w:rsid w:val="71D43752"/>
    <w:rsid w:val="71F1796A"/>
    <w:rsid w:val="72154626"/>
    <w:rsid w:val="72262B5D"/>
    <w:rsid w:val="72283FF7"/>
    <w:rsid w:val="722E7212"/>
    <w:rsid w:val="723A0474"/>
    <w:rsid w:val="725923E4"/>
    <w:rsid w:val="72864BF7"/>
    <w:rsid w:val="729023FC"/>
    <w:rsid w:val="7351733F"/>
    <w:rsid w:val="73C0646E"/>
    <w:rsid w:val="73ED4305"/>
    <w:rsid w:val="742222F5"/>
    <w:rsid w:val="74476126"/>
    <w:rsid w:val="74706664"/>
    <w:rsid w:val="747F3682"/>
    <w:rsid w:val="749C4185"/>
    <w:rsid w:val="75067759"/>
    <w:rsid w:val="752E6DCD"/>
    <w:rsid w:val="7551380D"/>
    <w:rsid w:val="75600BE5"/>
    <w:rsid w:val="7564475C"/>
    <w:rsid w:val="7583797F"/>
    <w:rsid w:val="75BD7F3E"/>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1311C1"/>
    <w:rsid w:val="781A4298"/>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004705"/>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250CA"/>
    <w:rsid w:val="7E1E5218"/>
    <w:rsid w:val="7E9A4E1F"/>
    <w:rsid w:val="7EA7723A"/>
    <w:rsid w:val="7EF56FBB"/>
    <w:rsid w:val="7F0768EB"/>
    <w:rsid w:val="7F143BEC"/>
    <w:rsid w:val="7F715AF2"/>
    <w:rsid w:val="7F886E69"/>
    <w:rsid w:val="7FB41C9B"/>
    <w:rsid w:val="BB7FA927"/>
    <w:rsid w:val="F5FFD31F"/>
    <w:rsid w:val="FEEDA1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931"/>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3"/>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8">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824"/>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8"/>
    <w:qFormat/>
    <w:uiPriority w:val="0"/>
    <w:pPr>
      <w:spacing w:after="120" w:line="480" w:lineRule="auto"/>
    </w:pPr>
  </w:style>
  <w:style w:type="paragraph" w:styleId="58">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2"/>
    <w:next w:val="22"/>
    <w:link w:val="631"/>
    <w:qFormat/>
    <w:uiPriority w:val="0"/>
    <w:rPr>
      <w:b/>
      <w:bCs/>
    </w:rPr>
  </w:style>
  <w:style w:type="paragraph" w:styleId="62">
    <w:name w:val="Body Text First Indent 2"/>
    <w:basedOn w:val="26"/>
    <w:link w:val="654"/>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3"/>
    <w:qFormat/>
    <w:uiPriority w:val="0"/>
    <w:pPr>
      <w:spacing w:before="156" w:line="360" w:lineRule="auto"/>
      <w:ind w:firstLine="510" w:firstLineChars="200"/>
    </w:pPr>
    <w:rPr>
      <w:sz w:val="24"/>
      <w:szCs w:val="20"/>
    </w:rPr>
  </w:style>
  <w:style w:type="paragraph" w:customStyle="1" w:styleId="86">
    <w:name w:val="无间隔1"/>
    <w:link w:val="671"/>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9"/>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4"/>
    <w:qFormat/>
    <w:uiPriority w:val="0"/>
    <w:pPr>
      <w:ind w:left="0" w:right="466" w:firstLine="288"/>
    </w:pPr>
    <w:rPr>
      <w:rFonts w:hAnsi="宋体"/>
    </w:rPr>
  </w:style>
  <w:style w:type="paragraph" w:customStyle="1" w:styleId="93">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9"/>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6"/>
    <w:qFormat/>
    <w:uiPriority w:val="0"/>
    <w:pPr>
      <w:adjustRightInd/>
      <w:spacing w:line="360" w:lineRule="auto"/>
      <w:ind w:firstLine="480" w:firstLineChars="200"/>
    </w:pPr>
    <w:rPr>
      <w:kern w:val="0"/>
      <w:sz w:val="24"/>
    </w:rPr>
  </w:style>
  <w:style w:type="paragraph" w:customStyle="1" w:styleId="98">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7"/>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9"/>
    <w:qFormat/>
    <w:uiPriority w:val="0"/>
    <w:pPr>
      <w:tabs>
        <w:tab w:val="left" w:pos="2356"/>
      </w:tabs>
    </w:pPr>
  </w:style>
  <w:style w:type="paragraph" w:customStyle="1" w:styleId="103">
    <w:name w:val="样式 标题 4h4H4Fab-4T5Ref Heading 1rh1Heading sqlsect 1.2.3...."/>
    <w:basedOn w:val="9"/>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2"/>
    <w:qFormat/>
    <w:uiPriority w:val="0"/>
    <w:pPr>
      <w:adjustRightInd/>
    </w:pPr>
    <w:rPr>
      <w:rFonts w:ascii="宋体" w:hAnsi="Courier New"/>
      <w:kern w:val="0"/>
      <w:sz w:val="20"/>
      <w:szCs w:val="20"/>
    </w:rPr>
  </w:style>
  <w:style w:type="paragraph" w:customStyle="1" w:styleId="106">
    <w:name w:val="正文说明"/>
    <w:basedOn w:val="1"/>
    <w:link w:val="844"/>
    <w:qFormat/>
    <w:uiPriority w:val="0"/>
    <w:pPr>
      <w:adjustRightInd/>
      <w:spacing w:line="360" w:lineRule="auto"/>
    </w:pPr>
    <w:rPr>
      <w:kern w:val="0"/>
      <w:sz w:val="24"/>
    </w:rPr>
  </w:style>
  <w:style w:type="paragraph" w:customStyle="1" w:styleId="107">
    <w:name w:val="Table Text"/>
    <w:basedOn w:val="1"/>
    <w:link w:val="850"/>
    <w:qFormat/>
    <w:uiPriority w:val="0"/>
    <w:pPr>
      <w:widowControl/>
      <w:spacing w:before="60" w:after="60"/>
      <w:jc w:val="left"/>
    </w:pPr>
    <w:rPr>
      <w:kern w:val="0"/>
      <w:sz w:val="24"/>
    </w:rPr>
  </w:style>
  <w:style w:type="paragraph" w:customStyle="1" w:styleId="108">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2"/>
    <w:qFormat/>
    <w:uiPriority w:val="0"/>
    <w:pPr>
      <w:widowControl/>
      <w:snapToGrid w:val="0"/>
      <w:spacing w:afterLines="50"/>
      <w:ind w:firstLine="200" w:firstLineChars="200"/>
    </w:pPr>
    <w:rPr>
      <w:kern w:val="0"/>
      <w:sz w:val="24"/>
      <w:szCs w:val="20"/>
    </w:rPr>
  </w:style>
  <w:style w:type="paragraph" w:customStyle="1" w:styleId="113">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9"/>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6"/>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outlineLvl w:val="5"/>
    </w:pPr>
  </w:style>
  <w:style w:type="paragraph" w:customStyle="1" w:styleId="157">
    <w:name w:val="5级标题"/>
    <w:basedOn w:val="158"/>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0"/>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7"/>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10"/>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7"/>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9"/>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5"/>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9"/>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7"/>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1"/>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10"/>
    <w:next w:val="1"/>
    <w:qFormat/>
    <w:uiPriority w:val="0"/>
    <w:pPr>
      <w:tabs>
        <w:tab w:val="left" w:pos="1080"/>
        <w:tab w:val="clear" w:pos="1008"/>
      </w:tabs>
      <w:ind w:left="1080" w:hanging="1080"/>
    </w:pPr>
  </w:style>
  <w:style w:type="paragraph" w:customStyle="1" w:styleId="580">
    <w:name w:val="数字标题1"/>
    <w:basedOn w:val="5"/>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0"/>
    <w:qFormat/>
    <w:uiPriority w:val="0"/>
    <w:rPr>
      <w:rFonts w:ascii="Futura Bk" w:hAnsi="Futura Bk"/>
      <w:kern w:val="2"/>
      <w:sz w:val="18"/>
      <w:szCs w:val="21"/>
      <w:lang w:val="en-US" w:eastAsia="zh-CN" w:bidi="ar-SA"/>
    </w:rPr>
  </w:style>
  <w:style w:type="character" w:customStyle="1" w:styleId="621">
    <w:name w:val="*正文 Char"/>
    <w:link w:val="81"/>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2"/>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1"/>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3"/>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4"/>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0"/>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5"/>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6"/>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1"/>
    <w:qFormat/>
    <w:uiPriority w:val="0"/>
    <w:rPr>
      <w:rFonts w:ascii="Arial" w:hAnsi="Arial" w:eastAsia="黑体"/>
      <w:b/>
      <w:bCs/>
      <w:kern w:val="2"/>
      <w:sz w:val="24"/>
      <w:szCs w:val="24"/>
    </w:rPr>
  </w:style>
  <w:style w:type="character" w:customStyle="1" w:styleId="679">
    <w:name w:val="纯文本 Char_0"/>
    <w:link w:val="87"/>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89"/>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0"/>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4"/>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1"/>
    <w:qFormat/>
    <w:locked/>
    <w:uiPriority w:val="0"/>
    <w:rPr>
      <w:rFonts w:ascii="Tahoma" w:hAnsi="Tahoma"/>
      <w:sz w:val="24"/>
      <w:szCs w:val="24"/>
    </w:rPr>
  </w:style>
  <w:style w:type="character" w:customStyle="1" w:styleId="719">
    <w:name w:val="正文缩进 Char2"/>
    <w:link w:val="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2"/>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0"/>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4"/>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5"/>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6"/>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7"/>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8"/>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99"/>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1"/>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0"/>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10"/>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8"/>
    <w:qFormat/>
    <w:uiPriority w:val="0"/>
    <w:rPr>
      <w:rFonts w:ascii="黑体" w:hAnsi="Courier New" w:eastAsia="黑体"/>
    </w:rPr>
  </w:style>
  <w:style w:type="character" w:customStyle="1" w:styleId="818">
    <w:name w:val="正文文本 2 Char1"/>
    <w:link w:val="57"/>
    <w:qFormat/>
    <w:uiPriority w:val="0"/>
    <w:rPr>
      <w:kern w:val="2"/>
      <w:sz w:val="21"/>
      <w:szCs w:val="24"/>
    </w:rPr>
  </w:style>
  <w:style w:type="character" w:customStyle="1" w:styleId="819">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2"/>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4"/>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5"/>
    <w:qFormat/>
    <w:uiPriority w:val="0"/>
    <w:rPr>
      <w:rFonts w:ascii="宋体" w:hAnsi="Courier New"/>
    </w:rPr>
  </w:style>
  <w:style w:type="character" w:customStyle="1" w:styleId="833">
    <w:name w:val="正文首行缩进 Char"/>
    <w:link w:val="3"/>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9"/>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6"/>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7"/>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99"/>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8"/>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09"/>
    <w:qFormat/>
    <w:uiPriority w:val="0"/>
    <w:rPr>
      <w:rFonts w:ascii="宋体"/>
    </w:rPr>
  </w:style>
  <w:style w:type="character" w:customStyle="1" w:styleId="866">
    <w:name w:val="标题 8 Char"/>
    <w:link w:val="13"/>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4"/>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0"/>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1"/>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2"/>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3"/>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4"/>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5"/>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0"/>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6"/>
    <w:qFormat/>
    <w:uiPriority w:val="0"/>
    <w:rPr>
      <w:rFonts w:cs="宋体"/>
      <w:kern w:val="2"/>
      <w:sz w:val="24"/>
    </w:rPr>
  </w:style>
  <w:style w:type="character" w:customStyle="1" w:styleId="931">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2">
    <w:name w:val="gray6"/>
    <w:basedOn w:val="70"/>
    <w:qFormat/>
    <w:uiPriority w:val="0"/>
    <w:rPr>
      <w:rFonts w:ascii="Arial" w:hAnsi="Arial" w:eastAsia="黑体" w:cs="Arial"/>
      <w:snapToGrid w:val="0"/>
      <w:kern w:val="0"/>
      <w:szCs w:val="21"/>
    </w:rPr>
  </w:style>
  <w:style w:type="character" w:customStyle="1" w:styleId="933">
    <w:name w:val="hui"/>
    <w:basedOn w:val="70"/>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6"/>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0"/>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162</Pages>
  <Words>83948</Words>
  <Characters>95224</Characters>
  <Lines>364</Lines>
  <Paragraphs>102</Paragraphs>
  <TotalTime>6</TotalTime>
  <ScaleCrop>false</ScaleCrop>
  <LinksUpToDate>false</LinksUpToDate>
  <CharactersWithSpaces>97898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edo</cp:lastModifiedBy>
  <cp:lastPrinted>2021-12-27T19:06:00Z</cp:lastPrinted>
  <dcterms:modified xsi:type="dcterms:W3CDTF">2023-07-18T05:34:00Z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FA7E39BA509A45C4BD61B8B25F2C71BB_13</vt:lpwstr>
  </property>
</Properties>
</file>