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p>
    <w:p>
      <w:pPr>
        <w:adjustRightInd/>
        <w:spacing w:line="360" w:lineRule="auto"/>
        <w:jc w:val="center"/>
        <w:rPr>
          <w:rFonts w:hint="eastAsia" w:ascii="仿宋" w:hAnsi="仿宋" w:eastAsia="仿宋" w:cs="仿宋"/>
          <w:color w:val="auto"/>
          <w:sz w:val="48"/>
          <w:szCs w:val="48"/>
          <w:highlight w:val="none"/>
        </w:rPr>
      </w:pPr>
      <w:r>
        <w:rPr>
          <w:rFonts w:hint="eastAsia" w:ascii="仿宋" w:hAnsi="仿宋" w:eastAsia="仿宋" w:cs="仿宋"/>
          <w:color w:val="auto"/>
          <w:sz w:val="48"/>
          <w:szCs w:val="48"/>
          <w:highlight w:val="none"/>
          <w:lang w:eastAsia="zh-CN"/>
        </w:rPr>
        <w:t>临平区单元控制性详细规划编制服务采购项目</w:t>
      </w:r>
    </w:p>
    <w:p>
      <w:pPr>
        <w:adjustRightInd/>
        <w:spacing w:line="360" w:lineRule="auto"/>
        <w:jc w:val="center"/>
        <w:rPr>
          <w:rFonts w:hint="eastAsia" w:ascii="仿宋" w:hAnsi="仿宋" w:eastAsia="仿宋" w:cs="仿宋"/>
          <w:color w:val="auto"/>
          <w:sz w:val="48"/>
          <w:szCs w:val="48"/>
          <w:highlight w:val="none"/>
        </w:rPr>
      </w:pPr>
    </w:p>
    <w:p>
      <w:pPr>
        <w:adjustRightInd/>
        <w:spacing w:line="360" w:lineRule="auto"/>
        <w:jc w:val="center"/>
        <w:rPr>
          <w:rFonts w:hint="eastAsia" w:ascii="仿宋" w:hAnsi="仿宋" w:eastAsia="仿宋" w:cs="仿宋"/>
          <w:color w:val="auto"/>
          <w:sz w:val="48"/>
          <w:szCs w:val="48"/>
          <w:highlight w:val="none"/>
        </w:rPr>
      </w:pPr>
    </w:p>
    <w:p>
      <w:pPr>
        <w:adjustRightInd/>
        <w:spacing w:line="360" w:lineRule="auto"/>
        <w:jc w:val="center"/>
        <w:rPr>
          <w:rFonts w:hint="eastAsia" w:ascii="仿宋" w:hAnsi="仿宋" w:eastAsia="仿宋" w:cs="仿宋"/>
          <w:color w:val="auto"/>
          <w:sz w:val="48"/>
          <w:szCs w:val="48"/>
          <w:highlight w:val="none"/>
        </w:rPr>
      </w:pPr>
      <w:r>
        <w:rPr>
          <w:rFonts w:hint="eastAsia" w:ascii="仿宋" w:hAnsi="仿宋" w:eastAsia="仿宋" w:cs="仿宋"/>
          <w:color w:val="auto"/>
          <w:sz w:val="48"/>
          <w:szCs w:val="48"/>
          <w:highlight w:val="none"/>
        </w:rPr>
        <w:t>招标文件</w:t>
      </w:r>
    </w:p>
    <w:p>
      <w:pPr>
        <w:adjustRightInd/>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（电子招投标）</w:t>
      </w:r>
    </w:p>
    <w:p>
      <w:pPr>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（项目编号：</w:t>
      </w:r>
      <w:r>
        <w:rPr>
          <w:rFonts w:hint="eastAsia" w:ascii="仿宋" w:hAnsi="仿宋" w:eastAsia="仿宋" w:cs="仿宋"/>
          <w:b/>
          <w:color w:val="auto"/>
          <w:sz w:val="36"/>
          <w:szCs w:val="36"/>
          <w:highlight w:val="none"/>
          <w:lang w:eastAsia="zh-CN"/>
        </w:rPr>
        <w:t>YJZFCG2023-003</w:t>
      </w:r>
      <w:r>
        <w:rPr>
          <w:rFonts w:hint="eastAsia" w:ascii="仿宋" w:hAnsi="仿宋" w:eastAsia="仿宋" w:cs="仿宋"/>
          <w:b/>
          <w:color w:val="auto"/>
          <w:sz w:val="36"/>
          <w:szCs w:val="36"/>
          <w:highlight w:val="none"/>
        </w:rPr>
        <w:t>）</w:t>
      </w:r>
    </w:p>
    <w:p>
      <w:pPr>
        <w:snapToGrid w:val="0"/>
        <w:spacing w:line="360" w:lineRule="auto"/>
        <w:jc w:val="center"/>
        <w:rPr>
          <w:rFonts w:hint="eastAsia" w:ascii="仿宋" w:hAnsi="仿宋" w:eastAsia="仿宋" w:cs="仿宋"/>
          <w:color w:val="auto"/>
          <w:sz w:val="30"/>
          <w:szCs w:val="30"/>
          <w:highlight w:val="none"/>
        </w:rPr>
      </w:pPr>
    </w:p>
    <w:p>
      <w:pPr>
        <w:adjustRightInd/>
        <w:spacing w:line="360" w:lineRule="auto"/>
        <w:rPr>
          <w:rFonts w:hint="eastAsia" w:ascii="仿宋" w:hAnsi="仿宋" w:eastAsia="仿宋" w:cs="仿宋"/>
          <w:color w:val="auto"/>
          <w:sz w:val="28"/>
          <w:szCs w:val="20"/>
          <w:highlight w:val="none"/>
        </w:rPr>
      </w:pPr>
    </w:p>
    <w:p>
      <w:pPr>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w:t>
      </w:r>
    </w:p>
    <w:p>
      <w:pPr>
        <w:spacing w:line="360" w:lineRule="auto"/>
        <w:jc w:val="center"/>
        <w:rPr>
          <w:rFonts w:hint="eastAsia" w:ascii="仿宋" w:hAnsi="仿宋" w:eastAsia="仿宋" w:cs="仿宋"/>
          <w:b/>
          <w:color w:val="auto"/>
          <w:sz w:val="44"/>
          <w:szCs w:val="44"/>
          <w:highlight w:val="none"/>
        </w:rPr>
      </w:pPr>
    </w:p>
    <w:p>
      <w:pPr>
        <w:spacing w:line="360" w:lineRule="auto"/>
        <w:jc w:val="center"/>
        <w:rPr>
          <w:rFonts w:hint="eastAsia" w:ascii="仿宋" w:hAnsi="仿宋" w:eastAsia="仿宋" w:cs="仿宋"/>
          <w:color w:val="auto"/>
          <w:sz w:val="24"/>
          <w:highlight w:val="none"/>
        </w:rPr>
      </w:pPr>
    </w:p>
    <w:p>
      <w:pPr>
        <w:spacing w:line="360" w:lineRule="auto"/>
        <w:jc w:val="center"/>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32"/>
          <w:szCs w:val="32"/>
          <w:highlight w:val="none"/>
        </w:rPr>
      </w:pPr>
    </w:p>
    <w:p>
      <w:pPr>
        <w:adjustRightInd w:val="0"/>
        <w:snapToGrid w:val="0"/>
        <w:spacing w:line="360" w:lineRule="auto"/>
        <w:jc w:val="center"/>
        <w:rPr>
          <w:rFonts w:hint="eastAsia" w:ascii="仿宋" w:hAnsi="仿宋" w:eastAsia="仿宋" w:cs="仿宋"/>
          <w:b/>
          <w:color w:val="auto"/>
          <w:sz w:val="36"/>
          <w:szCs w:val="36"/>
          <w:highlight w:val="none"/>
          <w:lang w:eastAsia="zh-CN"/>
        </w:rPr>
      </w:pPr>
      <w:r>
        <w:rPr>
          <w:rFonts w:hint="eastAsia" w:ascii="仿宋" w:hAnsi="仿宋" w:eastAsia="仿宋" w:cs="仿宋"/>
          <w:b/>
          <w:color w:val="auto"/>
          <w:sz w:val="36"/>
          <w:szCs w:val="36"/>
          <w:highlight w:val="none"/>
        </w:rPr>
        <w:t>采购人：</w:t>
      </w:r>
      <w:r>
        <w:rPr>
          <w:rFonts w:hint="eastAsia" w:ascii="仿宋" w:hAnsi="仿宋" w:eastAsia="仿宋" w:cs="仿宋"/>
          <w:b/>
          <w:color w:val="auto"/>
          <w:sz w:val="36"/>
          <w:szCs w:val="36"/>
          <w:highlight w:val="none"/>
          <w:lang w:val="en-US" w:eastAsia="zh-CN"/>
        </w:rPr>
        <w:t>杭州余杭经济技术开发区管理委员会</w:t>
      </w:r>
    </w:p>
    <w:p>
      <w:pPr>
        <w:adjustRightInd w:val="0"/>
        <w:snapToGrid w:val="0"/>
        <w:spacing w:line="360" w:lineRule="auto"/>
        <w:jc w:val="center"/>
        <w:rPr>
          <w:rFonts w:hint="eastAsia" w:ascii="仿宋" w:hAnsi="仿宋" w:eastAsia="仿宋" w:cs="仿宋"/>
          <w:bCs/>
          <w:color w:val="auto"/>
          <w:sz w:val="28"/>
          <w:szCs w:val="28"/>
          <w:highlight w:val="none"/>
        </w:rPr>
      </w:pPr>
      <w:r>
        <w:rPr>
          <w:rFonts w:hint="eastAsia" w:ascii="仿宋" w:hAnsi="仿宋" w:eastAsia="仿宋" w:cs="仿宋"/>
          <w:b/>
          <w:color w:val="auto"/>
          <w:sz w:val="36"/>
          <w:szCs w:val="36"/>
          <w:highlight w:val="none"/>
        </w:rPr>
        <w:t>采购代理机构：杭州益嘉工程咨询代理有限公司</w:t>
      </w:r>
    </w:p>
    <w:p>
      <w:pPr>
        <w:snapToGrid w:val="0"/>
        <w:spacing w:line="360" w:lineRule="auto"/>
        <w:jc w:val="center"/>
        <w:rPr>
          <w:rFonts w:hint="eastAsia" w:ascii="仿宋" w:hAnsi="仿宋" w:eastAsia="仿宋" w:cs="仿宋"/>
          <w:b/>
          <w:bCs w:val="0"/>
          <w:color w:val="auto"/>
          <w:sz w:val="32"/>
          <w:szCs w:val="32"/>
          <w:highlight w:val="none"/>
        </w:rPr>
      </w:pPr>
      <w:r>
        <w:rPr>
          <w:rFonts w:hint="eastAsia" w:ascii="仿宋" w:hAnsi="仿宋" w:eastAsia="仿宋" w:cs="仿宋"/>
          <w:b/>
          <w:bCs w:val="0"/>
          <w:color w:val="auto"/>
          <w:sz w:val="32"/>
          <w:szCs w:val="32"/>
          <w:highlight w:val="none"/>
        </w:rPr>
        <w:t>二〇二</w:t>
      </w:r>
      <w:r>
        <w:rPr>
          <w:rFonts w:hint="eastAsia" w:ascii="仿宋" w:hAnsi="仿宋" w:eastAsia="仿宋" w:cs="仿宋"/>
          <w:b/>
          <w:bCs w:val="0"/>
          <w:color w:val="auto"/>
          <w:sz w:val="32"/>
          <w:szCs w:val="32"/>
          <w:highlight w:val="none"/>
          <w:lang w:val="en-US" w:eastAsia="zh-CN"/>
        </w:rPr>
        <w:t>三</w:t>
      </w:r>
      <w:r>
        <w:rPr>
          <w:rFonts w:hint="eastAsia" w:ascii="仿宋" w:hAnsi="仿宋" w:eastAsia="仿宋" w:cs="仿宋"/>
          <w:b/>
          <w:bCs w:val="0"/>
          <w:color w:val="auto"/>
          <w:sz w:val="32"/>
          <w:szCs w:val="32"/>
          <w:highlight w:val="none"/>
        </w:rPr>
        <w:t>年</w:t>
      </w:r>
      <w:r>
        <w:rPr>
          <w:rFonts w:hint="eastAsia" w:ascii="仿宋" w:hAnsi="仿宋" w:eastAsia="仿宋" w:cs="仿宋"/>
          <w:b/>
          <w:bCs w:val="0"/>
          <w:color w:val="auto"/>
          <w:sz w:val="32"/>
          <w:szCs w:val="32"/>
          <w:highlight w:val="none"/>
          <w:lang w:val="en-US" w:eastAsia="zh-CN"/>
        </w:rPr>
        <w:t>二</w:t>
      </w:r>
      <w:r>
        <w:rPr>
          <w:rFonts w:hint="eastAsia" w:ascii="仿宋" w:hAnsi="仿宋" w:eastAsia="仿宋" w:cs="仿宋"/>
          <w:b/>
          <w:bCs w:val="0"/>
          <w:color w:val="auto"/>
          <w:sz w:val="32"/>
          <w:szCs w:val="32"/>
          <w:highlight w:val="none"/>
        </w:rPr>
        <w:t>月</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bookmarkStart w:id="0" w:name="_Hlt67893495"/>
      <w:bookmarkEnd w:id="0"/>
    </w:p>
    <w:p>
      <w:pPr>
        <w:spacing w:line="360" w:lineRule="auto"/>
        <w:jc w:val="center"/>
        <w:rPr>
          <w:rFonts w:hint="eastAsia" w:ascii="仿宋" w:hAnsi="仿宋" w:eastAsia="仿宋" w:cs="仿宋"/>
          <w:color w:val="auto"/>
          <w:sz w:val="24"/>
          <w:highlight w:val="none"/>
        </w:rPr>
      </w:pPr>
    </w:p>
    <w:p>
      <w:pPr>
        <w:spacing w:line="360" w:lineRule="auto"/>
        <w:jc w:val="center"/>
        <w:rPr>
          <w:rFonts w:hint="eastAsia" w:ascii="仿宋" w:hAnsi="仿宋" w:eastAsia="仿宋" w:cs="仿宋"/>
          <w:b/>
          <w:color w:val="auto"/>
          <w:sz w:val="48"/>
          <w:szCs w:val="48"/>
          <w:highlight w:val="none"/>
        </w:rPr>
      </w:pPr>
      <w:r>
        <w:rPr>
          <w:rFonts w:hint="eastAsia" w:ascii="仿宋" w:hAnsi="仿宋" w:eastAsia="仿宋" w:cs="仿宋"/>
          <w:b/>
          <w:color w:val="auto"/>
          <w:sz w:val="48"/>
          <w:szCs w:val="48"/>
          <w:highlight w:val="none"/>
        </w:rPr>
        <w:t>目  录</w:t>
      </w:r>
    </w:p>
    <w:p>
      <w:pPr>
        <w:spacing w:line="360" w:lineRule="auto"/>
        <w:rPr>
          <w:rFonts w:hint="eastAsia" w:ascii="仿宋" w:hAnsi="仿宋" w:eastAsia="仿宋" w:cs="仿宋"/>
          <w:color w:val="auto"/>
          <w:sz w:val="32"/>
          <w:szCs w:val="32"/>
          <w:highlight w:val="none"/>
        </w:rPr>
      </w:pPr>
    </w:p>
    <w:p>
      <w:pPr>
        <w:spacing w:line="360" w:lineRule="auto"/>
        <w:rPr>
          <w:rFonts w:hint="eastAsia" w:ascii="仿宋" w:hAnsi="仿宋" w:eastAsia="仿宋" w:cs="仿宋"/>
          <w:color w:val="auto"/>
          <w:sz w:val="32"/>
          <w:szCs w:val="32"/>
          <w:highlight w:val="none"/>
        </w:rPr>
      </w:pP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第一部分      招标公告</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第二部分      投标人须知</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第三部分      采购需求</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第四部分      评标办法</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第五部分      拟签订的合同文本</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第六部分      应提交的有关格式范例</w:t>
      </w:r>
    </w:p>
    <w:p>
      <w:pPr>
        <w:spacing w:line="360" w:lineRule="auto"/>
        <w:ind w:firstLine="549" w:firstLineChars="229"/>
        <w:rPr>
          <w:rFonts w:hint="eastAsia" w:ascii="仿宋" w:hAnsi="仿宋" w:eastAsia="仿宋" w:cs="仿宋"/>
          <w:color w:val="auto"/>
          <w:sz w:val="24"/>
          <w:highlight w:val="none"/>
        </w:rPr>
      </w:pPr>
      <w:bookmarkStart w:id="1" w:name="_Hlt91233176"/>
      <w:bookmarkEnd w:id="1"/>
      <w:bookmarkStart w:id="2" w:name="_Toc91899869"/>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p>
    <w:p>
      <w:pPr>
        <w:adjustRightInd/>
        <w:spacing w:line="360" w:lineRule="auto"/>
        <w:jc w:val="center"/>
        <w:outlineLvl w:val="0"/>
        <w:rPr>
          <w:rFonts w:hint="eastAsia" w:ascii="仿宋" w:hAnsi="仿宋" w:eastAsia="仿宋" w:cs="仿宋"/>
          <w:b/>
          <w:color w:val="auto"/>
          <w:sz w:val="36"/>
          <w:szCs w:val="20"/>
          <w:highlight w:val="none"/>
        </w:rPr>
      </w:pPr>
      <w:bookmarkStart w:id="3" w:name="第一部分"/>
      <w:r>
        <w:rPr>
          <w:rFonts w:hint="eastAsia" w:ascii="仿宋" w:hAnsi="仿宋" w:eastAsia="仿宋" w:cs="仿宋"/>
          <w:b/>
          <w:color w:val="auto"/>
          <w:sz w:val="36"/>
          <w:szCs w:val="36"/>
          <w:highlight w:val="none"/>
        </w:rPr>
        <w:br w:type="page"/>
      </w:r>
      <w:bookmarkEnd w:id="2"/>
      <w:bookmarkEnd w:id="3"/>
      <w:bookmarkStart w:id="4" w:name="_Hlt74649545"/>
      <w:bookmarkEnd w:id="4"/>
      <w:bookmarkStart w:id="5" w:name="_Hlt74728647"/>
      <w:bookmarkEnd w:id="5"/>
      <w:bookmarkStart w:id="6" w:name="_Hlt74707423"/>
      <w:bookmarkEnd w:id="6"/>
      <w:bookmarkStart w:id="7" w:name="_Hlt74729822"/>
      <w:bookmarkEnd w:id="7"/>
      <w:bookmarkStart w:id="8" w:name="第二部分"/>
      <w:bookmarkStart w:id="9" w:name="_Toc91899870"/>
      <w:bookmarkStart w:id="10" w:name="_Toc91899871"/>
      <w:r>
        <w:rPr>
          <w:rFonts w:hint="eastAsia" w:ascii="仿宋" w:hAnsi="仿宋" w:eastAsia="仿宋" w:cs="仿宋"/>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lang w:eastAsia="zh-CN"/>
        </w:rPr>
        <w:t>临平区单元控制性详细规划编制服务采购项目</w:t>
      </w:r>
      <w:r>
        <w:rPr>
          <w:rFonts w:hint="eastAsia" w:ascii="仿宋" w:hAnsi="仿宋" w:eastAsia="仿宋" w:cs="仿宋"/>
          <w:color w:val="auto"/>
          <w:sz w:val="24"/>
          <w:highlight w:val="none"/>
        </w:rPr>
        <w:t>招标项目的潜在投标人应在政采云平台（</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HYPERLINK "https://www.zcygov.cn/）获取（下载）招标文件，并于2021年" </w:instrText>
      </w:r>
      <w:r>
        <w:rPr>
          <w:rFonts w:hint="eastAsia" w:ascii="仿宋" w:hAnsi="仿宋" w:eastAsia="仿宋" w:cs="仿宋"/>
          <w:color w:val="auto"/>
          <w:highlight w:val="none"/>
        </w:rPr>
        <w:fldChar w:fldCharType="separate"/>
      </w:r>
      <w:r>
        <w:rPr>
          <w:rStyle w:val="77"/>
          <w:rFonts w:hint="eastAsia" w:ascii="仿宋" w:hAnsi="仿宋" w:eastAsia="仿宋" w:cs="仿宋"/>
          <w:color w:val="auto"/>
          <w:kern w:val="2"/>
          <w:sz w:val="24"/>
          <w:szCs w:val="24"/>
          <w:highlight w:val="none"/>
        </w:rPr>
        <w:t>https://www.zcygov.cn/）获取（下载）招标文件，并于</w:t>
      </w:r>
      <w:r>
        <w:rPr>
          <w:rFonts w:hint="eastAsia" w:ascii="仿宋" w:hAnsi="仿宋" w:eastAsia="仿宋" w:cs="仿宋"/>
          <w:color w:val="auto"/>
          <w:sz w:val="24"/>
          <w:highlight w:val="none"/>
          <w:u w:val="single"/>
          <w:lang w:eastAsia="zh-CN"/>
        </w:rPr>
        <w:t>202</w:t>
      </w:r>
      <w:r>
        <w:rPr>
          <w:rFonts w:hint="eastAsia" w:ascii="仿宋" w:hAnsi="仿宋" w:eastAsia="仿宋" w:cs="仿宋"/>
          <w:color w:val="auto"/>
          <w:sz w:val="24"/>
          <w:highlight w:val="none"/>
          <w:u w:val="single"/>
          <w:lang w:val="en-US" w:eastAsia="zh-CN"/>
        </w:rPr>
        <w:t>3</w:t>
      </w:r>
      <w:r>
        <w:rPr>
          <w:rFonts w:hint="eastAsia" w:ascii="仿宋" w:hAnsi="仿宋" w:eastAsia="仿宋" w:cs="仿宋"/>
          <w:color w:val="auto"/>
          <w:sz w:val="24"/>
          <w:highlight w:val="none"/>
          <w:u w:val="single"/>
          <w:lang w:eastAsia="zh-CN"/>
        </w:rPr>
        <w:t>年</w:t>
      </w:r>
      <w:r>
        <w:rPr>
          <w:rFonts w:hint="eastAsia" w:ascii="仿宋" w:hAnsi="仿宋" w:eastAsia="仿宋" w:cs="仿宋"/>
          <w:color w:val="auto"/>
          <w:sz w:val="24"/>
          <w:highlight w:val="none"/>
          <w:u w:val="single"/>
          <w:lang w:val="en-US" w:eastAsia="zh-CN"/>
        </w:rPr>
        <w:t>2</w:t>
      </w:r>
      <w:r>
        <w:rPr>
          <w:rFonts w:hint="eastAsia" w:ascii="仿宋" w:hAnsi="仿宋" w:eastAsia="仿宋" w:cs="仿宋"/>
          <w:color w:val="auto"/>
          <w:sz w:val="24"/>
          <w:highlight w:val="none"/>
          <w:u w:val="single"/>
          <w:lang w:eastAsia="zh-CN"/>
        </w:rPr>
        <w:t>月</w:t>
      </w:r>
      <w:r>
        <w:rPr>
          <w:rFonts w:hint="eastAsia" w:ascii="仿宋" w:hAnsi="仿宋" w:eastAsia="仿宋" w:cs="仿宋"/>
          <w:color w:val="auto"/>
          <w:sz w:val="24"/>
          <w:highlight w:val="none"/>
          <w:u w:val="single"/>
          <w:lang w:val="en-US" w:eastAsia="zh-CN"/>
        </w:rPr>
        <w:t>22</w:t>
      </w:r>
      <w:r>
        <w:rPr>
          <w:rFonts w:hint="eastAsia" w:ascii="仿宋" w:hAnsi="仿宋" w:eastAsia="仿宋" w:cs="仿宋"/>
          <w:color w:val="auto"/>
          <w:sz w:val="24"/>
          <w:highlight w:val="none"/>
          <w:u w:val="single"/>
          <w:lang w:eastAsia="zh-CN"/>
        </w:rPr>
        <w:t>日</w:t>
      </w:r>
      <w:r>
        <w:rPr>
          <w:rFonts w:hint="eastAsia" w:ascii="仿宋" w:hAnsi="仿宋" w:eastAsia="仿宋" w:cs="仿宋"/>
          <w:color w:val="auto"/>
          <w:sz w:val="24"/>
          <w:highlight w:val="none"/>
          <w:u w:val="single"/>
          <w:lang w:val="en-US" w:eastAsia="zh-CN"/>
        </w:rPr>
        <w:t>9</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30</w:t>
      </w:r>
      <w:r>
        <w:rPr>
          <w:rFonts w:hint="eastAsia" w:ascii="仿宋" w:hAnsi="仿宋" w:eastAsia="仿宋" w:cs="仿宋"/>
          <w:color w:val="auto"/>
          <w:sz w:val="24"/>
          <w:highlight w:val="none"/>
          <w:u w:val="single"/>
        </w:rPr>
        <w:t>分</w:t>
      </w:r>
      <w:r>
        <w:rPr>
          <w:rFonts w:hint="eastAsia" w:ascii="仿宋" w:hAnsi="仿宋" w:eastAsia="仿宋" w:cs="仿宋"/>
          <w:bCs/>
          <w:color w:val="auto"/>
          <w:sz w:val="24"/>
          <w:highlight w:val="none"/>
          <w:u w:val="single"/>
        </w:rPr>
        <w:t>00秒</w:t>
      </w:r>
      <w:r>
        <w:rPr>
          <w:rFonts w:hint="eastAsia" w:ascii="仿宋" w:hAnsi="仿宋" w:eastAsia="仿宋" w:cs="仿宋"/>
          <w:color w:val="auto"/>
          <w:highlight w:val="none"/>
        </w:rPr>
        <w:fldChar w:fldCharType="end"/>
      </w:r>
      <w:r>
        <w:rPr>
          <w:rFonts w:hint="eastAsia" w:ascii="仿宋" w:hAnsi="仿宋" w:eastAsia="仿宋" w:cs="仿宋"/>
          <w:bCs/>
          <w:color w:val="auto"/>
          <w:sz w:val="24"/>
          <w:highlight w:val="none"/>
        </w:rPr>
        <w:t>（北京时间）前</w:t>
      </w:r>
      <w:r>
        <w:rPr>
          <w:rFonts w:hint="eastAsia" w:ascii="仿宋" w:hAnsi="仿宋" w:eastAsia="仿宋" w:cs="仿宋"/>
          <w:color w:val="auto"/>
          <w:sz w:val="24"/>
          <w:highlight w:val="none"/>
        </w:rPr>
        <w:t>递交（上传）投标文件。</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一、项目基本情况                                            </w:t>
      </w:r>
    </w:p>
    <w:p>
      <w:pPr>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项目编号：</w:t>
      </w:r>
      <w:r>
        <w:rPr>
          <w:rFonts w:hint="eastAsia" w:ascii="仿宋" w:hAnsi="仿宋" w:eastAsia="仿宋" w:cs="仿宋"/>
          <w:b/>
          <w:color w:val="auto"/>
          <w:sz w:val="24"/>
          <w:highlight w:val="none"/>
          <w:lang w:eastAsia="zh-CN"/>
        </w:rPr>
        <w:t>YJZFCG2023-003</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 xml:space="preserve"> 项目名称：</w:t>
      </w:r>
      <w:r>
        <w:rPr>
          <w:rFonts w:hint="eastAsia" w:ascii="仿宋" w:hAnsi="仿宋" w:eastAsia="仿宋" w:cs="仿宋"/>
          <w:b/>
          <w:color w:val="auto"/>
          <w:sz w:val="24"/>
          <w:highlight w:val="none"/>
          <w:lang w:eastAsia="zh-CN"/>
        </w:rPr>
        <w:t>临平区单元控制性详细规划编制服务采购项目</w:t>
      </w:r>
    </w:p>
    <w:p>
      <w:pPr>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 xml:space="preserve"> 预算金额（元）：</w:t>
      </w:r>
      <w:r>
        <w:rPr>
          <w:rFonts w:hint="eastAsia" w:ascii="仿宋" w:hAnsi="仿宋" w:eastAsia="仿宋" w:cs="仿宋"/>
          <w:b/>
          <w:color w:val="auto"/>
          <w:sz w:val="24"/>
          <w:highlight w:val="none"/>
          <w:lang w:val="en-US" w:eastAsia="zh-CN"/>
        </w:rPr>
        <w:t>5270000</w:t>
      </w:r>
      <w:r>
        <w:rPr>
          <w:rFonts w:hint="eastAsia" w:ascii="仿宋" w:hAnsi="仿宋" w:eastAsia="仿宋" w:cs="仿宋"/>
          <w:color w:val="auto"/>
          <w:sz w:val="24"/>
          <w:highlight w:val="none"/>
        </w:rPr>
        <w:t xml:space="preserve"> </w:t>
      </w:r>
    </w:p>
    <w:p>
      <w:pPr>
        <w:spacing w:line="360" w:lineRule="auto"/>
        <w:ind w:left="479" w:leftChars="228" w:firstLine="0" w:firstLineChars="0"/>
        <w:rPr>
          <w:rFonts w:hint="eastAsia" w:ascii="仿宋" w:hAnsi="仿宋" w:eastAsia="仿宋" w:cs="仿宋"/>
          <w:b/>
          <w:bCs/>
          <w:color w:val="auto"/>
          <w:sz w:val="24"/>
          <w:szCs w:val="24"/>
          <w:highlight w:val="none"/>
        </w:rPr>
      </w:pPr>
      <w:r>
        <w:rPr>
          <w:rFonts w:hint="eastAsia" w:ascii="仿宋" w:hAnsi="仿宋" w:eastAsia="仿宋" w:cs="仿宋"/>
          <w:b/>
          <w:color w:val="auto"/>
          <w:sz w:val="24"/>
          <w:highlight w:val="none"/>
        </w:rPr>
        <w:t>最高限价（元）：</w:t>
      </w:r>
      <w:r>
        <w:rPr>
          <w:rFonts w:hint="eastAsia" w:ascii="仿宋" w:hAnsi="仿宋" w:eastAsia="仿宋" w:cs="仿宋"/>
          <w:b/>
          <w:color w:val="auto"/>
          <w:sz w:val="24"/>
          <w:highlight w:val="none"/>
          <w:lang w:val="en-US" w:eastAsia="zh-CN"/>
        </w:rPr>
        <w:t>5270000</w:t>
      </w:r>
      <w:r>
        <w:rPr>
          <w:rFonts w:hint="eastAsia" w:ascii="仿宋" w:hAnsi="仿宋" w:eastAsia="仿宋" w:cs="仿宋"/>
          <w:b/>
          <w:color w:val="auto"/>
          <w:sz w:val="24"/>
          <w:highlight w:val="none"/>
        </w:rPr>
        <w:br w:type="textWrapping"/>
      </w:r>
      <w:r>
        <w:rPr>
          <w:rFonts w:hint="eastAsia" w:ascii="仿宋" w:hAnsi="仿宋" w:eastAsia="仿宋" w:cs="仿宋"/>
          <w:b/>
          <w:bCs/>
          <w:color w:val="auto"/>
          <w:sz w:val="24"/>
          <w:szCs w:val="24"/>
          <w:highlight w:val="none"/>
        </w:rPr>
        <w:t>标项一:</w:t>
      </w:r>
    </w:p>
    <w:p>
      <w:pPr>
        <w:spacing w:line="360" w:lineRule="auto"/>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 xml:space="preserve">标项名称: </w:t>
      </w:r>
      <w:r>
        <w:rPr>
          <w:rFonts w:hint="eastAsia" w:ascii="仿宋" w:hAnsi="仿宋" w:eastAsia="仿宋" w:cs="仿宋"/>
          <w:b/>
          <w:color w:val="auto"/>
          <w:sz w:val="24"/>
          <w:highlight w:val="none"/>
          <w:lang w:eastAsia="zh-CN"/>
        </w:rPr>
        <w:t>临平区兴旺北单元控制性详细规划编制服务采购项目</w:t>
      </w:r>
      <w:r>
        <w:rPr>
          <w:rFonts w:hint="eastAsia" w:ascii="仿宋" w:hAnsi="仿宋" w:eastAsia="仿宋" w:cs="仿宋"/>
          <w:b/>
          <w:bCs/>
          <w:color w:val="auto"/>
          <w:sz w:val="24"/>
          <w:szCs w:val="24"/>
          <w:highlight w:val="none"/>
        </w:rPr>
        <w:t>（标</w:t>
      </w:r>
      <w:r>
        <w:rPr>
          <w:rFonts w:hint="eastAsia" w:ascii="仿宋" w:hAnsi="仿宋" w:eastAsia="仿宋" w:cs="仿宋"/>
          <w:b/>
          <w:bCs/>
          <w:color w:val="auto"/>
          <w:sz w:val="24"/>
          <w:szCs w:val="24"/>
          <w:highlight w:val="none"/>
          <w:lang w:val="en-US" w:eastAsia="zh-CN"/>
        </w:rPr>
        <w:t>项</w:t>
      </w:r>
      <w:r>
        <w:rPr>
          <w:rFonts w:hint="eastAsia" w:ascii="仿宋" w:hAnsi="仿宋" w:eastAsia="仿宋" w:cs="仿宋"/>
          <w:b/>
          <w:bCs/>
          <w:color w:val="auto"/>
          <w:sz w:val="24"/>
          <w:szCs w:val="24"/>
          <w:highlight w:val="none"/>
        </w:rPr>
        <w:t>1）</w:t>
      </w:r>
    </w:p>
    <w:p>
      <w:pPr>
        <w:spacing w:line="360" w:lineRule="auto"/>
        <w:ind w:firstLine="241" w:firstLineChars="1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 xml:space="preserve">  数量: 1  </w:t>
      </w:r>
    </w:p>
    <w:p>
      <w:pPr>
        <w:spacing w:line="360" w:lineRule="auto"/>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预算金额（元）:</w:t>
      </w:r>
      <w:r>
        <w:rPr>
          <w:rFonts w:hint="eastAsia" w:ascii="仿宋" w:hAnsi="仿宋" w:eastAsia="仿宋" w:cs="仿宋"/>
          <w:b/>
          <w:color w:val="auto"/>
          <w:sz w:val="24"/>
          <w:highlight w:val="none"/>
        </w:rPr>
        <w:t>2260000</w:t>
      </w:r>
    </w:p>
    <w:p>
      <w:pPr>
        <w:spacing w:line="360" w:lineRule="auto"/>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标项二:</w:t>
      </w:r>
    </w:p>
    <w:p>
      <w:pPr>
        <w:spacing w:line="360" w:lineRule="auto"/>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 xml:space="preserve">标项名称: </w:t>
      </w:r>
      <w:r>
        <w:rPr>
          <w:rFonts w:hint="eastAsia" w:ascii="仿宋" w:hAnsi="仿宋" w:eastAsia="仿宋" w:cs="仿宋"/>
          <w:b/>
          <w:color w:val="auto"/>
          <w:sz w:val="24"/>
          <w:highlight w:val="none"/>
          <w:lang w:eastAsia="zh-CN"/>
        </w:rPr>
        <w:t>临平区东湖新城单元控制性详细规划编制服务采购项目</w:t>
      </w:r>
      <w:r>
        <w:rPr>
          <w:rFonts w:hint="eastAsia" w:ascii="仿宋" w:hAnsi="仿宋" w:eastAsia="仿宋" w:cs="仿宋"/>
          <w:b/>
          <w:bCs/>
          <w:color w:val="auto"/>
          <w:sz w:val="24"/>
          <w:szCs w:val="24"/>
          <w:highlight w:val="none"/>
        </w:rPr>
        <w:t>（标</w:t>
      </w:r>
      <w:r>
        <w:rPr>
          <w:rFonts w:hint="eastAsia" w:ascii="仿宋" w:hAnsi="仿宋" w:eastAsia="仿宋" w:cs="仿宋"/>
          <w:b/>
          <w:bCs/>
          <w:color w:val="auto"/>
          <w:sz w:val="24"/>
          <w:szCs w:val="24"/>
          <w:highlight w:val="none"/>
          <w:lang w:val="en-US" w:eastAsia="zh-CN"/>
        </w:rPr>
        <w:t>项</w:t>
      </w:r>
      <w:r>
        <w:rPr>
          <w:rFonts w:hint="eastAsia" w:ascii="仿宋" w:hAnsi="仿宋" w:eastAsia="仿宋" w:cs="仿宋"/>
          <w:b/>
          <w:bCs/>
          <w:color w:val="auto"/>
          <w:sz w:val="24"/>
          <w:szCs w:val="24"/>
          <w:highlight w:val="none"/>
        </w:rPr>
        <w:t>2）</w:t>
      </w:r>
    </w:p>
    <w:p>
      <w:pPr>
        <w:spacing w:line="360" w:lineRule="auto"/>
        <w:ind w:firstLine="241" w:firstLineChars="1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 xml:space="preserve">  数量: 1  </w:t>
      </w:r>
    </w:p>
    <w:p>
      <w:pPr>
        <w:spacing w:line="360" w:lineRule="auto"/>
        <w:ind w:firstLine="482" w:firstLineChars="200"/>
        <w:rPr>
          <w:rFonts w:hint="default"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rPr>
        <w:t>预算金额（元）:</w:t>
      </w:r>
      <w:r>
        <w:rPr>
          <w:rFonts w:hint="eastAsia" w:ascii="仿宋" w:hAnsi="仿宋" w:eastAsia="仿宋" w:cs="仿宋"/>
          <w:b/>
          <w:bCs/>
          <w:color w:val="auto"/>
          <w:sz w:val="24"/>
          <w:szCs w:val="24"/>
          <w:highlight w:val="none"/>
          <w:lang w:val="en-US" w:eastAsia="zh-CN"/>
        </w:rPr>
        <w:t>1740000</w:t>
      </w:r>
    </w:p>
    <w:p>
      <w:pPr>
        <w:spacing w:line="360" w:lineRule="auto"/>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标项三:</w:t>
      </w:r>
    </w:p>
    <w:p>
      <w:pPr>
        <w:spacing w:line="360" w:lineRule="auto"/>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 xml:space="preserve">标项名称: </w:t>
      </w:r>
      <w:r>
        <w:rPr>
          <w:rFonts w:hint="eastAsia" w:ascii="仿宋" w:hAnsi="仿宋" w:eastAsia="仿宋" w:cs="仿宋"/>
          <w:b/>
          <w:color w:val="auto"/>
          <w:sz w:val="24"/>
          <w:highlight w:val="none"/>
          <w:lang w:eastAsia="zh-CN"/>
        </w:rPr>
        <w:t>临平区山北单元控制性详细规划编制服务采购项目</w:t>
      </w:r>
      <w:r>
        <w:rPr>
          <w:rFonts w:hint="eastAsia" w:ascii="仿宋" w:hAnsi="仿宋" w:eastAsia="仿宋" w:cs="仿宋"/>
          <w:b/>
          <w:bCs/>
          <w:color w:val="auto"/>
          <w:sz w:val="24"/>
          <w:szCs w:val="24"/>
          <w:highlight w:val="none"/>
        </w:rPr>
        <w:t>（标</w:t>
      </w:r>
      <w:r>
        <w:rPr>
          <w:rFonts w:hint="eastAsia" w:ascii="仿宋" w:hAnsi="仿宋" w:eastAsia="仿宋" w:cs="仿宋"/>
          <w:b/>
          <w:bCs/>
          <w:color w:val="auto"/>
          <w:sz w:val="24"/>
          <w:szCs w:val="24"/>
          <w:highlight w:val="none"/>
          <w:lang w:val="en-US" w:eastAsia="zh-CN"/>
        </w:rPr>
        <w:t>项</w:t>
      </w:r>
      <w:r>
        <w:rPr>
          <w:rFonts w:hint="eastAsia" w:ascii="仿宋" w:hAnsi="仿宋" w:eastAsia="仿宋" w:cs="仿宋"/>
          <w:b/>
          <w:bCs/>
          <w:color w:val="auto"/>
          <w:sz w:val="24"/>
          <w:szCs w:val="24"/>
          <w:highlight w:val="none"/>
        </w:rPr>
        <w:t>3）</w:t>
      </w:r>
    </w:p>
    <w:p>
      <w:pPr>
        <w:spacing w:line="360" w:lineRule="auto"/>
        <w:ind w:firstLine="241" w:firstLineChars="1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 xml:space="preserve">  数量: 1  </w:t>
      </w:r>
    </w:p>
    <w:p>
      <w:pPr>
        <w:spacing w:line="360" w:lineRule="auto"/>
        <w:ind w:firstLine="480"/>
        <w:rPr>
          <w:rFonts w:hint="default" w:ascii="仿宋" w:hAnsi="仿宋" w:eastAsia="仿宋" w:cs="仿宋"/>
          <w:color w:val="auto"/>
          <w:sz w:val="24"/>
          <w:highlight w:val="none"/>
          <w:lang w:val="en-US" w:eastAsia="zh-CN"/>
        </w:rPr>
      </w:pPr>
      <w:r>
        <w:rPr>
          <w:rFonts w:hint="eastAsia" w:ascii="仿宋" w:hAnsi="仿宋" w:eastAsia="仿宋" w:cs="仿宋"/>
          <w:b/>
          <w:bCs/>
          <w:color w:val="auto"/>
          <w:sz w:val="24"/>
          <w:szCs w:val="24"/>
          <w:highlight w:val="none"/>
        </w:rPr>
        <w:t>预算金额（元）:</w:t>
      </w:r>
      <w:r>
        <w:rPr>
          <w:rFonts w:hint="eastAsia" w:ascii="仿宋" w:hAnsi="仿宋" w:eastAsia="仿宋" w:cs="仿宋"/>
          <w:b/>
          <w:bCs/>
          <w:color w:val="auto"/>
          <w:sz w:val="24"/>
          <w:szCs w:val="24"/>
          <w:highlight w:val="none"/>
          <w:lang w:val="en-US" w:eastAsia="zh-CN"/>
        </w:rPr>
        <w:t>1270000</w:t>
      </w:r>
    </w:p>
    <w:p>
      <w:pPr>
        <w:pStyle w:val="7"/>
        <w:spacing w:line="360" w:lineRule="auto"/>
        <w:ind w:firstLine="480"/>
        <w:rPr>
          <w:rFonts w:hint="eastAsia" w:ascii="仿宋" w:hAnsi="仿宋" w:eastAsia="仿宋" w:cs="仿宋"/>
          <w:bCs/>
          <w:color w:val="auto"/>
          <w:kern w:val="2"/>
          <w:sz w:val="24"/>
          <w:szCs w:val="24"/>
          <w:highlight w:val="none"/>
        </w:rPr>
      </w:pPr>
      <w:r>
        <w:rPr>
          <w:rFonts w:hint="eastAsia" w:ascii="仿宋" w:hAnsi="仿宋" w:eastAsia="仿宋" w:cs="仿宋"/>
          <w:b/>
          <w:color w:val="auto"/>
          <w:sz w:val="24"/>
          <w:highlight w:val="none"/>
        </w:rPr>
        <w:t>采购需求：</w:t>
      </w:r>
      <w:r>
        <w:rPr>
          <w:rFonts w:hint="eastAsia" w:ascii="仿宋" w:hAnsi="仿宋" w:eastAsia="仿宋" w:cs="仿宋"/>
          <w:b/>
          <w:color w:val="auto"/>
          <w:sz w:val="24"/>
          <w:highlight w:val="none"/>
          <w:lang w:eastAsia="zh-CN"/>
        </w:rPr>
        <w:t>临平区单元控制性详细规划编制服务采购项目</w:t>
      </w:r>
      <w:r>
        <w:rPr>
          <w:rFonts w:hint="eastAsia" w:ascii="仿宋" w:hAnsi="仿宋" w:eastAsia="仿宋" w:cs="仿宋"/>
          <w:bCs/>
          <w:color w:val="auto"/>
          <w:kern w:val="2"/>
          <w:sz w:val="24"/>
          <w:szCs w:val="24"/>
          <w:highlight w:val="none"/>
        </w:rPr>
        <w:t>。详见招标文件第三部分采购需求。</w:t>
      </w:r>
    </w:p>
    <w:p>
      <w:pPr>
        <w:pStyle w:val="87"/>
        <w:ind w:firstLine="482"/>
        <w:outlineLvl w:val="2"/>
        <w:rPr>
          <w:rFonts w:hint="eastAsia" w:ascii="仿宋" w:hAnsi="仿宋" w:eastAsia="仿宋" w:cs="仿宋"/>
          <w:color w:val="auto"/>
          <w:highlight w:val="none"/>
          <w:lang w:val="en-US" w:eastAsia="zh-CN"/>
        </w:rPr>
      </w:pPr>
      <w:r>
        <w:rPr>
          <w:rFonts w:hint="eastAsia" w:ascii="仿宋" w:hAnsi="仿宋" w:eastAsia="仿宋" w:cs="仿宋"/>
          <w:b/>
          <w:color w:val="auto"/>
          <w:highlight w:val="none"/>
        </w:rPr>
        <w:t>合同履约期限：</w:t>
      </w:r>
      <w:r>
        <w:rPr>
          <w:rFonts w:hint="eastAsia" w:ascii="仿宋" w:hAnsi="仿宋" w:eastAsia="仿宋" w:cs="仿宋"/>
          <w:b/>
          <w:color w:val="auto"/>
          <w:highlight w:val="none"/>
          <w:lang w:val="en-US" w:eastAsia="zh-CN"/>
        </w:rPr>
        <w:t>壹年</w:t>
      </w:r>
    </w:p>
    <w:p>
      <w:pPr>
        <w:pStyle w:val="7"/>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b/>
          <w:color w:val="auto"/>
          <w:sz w:val="24"/>
          <w:highlight w:val="none"/>
        </w:rPr>
        <w:t>本项目接受联合体投标：</w:t>
      </w:r>
      <w:r>
        <w:rPr>
          <w:rFonts w:hint="eastAsia" w:ascii="仿宋" w:hAnsi="仿宋" w:eastAsia="仿宋" w:cs="仿宋"/>
          <w:color w:val="auto"/>
          <w:kern w:val="0"/>
          <w:sz w:val="24"/>
          <w:highlight w:val="none"/>
        </w:rPr>
        <w:sym w:font="Wingdings" w:char="F0FE"/>
      </w:r>
      <w:r>
        <w:rPr>
          <w:rFonts w:hint="eastAsia" w:ascii="仿宋" w:hAnsi="仿宋" w:eastAsia="仿宋" w:cs="仿宋"/>
          <w:b/>
          <w:color w:val="auto"/>
          <w:sz w:val="24"/>
          <w:highlight w:val="none"/>
        </w:rPr>
        <w:t>是，</w:t>
      </w:r>
      <w:r>
        <w:rPr>
          <w:rFonts w:hint="eastAsia" w:ascii="仿宋" w:hAnsi="仿宋" w:eastAsia="仿宋" w:cs="仿宋"/>
          <w:color w:val="auto"/>
          <w:kern w:val="0"/>
          <w:sz w:val="24"/>
          <w:highlight w:val="none"/>
        </w:rPr>
        <w:t>☐</w:t>
      </w:r>
      <w:r>
        <w:rPr>
          <w:rFonts w:hint="eastAsia" w:ascii="仿宋" w:hAnsi="仿宋" w:eastAsia="仿宋" w:cs="仿宋"/>
          <w:b/>
          <w:color w:val="auto"/>
          <w:sz w:val="24"/>
          <w:highlight w:val="none"/>
        </w:rPr>
        <w:t>否</w:t>
      </w:r>
      <w:r>
        <w:rPr>
          <w:rFonts w:hint="eastAsia" w:ascii="仿宋" w:hAnsi="仿宋" w:eastAsia="仿宋" w:cs="仿宋"/>
          <w:color w:val="auto"/>
          <w:kern w:val="0"/>
          <w:sz w:val="24"/>
          <w:highlight w:val="none"/>
        </w:rPr>
        <w:t>。</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二、申请人的资格要求：</w:t>
      </w:r>
    </w:p>
    <w:p>
      <w:pPr>
        <w:spacing w:line="360" w:lineRule="auto"/>
        <w:ind w:firstLine="48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 xml:space="preserve">    2.落实政府采购政策需满足的资格要求：</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sz w:val="24"/>
          <w:highlight w:val="none"/>
        </w:rPr>
        <w:t>无；</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kern w:val="0"/>
          <w:sz w:val="24"/>
          <w:highlight w:val="none"/>
        </w:rPr>
        <w:t>专</w:t>
      </w:r>
      <w:r>
        <w:rPr>
          <w:rFonts w:hint="eastAsia" w:ascii="仿宋" w:hAnsi="仿宋" w:eastAsia="仿宋" w:cs="仿宋"/>
          <w:color w:val="auto"/>
          <w:sz w:val="24"/>
          <w:highlight w:val="none"/>
        </w:rPr>
        <w:t>门面向中小企业</w:t>
      </w:r>
    </w:p>
    <w:p>
      <w:pPr>
        <w:spacing w:line="360" w:lineRule="auto"/>
        <w:ind w:firstLine="897" w:firstLineChars="374"/>
        <w:rPr>
          <w:rFonts w:hint="eastAsia" w:ascii="仿宋" w:hAnsi="仿宋" w:eastAsia="仿宋" w:cs="仿宋"/>
          <w:color w:val="auto"/>
          <w:sz w:val="24"/>
          <w:highlight w:val="none"/>
          <w:u w:val="singl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sz w:val="24"/>
          <w:highlight w:val="none"/>
        </w:rPr>
        <w:t>货物全部由符合政策要求的中小企业制造，提供中小企业声明函；</w:t>
      </w:r>
    </w:p>
    <w:p>
      <w:pPr>
        <w:spacing w:line="360" w:lineRule="auto"/>
        <w:ind w:firstLine="897" w:firstLineChars="374"/>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sz w:val="24"/>
          <w:highlight w:val="none"/>
        </w:rPr>
        <w:t>货物全部由符合政策要求的小微企业制造，提供中小企业声明函；</w:t>
      </w:r>
    </w:p>
    <w:p>
      <w:pPr>
        <w:spacing w:line="360" w:lineRule="auto"/>
        <w:ind w:firstLine="897" w:firstLineChars="374"/>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sz w:val="24"/>
          <w:highlight w:val="none"/>
        </w:rPr>
        <w:t>服务全部由符合政策要求的中小企业承接，提供中小企业声明函；</w:t>
      </w:r>
    </w:p>
    <w:p>
      <w:pPr>
        <w:spacing w:line="360" w:lineRule="auto"/>
        <w:ind w:firstLine="897" w:firstLineChars="374"/>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sz w:val="24"/>
          <w:highlight w:val="none"/>
        </w:rPr>
        <w:t>服务全部由符合政策要求的小微企业承接，提供中小企业声明函；</w:t>
      </w:r>
    </w:p>
    <w:p>
      <w:pPr>
        <w:rPr>
          <w:rFonts w:hint="eastAsia" w:ascii="仿宋" w:hAnsi="仿宋" w:eastAsia="仿宋" w:cs="仿宋"/>
          <w:color w:val="auto"/>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sz w:val="24"/>
          <w:highlight w:val="none"/>
        </w:rPr>
        <w:t>要求以联合体形式参加，提供联合协议和中小企业声明函，联合协议中中小企业合同金额应当达到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sz w:val="24"/>
          <w:highlight w:val="none"/>
        </w:rPr>
        <w:t>要求合同分包，提供分包意向协议和中小企业声明函，分包意向协议中中小企业合同金额应当达到达到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，小微企业合同金额应当达到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w:t>
      </w:r>
      <w:r>
        <w:rPr>
          <w:rFonts w:hint="eastAsia" w:ascii="仿宋" w:hAnsi="仿宋" w:eastAsia="仿宋" w:cs="仿宋"/>
          <w:color w:val="auto"/>
          <w:spacing w:val="8"/>
          <w:kern w:val="0"/>
          <w:sz w:val="24"/>
          <w:highlight w:val="none"/>
        </w:rPr>
        <w:t>如果供应商本身提供所有标的均由中小企业制造、承建或承接，视同符合了资格条件，无需再向中小企业分包，无需提供分包意向协议</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3.本项目的特定资格要求：无；</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三、获取招标文件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时间：</w:t>
      </w:r>
      <w:r>
        <w:rPr>
          <w:rFonts w:hint="eastAsia" w:ascii="仿宋" w:hAnsi="仿宋" w:eastAsia="仿宋" w:cs="仿宋"/>
          <w:color w:val="auto"/>
          <w:sz w:val="24"/>
          <w:highlight w:val="none"/>
        </w:rPr>
        <w:t>/至</w:t>
      </w:r>
      <w:r>
        <w:rPr>
          <w:rFonts w:hint="eastAsia" w:ascii="仿宋" w:hAnsi="仿宋" w:eastAsia="仿宋" w:cs="仿宋"/>
          <w:color w:val="auto"/>
          <w:sz w:val="24"/>
          <w:highlight w:val="none"/>
          <w:u w:val="single"/>
          <w:lang w:eastAsia="zh-CN"/>
        </w:rPr>
        <w:t>202</w:t>
      </w:r>
      <w:r>
        <w:rPr>
          <w:rFonts w:hint="eastAsia" w:ascii="仿宋" w:hAnsi="仿宋" w:eastAsia="仿宋" w:cs="仿宋"/>
          <w:color w:val="auto"/>
          <w:sz w:val="24"/>
          <w:highlight w:val="none"/>
          <w:u w:val="single"/>
          <w:lang w:val="en-US" w:eastAsia="zh-CN"/>
        </w:rPr>
        <w:t>3</w:t>
      </w:r>
      <w:r>
        <w:rPr>
          <w:rFonts w:hint="eastAsia" w:ascii="仿宋" w:hAnsi="仿宋" w:eastAsia="仿宋" w:cs="仿宋"/>
          <w:color w:val="auto"/>
          <w:sz w:val="24"/>
          <w:highlight w:val="none"/>
          <w:u w:val="single"/>
          <w:lang w:eastAsia="zh-CN"/>
        </w:rPr>
        <w:t>年</w:t>
      </w:r>
      <w:r>
        <w:rPr>
          <w:rFonts w:hint="eastAsia" w:ascii="仿宋" w:hAnsi="仿宋" w:eastAsia="仿宋" w:cs="仿宋"/>
          <w:color w:val="auto"/>
          <w:sz w:val="24"/>
          <w:highlight w:val="none"/>
          <w:u w:val="single"/>
          <w:lang w:val="en-US" w:eastAsia="zh-CN"/>
        </w:rPr>
        <w:t>2</w:t>
      </w:r>
      <w:r>
        <w:rPr>
          <w:rFonts w:hint="eastAsia" w:ascii="仿宋" w:hAnsi="仿宋" w:eastAsia="仿宋" w:cs="仿宋"/>
          <w:color w:val="auto"/>
          <w:sz w:val="24"/>
          <w:highlight w:val="none"/>
          <w:u w:val="single"/>
          <w:lang w:eastAsia="zh-CN"/>
        </w:rPr>
        <w:t>月</w:t>
      </w:r>
      <w:r>
        <w:rPr>
          <w:rFonts w:hint="eastAsia" w:ascii="仿宋" w:hAnsi="仿宋" w:eastAsia="仿宋" w:cs="仿宋"/>
          <w:color w:val="auto"/>
          <w:sz w:val="24"/>
          <w:highlight w:val="none"/>
          <w:u w:val="single"/>
          <w:lang w:val="en-US" w:eastAsia="zh-CN"/>
        </w:rPr>
        <w:t>22</w:t>
      </w:r>
      <w:r>
        <w:rPr>
          <w:rFonts w:hint="eastAsia" w:ascii="仿宋" w:hAnsi="仿宋" w:eastAsia="仿宋" w:cs="仿宋"/>
          <w:color w:val="auto"/>
          <w:sz w:val="24"/>
          <w:highlight w:val="none"/>
          <w:u w:val="single"/>
          <w:lang w:eastAsia="zh-CN"/>
        </w:rPr>
        <w:t>日</w:t>
      </w:r>
      <w:r>
        <w:rPr>
          <w:rFonts w:hint="eastAsia" w:ascii="仿宋" w:hAnsi="仿宋" w:eastAsia="仿宋" w:cs="仿宋"/>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lang w:val="en-US" w:eastAsia="zh-CN"/>
        </w:rPr>
        <w:t>获取网址</w:t>
      </w:r>
      <w:r>
        <w:rPr>
          <w:rFonts w:hint="eastAsia" w:ascii="仿宋" w:hAnsi="仿宋" w:eastAsia="仿宋" w:cs="仿宋"/>
          <w:b/>
          <w:color w:val="auto"/>
          <w:sz w:val="24"/>
          <w:highlight w:val="none"/>
        </w:rPr>
        <w:t>：</w:t>
      </w:r>
      <w:r>
        <w:rPr>
          <w:rFonts w:hint="eastAsia" w:ascii="仿宋" w:hAnsi="仿宋" w:eastAsia="仿宋" w:cs="仿宋"/>
          <w:color w:val="auto"/>
          <w:sz w:val="24"/>
          <w:highlight w:val="none"/>
        </w:rPr>
        <w:t xml:space="preserve">政采云平台（https://www.zcygov.cn/）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方式：</w:t>
      </w:r>
      <w:r>
        <w:rPr>
          <w:rFonts w:hint="eastAsia" w:ascii="仿宋" w:hAnsi="仿宋" w:eastAsia="仿宋" w:cs="仿宋"/>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售价（元）：</w:t>
      </w:r>
      <w:r>
        <w:rPr>
          <w:rFonts w:hint="eastAsia" w:ascii="仿宋" w:hAnsi="仿宋" w:eastAsia="仿宋" w:cs="仿宋"/>
          <w:color w:val="auto"/>
          <w:sz w:val="24"/>
          <w:highlight w:val="none"/>
        </w:rPr>
        <w:t xml:space="preserve">0 </w:t>
      </w:r>
      <w:r>
        <w:rPr>
          <w:rFonts w:hint="eastAsia" w:ascii="仿宋" w:hAnsi="仿宋" w:eastAsia="仿宋" w:cs="仿宋"/>
          <w:color w:val="auto"/>
          <w:sz w:val="24"/>
          <w:highlight w:val="none"/>
        </w:rPr>
        <w:tab/>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四、提交投标文件截止时间、开标时间和地点</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提交投标文件截止时间：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eastAsia="zh-CN"/>
        </w:rPr>
        <w:t>202</w:t>
      </w:r>
      <w:r>
        <w:rPr>
          <w:rFonts w:hint="eastAsia" w:ascii="仿宋" w:hAnsi="仿宋" w:eastAsia="仿宋" w:cs="仿宋"/>
          <w:color w:val="auto"/>
          <w:sz w:val="24"/>
          <w:highlight w:val="none"/>
          <w:u w:val="single"/>
          <w:lang w:val="en-US" w:eastAsia="zh-CN"/>
        </w:rPr>
        <w:t>3</w:t>
      </w:r>
      <w:r>
        <w:rPr>
          <w:rFonts w:hint="eastAsia" w:ascii="仿宋" w:hAnsi="仿宋" w:eastAsia="仿宋" w:cs="仿宋"/>
          <w:color w:val="auto"/>
          <w:sz w:val="24"/>
          <w:highlight w:val="none"/>
          <w:u w:val="single"/>
          <w:lang w:eastAsia="zh-CN"/>
        </w:rPr>
        <w:t>年</w:t>
      </w:r>
      <w:r>
        <w:rPr>
          <w:rFonts w:hint="eastAsia" w:ascii="仿宋" w:hAnsi="仿宋" w:eastAsia="仿宋" w:cs="仿宋"/>
          <w:color w:val="auto"/>
          <w:sz w:val="24"/>
          <w:highlight w:val="none"/>
          <w:u w:val="single"/>
          <w:lang w:val="en-US" w:eastAsia="zh-CN"/>
        </w:rPr>
        <w:t>2</w:t>
      </w:r>
      <w:r>
        <w:rPr>
          <w:rFonts w:hint="eastAsia" w:ascii="仿宋" w:hAnsi="仿宋" w:eastAsia="仿宋" w:cs="仿宋"/>
          <w:color w:val="auto"/>
          <w:sz w:val="24"/>
          <w:highlight w:val="none"/>
          <w:u w:val="single"/>
          <w:lang w:eastAsia="zh-CN"/>
        </w:rPr>
        <w:t>月</w:t>
      </w:r>
      <w:r>
        <w:rPr>
          <w:rFonts w:hint="eastAsia" w:ascii="仿宋" w:hAnsi="仿宋" w:eastAsia="仿宋" w:cs="仿宋"/>
          <w:color w:val="auto"/>
          <w:sz w:val="24"/>
          <w:highlight w:val="none"/>
          <w:u w:val="single"/>
          <w:lang w:val="en-US" w:eastAsia="zh-CN"/>
        </w:rPr>
        <w:t>22</w:t>
      </w:r>
      <w:r>
        <w:rPr>
          <w:rFonts w:hint="eastAsia" w:ascii="仿宋" w:hAnsi="仿宋" w:eastAsia="仿宋" w:cs="仿宋"/>
          <w:color w:val="auto"/>
          <w:sz w:val="24"/>
          <w:highlight w:val="none"/>
          <w:u w:val="single"/>
          <w:lang w:eastAsia="zh-CN"/>
        </w:rPr>
        <w:t>日</w:t>
      </w:r>
      <w:r>
        <w:rPr>
          <w:rFonts w:hint="eastAsia" w:ascii="仿宋" w:hAnsi="仿宋" w:eastAsia="仿宋" w:cs="仿宋"/>
          <w:color w:val="auto"/>
          <w:sz w:val="24"/>
          <w:highlight w:val="none"/>
          <w:u w:val="single"/>
          <w:lang w:val="en-US" w:eastAsia="zh-CN"/>
        </w:rPr>
        <w:t>9</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30</w:t>
      </w:r>
      <w:r>
        <w:rPr>
          <w:rFonts w:hint="eastAsia" w:ascii="仿宋" w:hAnsi="仿宋" w:eastAsia="仿宋" w:cs="仿宋"/>
          <w:color w:val="auto"/>
          <w:sz w:val="24"/>
          <w:highlight w:val="none"/>
          <w:u w:val="single"/>
        </w:rPr>
        <w:t>分</w:t>
      </w:r>
      <w:r>
        <w:rPr>
          <w:rFonts w:hint="eastAsia" w:ascii="仿宋" w:hAnsi="仿宋" w:eastAsia="仿宋" w:cs="仿宋"/>
          <w:bCs/>
          <w:color w:val="auto"/>
          <w:sz w:val="24"/>
          <w:highlight w:val="none"/>
          <w:u w:val="single"/>
        </w:rPr>
        <w:t xml:space="preserve"> </w:t>
      </w:r>
      <w:r>
        <w:rPr>
          <w:rFonts w:hint="eastAsia" w:ascii="仿宋" w:hAnsi="仿宋" w:eastAsia="仿宋" w:cs="仿宋"/>
          <w:color w:val="auto"/>
          <w:sz w:val="24"/>
          <w:highlight w:val="none"/>
        </w:rPr>
        <w:t>（北京时间）</w:t>
      </w:r>
    </w:p>
    <w:p>
      <w:pPr>
        <w:spacing w:line="360" w:lineRule="auto"/>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投标地点（网址）：</w:t>
      </w:r>
      <w:r>
        <w:rPr>
          <w:rFonts w:hint="eastAsia" w:ascii="仿宋" w:hAnsi="仿宋" w:eastAsia="仿宋" w:cs="仿宋"/>
          <w:color w:val="auto"/>
          <w:sz w:val="24"/>
          <w:szCs w:val="24"/>
          <w:highlight w:val="none"/>
        </w:rPr>
        <w:t xml:space="preserve">政采云平台（https://www.zcygov.cn/） </w:t>
      </w:r>
    </w:p>
    <w:p>
      <w:pPr>
        <w:spacing w:line="360" w:lineRule="auto"/>
        <w:ind w:firstLine="482" w:firstLineChars="200"/>
        <w:rPr>
          <w:rFonts w:hint="eastAsia" w:ascii="仿宋" w:hAnsi="仿宋" w:eastAsia="仿宋" w:cs="仿宋"/>
          <w:bCs/>
          <w:color w:val="auto"/>
          <w:sz w:val="24"/>
          <w:highlight w:val="none"/>
          <w:u w:val="single"/>
        </w:rPr>
      </w:pPr>
      <w:r>
        <w:rPr>
          <w:rFonts w:hint="eastAsia" w:ascii="仿宋" w:hAnsi="仿宋" w:eastAsia="仿宋" w:cs="仿宋"/>
          <w:b/>
          <w:color w:val="auto"/>
          <w:sz w:val="24"/>
          <w:highlight w:val="none"/>
        </w:rPr>
        <w:t>开标时间：</w:t>
      </w:r>
      <w:r>
        <w:rPr>
          <w:rFonts w:hint="eastAsia" w:ascii="仿宋" w:hAnsi="仿宋" w:eastAsia="仿宋" w:cs="仿宋"/>
          <w:color w:val="auto"/>
          <w:sz w:val="24"/>
          <w:highlight w:val="none"/>
          <w:u w:val="single"/>
          <w:lang w:eastAsia="zh-CN"/>
        </w:rPr>
        <w:t>202</w:t>
      </w:r>
      <w:r>
        <w:rPr>
          <w:rFonts w:hint="eastAsia" w:ascii="仿宋" w:hAnsi="仿宋" w:eastAsia="仿宋" w:cs="仿宋"/>
          <w:color w:val="auto"/>
          <w:sz w:val="24"/>
          <w:highlight w:val="none"/>
          <w:u w:val="single"/>
          <w:lang w:val="en-US" w:eastAsia="zh-CN"/>
        </w:rPr>
        <w:t>3</w:t>
      </w:r>
      <w:r>
        <w:rPr>
          <w:rFonts w:hint="eastAsia" w:ascii="仿宋" w:hAnsi="仿宋" w:eastAsia="仿宋" w:cs="仿宋"/>
          <w:color w:val="auto"/>
          <w:sz w:val="24"/>
          <w:highlight w:val="none"/>
          <w:u w:val="single"/>
          <w:lang w:eastAsia="zh-CN"/>
        </w:rPr>
        <w:t>年</w:t>
      </w:r>
      <w:r>
        <w:rPr>
          <w:rFonts w:hint="eastAsia" w:ascii="仿宋" w:hAnsi="仿宋" w:eastAsia="仿宋" w:cs="仿宋"/>
          <w:color w:val="auto"/>
          <w:sz w:val="24"/>
          <w:highlight w:val="none"/>
          <w:u w:val="single"/>
          <w:lang w:val="en-US" w:eastAsia="zh-CN"/>
        </w:rPr>
        <w:t>2</w:t>
      </w:r>
      <w:r>
        <w:rPr>
          <w:rFonts w:hint="eastAsia" w:ascii="仿宋" w:hAnsi="仿宋" w:eastAsia="仿宋" w:cs="仿宋"/>
          <w:color w:val="auto"/>
          <w:sz w:val="24"/>
          <w:highlight w:val="none"/>
          <w:u w:val="single"/>
          <w:lang w:eastAsia="zh-CN"/>
        </w:rPr>
        <w:t>月</w:t>
      </w:r>
      <w:r>
        <w:rPr>
          <w:rFonts w:hint="eastAsia" w:ascii="仿宋" w:hAnsi="仿宋" w:eastAsia="仿宋" w:cs="仿宋"/>
          <w:color w:val="auto"/>
          <w:sz w:val="24"/>
          <w:highlight w:val="none"/>
          <w:u w:val="single"/>
          <w:lang w:val="en-US" w:eastAsia="zh-CN"/>
        </w:rPr>
        <w:t>22</w:t>
      </w:r>
      <w:r>
        <w:rPr>
          <w:rFonts w:hint="eastAsia" w:ascii="仿宋" w:hAnsi="仿宋" w:eastAsia="仿宋" w:cs="仿宋"/>
          <w:color w:val="auto"/>
          <w:sz w:val="24"/>
          <w:highlight w:val="none"/>
          <w:u w:val="single"/>
          <w:lang w:eastAsia="zh-CN"/>
        </w:rPr>
        <w:t>日</w:t>
      </w:r>
      <w:r>
        <w:rPr>
          <w:rFonts w:hint="eastAsia" w:ascii="仿宋" w:hAnsi="仿宋" w:eastAsia="仿宋" w:cs="仿宋"/>
          <w:color w:val="auto"/>
          <w:sz w:val="24"/>
          <w:highlight w:val="none"/>
          <w:u w:val="single"/>
          <w:lang w:val="en-US" w:eastAsia="zh-CN"/>
        </w:rPr>
        <w:t>9</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30</w:t>
      </w:r>
      <w:r>
        <w:rPr>
          <w:rFonts w:hint="eastAsia" w:ascii="仿宋" w:hAnsi="仿宋" w:eastAsia="仿宋" w:cs="仿宋"/>
          <w:color w:val="auto"/>
          <w:sz w:val="24"/>
          <w:highlight w:val="none"/>
          <w:u w:val="single"/>
        </w:rPr>
        <w:t>分</w:t>
      </w:r>
      <w:r>
        <w:rPr>
          <w:rFonts w:hint="eastAsia" w:ascii="仿宋" w:hAnsi="仿宋" w:eastAsia="仿宋" w:cs="仿宋"/>
          <w:bCs/>
          <w:color w:val="auto"/>
          <w:sz w:val="24"/>
          <w:highlight w:val="none"/>
          <w:u w:val="single"/>
        </w:rPr>
        <w:t xml:space="preserve"> </w:t>
      </w:r>
    </w:p>
    <w:p>
      <w:pPr>
        <w:spacing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开标地点（网址）：</w:t>
      </w:r>
      <w:r>
        <w:rPr>
          <w:rFonts w:hint="eastAsia" w:ascii="仿宋" w:hAnsi="仿宋" w:eastAsia="仿宋" w:cs="仿宋"/>
          <w:color w:val="auto"/>
          <w:sz w:val="24"/>
          <w:szCs w:val="24"/>
          <w:highlight w:val="none"/>
        </w:rPr>
        <w:t>政采云平台（https://www.zcygov.cn/）</w:t>
      </w:r>
    </w:p>
    <w:p>
      <w:pPr>
        <w:spacing w:line="360" w:lineRule="auto"/>
        <w:rPr>
          <w:rFonts w:hint="eastAsia" w:ascii="仿宋" w:hAnsi="仿宋" w:eastAsia="仿宋" w:cs="仿宋"/>
          <w:color w:val="auto"/>
          <w:sz w:val="24"/>
          <w:highlight w:val="none"/>
        </w:rPr>
      </w:pPr>
      <w:r>
        <w:rPr>
          <w:rFonts w:hint="eastAsia" w:ascii="仿宋" w:hAnsi="仿宋" w:eastAsia="仿宋" w:cs="仿宋"/>
          <w:b/>
          <w:color w:val="auto"/>
          <w:sz w:val="24"/>
          <w:highlight w:val="none"/>
          <w:lang w:val="en-US" w:eastAsia="zh-CN"/>
        </w:rPr>
        <w:t xml:space="preserve">   </w:t>
      </w:r>
      <w:r>
        <w:rPr>
          <w:rFonts w:hint="eastAsia" w:ascii="仿宋" w:hAnsi="仿宋" w:eastAsia="仿宋" w:cs="仿宋"/>
          <w:b/>
          <w:color w:val="auto"/>
          <w:sz w:val="24"/>
          <w:highlight w:val="none"/>
        </w:rPr>
        <w:t xml:space="preserve">五、公告期限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自本公告发布之日起5个工作日。</w:t>
      </w:r>
    </w:p>
    <w:p>
      <w:pPr>
        <w:numPr>
          <w:ilvl w:val="0"/>
          <w:numId w:val="1"/>
        </w:num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其他补充事宜</w:t>
      </w:r>
    </w:p>
    <w:p>
      <w:pPr>
        <w:spacing w:line="360" w:lineRule="auto"/>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lang w:val="en-US" w:eastAsia="zh-CN"/>
        </w:rPr>
        <w:t xml:space="preserve">   </w:t>
      </w:r>
      <w:r>
        <w:rPr>
          <w:rFonts w:hint="eastAsia" w:ascii="仿宋" w:hAnsi="仿宋" w:eastAsia="仿宋" w:cs="仿宋"/>
          <w:b w:val="0"/>
          <w:bCs w:val="0"/>
          <w:color w:val="auto"/>
          <w:sz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lang w:val="en-US" w:eastAsia="zh-CN"/>
        </w:rPr>
        <w:t xml:space="preserve">   </w:t>
      </w:r>
      <w:r>
        <w:rPr>
          <w:rFonts w:hint="eastAsia" w:ascii="仿宋" w:hAnsi="仿宋" w:eastAsia="仿宋" w:cs="仿宋"/>
          <w:b w:val="0"/>
          <w:bCs w:val="0"/>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lang w:val="en-US" w:eastAsia="zh-CN"/>
        </w:rPr>
        <w:t xml:space="preserve">    </w:t>
      </w:r>
      <w:r>
        <w:rPr>
          <w:rFonts w:hint="eastAsia" w:ascii="仿宋" w:hAnsi="仿宋" w:eastAsia="仿宋" w:cs="仿宋"/>
          <w:b w:val="0"/>
          <w:bCs w:val="0"/>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lang w:val="en-US" w:eastAsia="zh-CN"/>
        </w:rPr>
        <w:t xml:space="preserve">    </w:t>
      </w:r>
      <w:r>
        <w:rPr>
          <w:rFonts w:hint="eastAsia" w:ascii="仿宋" w:hAnsi="仿宋" w:eastAsia="仿宋" w:cs="仿宋"/>
          <w:b w:val="0"/>
          <w:bCs w:val="0"/>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七、对本次采购提出询问、质疑、投诉，请按以下方式联系</w:t>
      </w:r>
    </w:p>
    <w:p>
      <w:pPr>
        <w:wordWrap/>
        <w:spacing w:line="360" w:lineRule="auto"/>
        <w:rPr>
          <w:rFonts w:hint="eastAsia" w:ascii="仿宋" w:hAnsi="仿宋" w:eastAsia="仿宋" w:cs="仿宋"/>
          <w:b/>
          <w:bCs/>
          <w:color w:val="auto"/>
          <w:sz w:val="24"/>
          <w:highlight w:val="none"/>
          <w:lang w:eastAsia="zh-CN"/>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highlight w:val="none"/>
          <w:lang w:eastAsia="zh-CN"/>
        </w:rPr>
        <w:t xml:space="preserve"> </w:t>
      </w:r>
      <w:r>
        <w:rPr>
          <w:rFonts w:hint="eastAsia" w:ascii="仿宋" w:hAnsi="仿宋" w:eastAsia="仿宋" w:cs="仿宋"/>
          <w:b/>
          <w:bCs/>
          <w:color w:val="auto"/>
          <w:sz w:val="24"/>
          <w:highlight w:val="none"/>
          <w:lang w:eastAsia="zh-CN"/>
        </w:rPr>
        <w:t>1.采购人信息</w:t>
      </w:r>
      <w:r>
        <w:rPr>
          <w:rFonts w:hint="eastAsia" w:ascii="仿宋" w:hAnsi="仿宋" w:eastAsia="仿宋" w:cs="仿宋"/>
          <w:b/>
          <w:bCs/>
          <w:color w:val="auto"/>
          <w:sz w:val="24"/>
          <w:highlight w:val="none"/>
          <w:lang w:val="en-US" w:eastAsia="zh-CN"/>
        </w:rPr>
        <w:t xml:space="preserve"> </w:t>
      </w:r>
    </w:p>
    <w:p>
      <w:pPr>
        <w:wordWrap/>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lang w:eastAsia="zh-CN"/>
        </w:rPr>
        <w:t>地    址：浙江省杭州市临平区临平超峰东路2号</w:t>
      </w:r>
    </w:p>
    <w:p>
      <w:pPr>
        <w:wordWrap/>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lang w:eastAsia="zh-CN"/>
        </w:rPr>
        <w:t>传    真： /</w:t>
      </w:r>
    </w:p>
    <w:p>
      <w:pPr>
        <w:wordWrap/>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lang w:eastAsia="zh-CN"/>
        </w:rPr>
        <w:t>项目联系人（询问）：盛亚莱</w:t>
      </w:r>
    </w:p>
    <w:p>
      <w:pPr>
        <w:wordWrap/>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lang w:eastAsia="zh-CN"/>
        </w:rPr>
        <w:t>项目联系方式（询问）：</w:t>
      </w:r>
      <w:r>
        <w:rPr>
          <w:rFonts w:hint="eastAsia" w:ascii="仿宋" w:hAnsi="仿宋" w:eastAsia="仿宋" w:cs="仿宋"/>
          <w:color w:val="auto"/>
          <w:sz w:val="24"/>
          <w:highlight w:val="none"/>
          <w:lang w:val="en-US" w:eastAsia="zh-CN"/>
        </w:rPr>
        <w:t>0571-</w:t>
      </w:r>
      <w:r>
        <w:rPr>
          <w:rFonts w:hint="eastAsia" w:ascii="仿宋" w:hAnsi="仿宋" w:eastAsia="仿宋" w:cs="仿宋"/>
          <w:color w:val="auto"/>
          <w:sz w:val="24"/>
          <w:highlight w:val="none"/>
          <w:lang w:eastAsia="zh-CN"/>
        </w:rPr>
        <w:t>89305897</w:t>
      </w:r>
    </w:p>
    <w:p>
      <w:pPr>
        <w:wordWrap/>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lang w:eastAsia="zh-CN"/>
        </w:rPr>
        <w:t>质疑联系人：邱荣</w:t>
      </w:r>
    </w:p>
    <w:p>
      <w:pPr>
        <w:wordWrap/>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highlight w:val="none"/>
          <w:lang w:eastAsia="zh-CN"/>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lang w:eastAsia="zh-CN"/>
        </w:rPr>
        <w:t>质疑联系方式：</w:t>
      </w:r>
      <w:r>
        <w:rPr>
          <w:rFonts w:hint="eastAsia" w:ascii="仿宋" w:hAnsi="仿宋" w:eastAsia="仿宋" w:cs="仿宋"/>
          <w:color w:val="auto"/>
          <w:sz w:val="24"/>
          <w:highlight w:val="none"/>
          <w:lang w:val="en-US" w:eastAsia="zh-CN"/>
        </w:rPr>
        <w:t>0571-</w:t>
      </w:r>
      <w:r>
        <w:rPr>
          <w:rFonts w:hint="eastAsia" w:ascii="仿宋" w:hAnsi="仿宋" w:eastAsia="仿宋" w:cs="仿宋"/>
          <w:color w:val="auto"/>
          <w:sz w:val="24"/>
          <w:highlight w:val="none"/>
          <w:lang w:eastAsia="zh-CN"/>
        </w:rPr>
        <w:t>86130081</w:t>
      </w:r>
      <w:r>
        <w:rPr>
          <w:rFonts w:hint="eastAsia" w:ascii="仿宋" w:hAnsi="仿宋" w:eastAsia="仿宋" w:cs="仿宋"/>
          <w:color w:val="auto"/>
          <w:sz w:val="24"/>
          <w:highlight w:val="none"/>
          <w:lang w:val="en-US" w:eastAsia="zh-CN"/>
        </w:rPr>
        <w:t xml:space="preserve"> </w:t>
      </w:r>
    </w:p>
    <w:p>
      <w:pPr>
        <w:wordWrap/>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2.采购代理机构信息            </w:t>
      </w:r>
    </w:p>
    <w:p>
      <w:pPr>
        <w:wordWrap/>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    称：杭州益嘉工程咨询代理有限公司</w:t>
      </w:r>
    </w:p>
    <w:p>
      <w:pPr>
        <w:wordWrap/>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地    址：浙江省杭州市临平区东湖北路488-1号29幢3楼 </w:t>
      </w:r>
    </w:p>
    <w:p>
      <w:pPr>
        <w:wordWrap/>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传    真：/             </w:t>
      </w:r>
    </w:p>
    <w:p>
      <w:pPr>
        <w:wordWrap/>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项目联系人（询问）： </w:t>
      </w:r>
      <w:r>
        <w:rPr>
          <w:rFonts w:hint="eastAsia" w:ascii="仿宋" w:hAnsi="仿宋" w:eastAsia="仿宋" w:cs="仿宋"/>
          <w:color w:val="auto"/>
          <w:sz w:val="24"/>
          <w:szCs w:val="24"/>
          <w:highlight w:val="none"/>
          <w:lang w:val="en-US" w:eastAsia="zh-CN"/>
        </w:rPr>
        <w:t>杨文波</w:t>
      </w:r>
      <w:r>
        <w:rPr>
          <w:rFonts w:hint="eastAsia" w:ascii="仿宋" w:hAnsi="仿宋" w:eastAsia="仿宋" w:cs="仿宋"/>
          <w:color w:val="auto"/>
          <w:sz w:val="24"/>
          <w:szCs w:val="24"/>
          <w:highlight w:val="none"/>
        </w:rPr>
        <w:t xml:space="preserve">         </w:t>
      </w:r>
    </w:p>
    <w:p>
      <w:pPr>
        <w:wordWrap/>
        <w:spacing w:line="360" w:lineRule="auto"/>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rPr>
        <w:t xml:space="preserve">    项目联系方式（询问）：</w:t>
      </w:r>
      <w:r>
        <w:rPr>
          <w:rFonts w:hint="eastAsia" w:ascii="仿宋" w:hAnsi="仿宋" w:eastAsia="仿宋" w:cs="仿宋"/>
          <w:color w:val="auto"/>
          <w:sz w:val="24"/>
          <w:szCs w:val="24"/>
          <w:highlight w:val="none"/>
          <w:lang w:val="en-US" w:eastAsia="zh-CN"/>
        </w:rPr>
        <w:t>15397053608</w:t>
      </w:r>
    </w:p>
    <w:p>
      <w:pPr>
        <w:wordWrap/>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质疑联系人：</w:t>
      </w:r>
      <w:r>
        <w:rPr>
          <w:rFonts w:hint="eastAsia" w:ascii="仿宋" w:hAnsi="仿宋" w:eastAsia="仿宋" w:cs="仿宋"/>
          <w:color w:val="auto"/>
          <w:sz w:val="24"/>
          <w:szCs w:val="24"/>
          <w:highlight w:val="none"/>
          <w:lang w:val="en-US" w:eastAsia="zh-CN"/>
        </w:rPr>
        <w:t>朱海强</w:t>
      </w:r>
      <w:r>
        <w:rPr>
          <w:rFonts w:hint="eastAsia" w:ascii="仿宋" w:hAnsi="仿宋" w:eastAsia="仿宋" w:cs="仿宋"/>
          <w:color w:val="auto"/>
          <w:sz w:val="24"/>
          <w:szCs w:val="24"/>
          <w:highlight w:val="none"/>
        </w:rPr>
        <w:t xml:space="preserve">             </w:t>
      </w:r>
    </w:p>
    <w:p>
      <w:pPr>
        <w:wordWrap/>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质疑联系方式：</w:t>
      </w:r>
      <w:r>
        <w:rPr>
          <w:rFonts w:hint="eastAsia" w:ascii="仿宋" w:hAnsi="仿宋" w:eastAsia="仿宋" w:cs="仿宋"/>
          <w:color w:val="auto"/>
          <w:sz w:val="24"/>
          <w:highlight w:val="none"/>
        </w:rPr>
        <w:t>0571-89020706</w:t>
      </w:r>
    </w:p>
    <w:p>
      <w:pPr>
        <w:wordWrap/>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3.同级政府采购监督管理部门            </w:t>
      </w:r>
    </w:p>
    <w:p>
      <w:pPr>
        <w:wordWrap/>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szCs w:val="24"/>
          <w:highlight w:val="none"/>
        </w:rPr>
        <w:t xml:space="preserve">名    称：杭州市临平区财政局 </w:t>
      </w:r>
    </w:p>
    <w:p>
      <w:pPr>
        <w:wordWrap/>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地    址：杭州市临平区临平东湖中路236号 </w:t>
      </w:r>
    </w:p>
    <w:p>
      <w:pPr>
        <w:wordWrap/>
        <w:spacing w:line="360" w:lineRule="auto"/>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传    真： /</w:t>
      </w:r>
    </w:p>
    <w:p>
      <w:pPr>
        <w:wordWrap/>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联系人 ：</w:t>
      </w:r>
      <w:r>
        <w:rPr>
          <w:rFonts w:hint="eastAsia" w:ascii="仿宋" w:hAnsi="仿宋" w:eastAsia="仿宋" w:cs="仿宋"/>
          <w:color w:val="auto"/>
          <w:sz w:val="24"/>
          <w:szCs w:val="24"/>
          <w:highlight w:val="none"/>
          <w:lang w:val="en-US" w:eastAsia="zh-CN"/>
        </w:rPr>
        <w:t>俞征</w:t>
      </w:r>
      <w:r>
        <w:rPr>
          <w:rFonts w:hint="eastAsia" w:ascii="仿宋" w:hAnsi="仿宋" w:eastAsia="仿宋" w:cs="仿宋"/>
          <w:color w:val="auto"/>
          <w:sz w:val="24"/>
          <w:szCs w:val="24"/>
          <w:highlight w:val="none"/>
        </w:rPr>
        <w:t xml:space="preserve">    </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监督投诉电话：0571-89185312</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CA问题联系电话（人工）：汇信CA 400-888-4636；天谷CA 400-087-8198。</w:t>
      </w:r>
    </w:p>
    <w:p>
      <w:pPr>
        <w:adjustRightInd/>
        <w:spacing w:line="360" w:lineRule="auto"/>
        <w:jc w:val="center"/>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br w:type="page"/>
      </w:r>
      <w:r>
        <w:rPr>
          <w:rFonts w:hint="eastAsia" w:ascii="仿宋" w:hAnsi="仿宋" w:eastAsia="仿宋" w:cs="仿宋"/>
          <w:b/>
          <w:color w:val="auto"/>
          <w:sz w:val="36"/>
          <w:szCs w:val="20"/>
          <w:highlight w:val="none"/>
        </w:rPr>
        <w:t>第二部分</w:t>
      </w:r>
      <w:bookmarkEnd w:id="8"/>
      <w:r>
        <w:rPr>
          <w:rFonts w:hint="eastAsia" w:ascii="仿宋" w:hAnsi="仿宋" w:eastAsia="仿宋" w:cs="仿宋"/>
          <w:b/>
          <w:color w:val="auto"/>
          <w:sz w:val="36"/>
          <w:szCs w:val="20"/>
          <w:highlight w:val="none"/>
        </w:rPr>
        <w:t xml:space="preserve"> 投标人须知</w:t>
      </w:r>
      <w:bookmarkEnd w:id="9"/>
    </w:p>
    <w:p>
      <w:pPr>
        <w:snapToGrid w:val="0"/>
        <w:spacing w:line="360" w:lineRule="auto"/>
        <w:jc w:val="center"/>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883"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left"/>
              <w:rPr>
                <w:rFonts w:hint="eastAsia" w:ascii="仿宋" w:hAnsi="仿宋" w:eastAsia="仿宋" w:cs="仿宋"/>
                <w:b/>
                <w:color w:val="auto"/>
                <w:kern w:val="0"/>
                <w:sz w:val="24"/>
                <w:szCs w:val="24"/>
                <w:highlight w:val="none"/>
                <w:lang w:val="zh-CN"/>
              </w:rPr>
            </w:pPr>
            <w:r>
              <w:rPr>
                <w:rFonts w:hint="eastAsia" w:ascii="仿宋" w:hAnsi="仿宋" w:eastAsia="仿宋" w:cs="仿宋"/>
                <w:color w:val="auto"/>
                <w:kern w:val="0"/>
                <w:sz w:val="24"/>
                <w:szCs w:val="24"/>
                <w:highlight w:val="none"/>
                <w:lang w:val="zh-CN"/>
              </w:rPr>
              <w:t>有关本项目实施所需的所有费用（含税费、</w:t>
            </w:r>
            <w:r>
              <w:rPr>
                <w:rFonts w:hint="eastAsia" w:ascii="仿宋" w:hAnsi="仿宋" w:eastAsia="仿宋" w:cs="仿宋"/>
                <w:color w:val="auto"/>
                <w:kern w:val="0"/>
                <w:sz w:val="24"/>
                <w:szCs w:val="24"/>
                <w:highlight w:val="none"/>
                <w:lang w:val="en-US" w:eastAsia="zh-CN"/>
              </w:rPr>
              <w:t>方案审查会务等一切相关费用</w:t>
            </w:r>
            <w:r>
              <w:rPr>
                <w:rFonts w:hint="eastAsia" w:ascii="仿宋" w:hAnsi="仿宋" w:eastAsia="仿宋" w:cs="仿宋"/>
                <w:color w:val="auto"/>
                <w:kern w:val="0"/>
                <w:sz w:val="24"/>
                <w:szCs w:val="24"/>
                <w:highlight w:val="none"/>
                <w:lang w:val="zh-CN"/>
              </w:rPr>
              <w:t>）均计入报价。</w:t>
            </w:r>
            <w:r>
              <w:rPr>
                <w:rFonts w:hint="eastAsia" w:ascii="仿宋" w:hAnsi="仿宋" w:eastAsia="仿宋" w:cs="仿宋"/>
                <w:color w:val="auto"/>
                <w:sz w:val="24"/>
                <w:szCs w:val="24"/>
                <w:highlight w:val="none"/>
              </w:rPr>
              <w:t>开标一览表（报价表）是报价的唯一载体</w:t>
            </w:r>
            <w:r>
              <w:rPr>
                <w:rFonts w:hint="eastAsia" w:ascii="仿宋" w:hAnsi="仿宋" w:eastAsia="仿宋" w:cs="仿宋"/>
                <w:color w:val="auto"/>
                <w:kern w:val="0"/>
                <w:sz w:val="24"/>
                <w:szCs w:val="24"/>
                <w:highlight w:val="none"/>
                <w:lang w:val="zh-CN"/>
              </w:rPr>
              <w:t>。投标文件中价格全部采用人民币报价。招标文件未列明，而投标人认为必需的费用也需列入报价。</w:t>
            </w:r>
          </w:p>
          <w:p>
            <w:pPr>
              <w:snapToGrid w:val="0"/>
              <w:spacing w:before="0" w:beforeAutospacing="0" w:after="0" w:afterAutospacing="0" w:line="360" w:lineRule="auto"/>
              <w:ind w:left="0" w:right="0"/>
              <w:jc w:val="left"/>
              <w:rPr>
                <w:rFonts w:hint="eastAsia" w:ascii="仿宋" w:hAnsi="仿宋" w:eastAsia="仿宋" w:cs="仿宋"/>
                <w:b/>
                <w:color w:val="auto"/>
                <w:kern w:val="0"/>
                <w:sz w:val="24"/>
                <w:szCs w:val="24"/>
                <w:highlight w:val="none"/>
                <w:lang w:val="zh-CN"/>
              </w:rPr>
            </w:pPr>
            <w:r>
              <w:rPr>
                <w:rFonts w:hint="eastAsia" w:ascii="仿宋" w:hAnsi="仿宋" w:eastAsia="仿宋" w:cs="仿宋"/>
                <w:b/>
                <w:color w:val="auto"/>
                <w:kern w:val="0"/>
                <w:sz w:val="24"/>
                <w:szCs w:val="24"/>
                <w:highlight w:val="none"/>
                <w:lang w:val="zh-CN"/>
              </w:rPr>
              <w:t>投标报价出现下列情形的，投标无效：</w:t>
            </w:r>
          </w:p>
          <w:p>
            <w:pPr>
              <w:snapToGrid w:val="0"/>
              <w:spacing w:before="0" w:beforeAutospacing="0" w:after="0" w:afterAutospacing="0" w:line="360" w:lineRule="auto"/>
              <w:ind w:left="0" w:right="0" w:firstLine="241" w:firstLineChars="100"/>
              <w:jc w:val="left"/>
              <w:rPr>
                <w:rFonts w:hint="eastAsia" w:ascii="仿宋" w:hAnsi="仿宋" w:eastAsia="仿宋" w:cs="仿宋"/>
                <w:b/>
                <w:color w:val="auto"/>
                <w:kern w:val="0"/>
                <w:sz w:val="24"/>
                <w:szCs w:val="24"/>
                <w:highlight w:val="none"/>
                <w:lang w:val="zh-CN"/>
              </w:rPr>
            </w:pPr>
            <w:r>
              <w:rPr>
                <w:rFonts w:hint="eastAsia" w:ascii="仿宋" w:hAnsi="仿宋" w:eastAsia="仿宋" w:cs="仿宋"/>
                <w:b/>
                <w:color w:val="auto"/>
                <w:kern w:val="0"/>
                <w:sz w:val="24"/>
                <w:szCs w:val="24"/>
                <w:highlight w:val="none"/>
                <w:lang w:val="zh-CN"/>
              </w:rPr>
              <w:t>投标文件出现不是唯一的、有选择性投标报价的；</w:t>
            </w:r>
          </w:p>
          <w:p>
            <w:pPr>
              <w:snapToGrid w:val="0"/>
              <w:spacing w:before="0" w:beforeAutospacing="0" w:after="0" w:afterAutospacing="0" w:line="360" w:lineRule="auto"/>
              <w:ind w:left="0" w:right="0" w:firstLine="241" w:firstLineChars="100"/>
              <w:jc w:val="left"/>
              <w:rPr>
                <w:rFonts w:hint="eastAsia" w:ascii="仿宋" w:hAnsi="仿宋" w:eastAsia="仿宋" w:cs="仿宋"/>
                <w:color w:val="auto"/>
                <w:kern w:val="0"/>
                <w:sz w:val="24"/>
                <w:szCs w:val="24"/>
                <w:highlight w:val="none"/>
                <w:lang w:val="zh-CN"/>
              </w:rPr>
            </w:pPr>
            <w:r>
              <w:rPr>
                <w:rFonts w:hint="eastAsia" w:ascii="仿宋" w:hAnsi="仿宋" w:eastAsia="仿宋" w:cs="仿宋"/>
                <w:b/>
                <w:color w:val="auto"/>
                <w:kern w:val="0"/>
                <w:sz w:val="24"/>
                <w:szCs w:val="24"/>
                <w:highlight w:val="none"/>
                <w:lang w:val="zh-CN"/>
              </w:rPr>
              <w:t>投标报价超过招标文件中规定的预算金额或者最高限价的;</w:t>
            </w:r>
          </w:p>
          <w:p>
            <w:pPr>
              <w:spacing w:before="0" w:beforeAutospacing="0" w:after="0" w:afterAutospacing="0" w:line="360" w:lineRule="auto"/>
              <w:ind w:left="0" w:right="0" w:firstLine="241" w:firstLineChars="100"/>
              <w:rPr>
                <w:rFonts w:hint="eastAsia" w:ascii="仿宋" w:hAnsi="仿宋" w:eastAsia="仿宋" w:cs="仿宋"/>
                <w:b/>
                <w:color w:val="auto"/>
                <w:sz w:val="24"/>
                <w:szCs w:val="24"/>
                <w:highlight w:val="none"/>
              </w:rPr>
            </w:pPr>
            <w:r>
              <w:rPr>
                <w:rFonts w:hint="eastAsia" w:ascii="仿宋" w:hAnsi="仿宋" w:eastAsia="仿宋" w:cs="仿宋"/>
                <w:b/>
                <w:color w:val="auto"/>
                <w:kern w:val="0"/>
                <w:sz w:val="24"/>
                <w:szCs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 w:val="24"/>
                <w:szCs w:val="24"/>
                <w:highlight w:val="none"/>
              </w:rPr>
              <w:t>;</w:t>
            </w:r>
          </w:p>
          <w:p>
            <w:pPr>
              <w:spacing w:before="0" w:beforeAutospacing="0" w:after="0" w:afterAutospacing="0" w:line="360" w:lineRule="auto"/>
              <w:ind w:left="0" w:right="0" w:firstLine="241" w:firstLineChars="100"/>
              <w:rPr>
                <w:rFonts w:hint="eastAsia" w:ascii="仿宋" w:hAnsi="仿宋" w:eastAsia="仿宋" w:cs="仿宋"/>
                <w:color w:val="auto"/>
                <w:sz w:val="24"/>
                <w:szCs w:val="24"/>
                <w:highlight w:val="none"/>
              </w:rPr>
            </w:pPr>
            <w:r>
              <w:rPr>
                <w:rFonts w:hint="eastAsia" w:ascii="仿宋" w:hAnsi="仿宋" w:eastAsia="仿宋" w:cs="仿宋"/>
                <w:b/>
                <w:color w:val="auto"/>
                <w:kern w:val="0"/>
                <w:sz w:val="24"/>
                <w:szCs w:val="24"/>
                <w:highlight w:val="none"/>
              </w:rPr>
              <w:t>投标人对根据修正原则修正后的报价不确认的</w:t>
            </w:r>
            <w:r>
              <w:rPr>
                <w:rFonts w:hint="eastAsia" w:ascii="仿宋" w:hAnsi="仿宋" w:eastAsia="仿宋" w:cs="仿宋"/>
                <w:b/>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96"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 A</w:t>
            </w:r>
            <w:r>
              <w:rPr>
                <w:rFonts w:hint="eastAsia" w:ascii="仿宋" w:hAnsi="仿宋" w:eastAsia="仿宋" w:cs="仿宋"/>
                <w:color w:val="auto"/>
                <w:sz w:val="24"/>
                <w:szCs w:val="24"/>
                <w:highlight w:val="none"/>
              </w:rPr>
              <w:t>同意将非主体、非关键性的</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工作分包。</w:t>
            </w:r>
            <w:r>
              <w:rPr>
                <w:rFonts w:hint="eastAsia" w:ascii="仿宋" w:hAnsi="仿宋" w:eastAsia="仿宋" w:cs="仿宋"/>
                <w:color w:val="auto"/>
                <w:kern w:val="0"/>
                <w:sz w:val="24"/>
                <w:szCs w:val="24"/>
                <w:highlight w:val="none"/>
              </w:rPr>
              <w:sym w:font="Wingdings" w:char="F0FE"/>
            </w:r>
            <w:r>
              <w:rPr>
                <w:rFonts w:hint="eastAsia" w:ascii="仿宋" w:hAnsi="仿宋" w:eastAsia="仿宋" w:cs="仿宋"/>
                <w:color w:val="auto"/>
                <w:kern w:val="0"/>
                <w:sz w:val="24"/>
                <w:szCs w:val="24"/>
                <w:highlight w:val="none"/>
              </w:rPr>
              <w:t xml:space="preserve"> B</w:t>
            </w:r>
            <w:r>
              <w:rPr>
                <w:rFonts w:hint="eastAsia" w:ascii="仿宋" w:hAnsi="仿宋" w:eastAsia="仿宋" w:cs="仿宋"/>
                <w:color w:val="auto"/>
                <w:sz w:val="24"/>
                <w:szCs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（1）资格证明文件：见招标文件第二部分11.1。</w:t>
            </w:r>
          </w:p>
          <w:p>
            <w:pPr>
              <w:spacing w:before="0" w:beforeAutospacing="0" w:after="0" w:afterAutospacing="0" w:line="360" w:lineRule="auto"/>
              <w:ind w:left="0" w:right="0"/>
              <w:rPr>
                <w:rFonts w:hint="eastAsia" w:ascii="仿宋" w:hAnsi="仿宋" w:eastAsia="仿宋" w:cs="仿宋"/>
                <w:snapToGrid w:val="0"/>
                <w:color w:val="auto"/>
                <w:kern w:val="0"/>
                <w:sz w:val="24"/>
                <w:szCs w:val="24"/>
                <w:highlight w:val="none"/>
              </w:rPr>
            </w:pPr>
            <w:r>
              <w:rPr>
                <w:rFonts w:hint="eastAsia" w:ascii="仿宋" w:hAnsi="仿宋" w:eastAsia="仿宋" w:cs="仿宋"/>
                <w:color w:val="auto"/>
                <w:kern w:val="0"/>
                <w:sz w:val="24"/>
                <w:szCs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sym w:font="Wingdings" w:char="F0FE"/>
            </w:r>
            <w:r>
              <w:rPr>
                <w:rFonts w:hint="eastAsia" w:ascii="仿宋" w:hAnsi="仿宋" w:eastAsia="仿宋" w:cs="仿宋"/>
                <w:color w:val="auto"/>
                <w:kern w:val="0"/>
                <w:sz w:val="24"/>
                <w:szCs w:val="24"/>
                <w:highlight w:val="none"/>
              </w:rPr>
              <w:t>A</w:t>
            </w:r>
            <w:r>
              <w:rPr>
                <w:rFonts w:hint="eastAsia" w:ascii="仿宋" w:hAnsi="仿宋" w:eastAsia="仿宋" w:cs="仿宋"/>
                <w:color w:val="auto"/>
                <w:sz w:val="24"/>
                <w:szCs w:val="24"/>
                <w:highlight w:val="none"/>
              </w:rPr>
              <w:t>不组织。</w:t>
            </w:r>
          </w:p>
          <w:p>
            <w:pPr>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☐B组织，</w:t>
            </w:r>
            <w:r>
              <w:rPr>
                <w:rFonts w:hint="eastAsia" w:ascii="仿宋" w:hAnsi="仿宋" w:eastAsia="仿宋" w:cs="仿宋"/>
                <w:color w:val="auto"/>
                <w:sz w:val="24"/>
                <w:szCs w:val="24"/>
                <w:highlight w:val="none"/>
              </w:rPr>
              <w:t>时间：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,地点：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，联系人：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，联系方式：</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sym w:font="Wingdings" w:char="F0FE"/>
            </w:r>
            <w:r>
              <w:rPr>
                <w:rFonts w:hint="eastAsia" w:ascii="仿宋" w:hAnsi="仿宋" w:eastAsia="仿宋" w:cs="仿宋"/>
                <w:color w:val="auto"/>
                <w:kern w:val="0"/>
                <w:sz w:val="24"/>
                <w:szCs w:val="24"/>
                <w:highlight w:val="none"/>
              </w:rPr>
              <w:t>A</w:t>
            </w:r>
            <w:r>
              <w:rPr>
                <w:rFonts w:hint="eastAsia" w:ascii="仿宋" w:hAnsi="仿宋" w:eastAsia="仿宋" w:cs="仿宋"/>
                <w:color w:val="auto"/>
                <w:sz w:val="24"/>
                <w:szCs w:val="24"/>
                <w:highlight w:val="none"/>
              </w:rPr>
              <w:t>不要求提供。</w:t>
            </w:r>
          </w:p>
          <w:p>
            <w:pPr>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☐B要求提供，</w:t>
            </w:r>
          </w:p>
          <w:p>
            <w:pPr>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r>
              <w:rPr>
                <w:rFonts w:hint="eastAsia" w:ascii="仿宋" w:hAnsi="仿宋" w:eastAsia="仿宋" w:cs="仿宋"/>
                <w:snapToGrid w:val="0"/>
                <w:color w:val="auto"/>
                <w:kern w:val="28"/>
                <w:sz w:val="24"/>
                <w:szCs w:val="24"/>
                <w:highlight w:val="none"/>
              </w:rPr>
              <w:t>样品：</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w:t>
            </w:r>
          </w:p>
          <w:p>
            <w:pPr>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r>
              <w:rPr>
                <w:rFonts w:hint="eastAsia" w:ascii="仿宋" w:hAnsi="仿宋" w:eastAsia="仿宋" w:cs="仿宋"/>
                <w:snapToGrid w:val="0"/>
                <w:color w:val="auto"/>
                <w:kern w:val="28"/>
                <w:sz w:val="24"/>
                <w:szCs w:val="24"/>
                <w:highlight w:val="none"/>
              </w:rPr>
              <w:t>样品制作的标准和要求：</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w:t>
            </w:r>
          </w:p>
          <w:p>
            <w:pPr>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（3）样品的评审方法以及评审标准</w:t>
            </w:r>
            <w:r>
              <w:rPr>
                <w:rFonts w:hint="eastAsia" w:ascii="仿宋" w:hAnsi="仿宋" w:eastAsia="仿宋" w:cs="仿宋"/>
                <w:snapToGrid w:val="0"/>
                <w:color w:val="auto"/>
                <w:kern w:val="28"/>
                <w:sz w:val="24"/>
                <w:szCs w:val="24"/>
                <w:highlight w:val="none"/>
              </w:rPr>
              <w:t>：详见</w:t>
            </w:r>
            <w:r>
              <w:rPr>
                <w:rFonts w:hint="eastAsia" w:ascii="仿宋" w:hAnsi="仿宋" w:eastAsia="仿宋" w:cs="仿宋"/>
                <w:color w:val="auto"/>
                <w:sz w:val="24"/>
                <w:szCs w:val="24"/>
                <w:highlight w:val="none"/>
                <w:u w:val="single"/>
              </w:rPr>
              <w:t>评标办法</w:t>
            </w:r>
            <w:r>
              <w:rPr>
                <w:rFonts w:hint="eastAsia" w:ascii="仿宋" w:hAnsi="仿宋" w:eastAsia="仿宋" w:cs="仿宋"/>
                <w:color w:val="auto"/>
                <w:kern w:val="0"/>
                <w:sz w:val="24"/>
                <w:szCs w:val="24"/>
                <w:highlight w:val="none"/>
              </w:rPr>
              <w:t>；</w:t>
            </w:r>
          </w:p>
          <w:p>
            <w:pPr>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（4）是否需要随样品提交检测报告：</w:t>
            </w:r>
            <w:r>
              <w:rPr>
                <w:rFonts w:hint="eastAsia" w:ascii="仿宋" w:hAnsi="仿宋" w:eastAsia="仿宋" w:cs="仿宋"/>
                <w:color w:val="auto"/>
                <w:kern w:val="0"/>
                <w:sz w:val="24"/>
                <w:szCs w:val="24"/>
                <w:highlight w:val="none"/>
              </w:rPr>
              <w:sym w:font="Wingdings" w:char="F0FE"/>
            </w:r>
            <w:r>
              <w:rPr>
                <w:rFonts w:hint="eastAsia" w:ascii="仿宋" w:hAnsi="仿宋" w:eastAsia="仿宋" w:cs="仿宋"/>
                <w:color w:val="auto"/>
                <w:kern w:val="0"/>
                <w:sz w:val="24"/>
                <w:szCs w:val="24"/>
                <w:highlight w:val="none"/>
              </w:rPr>
              <w:t>否；☐是，检测机构的要求</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；检测内容</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w:t>
            </w:r>
          </w:p>
          <w:p>
            <w:pPr>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（5）提供样品的时间：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；地点：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；联系人</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kern w:val="28"/>
                <w:sz w:val="24"/>
                <w:szCs w:val="24"/>
                <w:highlight w:val="none"/>
              </w:rPr>
              <w:t>联系电话：</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。请投标人在上述时间内提供样品并按规定位置安装完毕。超过截止时间的，采购人或采购代理机构将不予接收，并将清场并封闭样品现场。</w:t>
            </w:r>
          </w:p>
          <w:p>
            <w:pPr>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）采购活动结束后，未中标投标人的“样品”由投标人在中标公告结束后</w:t>
            </w:r>
            <w:r>
              <w:rPr>
                <w:rFonts w:hint="eastAsia" w:ascii="仿宋" w:hAnsi="仿宋" w:eastAsia="仿宋" w:cs="仿宋"/>
                <w:b/>
                <w:color w:val="auto"/>
                <w:sz w:val="24"/>
                <w:szCs w:val="24"/>
                <w:highlight w:val="none"/>
              </w:rPr>
              <w:t>三个工作日</w:t>
            </w:r>
            <w:r>
              <w:rPr>
                <w:rFonts w:hint="eastAsia" w:ascii="仿宋" w:hAnsi="仿宋" w:eastAsia="仿宋" w:cs="仿宋"/>
                <w:color w:val="auto"/>
                <w:sz w:val="24"/>
                <w:szCs w:val="24"/>
                <w:highlight w:val="none"/>
              </w:rPr>
              <w:t>内从采购人处自行领回，逾期采购人将不予保管；对于中标人提供的样品，采购人将进行保管、封存，并作为履约验收的参考。</w:t>
            </w:r>
          </w:p>
          <w:p>
            <w:pPr>
              <w:spacing w:before="0" w:beforeAutospacing="0" w:after="0" w:afterAutospacing="0" w:line="360" w:lineRule="auto"/>
              <w:ind w:left="0" w:right="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Cs/>
                <w:color w:val="auto"/>
                <w:sz w:val="24"/>
                <w:szCs w:val="24"/>
                <w:highlight w:val="none"/>
              </w:rPr>
            </w:pPr>
            <w:r>
              <w:rPr>
                <w:rFonts w:hint="eastAsia" w:ascii="仿宋" w:hAnsi="仿宋" w:eastAsia="仿宋" w:cs="仿宋"/>
                <w:b/>
                <w:color w:val="auto"/>
                <w:sz w:val="24"/>
                <w:szCs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sym w:font="Wingdings" w:char="F0FE"/>
            </w:r>
            <w:r>
              <w:rPr>
                <w:rFonts w:hint="eastAsia" w:ascii="仿宋" w:hAnsi="仿宋" w:eastAsia="仿宋" w:cs="仿宋"/>
                <w:color w:val="auto"/>
                <w:kern w:val="0"/>
                <w:sz w:val="24"/>
                <w:szCs w:val="24"/>
                <w:highlight w:val="none"/>
              </w:rPr>
              <w:t>A</w:t>
            </w:r>
            <w:r>
              <w:rPr>
                <w:rFonts w:hint="eastAsia" w:ascii="仿宋" w:hAnsi="仿宋" w:eastAsia="仿宋" w:cs="仿宋"/>
                <w:color w:val="auto"/>
                <w:sz w:val="24"/>
                <w:szCs w:val="24"/>
                <w:highlight w:val="none"/>
              </w:rPr>
              <w:t>不组织。</w:t>
            </w:r>
          </w:p>
          <w:p>
            <w:pPr>
              <w:spacing w:before="0" w:beforeAutospacing="0" w:after="0" w:afterAutospacing="0" w:line="360" w:lineRule="auto"/>
              <w:ind w:left="0" w:right="0"/>
              <w:rPr>
                <w:rFonts w:hint="eastAsia" w:ascii="仿宋" w:hAnsi="仿宋" w:eastAsia="仿宋" w:cs="仿宋"/>
                <w:b/>
                <w:color w:val="auto"/>
                <w:kern w:val="0"/>
                <w:sz w:val="24"/>
                <w:szCs w:val="24"/>
                <w:highlight w:val="none"/>
                <w:lang w:val="zh-CN"/>
              </w:rPr>
            </w:pPr>
            <w:r>
              <w:rPr>
                <w:rFonts w:hint="eastAsia" w:ascii="仿宋" w:hAnsi="仿宋" w:eastAsia="仿宋" w:cs="仿宋"/>
                <w:color w:val="auto"/>
                <w:kern w:val="0"/>
                <w:sz w:val="24"/>
                <w:szCs w:val="24"/>
                <w:highlight w:val="none"/>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sym w:font="Wingdings" w:char="F0FE"/>
            </w:r>
            <w:r>
              <w:rPr>
                <w:rFonts w:hint="eastAsia" w:ascii="仿宋" w:hAnsi="仿宋" w:eastAsia="仿宋" w:cs="仿宋"/>
                <w:color w:val="auto"/>
                <w:kern w:val="0"/>
                <w:sz w:val="24"/>
                <w:szCs w:val="24"/>
                <w:highlight w:val="none"/>
              </w:rPr>
              <w:t>本项目不允许采购进口产品。</w:t>
            </w:r>
          </w:p>
          <w:p>
            <w:pPr>
              <w:spacing w:before="0" w:beforeAutospacing="0" w:after="0" w:afterAutospacing="0" w:line="360" w:lineRule="auto"/>
              <w:ind w:left="0" w:right="0"/>
              <w:rPr>
                <w:rFonts w:hint="eastAsia" w:ascii="仿宋" w:hAnsi="仿宋" w:eastAsia="仿宋" w:cs="仿宋"/>
                <w:b w:val="0"/>
                <w:bCs w:val="0"/>
                <w:color w:val="auto"/>
                <w:sz w:val="24"/>
                <w:szCs w:val="24"/>
                <w:highlight w:val="none"/>
              </w:rPr>
            </w:pPr>
            <w:r>
              <w:rPr>
                <w:rFonts w:hint="eastAsia" w:ascii="仿宋" w:hAnsi="仿宋" w:eastAsia="仿宋" w:cs="仿宋"/>
                <w:color w:val="auto"/>
                <w:kern w:val="0"/>
                <w:sz w:val="24"/>
                <w:szCs w:val="24"/>
                <w:highlight w:val="none"/>
              </w:rPr>
              <w:t>☐可以就</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sym w:font="Wingdings" w:char="00A8"/>
            </w:r>
            <w:r>
              <w:rPr>
                <w:rFonts w:hint="eastAsia" w:ascii="仿宋" w:hAnsi="仿宋" w:eastAsia="仿宋" w:cs="仿宋"/>
                <w:color w:val="auto"/>
                <w:kern w:val="0"/>
                <w:sz w:val="24"/>
                <w:szCs w:val="24"/>
                <w:highlight w:val="none"/>
              </w:rPr>
              <w:t>A</w:t>
            </w:r>
            <w:r>
              <w:rPr>
                <w:rFonts w:hint="eastAsia" w:ascii="仿宋" w:hAnsi="仿宋" w:eastAsia="仿宋" w:cs="仿宋"/>
                <w:color w:val="auto"/>
                <w:sz w:val="24"/>
                <w:szCs w:val="24"/>
                <w:highlight w:val="none"/>
              </w:rPr>
              <w:t>货物类，单一产品或</w:t>
            </w:r>
            <w:r>
              <w:rPr>
                <w:rFonts w:hint="eastAsia" w:ascii="仿宋" w:hAnsi="仿宋" w:eastAsia="仿宋" w:cs="仿宋"/>
                <w:color w:val="auto"/>
                <w:kern w:val="0"/>
                <w:sz w:val="24"/>
                <w:szCs w:val="24"/>
                <w:highlight w:val="none"/>
              </w:rPr>
              <w:t>核心产品为：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sym w:font="Wingdings" w:char="00FE"/>
            </w:r>
            <w:r>
              <w:rPr>
                <w:rFonts w:hint="eastAsia" w:ascii="仿宋" w:hAnsi="仿宋" w:eastAsia="仿宋" w:cs="仿宋"/>
                <w:color w:val="auto"/>
                <w:kern w:val="0"/>
                <w:sz w:val="24"/>
                <w:szCs w:val="24"/>
                <w:highlight w:val="none"/>
              </w:rPr>
              <w:t>B</w:t>
            </w:r>
            <w:r>
              <w:rPr>
                <w:rFonts w:hint="eastAsia" w:ascii="仿宋" w:hAnsi="仿宋" w:eastAsia="仿宋" w:cs="仿宋"/>
                <w:color w:val="auto"/>
                <w:sz w:val="24"/>
                <w:szCs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rPr>
                <w:rFonts w:hint="eastAsia" w:ascii="仿宋" w:hAnsi="仿宋" w:eastAsia="仿宋" w:cs="仿宋"/>
                <w:color w:val="auto"/>
                <w:sz w:val="24"/>
                <w:szCs w:val="24"/>
                <w:highlight w:val="none"/>
                <w:lang w:val="en-US"/>
              </w:rPr>
            </w:pPr>
            <w:r>
              <w:rPr>
                <w:rFonts w:hint="eastAsia" w:ascii="仿宋" w:hAnsi="仿宋" w:eastAsia="仿宋" w:cs="仿宋"/>
                <w:color w:val="auto"/>
                <w:kern w:val="0"/>
                <w:sz w:val="24"/>
                <w:szCs w:val="24"/>
                <w:highlight w:val="none"/>
              </w:rPr>
              <w:t>（1）标的：</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lang w:eastAsia="zh-CN"/>
              </w:rPr>
              <w:t>临平区单元控制性详细规划编制服务采购项目</w:t>
            </w:r>
            <w:r>
              <w:rPr>
                <w:rFonts w:hint="eastAsia" w:ascii="仿宋" w:hAnsi="仿宋" w:eastAsia="仿宋" w:cs="仿宋"/>
                <w:color w:val="auto"/>
                <w:kern w:val="0"/>
                <w:sz w:val="24"/>
                <w:szCs w:val="24"/>
                <w:highlight w:val="none"/>
              </w:rPr>
              <w:t>，属于</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lang w:val="en-US" w:eastAsia="zh-CN"/>
              </w:rPr>
              <w:t>其他未列明行业</w:t>
            </w:r>
            <w:r>
              <w:rPr>
                <w:rFonts w:hint="eastAsia" w:ascii="仿宋" w:hAnsi="仿宋" w:eastAsia="仿宋" w:cs="仿宋"/>
                <w:color w:val="auto"/>
                <w:kern w:val="0"/>
                <w:sz w:val="24"/>
                <w:szCs w:val="24"/>
                <w:highlight w:val="none"/>
                <w:lang w:val="en-US"/>
              </w:rPr>
              <w:t>；具体详见《中小企业划型标准规定》。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firstLine="480" w:firstLineChars="200"/>
              <w:rPr>
                <w:rFonts w:hint="eastAsia" w:ascii="仿宋" w:hAnsi="仿宋" w:eastAsia="仿宋" w:cs="仿宋"/>
                <w:color w:val="auto"/>
                <w:sz w:val="24"/>
                <w:szCs w:val="24"/>
                <w:highlight w:val="none"/>
              </w:rPr>
            </w:pPr>
            <w:r>
              <w:rPr>
                <w:rFonts w:hint="eastAsia" w:ascii="仿宋" w:hAnsi="仿宋" w:eastAsia="仿宋" w:cs="仿宋"/>
                <w:snapToGrid w:val="0"/>
                <w:color w:val="auto"/>
                <w:kern w:val="28"/>
                <w:sz w:val="24"/>
                <w:szCs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top"/>
          </w:tcPr>
          <w:p>
            <w:pPr>
              <w:spacing w:before="0" w:beforeAutospacing="0" w:after="0" w:afterAutospacing="0" w:line="360" w:lineRule="auto"/>
              <w:ind w:left="0" w:right="0" w:firstLine="480" w:firstLineChars="200"/>
              <w:rPr>
                <w:rFonts w:hint="eastAsia" w:ascii="仿宋" w:hAnsi="仿宋" w:eastAsia="仿宋" w:cs="仿宋"/>
                <w:color w:val="auto"/>
                <w:sz w:val="24"/>
                <w:szCs w:val="24"/>
                <w:highlight w:val="none"/>
              </w:rPr>
            </w:pPr>
          </w:p>
        </w:tc>
        <w:tc>
          <w:tcPr>
            <w:tcW w:w="1843" w:type="dxa"/>
            <w:vMerge w:val="continue"/>
            <w:tcBorders>
              <w:left w:val="single" w:color="000000" w:sz="2" w:space="0"/>
              <w:right w:val="single" w:color="000000" w:sz="8" w:space="0"/>
            </w:tcBorders>
            <w:vAlign w:val="center"/>
          </w:tcPr>
          <w:p>
            <w:pPr>
              <w:spacing w:before="0" w:beforeAutospacing="0" w:after="0" w:afterAutospacing="0" w:line="360" w:lineRule="auto"/>
              <w:ind w:left="0" w:right="0" w:firstLine="480" w:firstLineChars="200"/>
              <w:rPr>
                <w:rFonts w:hint="eastAsia" w:ascii="仿宋" w:hAnsi="仿宋" w:eastAsia="仿宋" w:cs="仿宋"/>
                <w:color w:val="auto"/>
                <w:sz w:val="24"/>
                <w:szCs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firstLine="480" w:firstLineChars="200"/>
              <w:rPr>
                <w:rFonts w:hint="eastAsia" w:ascii="仿宋" w:hAnsi="仿宋" w:eastAsia="仿宋" w:cs="仿宋"/>
                <w:snapToGrid w:val="0"/>
                <w:color w:val="auto"/>
                <w:kern w:val="28"/>
                <w:sz w:val="24"/>
                <w:szCs w:val="24"/>
                <w:highlight w:val="none"/>
              </w:rPr>
            </w:pPr>
            <w:r>
              <w:rPr>
                <w:rFonts w:hint="eastAsia" w:ascii="仿宋" w:hAnsi="仿宋" w:eastAsia="仿宋" w:cs="仿宋"/>
                <w:snapToGrid w:val="0"/>
                <w:color w:val="auto"/>
                <w:kern w:val="28"/>
                <w:sz w:val="24"/>
                <w:szCs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669"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w:t>
            </w:r>
          </w:p>
        </w:tc>
        <w:tc>
          <w:tcPr>
            <w:tcW w:w="1843" w:type="dxa"/>
            <w:tcBorders>
              <w:top w:val="single" w:color="000000" w:sz="8" w:space="0"/>
              <w:left w:val="single" w:color="000000" w:sz="2" w:space="0"/>
              <w:bottom w:val="single" w:color="auto" w:sz="4"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备份投标文件送达</w:t>
            </w:r>
          </w:p>
        </w:tc>
        <w:tc>
          <w:tcPr>
            <w:tcW w:w="6095" w:type="dxa"/>
            <w:tcBorders>
              <w:top w:val="single" w:color="000000" w:sz="8" w:space="0"/>
              <w:left w:val="single" w:color="000000" w:sz="2" w:space="0"/>
              <w:bottom w:val="single" w:color="auto" w:sz="4" w:space="0"/>
              <w:right w:val="single" w:color="000000" w:sz="8" w:space="0"/>
            </w:tcBorders>
            <w:vAlign w:val="center"/>
          </w:tcPr>
          <w:p>
            <w:pPr>
              <w:pStyle w:val="33"/>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kern w:val="28"/>
                <w:sz w:val="24"/>
                <w:szCs w:val="24"/>
                <w:highlight w:val="none"/>
              </w:rPr>
              <w:t>备份投标文件送达地点：</w:t>
            </w:r>
            <w:r>
              <w:rPr>
                <w:rFonts w:hint="eastAsia" w:ascii="仿宋" w:hAnsi="仿宋" w:eastAsia="仿宋" w:cs="仿宋"/>
                <w:color w:val="auto"/>
                <w:kern w:val="28"/>
                <w:sz w:val="24"/>
                <w:szCs w:val="24"/>
                <w:highlight w:val="none"/>
                <w:lang w:eastAsia="zh-CN"/>
              </w:rPr>
              <w:t>浙江省杭州市临平区东湖北路488-1号29幢3楼</w:t>
            </w:r>
            <w:r>
              <w:rPr>
                <w:rFonts w:hint="eastAsia" w:ascii="仿宋" w:hAnsi="仿宋" w:eastAsia="仿宋" w:cs="仿宋"/>
                <w:color w:val="auto"/>
                <w:kern w:val="28"/>
                <w:sz w:val="24"/>
                <w:szCs w:val="24"/>
                <w:highlight w:val="none"/>
              </w:rPr>
              <w:t>；备份投标文件签收人员联系电话：</w:t>
            </w:r>
            <w:r>
              <w:rPr>
                <w:rFonts w:hint="eastAsia" w:ascii="仿宋" w:hAnsi="仿宋" w:eastAsia="仿宋" w:cs="仿宋"/>
                <w:color w:val="auto"/>
                <w:sz w:val="24"/>
                <w:szCs w:val="24"/>
                <w:highlight w:val="none"/>
                <w:u w:val="single"/>
                <w:lang w:val="en-US" w:eastAsia="zh-CN"/>
              </w:rPr>
              <w:t>15397053608</w:t>
            </w:r>
            <w:r>
              <w:rPr>
                <w:rFonts w:hint="eastAsia" w:ascii="仿宋" w:hAnsi="仿宋" w:eastAsia="仿宋" w:cs="仿宋"/>
                <w:color w:val="auto"/>
                <w:sz w:val="24"/>
                <w:szCs w:val="24"/>
                <w:highlight w:val="none"/>
              </w:rPr>
              <w:t>。</w:t>
            </w:r>
          </w:p>
          <w:p>
            <w:pPr>
              <w:pStyle w:val="33"/>
              <w:spacing w:before="0" w:beforeAutospacing="0" w:after="0" w:afterAutospacing="0" w:line="360" w:lineRule="auto"/>
              <w:ind w:left="0" w:right="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采购人、采购机构不强制或变相强制投标人提交备份投标文件。</w:t>
            </w:r>
          </w:p>
          <w:p>
            <w:pPr>
              <w:spacing w:before="0" w:beforeAutospacing="0" w:after="0" w:afterAutospacing="0" w:line="360" w:lineRule="auto"/>
              <w:ind w:left="0" w:right="0"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投标人递交以介质存储的数据电文形式的备份投标文件出现下列情况之一的，将被拒收：</w:t>
            </w:r>
          </w:p>
          <w:p>
            <w:pPr>
              <w:spacing w:before="0" w:beforeAutospacing="0" w:after="0" w:afterAutospacing="0" w:line="360" w:lineRule="auto"/>
              <w:ind w:left="0" w:right="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1、未按规定密封或标记的投标文件；</w:t>
            </w:r>
          </w:p>
          <w:p>
            <w:pPr>
              <w:spacing w:before="0" w:beforeAutospacing="0" w:after="0" w:afterAutospacing="0" w:line="360" w:lineRule="auto"/>
              <w:ind w:left="0" w:right="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2、由于包装不妥，在送交途中严重破损或失散的；</w:t>
            </w:r>
          </w:p>
          <w:p>
            <w:pPr>
              <w:spacing w:before="0" w:beforeAutospacing="0" w:after="0" w:afterAutospacing="0" w:line="360" w:lineRule="auto"/>
              <w:ind w:left="0" w:right="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3、未成功</w:t>
            </w:r>
            <w:r>
              <w:rPr>
                <w:rFonts w:hint="eastAsia" w:ascii="仿宋" w:hAnsi="仿宋" w:eastAsia="仿宋" w:cs="仿宋"/>
                <w:b/>
                <w:color w:val="auto"/>
                <w:sz w:val="24"/>
                <w:szCs w:val="24"/>
                <w:highlight w:val="none"/>
                <w:lang w:eastAsia="zh-CN"/>
              </w:rPr>
              <w:t>获取招标文件</w:t>
            </w:r>
            <w:r>
              <w:rPr>
                <w:rFonts w:hint="eastAsia" w:ascii="仿宋" w:hAnsi="仿宋" w:eastAsia="仿宋" w:cs="仿宋"/>
                <w:b/>
                <w:color w:val="auto"/>
                <w:sz w:val="24"/>
                <w:szCs w:val="24"/>
                <w:highlight w:val="none"/>
              </w:rPr>
              <w:t>的；</w:t>
            </w:r>
          </w:p>
          <w:p>
            <w:pPr>
              <w:spacing w:before="0" w:beforeAutospacing="0" w:after="0" w:afterAutospacing="0" w:line="360" w:lineRule="auto"/>
              <w:ind w:left="0" w:right="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4、超过投标截止时间送达的；</w:t>
            </w:r>
          </w:p>
          <w:p>
            <w:pPr>
              <w:spacing w:before="0" w:beforeAutospacing="0" w:after="0" w:afterAutospacing="0" w:line="360" w:lineRule="auto"/>
              <w:ind w:left="0" w:right="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5、以介质存储的数据电文形式的备份投标文件，未采用DVD光盘形式提供的。</w:t>
            </w:r>
          </w:p>
          <w:p>
            <w:pPr>
              <w:pStyle w:val="33"/>
              <w:spacing w:before="0" w:beforeAutospacing="0" w:after="0" w:afterAutospacing="0" w:line="360" w:lineRule="auto"/>
              <w:ind w:left="0" w:right="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注：仅提供备份投标文件的，投标无效。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5" w:hRule="atLeast"/>
          <w:tblHeader/>
        </w:trPr>
        <w:tc>
          <w:tcPr>
            <w:tcW w:w="629" w:type="dxa"/>
            <w:vMerge w:val="restart"/>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特别说明</w:t>
            </w:r>
          </w:p>
        </w:tc>
        <w:tc>
          <w:tcPr>
            <w:tcW w:w="609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rPr>
                <w:rFonts w:hint="eastAsia" w:ascii="仿宋" w:hAnsi="仿宋" w:eastAsia="仿宋" w:cs="仿宋"/>
                <w:snapToGrid w:val="0"/>
                <w:color w:val="auto"/>
                <w:kern w:val="28"/>
                <w:sz w:val="24"/>
                <w:szCs w:val="24"/>
                <w:highlight w:val="none"/>
              </w:rPr>
            </w:pPr>
            <w:r>
              <w:rPr>
                <w:rFonts w:hint="eastAsia" w:ascii="仿宋" w:hAnsi="仿宋" w:eastAsia="仿宋" w:cs="仿宋"/>
                <w:snapToGrid w:val="0"/>
                <w:color w:val="auto"/>
                <w:kern w:val="28"/>
                <w:sz w:val="24"/>
                <w:szCs w:val="24"/>
                <w:highlight w:val="none"/>
              </w:rPr>
              <w:t>联合体投标的或者以分包方式履行合同的，联合体各方（供应商与分包供应商）分别提供与联合体协议（分包意向协议）中规定的分工内容相应的业绩证明材料，业绩数量以提供材料较少的一方为准</w:t>
            </w:r>
            <w:r>
              <w:rPr>
                <w:rFonts w:hint="eastAsia" w:ascii="仿宋" w:hAnsi="仿宋" w:eastAsia="仿宋" w:cs="仿宋"/>
                <w:b/>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5" w:hRule="atLeast"/>
          <w:tblHeader/>
        </w:trPr>
        <w:tc>
          <w:tcPr>
            <w:tcW w:w="629" w:type="dxa"/>
            <w:vMerge w:val="continue"/>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4"/>
                <w:highlight w:val="none"/>
              </w:rPr>
            </w:pPr>
          </w:p>
        </w:tc>
        <w:tc>
          <w:tcPr>
            <w:tcW w:w="609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rPr>
                <w:rFonts w:hint="eastAsia" w:ascii="仿宋" w:hAnsi="仿宋" w:eastAsia="仿宋" w:cs="仿宋"/>
                <w:snapToGrid w:val="0"/>
                <w:color w:val="auto"/>
                <w:kern w:val="28"/>
                <w:sz w:val="24"/>
                <w:szCs w:val="24"/>
                <w:highlight w:val="none"/>
              </w:rPr>
            </w:pPr>
            <w:r>
              <w:rPr>
                <w:rFonts w:hint="eastAsia" w:ascii="仿宋" w:hAnsi="仿宋" w:eastAsia="仿宋" w:cs="仿宋"/>
                <w:color w:val="auto"/>
                <w:kern w:val="0"/>
                <w:sz w:val="24"/>
                <w:szCs w:val="24"/>
                <w:highlight w:val="none"/>
              </w:rPr>
              <w:t>☐</w:t>
            </w:r>
            <w:r>
              <w:rPr>
                <w:rFonts w:hint="eastAsia" w:ascii="仿宋" w:hAnsi="仿宋" w:eastAsia="仿宋" w:cs="仿宋"/>
                <w:snapToGrid w:val="0"/>
                <w:color w:val="auto"/>
                <w:kern w:val="28"/>
                <w:sz w:val="24"/>
                <w:szCs w:val="24"/>
                <w:highlight w:val="none"/>
              </w:rPr>
              <w:t>联合体投标的，联合体各方均需按招标文件第四部分评标标准要求提供资信证明文件，否则视为不符合要求。</w:t>
            </w:r>
          </w:p>
          <w:p>
            <w:pPr>
              <w:spacing w:before="0" w:beforeAutospacing="0" w:after="0" w:afterAutospacing="0" w:line="360" w:lineRule="auto"/>
              <w:ind w:left="0" w:right="0"/>
              <w:rPr>
                <w:rFonts w:hint="eastAsia" w:ascii="仿宋" w:hAnsi="仿宋" w:eastAsia="仿宋" w:cs="仿宋"/>
                <w:snapToGrid w:val="0"/>
                <w:color w:val="auto"/>
                <w:kern w:val="28"/>
                <w:sz w:val="24"/>
                <w:szCs w:val="24"/>
                <w:highlight w:val="none"/>
              </w:rPr>
            </w:pPr>
            <w:r>
              <w:rPr>
                <w:rFonts w:hint="eastAsia" w:ascii="仿宋" w:hAnsi="仿宋" w:eastAsia="仿宋" w:cs="仿宋"/>
                <w:color w:val="auto"/>
                <w:kern w:val="0"/>
                <w:sz w:val="24"/>
                <w:szCs w:val="24"/>
                <w:highlight w:val="none"/>
              </w:rPr>
              <w:sym w:font="Wingdings" w:char="00FE"/>
            </w:r>
            <w:r>
              <w:rPr>
                <w:rFonts w:hint="eastAsia" w:ascii="仿宋" w:hAnsi="仿宋" w:eastAsia="仿宋" w:cs="仿宋"/>
                <w:snapToGrid w:val="0"/>
                <w:color w:val="auto"/>
                <w:kern w:val="28"/>
                <w:sz w:val="24"/>
                <w:szCs w:val="24"/>
                <w:highlight w:val="none"/>
              </w:rPr>
              <w:t>联合体投标的，联合体中有一方或者联合体成员根据分工按招标文件第四部分评标标准要求提供资信证明文件的，</w:t>
            </w:r>
            <w:r>
              <w:rPr>
                <w:rFonts w:hint="eastAsia" w:ascii="仿宋" w:hAnsi="仿宋" w:eastAsia="仿宋" w:cs="仿宋"/>
                <w:snapToGrid w:val="0"/>
                <w:color w:val="auto"/>
                <w:kern w:val="28"/>
                <w:sz w:val="24"/>
                <w:szCs w:val="24"/>
                <w:highlight w:val="none"/>
                <w:lang w:val="en-US" w:eastAsia="zh-CN"/>
              </w:rPr>
              <w:t>否则</w:t>
            </w:r>
            <w:r>
              <w:rPr>
                <w:rFonts w:hint="eastAsia" w:ascii="仿宋" w:hAnsi="仿宋" w:eastAsia="仿宋" w:cs="仿宋"/>
                <w:snapToGrid w:val="0"/>
                <w:color w:val="auto"/>
                <w:kern w:val="28"/>
                <w:sz w:val="24"/>
                <w:szCs w:val="24"/>
                <w:highlight w:val="none"/>
              </w:rPr>
              <w:t>视为不符合要求。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14</w:t>
            </w:r>
          </w:p>
        </w:tc>
        <w:tc>
          <w:tcPr>
            <w:tcW w:w="7938" w:type="dxa"/>
            <w:gridSpan w:val="2"/>
            <w:tcBorders>
              <w:top w:val="single" w:color="auto" w:sz="4" w:space="0"/>
              <w:left w:val="single" w:color="auto" w:sz="4" w:space="0"/>
              <w:bottom w:val="single" w:color="auto" w:sz="4" w:space="0"/>
              <w:right w:val="single" w:color="auto" w:sz="4" w:space="0"/>
            </w:tcBorders>
            <w:vAlign w:val="center"/>
          </w:tcPr>
          <w:p>
            <w:pPr>
              <w:pStyle w:val="87"/>
              <w:widowControl w:val="0"/>
              <w:wordWrap/>
              <w:adjustRightInd w:val="0"/>
              <w:snapToGrid w:val="0"/>
              <w:spacing w:beforeAutospacing="0" w:after="0" w:afterAutospacing="0" w:line="360" w:lineRule="auto"/>
              <w:ind w:left="241" w:right="0" w:hanging="243" w:hangingChars="101"/>
              <w:textAlignment w:val="auto"/>
              <w:rPr>
                <w:rFonts w:hint="eastAsia" w:ascii="仿宋" w:hAnsi="仿宋" w:eastAsia="仿宋" w:cs="仿宋"/>
                <w:b/>
                <w:bCs/>
                <w:snapToGrid w:val="0"/>
                <w:color w:val="auto"/>
                <w:kern w:val="28"/>
                <w:sz w:val="24"/>
                <w:szCs w:val="24"/>
                <w:highlight w:val="none"/>
                <w:lang w:val="en-US" w:eastAsia="zh-CN"/>
              </w:rPr>
            </w:pPr>
            <w:r>
              <w:rPr>
                <w:rFonts w:hint="eastAsia" w:ascii="仿宋" w:hAnsi="仿宋" w:eastAsia="仿宋" w:cs="仿宋"/>
                <w:b/>
                <w:bCs/>
                <w:snapToGrid w:val="0"/>
                <w:color w:val="auto"/>
                <w:kern w:val="28"/>
                <w:sz w:val="24"/>
                <w:szCs w:val="24"/>
                <w:highlight w:val="none"/>
                <w:lang w:val="en-US" w:eastAsia="zh-CN"/>
              </w:rPr>
              <w:t>中标单位需在领取中标通知书时，提供本项目纸质投标文件（资格文件”、“报价文件”和“商务技术文件”）四份（正本一份，副本三份）。</w:t>
            </w:r>
          </w:p>
          <w:p>
            <w:pPr>
              <w:pStyle w:val="87"/>
              <w:widowControl w:val="0"/>
              <w:wordWrap/>
              <w:adjustRightInd w:val="0"/>
              <w:snapToGrid w:val="0"/>
              <w:spacing w:beforeAutospacing="0" w:after="0" w:afterAutospacing="0" w:line="360" w:lineRule="auto"/>
              <w:ind w:left="241" w:right="0" w:hanging="243" w:hangingChars="101"/>
              <w:textAlignment w:val="auto"/>
              <w:rPr>
                <w:rFonts w:hint="eastAsia" w:ascii="仿宋" w:hAnsi="仿宋" w:eastAsia="仿宋" w:cs="仿宋"/>
                <w:b/>
                <w:color w:val="auto"/>
                <w:kern w:val="2"/>
                <w:sz w:val="24"/>
                <w:szCs w:val="24"/>
                <w:highlight w:val="none"/>
                <w:lang w:val="en-US" w:eastAsia="zh-CN" w:bidi="ar-SA"/>
              </w:rPr>
            </w:pPr>
            <w:r>
              <w:rPr>
                <w:rFonts w:hint="eastAsia" w:ascii="仿宋" w:hAnsi="仿宋" w:eastAsia="仿宋" w:cs="仿宋"/>
                <w:b/>
                <w:bCs/>
                <w:color w:val="auto"/>
                <w:sz w:val="24"/>
                <w:szCs w:val="24"/>
                <w:highlight w:val="none"/>
              </w:rPr>
              <w:t>招标服务费：</w:t>
            </w:r>
            <w:r>
              <w:rPr>
                <w:rFonts w:hint="eastAsia" w:ascii="仿宋" w:hAnsi="仿宋" w:eastAsia="仿宋" w:cs="仿宋"/>
                <w:b/>
                <w:color w:val="auto"/>
                <w:kern w:val="2"/>
                <w:sz w:val="24"/>
                <w:szCs w:val="24"/>
                <w:highlight w:val="none"/>
                <w:lang w:val="en-US" w:eastAsia="zh-CN" w:bidi="ar-SA"/>
              </w:rPr>
              <w:t>中标人在领取中标通知书前需向招标代理招标代理服务费，费</w:t>
            </w:r>
          </w:p>
          <w:p>
            <w:pPr>
              <w:pStyle w:val="87"/>
              <w:widowControl w:val="0"/>
              <w:wordWrap/>
              <w:adjustRightInd w:val="0"/>
              <w:snapToGrid w:val="0"/>
              <w:spacing w:beforeAutospacing="0" w:after="0" w:afterAutospacing="0" w:line="360" w:lineRule="auto"/>
              <w:ind w:left="241" w:right="0" w:hanging="243" w:hangingChars="101"/>
              <w:textAlignment w:val="auto"/>
              <w:rPr>
                <w:rFonts w:hint="eastAsia" w:ascii="仿宋" w:hAnsi="仿宋" w:eastAsia="仿宋" w:cs="仿宋"/>
                <w:b/>
                <w:color w:val="auto"/>
                <w:kern w:val="2"/>
                <w:sz w:val="24"/>
                <w:szCs w:val="24"/>
                <w:highlight w:val="none"/>
                <w:lang w:val="en-US" w:eastAsia="zh-CN" w:bidi="ar-SA"/>
              </w:rPr>
            </w:pPr>
            <w:r>
              <w:rPr>
                <w:rFonts w:hint="eastAsia" w:ascii="仿宋" w:hAnsi="仿宋" w:eastAsia="仿宋" w:cs="仿宋"/>
                <w:b/>
                <w:color w:val="auto"/>
                <w:kern w:val="2"/>
                <w:sz w:val="24"/>
                <w:szCs w:val="24"/>
                <w:highlight w:val="none"/>
                <w:lang w:val="en-US" w:eastAsia="zh-CN" w:bidi="ar-SA"/>
              </w:rPr>
              <w:t>用包含在总报价中，不单独列项报价，其中标项一招标代理服务费</w:t>
            </w:r>
            <w:r>
              <w:rPr>
                <w:rFonts w:hint="eastAsia" w:ascii="仿宋" w:hAnsi="仿宋" w:eastAsia="仿宋" w:cs="仿宋"/>
                <w:b/>
                <w:color w:val="auto"/>
                <w:sz w:val="24"/>
                <w:szCs w:val="24"/>
                <w:highlight w:val="none"/>
                <w:lang w:val="en-US" w:eastAsia="zh-CN"/>
              </w:rPr>
              <w:t xml:space="preserve">       27680</w:t>
            </w:r>
            <w:r>
              <w:rPr>
                <w:rFonts w:hint="eastAsia" w:ascii="仿宋" w:hAnsi="仿宋" w:eastAsia="仿宋" w:cs="仿宋"/>
                <w:b/>
                <w:color w:val="auto"/>
                <w:kern w:val="2"/>
                <w:sz w:val="24"/>
                <w:szCs w:val="24"/>
                <w:highlight w:val="none"/>
                <w:lang w:val="en-US" w:eastAsia="zh-CN" w:bidi="ar-SA"/>
              </w:rPr>
              <w:t>元，标项二招标代理服务费23520元，标项三招标代理服务费19760元。</w:t>
            </w:r>
          </w:p>
          <w:p>
            <w:pPr>
              <w:pStyle w:val="87"/>
              <w:widowControl w:val="0"/>
              <w:wordWrap/>
              <w:adjustRightInd w:val="0"/>
              <w:snapToGrid w:val="0"/>
              <w:spacing w:beforeAutospacing="0" w:after="0" w:afterAutospacing="0" w:line="360" w:lineRule="auto"/>
              <w:ind w:left="241" w:right="0" w:hanging="242" w:hangingChars="101"/>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中标服务费的交纳方式：以转帐或支票的形式支付，开户名：杭州益嘉工程咨询代理有限公司；开户行名称：杭州银行临平支行 帐号：3301040160016011853</w:t>
            </w:r>
          </w:p>
          <w:p>
            <w:pPr>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中标单位需在领取中标通知书时缴纳中标服务费，缴纳时注明招标编号。</w:t>
            </w:r>
          </w:p>
        </w:tc>
      </w:tr>
    </w:tbl>
    <w:p>
      <w:pPr>
        <w:snapToGrid w:val="0"/>
        <w:spacing w:line="360" w:lineRule="auto"/>
        <w:jc w:val="center"/>
        <w:rPr>
          <w:rFonts w:hint="eastAsia" w:ascii="仿宋" w:hAnsi="仿宋" w:eastAsia="仿宋" w:cs="仿宋"/>
          <w:b/>
          <w:color w:val="auto"/>
          <w:sz w:val="32"/>
          <w:szCs w:val="20"/>
          <w:highlight w:val="none"/>
        </w:rPr>
      </w:pPr>
    </w:p>
    <w:bookmarkEnd w:id="10"/>
    <w:p>
      <w:pPr>
        <w:rPr>
          <w:rFonts w:hint="eastAsia" w:ascii="仿宋" w:hAnsi="仿宋" w:eastAsia="仿宋" w:cs="仿宋"/>
          <w:b/>
          <w:color w:val="auto"/>
          <w:sz w:val="32"/>
          <w:szCs w:val="20"/>
          <w:highlight w:val="none"/>
        </w:rPr>
      </w:pPr>
      <w:bookmarkStart w:id="11" w:name="第三部分"/>
      <w:bookmarkStart w:id="12" w:name="_Toc164416483"/>
      <w:r>
        <w:rPr>
          <w:rFonts w:hint="eastAsia" w:ascii="仿宋" w:hAnsi="仿宋" w:eastAsia="仿宋" w:cs="仿宋"/>
          <w:b/>
          <w:color w:val="auto"/>
          <w:sz w:val="32"/>
          <w:szCs w:val="20"/>
          <w:highlight w:val="none"/>
        </w:rPr>
        <w:br w:type="page"/>
      </w:r>
    </w:p>
    <w:p>
      <w:pPr>
        <w:pStyle w:val="5"/>
        <w:rPr>
          <w:rFonts w:hint="eastAsia" w:ascii="仿宋" w:hAnsi="仿宋" w:eastAsia="仿宋" w:cs="仿宋"/>
          <w:color w:val="auto"/>
          <w:highlight w:val="none"/>
        </w:rPr>
      </w:pPr>
    </w:p>
    <w:p>
      <w:pPr>
        <w:adjustRightInd/>
        <w:spacing w:line="360" w:lineRule="auto"/>
        <w:ind w:firstLine="3845" w:firstLineChars="1197"/>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一、总则</w:t>
      </w:r>
    </w:p>
    <w:p>
      <w:pPr>
        <w:snapToGrid w:val="0"/>
        <w:spacing w:line="360" w:lineRule="auto"/>
        <w:ind w:firstLine="361" w:firstLineChars="150"/>
        <w:jc w:val="left"/>
        <w:outlineLvl w:val="1"/>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 适用范围</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   2.定义</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 “采购人”系指招标公告中载明的本项目的采购人。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 “采购机构”系指招标公告中载明的本项目的采购机构。</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 “投标人”系指是指响应招标、参加投标竞争的法人、其他组织或者自然人。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2.6“电子交易平台”是指本项目政府采购活动所依托的政府采购云平台（https://www.zcygov.cn/）。</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2.7 “▲” 系指实质性要求条款，“★”系产品采购项目中单一产品或核心产品，“</w:t>
      </w: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 系指适用本项目的要求，“</w:t>
      </w: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 系指不适用本项目的要求。</w:t>
      </w:r>
    </w:p>
    <w:p>
      <w:pPr>
        <w:spacing w:line="360" w:lineRule="auto"/>
        <w:ind w:firstLine="241" w:firstLineChars="100"/>
        <w:rPr>
          <w:rFonts w:hint="eastAsia"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 xml:space="preserve">  </w:t>
      </w:r>
      <w:r>
        <w:rPr>
          <w:rFonts w:hint="eastAsia" w:ascii="仿宋" w:hAnsi="仿宋" w:eastAsia="仿宋" w:cs="仿宋"/>
          <w:b/>
          <w:color w:val="auto"/>
          <w:sz w:val="24"/>
          <w:highlight w:val="none"/>
        </w:rPr>
        <w:t>3.</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采购项目需要落实的政府采购政策</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优先采购向我国企业转让技术、与我国企业签订消化吸收再创新方案的供应商的进口产品。</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3.2 支持绿色发展</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3.3支持中小企业发展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bCs/>
          <w:color w:val="auto"/>
          <w:sz w:val="24"/>
          <w:highlight w:val="none"/>
        </w:rPr>
        <w:t>3.3.2</w:t>
      </w:r>
      <w:r>
        <w:rPr>
          <w:rFonts w:hint="eastAsia" w:ascii="仿宋" w:hAnsi="仿宋" w:eastAsia="仿宋" w:cs="仿宋"/>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3.3.3对于未预留份额专门面向中小企业的政府采购货物或服务项目，以及预留份额政府采购货物或服务项目中的非预留部分标项，对小型和微型企业的投标报价给予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sz w:val="24"/>
          <w:highlight w:val="none"/>
          <w:lang w:val="en-US" w:eastAsia="zh-CN"/>
        </w:rPr>
        <w:t>20</w:t>
      </w:r>
      <w:r>
        <w:rPr>
          <w:rFonts w:hint="eastAsia" w:ascii="仿宋" w:hAnsi="仿宋" w:eastAsia="仿宋" w:cs="仿宋"/>
          <w:color w:val="auto"/>
          <w:sz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3.4</w:t>
      </w:r>
      <w:r>
        <w:rPr>
          <w:rFonts w:hint="eastAsia" w:ascii="仿宋" w:hAnsi="仿宋" w:eastAsia="仿宋" w:cs="仿宋"/>
          <w:bCs/>
          <w:color w:val="auto"/>
          <w:sz w:val="24"/>
          <w:highlight w:val="none"/>
        </w:rPr>
        <w:t>支持创新发展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3.4.1 采购人优先采购被认定为首台套产品和“制造精品”的自主创新产品。</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仿宋" w:hAnsi="仿宋" w:eastAsia="仿宋" w:cs="仿宋"/>
          <w:b/>
          <w:color w:val="auto"/>
          <w:sz w:val="24"/>
          <w:highlight w:val="none"/>
        </w:rPr>
      </w:pPr>
      <w:r>
        <w:rPr>
          <w:rFonts w:hint="eastAsia" w:ascii="仿宋" w:hAnsi="仿宋" w:eastAsia="仿宋" w:cs="仿宋"/>
          <w:color w:val="auto"/>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仿宋" w:hAnsi="仿宋" w:eastAsia="仿宋" w:cs="仿宋"/>
          <w:color w:val="auto"/>
          <w:sz w:val="24"/>
          <w:highlight w:val="none"/>
        </w:rPr>
        <w:cr/>
      </w:r>
      <w:r>
        <w:rPr>
          <w:rFonts w:hint="eastAsia" w:ascii="仿宋" w:hAnsi="仿宋" w:eastAsia="仿宋" w:cs="仿宋"/>
          <w:b/>
          <w:color w:val="auto"/>
          <w:sz w:val="24"/>
          <w:highlight w:val="none"/>
        </w:rPr>
        <w:t>4. 询问、质疑、投诉</w:t>
      </w:r>
    </w:p>
    <w:p>
      <w:pPr>
        <w:autoSpaceDE w:val="0"/>
        <w:autoSpaceDN w:val="0"/>
        <w:spacing w:line="360" w:lineRule="auto"/>
        <w:ind w:firstLine="240" w:firstLineChars="1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4.1供应商询问</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4.2供应商质疑</w:t>
      </w:r>
    </w:p>
    <w:p>
      <w:pPr>
        <w:pStyle w:val="33"/>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4.2</w:t>
      </w:r>
      <w:r>
        <w:rPr>
          <w:rFonts w:hint="eastAsia" w:ascii="仿宋" w:hAnsi="仿宋" w:eastAsia="仿宋" w:cs="仿宋"/>
          <w:color w:val="auto"/>
          <w:sz w:val="24"/>
          <w:highlight w:val="none"/>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4.2</w:t>
      </w:r>
      <w:r>
        <w:rPr>
          <w:rFonts w:hint="eastAsia" w:ascii="仿宋" w:hAnsi="仿宋" w:eastAsia="仿宋" w:cs="仿宋"/>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7"/>
        <w:spacing w:line="360" w:lineRule="auto"/>
        <w:ind w:firstLine="480" w:firstLineChars="200"/>
        <w:rPr>
          <w:rFonts w:hint="eastAsia" w:ascii="仿宋" w:hAnsi="仿宋" w:eastAsia="仿宋" w:cs="仿宋"/>
          <w:color w:val="auto"/>
          <w:kern w:val="2"/>
          <w:sz w:val="24"/>
          <w:highlight w:val="none"/>
        </w:rPr>
      </w:pPr>
      <w:r>
        <w:rPr>
          <w:rFonts w:hint="eastAsia" w:ascii="仿宋" w:hAnsi="仿宋" w:eastAsia="仿宋" w:cs="仿宋"/>
          <w:color w:val="auto"/>
          <w:kern w:val="2"/>
          <w:sz w:val="24"/>
          <w:highlight w:val="none"/>
        </w:rPr>
        <w:t>4.2.2.1对招标文件提出质疑的，质疑期限为供应商获得招标文件之日或者招标文件公告期限届满之日起计算。</w:t>
      </w:r>
    </w:p>
    <w:p>
      <w:pPr>
        <w:pStyle w:val="33"/>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4.2.2.2对采购过程提出质疑的，质疑期限为各采购程序环节结束之日起计算。对同一采购程序环节的质疑，供应商须一次性提出。</w:t>
      </w:r>
    </w:p>
    <w:p>
      <w:pPr>
        <w:pStyle w:val="33"/>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4.2.2.3对采购结果提出质疑的，质疑期限自采购结果公告期限届满之日起计算。</w:t>
      </w:r>
    </w:p>
    <w:p>
      <w:pPr>
        <w:pStyle w:val="33"/>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w:t>
      </w:r>
      <w:r>
        <w:rPr>
          <w:rFonts w:hint="eastAsia" w:ascii="仿宋" w:hAnsi="仿宋" w:eastAsia="仿宋" w:cs="仿宋"/>
          <w:color w:val="auto"/>
          <w:sz w:val="24"/>
          <w:highlight w:val="none"/>
        </w:rPr>
        <w:t>供应商提出质疑应当提交质疑函和必要的证明材料。质疑函应当包括下列内容：</w:t>
      </w:r>
    </w:p>
    <w:p>
      <w:pPr>
        <w:pStyle w:val="33"/>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4.2.3.1供应商的姓名或者名称、地址、邮编、联系人及联系电话；</w:t>
      </w:r>
    </w:p>
    <w:p>
      <w:pPr>
        <w:pStyle w:val="33"/>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4.2.3.2质疑项目的名称、编号；</w:t>
      </w:r>
    </w:p>
    <w:p>
      <w:pPr>
        <w:pStyle w:val="33"/>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4.2.3.3具体、明确的质疑事项和与质疑事项相关的请求；</w:t>
      </w:r>
    </w:p>
    <w:p>
      <w:pPr>
        <w:pStyle w:val="33"/>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4.2.3.4事实依据；</w:t>
      </w:r>
    </w:p>
    <w:p>
      <w:pPr>
        <w:pStyle w:val="33"/>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4.2.3.5必要的法律依据；</w:t>
      </w:r>
    </w:p>
    <w:p>
      <w:pPr>
        <w:pStyle w:val="33"/>
        <w:spacing w:line="360" w:lineRule="auto"/>
        <w:ind w:firstLine="960" w:firstLineChars="4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4.2.3.6提出质疑的日期。</w:t>
      </w:r>
    </w:p>
    <w:p>
      <w:pPr>
        <w:pStyle w:val="573"/>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73"/>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质疑函范本及制作说明详见附件2。</w:t>
      </w:r>
    </w:p>
    <w:p>
      <w:pPr>
        <w:pStyle w:val="573"/>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lang w:val="zh-CN"/>
        </w:rPr>
        <w:t>4.2</w:t>
      </w:r>
      <w:r>
        <w:rPr>
          <w:rFonts w:hint="eastAsia" w:ascii="仿宋" w:hAnsi="仿宋" w:eastAsia="仿宋" w:cs="仿宋"/>
          <w:color w:val="auto"/>
          <w:highlight w:val="none"/>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3"/>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lang w:val="zh-CN"/>
        </w:rPr>
        <w:t>4.2</w:t>
      </w:r>
      <w:r>
        <w:rPr>
          <w:rFonts w:hint="eastAsia" w:ascii="仿宋" w:hAnsi="仿宋" w:eastAsia="仿宋" w:cs="仿宋"/>
          <w:color w:val="auto"/>
          <w:highlight w:val="none"/>
        </w:rPr>
        <w:t>.5询问或者质疑事项可能影响采购结果的，采购人应当暂停签订合同，已经签订合同的，应当中止履行合同。</w:t>
      </w:r>
    </w:p>
    <w:p>
      <w:pPr>
        <w:pStyle w:val="573"/>
        <w:shd w:val="clear" w:color="auto" w:fill="FFFFFF"/>
        <w:snapToGrid w:val="0"/>
        <w:spacing w:after="240" w:afterAutospacing="0" w:line="360" w:lineRule="auto"/>
        <w:ind w:firstLine="480" w:firstLineChars="200"/>
        <w:contextualSpacing/>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4.3供应商投诉</w:t>
      </w:r>
    </w:p>
    <w:p>
      <w:pPr>
        <w:pStyle w:val="573"/>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4.3.1质疑供应商对采购人、采购机构的答复不满意或者采购人、采购机构未在规定的时间内作出答复的，可以在答复期满后十五个工作日内向同级政府采购监督管理部门提出投诉。</w:t>
      </w:r>
    </w:p>
    <w:p>
      <w:pPr>
        <w:pStyle w:val="573"/>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4.3.</w:t>
      </w:r>
      <w:r>
        <w:rPr>
          <w:rFonts w:hint="eastAsia" w:ascii="仿宋" w:hAnsi="仿宋" w:eastAsia="仿宋" w:cs="仿宋"/>
          <w:color w:val="auto"/>
          <w:highlight w:val="none"/>
          <w:lang w:val="zh-CN"/>
        </w:rPr>
        <w:t>2</w:t>
      </w:r>
      <w:r>
        <w:rPr>
          <w:rFonts w:hint="eastAsia" w:ascii="仿宋" w:hAnsi="仿宋" w:eastAsia="仿宋" w:cs="仿宋"/>
          <w:color w:val="auto"/>
          <w:highlight w:val="none"/>
        </w:rPr>
        <w:t>供应商投诉的事项不得超出已质疑事项的范围，基于质疑答复内容提出的投诉事项除外。</w:t>
      </w:r>
    </w:p>
    <w:p>
      <w:pPr>
        <w:pStyle w:val="573"/>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4.3.3供应商投诉应当有明确的请求和必要的证明材料。</w:t>
      </w:r>
    </w:p>
    <w:p>
      <w:pPr>
        <w:pStyle w:val="573"/>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4.3.</w:t>
      </w:r>
      <w:r>
        <w:rPr>
          <w:rFonts w:hint="eastAsia" w:ascii="仿宋" w:hAnsi="仿宋" w:eastAsia="仿宋" w:cs="仿宋"/>
          <w:color w:val="auto"/>
          <w:highlight w:val="none"/>
          <w:lang w:val="en-US" w:eastAsia="zh-CN"/>
        </w:rPr>
        <w:t>4</w:t>
      </w:r>
      <w:r>
        <w:rPr>
          <w:rFonts w:hint="eastAsia" w:ascii="仿宋" w:hAnsi="仿宋" w:eastAsia="仿宋" w:cs="仿宋"/>
          <w:color w:val="auto"/>
          <w:highlight w:val="none"/>
        </w:rPr>
        <w:t xml:space="preserve"> 以联合体形式参加政府采购活动的，其投诉应当由组成联合体的所有供应商共同提出。</w:t>
      </w:r>
    </w:p>
    <w:p>
      <w:pPr>
        <w:pStyle w:val="573"/>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投诉书范本及制作说明详见附件3。</w:t>
      </w:r>
    </w:p>
    <w:p>
      <w:pPr>
        <w:pStyle w:val="87"/>
        <w:snapToGrid w:val="0"/>
        <w:spacing w:before="0"/>
        <w:ind w:firstLine="360"/>
        <w:rPr>
          <w:rFonts w:hint="eastAsia" w:ascii="仿宋" w:hAnsi="仿宋" w:eastAsia="仿宋" w:cs="仿宋"/>
          <w:color w:val="auto"/>
          <w:sz w:val="18"/>
          <w:szCs w:val="18"/>
          <w:highlight w:val="none"/>
        </w:rPr>
      </w:pPr>
    </w:p>
    <w:p>
      <w:pPr>
        <w:adjustRightInd/>
        <w:spacing w:line="360" w:lineRule="auto"/>
        <w:jc w:val="center"/>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 xml:space="preserve">      二、招标文件的构成、澄清、修改</w:t>
      </w:r>
    </w:p>
    <w:p>
      <w:pPr>
        <w:pStyle w:val="33"/>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5．招标文件的构成</w:t>
      </w:r>
    </w:p>
    <w:p>
      <w:pPr>
        <w:pStyle w:val="33"/>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 招标文件包括下列文件及附件：</w:t>
      </w:r>
    </w:p>
    <w:p>
      <w:pPr>
        <w:pStyle w:val="33"/>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5.1.1招标公告；</w:t>
      </w:r>
    </w:p>
    <w:p>
      <w:pPr>
        <w:pStyle w:val="33"/>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5.1.2投标人须知；</w:t>
      </w:r>
    </w:p>
    <w:p>
      <w:pPr>
        <w:pStyle w:val="33"/>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5.1.3采购需求；</w:t>
      </w:r>
    </w:p>
    <w:p>
      <w:pPr>
        <w:pStyle w:val="33"/>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5.1.4评标办法；</w:t>
      </w:r>
    </w:p>
    <w:p>
      <w:pPr>
        <w:pStyle w:val="33"/>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5.1.5拟签订的合同文本；</w:t>
      </w:r>
    </w:p>
    <w:p>
      <w:pPr>
        <w:pStyle w:val="33"/>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5.1.6</w:t>
      </w:r>
      <w:r>
        <w:rPr>
          <w:rFonts w:hint="eastAsia" w:ascii="仿宋" w:hAnsi="仿宋" w:eastAsia="仿宋" w:cs="仿宋"/>
          <w:color w:val="auto"/>
          <w:sz w:val="24"/>
          <w:szCs w:val="24"/>
          <w:highlight w:val="none"/>
        </w:rPr>
        <w:t>应提交的有关格式范例。</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5.2与本项目有关的</w:t>
      </w:r>
      <w:r>
        <w:rPr>
          <w:rFonts w:hint="eastAsia" w:ascii="仿宋" w:hAnsi="仿宋" w:eastAsia="仿宋" w:cs="仿宋"/>
          <w:bCs/>
          <w:color w:val="auto"/>
          <w:sz w:val="24"/>
          <w:highlight w:val="none"/>
        </w:rPr>
        <w:t>澄清或者修改的内容为招标文件的组成部分</w:t>
      </w:r>
      <w:r>
        <w:rPr>
          <w:rFonts w:hint="eastAsia" w:ascii="仿宋" w:hAnsi="仿宋" w:eastAsia="仿宋" w:cs="仿宋"/>
          <w:color w:val="auto"/>
          <w:sz w:val="24"/>
          <w:highlight w:val="none"/>
        </w:rPr>
        <w:t>。</w:t>
      </w:r>
    </w:p>
    <w:p>
      <w:pPr>
        <w:pStyle w:val="33"/>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6. 招标文件的澄清、修改</w:t>
      </w:r>
    </w:p>
    <w:p>
      <w:pPr>
        <w:pStyle w:val="87"/>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6.1已获取招标文件的潜在投标人，若有问题需要澄清，应于投标截止时间前，以书面形式向采购机构提出。</w:t>
      </w:r>
    </w:p>
    <w:p>
      <w:pPr>
        <w:pStyle w:val="87"/>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rPr>
          <w:rFonts w:hint="eastAsia" w:ascii="仿宋" w:hAnsi="仿宋" w:eastAsia="仿宋" w:cs="仿宋"/>
          <w:color w:val="auto"/>
          <w:sz w:val="18"/>
          <w:szCs w:val="18"/>
          <w:highlight w:val="none"/>
          <w:lang w:val="en-US"/>
        </w:rPr>
      </w:pPr>
      <w:r>
        <w:rPr>
          <w:rFonts w:hint="eastAsia" w:ascii="仿宋" w:hAnsi="仿宋" w:eastAsia="仿宋" w:cs="仿宋"/>
          <w:color w:val="auto"/>
          <w:szCs w:val="24"/>
          <w:highlight w:val="none"/>
          <w:lang w:val="en-US"/>
        </w:rPr>
        <w:t xml:space="preserve">    </w:t>
      </w:r>
    </w:p>
    <w:p>
      <w:pPr>
        <w:adjustRightInd/>
        <w:spacing w:line="360" w:lineRule="auto"/>
        <w:jc w:val="center"/>
        <w:outlineLvl w:val="0"/>
        <w:rPr>
          <w:rFonts w:hint="eastAsia" w:ascii="仿宋" w:hAnsi="仿宋" w:eastAsia="仿宋" w:cs="仿宋"/>
          <w:b/>
          <w:color w:val="auto"/>
          <w:sz w:val="30"/>
          <w:szCs w:val="20"/>
          <w:highlight w:val="none"/>
        </w:rPr>
      </w:pPr>
      <w:r>
        <w:rPr>
          <w:rFonts w:hint="eastAsia" w:ascii="仿宋" w:hAnsi="仿宋" w:eastAsia="仿宋" w:cs="仿宋"/>
          <w:b/>
          <w:color w:val="auto"/>
          <w:sz w:val="30"/>
          <w:szCs w:val="20"/>
          <w:highlight w:val="none"/>
        </w:rPr>
        <w:t>三、投标</w:t>
      </w:r>
    </w:p>
    <w:p>
      <w:pPr>
        <w:pStyle w:val="33"/>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7. 招标文件的获取</w:t>
      </w:r>
    </w:p>
    <w:p>
      <w:pPr>
        <w:spacing w:line="360" w:lineRule="auto"/>
        <w:ind w:firstLine="480" w:firstLineChars="200"/>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详见招标公告中获取招标文件的时间期限、地点、方式及招标文件售价。</w:t>
      </w:r>
    </w:p>
    <w:p>
      <w:pPr>
        <w:pStyle w:val="33"/>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8.开标前答疑会或现场考察</w:t>
      </w:r>
    </w:p>
    <w:p>
      <w:pPr>
        <w:pStyle w:val="33"/>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采购人组织潜在投标人现场考察或者召开开标前答疑会的，潜在投标人按第二部分投标人须知前附表的规定参加现场考察或者开标前答疑会。</w:t>
      </w:r>
    </w:p>
    <w:p>
      <w:pPr>
        <w:pStyle w:val="33"/>
        <w:spacing w:line="360" w:lineRule="auto"/>
        <w:rPr>
          <w:rFonts w:hint="eastAsia" w:ascii="仿宋" w:hAnsi="仿宋" w:eastAsia="仿宋" w:cs="仿宋"/>
          <w:b/>
          <w:color w:val="auto"/>
          <w:szCs w:val="24"/>
          <w:highlight w:val="none"/>
        </w:rPr>
      </w:pPr>
      <w:r>
        <w:rPr>
          <w:rFonts w:hint="eastAsia" w:ascii="仿宋" w:hAnsi="仿宋" w:eastAsia="仿宋" w:cs="仿宋"/>
          <w:b/>
          <w:color w:val="auto"/>
          <w:kern w:val="28"/>
          <w:sz w:val="24"/>
          <w:szCs w:val="24"/>
          <w:highlight w:val="none"/>
        </w:rPr>
        <w:t>9.投标保证金</w:t>
      </w:r>
    </w:p>
    <w:p>
      <w:pPr>
        <w:pStyle w:val="7"/>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本项目不需缴纳投标保证金。</w:t>
      </w:r>
    </w:p>
    <w:p>
      <w:pPr>
        <w:pStyle w:val="33"/>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10. 投标文件的语言</w:t>
      </w:r>
    </w:p>
    <w:p>
      <w:pPr>
        <w:autoSpaceDE w:val="0"/>
        <w:autoSpaceDN w:val="0"/>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投标文件及投标人与采购有关的来往通知、函件和文件均应使用中文。</w:t>
      </w:r>
    </w:p>
    <w:p>
      <w:pPr>
        <w:pStyle w:val="33"/>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 投标文件的组成</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11.1</w:t>
      </w:r>
      <w:r>
        <w:rPr>
          <w:rFonts w:hint="eastAsia" w:ascii="仿宋" w:hAnsi="仿宋" w:eastAsia="仿宋" w:cs="仿宋"/>
          <w:b/>
          <w:color w:val="auto"/>
          <w:sz w:val="24"/>
          <w:highlight w:val="none"/>
        </w:rPr>
        <w:t>资格文件</w:t>
      </w:r>
      <w:r>
        <w:rPr>
          <w:rFonts w:hint="eastAsia" w:ascii="仿宋" w:hAnsi="仿宋" w:eastAsia="仿宋" w:cs="仿宋"/>
          <w:color w:val="auto"/>
          <w:sz w:val="24"/>
          <w:highlight w:val="none"/>
        </w:rPr>
        <w:t>：</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11.1.1符合参加政府采购活动应当具备的一般条件的承诺函；</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11.1.2落实政府采购政策需满足的资格要求（如有)；</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11.1.3本项目的特定资格要求（如有)。</w:t>
      </w:r>
    </w:p>
    <w:p>
      <w:pPr>
        <w:snapToGrid w:val="0"/>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b/>
          <w:bCs/>
          <w:color w:val="auto"/>
          <w:sz w:val="24"/>
          <w:highlight w:val="none"/>
        </w:rPr>
        <w:t>商务技术</w:t>
      </w:r>
      <w:r>
        <w:rPr>
          <w:rFonts w:hint="eastAsia" w:ascii="仿宋" w:hAnsi="仿宋" w:eastAsia="仿宋" w:cs="仿宋"/>
          <w:b/>
          <w:bCs/>
          <w:color w:val="auto"/>
          <w:sz w:val="24"/>
          <w:highlight w:val="none"/>
          <w:lang w:val="zh-CN"/>
        </w:rPr>
        <w:t>文件：</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11.2.1投标函；</w:t>
      </w:r>
      <w:r>
        <w:rPr>
          <w:rFonts w:hint="eastAsia" w:ascii="仿宋" w:hAnsi="仿宋" w:eastAsia="仿宋" w:cs="仿宋"/>
          <w:color w:val="auto"/>
          <w:sz w:val="24"/>
          <w:highlight w:val="none"/>
          <w:lang w:val="zh-CN"/>
        </w:rPr>
        <w:t xml:space="preserve"> </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11.2.2授权委托书或法定代表人（单位负责人、自然人本人）身份证明；</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11.2.3联合协议（如有)；</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11.2.4分包意向协议（如有)；</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11.2.5符合性审查资料；</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11.2.6评标标准相应的商务技术资料；</w:t>
      </w:r>
    </w:p>
    <w:p>
      <w:pPr>
        <w:snapToGrid w:val="0"/>
        <w:spacing w:line="360" w:lineRule="auto"/>
        <w:ind w:left="0" w:leftChars="0" w:firstLine="960" w:firstLineChars="4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11.2.7投标标的清单；</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w:t>
      </w: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商务技术偏离表；</w:t>
      </w:r>
    </w:p>
    <w:p>
      <w:pPr>
        <w:snapToGrid w:val="0"/>
        <w:spacing w:line="360" w:lineRule="auto"/>
        <w:ind w:firstLine="960" w:firstLineChars="4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lang w:val="zh-CN"/>
        </w:rPr>
        <w:t>政府采购供应商廉洁自律承诺书；</w:t>
      </w:r>
    </w:p>
    <w:p>
      <w:pPr>
        <w:snapToGrid w:val="0"/>
        <w:spacing w:line="360" w:lineRule="auto"/>
        <w:ind w:firstLine="0" w:firstLineChars="0"/>
        <w:jc w:val="both"/>
        <w:rPr>
          <w:rFonts w:hint="eastAsia" w:ascii="仿宋" w:hAnsi="仿宋" w:eastAsia="仿宋" w:cs="仿宋"/>
          <w:color w:val="auto"/>
          <w:sz w:val="24"/>
          <w:szCs w:val="20"/>
          <w:highlight w:val="non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lang w:val="zh-CN" w:eastAsia="zh-CN"/>
        </w:rPr>
        <w:t xml:space="preserve"> 11.2.</w:t>
      </w: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szCs w:val="20"/>
          <w:highlight w:val="none"/>
          <w:lang w:val="zh-CN"/>
        </w:rPr>
        <w:t>投标</w:t>
      </w:r>
      <w:r>
        <w:rPr>
          <w:rFonts w:hint="eastAsia" w:ascii="仿宋" w:hAnsi="仿宋" w:eastAsia="仿宋" w:cs="仿宋"/>
          <w:color w:val="auto"/>
          <w:sz w:val="24"/>
          <w:szCs w:val="20"/>
          <w:highlight w:val="none"/>
          <w:lang w:val="en-US" w:eastAsia="zh-CN"/>
        </w:rPr>
        <w:t>人</w:t>
      </w:r>
      <w:r>
        <w:rPr>
          <w:rFonts w:hint="eastAsia" w:ascii="仿宋" w:hAnsi="仿宋" w:eastAsia="仿宋" w:cs="仿宋"/>
          <w:color w:val="auto"/>
          <w:sz w:val="24"/>
          <w:szCs w:val="20"/>
          <w:highlight w:val="none"/>
          <w:lang w:val="zh-CN"/>
        </w:rPr>
        <w:t>认为需要的其他文件资料</w:t>
      </w:r>
      <w:r>
        <w:rPr>
          <w:rFonts w:hint="eastAsia" w:ascii="仿宋" w:hAnsi="仿宋" w:eastAsia="仿宋" w:cs="仿宋"/>
          <w:color w:val="auto"/>
          <w:sz w:val="24"/>
          <w:szCs w:val="20"/>
          <w:highlight w:val="none"/>
          <w:lang w:val="zh-CN" w:eastAsia="zh-CN"/>
        </w:rPr>
        <w:t>（如有）</w:t>
      </w:r>
      <w:r>
        <w:rPr>
          <w:rFonts w:hint="eastAsia" w:ascii="仿宋" w:hAnsi="仿宋" w:eastAsia="仿宋" w:cs="仿宋"/>
          <w:color w:val="auto"/>
          <w:sz w:val="24"/>
          <w:highlight w:val="none"/>
        </w:rPr>
        <w:t>。</w:t>
      </w:r>
    </w:p>
    <w:p>
      <w:pPr>
        <w:snapToGrid w:val="0"/>
        <w:spacing w:line="360" w:lineRule="auto"/>
        <w:ind w:firstLine="480" w:firstLineChars="200"/>
        <w:rPr>
          <w:rFonts w:hint="eastAsia" w:ascii="仿宋" w:hAnsi="仿宋" w:eastAsia="仿宋" w:cs="仿宋"/>
          <w:color w:val="auto"/>
          <w:sz w:val="24"/>
          <w:highlight w:val="none"/>
          <w:u w:val="single"/>
          <w:lang w:val="zh-CN"/>
        </w:rPr>
      </w:pPr>
      <w:r>
        <w:rPr>
          <w:rFonts w:hint="eastAsia" w:ascii="仿宋" w:hAnsi="仿宋" w:eastAsia="仿宋" w:cs="仿宋"/>
          <w:color w:val="auto"/>
          <w:kern w:val="0"/>
          <w:sz w:val="24"/>
          <w:highlight w:val="none"/>
          <w:lang w:val="zh-CN"/>
        </w:rPr>
        <w:t>11.</w:t>
      </w:r>
      <w:r>
        <w:rPr>
          <w:rFonts w:hint="eastAsia" w:ascii="仿宋" w:hAnsi="仿宋" w:eastAsia="仿宋" w:cs="仿宋"/>
          <w:color w:val="auto"/>
          <w:kern w:val="0"/>
          <w:sz w:val="24"/>
          <w:highlight w:val="none"/>
        </w:rPr>
        <w:t>3</w:t>
      </w:r>
      <w:r>
        <w:rPr>
          <w:rFonts w:hint="eastAsia" w:ascii="仿宋" w:hAnsi="仿宋" w:eastAsia="仿宋" w:cs="仿宋"/>
          <w:b/>
          <w:color w:val="auto"/>
          <w:sz w:val="24"/>
          <w:highlight w:val="none"/>
        </w:rPr>
        <w:t>报价文件：</w:t>
      </w:r>
      <w:r>
        <w:rPr>
          <w:rFonts w:hint="eastAsia" w:ascii="仿宋" w:hAnsi="仿宋" w:eastAsia="仿宋" w:cs="仿宋"/>
          <w:color w:val="auto"/>
          <w:sz w:val="24"/>
          <w:highlight w:val="none"/>
        </w:rPr>
        <w:t xml:space="preserve"> </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11.3.1开标一览表（报价表）；</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11.3.2中小企业声明函</w:t>
      </w:r>
      <w:r>
        <w:rPr>
          <w:rFonts w:hint="eastAsia" w:ascii="仿宋" w:hAnsi="仿宋" w:eastAsia="仿宋" w:cs="仿宋"/>
          <w:color w:val="auto"/>
          <w:sz w:val="24"/>
          <w:highlight w:val="none"/>
          <w:lang w:eastAsia="zh-CN"/>
        </w:rPr>
        <w:t>；</w:t>
      </w:r>
    </w:p>
    <w:p>
      <w:pPr>
        <w:snapToGrid w:val="0"/>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11.3.3</w:t>
      </w:r>
      <w:r>
        <w:rPr>
          <w:rFonts w:hint="eastAsia" w:ascii="仿宋" w:hAnsi="仿宋" w:eastAsia="仿宋" w:cs="仿宋"/>
          <w:color w:val="auto"/>
          <w:sz w:val="24"/>
          <w:highlight w:val="none"/>
        </w:rPr>
        <w:t>投标人针对报价需要说明的其他文件和说明</w:t>
      </w:r>
      <w:r>
        <w:rPr>
          <w:rFonts w:hint="eastAsia" w:ascii="仿宋" w:hAnsi="仿宋" w:eastAsia="仿宋" w:cs="仿宋"/>
          <w:color w:val="auto"/>
          <w:sz w:val="24"/>
          <w:highlight w:val="none"/>
          <w:lang w:eastAsia="zh-CN"/>
        </w:rPr>
        <w:t>（如有）</w:t>
      </w:r>
      <w:r>
        <w:rPr>
          <w:rFonts w:hint="eastAsia" w:ascii="仿宋" w:hAnsi="仿宋" w:eastAsia="仿宋" w:cs="仿宋"/>
          <w:color w:val="auto"/>
          <w:sz w:val="24"/>
          <w:highlight w:val="none"/>
        </w:rPr>
        <w:t>。</w:t>
      </w:r>
    </w:p>
    <w:p>
      <w:pPr>
        <w:spacing w:line="360" w:lineRule="auto"/>
        <w:ind w:firstLine="723" w:firstLineChars="3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投标文件含有采购人不能接受的附加条件的，投标无效；</w:t>
      </w:r>
    </w:p>
    <w:p>
      <w:pPr>
        <w:spacing w:line="360" w:lineRule="auto"/>
        <w:ind w:firstLine="723" w:firstLineChars="300"/>
        <w:rPr>
          <w:rFonts w:hint="eastAsia" w:ascii="仿宋" w:hAnsi="仿宋" w:eastAsia="仿宋" w:cs="仿宋"/>
          <w:b/>
          <w:color w:val="auto"/>
          <w:sz w:val="24"/>
          <w:szCs w:val="21"/>
          <w:highlight w:val="none"/>
        </w:rPr>
      </w:pPr>
      <w:r>
        <w:rPr>
          <w:rFonts w:hint="eastAsia" w:ascii="仿宋" w:hAnsi="仿宋" w:eastAsia="仿宋" w:cs="仿宋"/>
          <w:b/>
          <w:color w:val="auto"/>
          <w:sz w:val="24"/>
          <w:highlight w:val="none"/>
        </w:rPr>
        <w:t>投标人提供虚假材料投标的，投标无效。</w:t>
      </w:r>
    </w:p>
    <w:p>
      <w:pPr>
        <w:pStyle w:val="87"/>
        <w:snapToGrid w:val="0"/>
        <w:spacing w:before="0"/>
        <w:ind w:firstLine="0" w:firstLineChars="0"/>
        <w:outlineLvl w:val="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12</w:t>
      </w:r>
      <w:r>
        <w:rPr>
          <w:rFonts w:hint="eastAsia" w:ascii="仿宋" w:hAnsi="仿宋" w:eastAsia="仿宋" w:cs="仿宋"/>
          <w:b/>
          <w:color w:val="auto"/>
          <w:kern w:val="0"/>
          <w:szCs w:val="24"/>
          <w:highlight w:val="none"/>
          <w:lang w:val="zh-CN"/>
        </w:rPr>
        <w:t xml:space="preserve">. </w:t>
      </w:r>
      <w:r>
        <w:rPr>
          <w:rFonts w:hint="eastAsia" w:ascii="仿宋" w:hAnsi="仿宋" w:eastAsia="仿宋" w:cs="仿宋"/>
          <w:b/>
          <w:color w:val="auto"/>
          <w:szCs w:val="24"/>
          <w:highlight w:val="none"/>
        </w:rPr>
        <w:t>投标文件的编制</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13.投标文件的签署、盖章</w:t>
      </w:r>
    </w:p>
    <w:p>
      <w:pPr>
        <w:pStyle w:val="87"/>
        <w:snapToGrid w:val="0"/>
        <w:spacing w:before="0"/>
        <w:ind w:firstLine="480"/>
        <w:rPr>
          <w:rFonts w:hint="eastAsia" w:ascii="仿宋" w:hAnsi="仿宋" w:eastAsia="仿宋" w:cs="仿宋"/>
          <w:b/>
          <w:color w:val="auto"/>
          <w:highlight w:val="none"/>
        </w:rPr>
      </w:pPr>
      <w:r>
        <w:rPr>
          <w:rFonts w:hint="eastAsia" w:ascii="仿宋" w:hAnsi="仿宋" w:eastAsia="仿宋" w:cs="仿宋"/>
          <w:color w:val="auto"/>
          <w:szCs w:val="24"/>
          <w:highlight w:val="none"/>
        </w:rPr>
        <w:t>13.1投标文件按照招标文件第六部分格式要</w:t>
      </w:r>
      <w:r>
        <w:rPr>
          <w:rFonts w:hint="eastAsia" w:ascii="仿宋" w:hAnsi="仿宋" w:eastAsia="仿宋" w:cs="仿宋"/>
          <w:color w:val="auto"/>
          <w:highlight w:val="none"/>
        </w:rPr>
        <w:t>求进行签署、盖章。</w:t>
      </w:r>
      <w:r>
        <w:rPr>
          <w:rFonts w:hint="eastAsia" w:ascii="仿宋" w:hAnsi="仿宋" w:eastAsia="仿宋" w:cs="仿宋"/>
          <w:b/>
          <w:color w:val="auto"/>
          <w:highlight w:val="none"/>
        </w:rPr>
        <w:t>▲投标人的投标文件未按照招标文件要求签署、盖章的，其投标无效</w:t>
      </w:r>
      <w:r>
        <w:rPr>
          <w:rFonts w:hint="eastAsia" w:ascii="仿宋" w:hAnsi="仿宋" w:eastAsia="仿宋" w:cs="仿宋"/>
          <w:color w:val="auto"/>
          <w:szCs w:val="24"/>
          <w:highlight w:val="none"/>
        </w:rPr>
        <w:t>。</w:t>
      </w:r>
    </w:p>
    <w:p>
      <w:pPr>
        <w:pStyle w:val="87"/>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87"/>
        <w:snapToGrid w:val="0"/>
        <w:spacing w:before="0"/>
        <w:ind w:firstLine="480"/>
        <w:rPr>
          <w:rFonts w:hint="eastAsia" w:ascii="仿宋" w:hAnsi="仿宋" w:eastAsia="仿宋" w:cs="仿宋"/>
          <w:color w:val="auto"/>
          <w:szCs w:val="24"/>
          <w:highlight w:val="none"/>
        </w:rPr>
      </w:pPr>
      <w:r>
        <w:rPr>
          <w:rFonts w:hint="eastAsia" w:ascii="仿宋" w:hAnsi="仿宋" w:eastAsia="仿宋" w:cs="仿宋"/>
          <w:color w:val="auto"/>
          <w:highlight w:val="none"/>
        </w:rPr>
        <w:t>13.3招标文件对投标文件签署、盖章的要求适用于电子签名。</w:t>
      </w:r>
    </w:p>
    <w:p>
      <w:pPr>
        <w:pStyle w:val="87"/>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14. 投标文件的提交、补充、修改、撤回</w:t>
      </w:r>
    </w:p>
    <w:p>
      <w:pPr>
        <w:pStyle w:val="87"/>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7"/>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87"/>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3"/>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15.备份投标文件</w:t>
      </w:r>
    </w:p>
    <w:p>
      <w:pPr>
        <w:pStyle w:val="33"/>
        <w:spacing w:line="360" w:lineRule="auto"/>
        <w:ind w:firstLine="360" w:firstLineChars="15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 xml:space="preserve"> 15.1投标人在电子交易平台传输递交投标文件后，还可以</w:t>
      </w:r>
      <w:r>
        <w:rPr>
          <w:rFonts w:hint="eastAsia" w:ascii="仿宋" w:hAnsi="仿宋" w:eastAsia="仿宋" w:cs="仿宋"/>
          <w:b/>
          <w:color w:val="auto"/>
          <w:sz w:val="24"/>
          <w:szCs w:val="24"/>
          <w:highlight w:val="none"/>
        </w:rPr>
        <w:t>在投标截止时间前半小时内</w:t>
      </w:r>
      <w:r>
        <w:rPr>
          <w:rFonts w:hint="eastAsia" w:ascii="仿宋" w:hAnsi="仿宋" w:eastAsia="仿宋" w:cs="仿宋"/>
          <w:color w:val="auto"/>
          <w:sz w:val="24"/>
          <w:szCs w:val="24"/>
          <w:highlight w:val="none"/>
        </w:rPr>
        <w:t>递交备份投标文件1份</w:t>
      </w:r>
      <w:r>
        <w:rPr>
          <w:rFonts w:hint="eastAsia" w:ascii="仿宋" w:hAnsi="仿宋" w:eastAsia="仿宋" w:cs="仿宋"/>
          <w:color w:val="auto"/>
          <w:sz w:val="24"/>
          <w:szCs w:val="24"/>
          <w:highlight w:val="none"/>
          <w:lang w:val="en-US" w:eastAsia="zh-CN"/>
        </w:rPr>
        <w:t>至</w:t>
      </w:r>
      <w:r>
        <w:rPr>
          <w:rFonts w:hint="eastAsia" w:ascii="仿宋" w:hAnsi="仿宋" w:eastAsia="仿宋" w:cs="仿宋"/>
          <w:color w:val="auto"/>
          <w:kern w:val="28"/>
          <w:sz w:val="24"/>
          <w:szCs w:val="24"/>
          <w:highlight w:val="none"/>
          <w:lang w:eastAsia="zh-CN"/>
        </w:rPr>
        <w:t>浙江省杭州市临平区东湖北路488-1号29幢3楼</w:t>
      </w:r>
      <w:r>
        <w:rPr>
          <w:rFonts w:hint="eastAsia" w:ascii="仿宋" w:hAnsi="仿宋" w:eastAsia="仿宋" w:cs="仿宋"/>
          <w:color w:val="auto"/>
          <w:sz w:val="24"/>
          <w:szCs w:val="24"/>
          <w:highlight w:val="none"/>
        </w:rPr>
        <w:t>，</w:t>
      </w:r>
      <w:r>
        <w:rPr>
          <w:rFonts w:hint="eastAsia" w:ascii="仿宋" w:hAnsi="仿宋" w:eastAsia="仿宋" w:cs="仿宋"/>
          <w:b/>
          <w:color w:val="auto"/>
          <w:sz w:val="24"/>
          <w:szCs w:val="24"/>
          <w:highlight w:val="none"/>
        </w:rPr>
        <w:t>但采购人、采购机构不强制或变相强制投标人提交备份投标文件。</w:t>
      </w:r>
    </w:p>
    <w:p>
      <w:pPr>
        <w:pStyle w:val="33"/>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15.2备份投标文件须在“政采云投标客户端”制作生成，并储存在</w:t>
      </w:r>
      <w:r>
        <w:rPr>
          <w:rFonts w:hint="eastAsia" w:ascii="仿宋" w:hAnsi="仿宋" w:eastAsia="仿宋" w:cs="仿宋"/>
          <w:color w:val="auto"/>
          <w:sz w:val="24"/>
          <w:highlight w:val="none"/>
        </w:rPr>
        <w:t>DVD光盘</w:t>
      </w:r>
      <w:r>
        <w:rPr>
          <w:rFonts w:hint="eastAsia" w:ascii="仿宋" w:hAnsi="仿宋" w:eastAsia="仿宋" w:cs="仿宋"/>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color w:val="auto"/>
          <w:sz w:val="24"/>
          <w:highlight w:val="none"/>
        </w:rPr>
        <w:t>不符合上述制作、</w:t>
      </w:r>
      <w:r>
        <w:rPr>
          <w:rFonts w:hint="eastAsia" w:ascii="仿宋" w:hAnsi="仿宋" w:eastAsia="仿宋" w:cs="仿宋"/>
          <w:b/>
          <w:color w:val="auto"/>
          <w:sz w:val="24"/>
          <w:szCs w:val="24"/>
          <w:highlight w:val="none"/>
        </w:rPr>
        <w:t>存储、密封规定的备份投标文件将被视为无效或者被拒绝接收。</w:t>
      </w:r>
    </w:p>
    <w:p>
      <w:pPr>
        <w:pStyle w:val="33"/>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3"/>
        <w:spacing w:line="360" w:lineRule="auto"/>
        <w:ind w:firstLine="479" w:firstLineChars="19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w:t>
      </w:r>
      <w:r>
        <w:rPr>
          <w:rFonts w:hint="eastAsia" w:ascii="仿宋" w:hAnsi="仿宋" w:eastAsia="仿宋" w:cs="仿宋"/>
          <w:b/>
          <w:color w:val="auto"/>
          <w:sz w:val="24"/>
          <w:szCs w:val="24"/>
          <w:highlight w:val="none"/>
          <w:lang w:val="en-US" w:eastAsia="zh-CN"/>
        </w:rPr>
        <w:t>4</w:t>
      </w:r>
      <w:r>
        <w:rPr>
          <w:rFonts w:hint="eastAsia" w:ascii="仿宋" w:hAnsi="仿宋" w:eastAsia="仿宋" w:cs="仿宋"/>
          <w:b/>
          <w:color w:val="auto"/>
          <w:sz w:val="24"/>
          <w:szCs w:val="24"/>
          <w:highlight w:val="none"/>
        </w:rPr>
        <w:t>投标人仅提交备份投标文件，没有在电子交易平台传输递交投标文件的，投标无效。</w:t>
      </w:r>
    </w:p>
    <w:p>
      <w:pPr>
        <w:pStyle w:val="87"/>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16.投标文件的无效处理</w:t>
      </w:r>
    </w:p>
    <w:p>
      <w:pPr>
        <w:pStyle w:val="25"/>
        <w:spacing w:line="360" w:lineRule="auto"/>
        <w:ind w:firstLine="360" w:firstLineChars="150"/>
        <w:rPr>
          <w:rFonts w:hint="eastAsia" w:ascii="仿宋" w:hAnsi="仿宋" w:eastAsia="仿宋" w:cs="仿宋"/>
          <w:color w:val="auto"/>
          <w:szCs w:val="21"/>
          <w:highlight w:val="none"/>
        </w:rPr>
      </w:pPr>
      <w:r>
        <w:rPr>
          <w:rFonts w:hint="eastAsia" w:ascii="仿宋" w:hAnsi="仿宋" w:eastAsia="仿宋" w:cs="仿宋"/>
          <w:color w:val="auto"/>
          <w:szCs w:val="21"/>
          <w:highlight w:val="none"/>
        </w:rPr>
        <w:t>有招标文件第四部分</w:t>
      </w:r>
      <w:r>
        <w:rPr>
          <w:rFonts w:hint="eastAsia" w:ascii="仿宋" w:hAnsi="仿宋" w:eastAsia="仿宋" w:cs="仿宋"/>
          <w:color w:val="auto"/>
          <w:highlight w:val="none"/>
          <w:lang w:val="en-US" w:eastAsia="zh-CN"/>
        </w:rPr>
        <w:t>4.2</w:t>
      </w:r>
      <w:r>
        <w:rPr>
          <w:rFonts w:hint="eastAsia" w:ascii="仿宋" w:hAnsi="仿宋" w:eastAsia="仿宋" w:cs="仿宋"/>
          <w:color w:val="auto"/>
          <w:highlight w:val="none"/>
        </w:rPr>
        <w:t>规定</w:t>
      </w:r>
      <w:r>
        <w:rPr>
          <w:rFonts w:hint="eastAsia" w:ascii="仿宋" w:hAnsi="仿宋" w:eastAsia="仿宋" w:cs="仿宋"/>
          <w:color w:val="auto"/>
          <w:szCs w:val="21"/>
          <w:highlight w:val="none"/>
        </w:rPr>
        <w:t>的情形之一的，投标无效：</w:t>
      </w:r>
    </w:p>
    <w:p>
      <w:pPr>
        <w:pStyle w:val="87"/>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17.投标有效期</w:t>
      </w:r>
    </w:p>
    <w:p>
      <w:pPr>
        <w:spacing w:line="360" w:lineRule="auto"/>
        <w:ind w:firstLine="480" w:firstLineChars="200"/>
        <w:rPr>
          <w:rFonts w:hint="eastAsia" w:ascii="仿宋" w:hAnsi="仿宋" w:eastAsia="仿宋" w:cs="仿宋"/>
          <w:b/>
          <w:color w:val="auto"/>
          <w:sz w:val="24"/>
          <w:szCs w:val="21"/>
          <w:highlight w:val="none"/>
        </w:rPr>
      </w:pPr>
      <w:r>
        <w:rPr>
          <w:rFonts w:hint="eastAsia" w:ascii="仿宋" w:hAnsi="仿宋" w:eastAsia="仿宋" w:cs="仿宋"/>
          <w:color w:val="auto"/>
          <w:sz w:val="24"/>
          <w:szCs w:val="20"/>
          <w:highlight w:val="none"/>
        </w:rPr>
        <w:t>17.1投标有效期为从提交投标文件的截止之日起90天。▲</w:t>
      </w:r>
      <w:r>
        <w:rPr>
          <w:rFonts w:hint="eastAsia" w:ascii="仿宋" w:hAnsi="仿宋" w:eastAsia="仿宋" w:cs="仿宋"/>
          <w:b/>
          <w:color w:val="auto"/>
          <w:sz w:val="24"/>
          <w:szCs w:val="20"/>
          <w:highlight w:val="none"/>
        </w:rPr>
        <w:t>投标人的投标文件中承</w:t>
      </w:r>
      <w:r>
        <w:rPr>
          <w:rFonts w:hint="eastAsia" w:ascii="仿宋" w:hAnsi="仿宋" w:eastAsia="仿宋" w:cs="仿宋"/>
          <w:b/>
          <w:color w:val="auto"/>
          <w:sz w:val="24"/>
          <w:szCs w:val="21"/>
          <w:highlight w:val="none"/>
        </w:rPr>
        <w:t>诺的投标有效期少于招标文件中载明的投标有效期的，投标无效。</w:t>
      </w:r>
    </w:p>
    <w:p>
      <w:pPr>
        <w:pStyle w:val="87"/>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17.2投标文件合格投递后，自投标截止日期起，在投标有效期内有效。</w:t>
      </w:r>
    </w:p>
    <w:p>
      <w:pPr>
        <w:pStyle w:val="87"/>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87"/>
        <w:spacing w:before="0"/>
        <w:ind w:firstLine="643"/>
        <w:rPr>
          <w:rFonts w:hint="eastAsia" w:ascii="仿宋" w:hAnsi="仿宋" w:eastAsia="仿宋" w:cs="仿宋"/>
          <w:b/>
          <w:color w:val="auto"/>
          <w:sz w:val="32"/>
          <w:highlight w:val="none"/>
        </w:rPr>
      </w:pPr>
    </w:p>
    <w:p>
      <w:pPr>
        <w:pStyle w:val="87"/>
        <w:spacing w:before="0"/>
        <w:ind w:firstLine="1928" w:firstLineChars="600"/>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四、开标、资格审查与信用信息查询</w:t>
      </w:r>
    </w:p>
    <w:p>
      <w:pPr>
        <w:pStyle w:val="242"/>
        <w:spacing w:before="0" w:line="360" w:lineRule="auto"/>
        <w:ind w:left="0" w:firstLine="241" w:firstLineChars="100"/>
        <w:contextualSpacing/>
        <w:rPr>
          <w:rFonts w:hint="eastAsia" w:ascii="仿宋" w:hAnsi="仿宋" w:eastAsia="仿宋" w:cs="仿宋"/>
          <w:color w:val="auto"/>
          <w:sz w:val="24"/>
          <w:highlight w:val="none"/>
        </w:rPr>
      </w:pPr>
      <w:r>
        <w:rPr>
          <w:rFonts w:hint="eastAsia" w:ascii="仿宋" w:hAnsi="仿宋" w:eastAsia="仿宋" w:cs="仿宋"/>
          <w:b/>
          <w:color w:val="auto"/>
          <w:sz w:val="24"/>
          <w:szCs w:val="24"/>
          <w:highlight w:val="none"/>
        </w:rPr>
        <w:t>18.开标</w:t>
      </w:r>
      <w:r>
        <w:rPr>
          <w:rFonts w:hint="eastAsia" w:ascii="仿宋" w:hAnsi="仿宋" w:eastAsia="仿宋" w:cs="仿宋"/>
          <w:color w:val="auto"/>
          <w:sz w:val="24"/>
          <w:highlight w:val="none"/>
        </w:rPr>
        <w:t xml:space="preserve"> </w:t>
      </w:r>
    </w:p>
    <w:p>
      <w:pPr>
        <w:pStyle w:val="242"/>
        <w:spacing w:before="0" w:line="360" w:lineRule="auto"/>
        <w:ind w:left="0" w:firstLine="480" w:firstLineChars="2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18.1采购机构按照招标文件规定的时间通过电子交易平台组织开标，所有投标人均应当准时在线参加。投标人不足3家的，不得开标。</w:t>
      </w:r>
    </w:p>
    <w:p>
      <w:pPr>
        <w:pStyle w:val="242"/>
        <w:spacing w:before="0" w:line="360" w:lineRule="auto"/>
        <w:ind w:left="0" w:firstLine="240" w:firstLineChars="1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242"/>
        <w:spacing w:before="0" w:line="360" w:lineRule="auto"/>
        <w:ind w:left="0" w:firstLine="240" w:firstLineChars="100"/>
        <w:contextualSpacing/>
        <w:rPr>
          <w:rFonts w:hint="eastAsia" w:ascii="仿宋" w:hAnsi="仿宋" w:eastAsia="仿宋" w:cs="仿宋"/>
          <w:b/>
          <w:color w:val="auto"/>
          <w:sz w:val="24"/>
          <w:highlight w:val="none"/>
        </w:rPr>
      </w:pPr>
      <w:r>
        <w:rPr>
          <w:rFonts w:hint="eastAsia" w:ascii="仿宋" w:hAnsi="仿宋" w:eastAsia="仿宋" w:cs="仿宋"/>
          <w:color w:val="auto"/>
          <w:sz w:val="24"/>
          <w:highlight w:val="none"/>
        </w:rPr>
        <w:t>　18.3</w:t>
      </w:r>
      <w:r>
        <w:rPr>
          <w:rFonts w:hint="eastAsia" w:ascii="仿宋" w:hAnsi="仿宋" w:eastAsia="仿宋" w:cs="仿宋"/>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　19、资格审查</w:t>
      </w:r>
    </w:p>
    <w:p>
      <w:pPr>
        <w:pStyle w:val="87"/>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19.1开标后，采购人或采购机构将依法对投标人的资格进行审查。</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19.2</w:t>
      </w:r>
      <w:r>
        <w:rPr>
          <w:rFonts w:hint="eastAsia" w:ascii="仿宋" w:hAnsi="仿宋" w:eastAsia="仿宋" w:cs="仿宋"/>
          <w:color w:val="auto"/>
          <w:sz w:val="24"/>
          <w:highlight w:val="none"/>
        </w:rPr>
        <w:t>采购人或采购机构依据法律法规和招标文件的规定，对投标人的基本资格条件、特定资格条件进行审查。</w:t>
      </w:r>
    </w:p>
    <w:p>
      <w:pPr>
        <w:pStyle w:val="87"/>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19.3投标人未按照招标文件要求提供与</w:t>
      </w:r>
      <w:r>
        <w:rPr>
          <w:rFonts w:hint="eastAsia" w:ascii="仿宋" w:hAnsi="仿宋" w:eastAsia="仿宋" w:cs="仿宋"/>
          <w:color w:val="auto"/>
          <w:highlight w:val="none"/>
        </w:rPr>
        <w:t>基本资格条件、特定资格条件相应的</w:t>
      </w:r>
      <w:r>
        <w:rPr>
          <w:rFonts w:hint="eastAsia" w:ascii="仿宋" w:hAnsi="仿宋" w:eastAsia="仿宋" w:cs="仿宋"/>
          <w:color w:val="auto"/>
          <w:kern w:val="0"/>
          <w:szCs w:val="24"/>
          <w:highlight w:val="none"/>
        </w:rPr>
        <w:t>有效资格证明材料的，视为</w:t>
      </w:r>
      <w:r>
        <w:rPr>
          <w:rFonts w:hint="eastAsia" w:ascii="仿宋" w:hAnsi="仿宋" w:eastAsia="仿宋" w:cs="仿宋"/>
          <w:color w:val="auto"/>
          <w:highlight w:val="none"/>
        </w:rPr>
        <w:t>投标人不具备招标文件中规定的资格要求，其投标无效。</w:t>
      </w:r>
    </w:p>
    <w:p>
      <w:pPr>
        <w:pStyle w:val="87"/>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4对未通过资格审查的投标人，采购人或采购机构告知其未通过的原因。</w:t>
      </w:r>
    </w:p>
    <w:p>
      <w:pPr>
        <w:pStyle w:val="87"/>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5合格投标人不足3家的，不再评标。</w:t>
      </w:r>
    </w:p>
    <w:p>
      <w:pPr>
        <w:pStyle w:val="87"/>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20、信用信息查询</w:t>
      </w:r>
    </w:p>
    <w:p>
      <w:pPr>
        <w:pStyle w:val="87"/>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87"/>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20.2信用信息查询记录和证据留存的具体方式：现场查询的投标人的信用记录、查询结果经确认后将与采购文件一起存档。</w:t>
      </w:r>
    </w:p>
    <w:p>
      <w:pPr>
        <w:pStyle w:val="87"/>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87"/>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highlight w:val="none"/>
        </w:rPr>
        <w:t>。</w:t>
      </w:r>
    </w:p>
    <w:p>
      <w:pPr>
        <w:pStyle w:val="87"/>
        <w:spacing w:before="0"/>
        <w:ind w:firstLine="0" w:firstLineChars="0"/>
        <w:rPr>
          <w:rFonts w:hint="eastAsia" w:ascii="仿宋" w:hAnsi="仿宋" w:eastAsia="仿宋" w:cs="仿宋"/>
          <w:color w:val="auto"/>
          <w:kern w:val="0"/>
          <w:szCs w:val="24"/>
          <w:highlight w:val="none"/>
        </w:rPr>
      </w:pPr>
    </w:p>
    <w:p>
      <w:pPr>
        <w:snapToGrid w:val="0"/>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五、评标</w:t>
      </w:r>
    </w:p>
    <w:p>
      <w:pPr>
        <w:spacing w:line="360" w:lineRule="auto"/>
        <w:rPr>
          <w:rFonts w:hint="eastAsia" w:ascii="仿宋" w:hAnsi="仿宋" w:eastAsia="仿宋" w:cs="仿宋"/>
          <w:b/>
          <w:color w:val="auto"/>
          <w:sz w:val="24"/>
          <w:highlight w:val="none"/>
        </w:rPr>
      </w:pPr>
      <w:bookmarkStart w:id="13" w:name="_Toc91899903"/>
      <w:r>
        <w:rPr>
          <w:rFonts w:hint="eastAsia" w:ascii="仿宋" w:hAnsi="仿宋" w:eastAsia="仿宋" w:cs="仿宋"/>
          <w:b/>
          <w:color w:val="auto"/>
          <w:sz w:val="24"/>
          <w:highlight w:val="none"/>
        </w:rPr>
        <w:t>21.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color w:val="auto"/>
          <w:sz w:val="24"/>
          <w:highlight w:val="none"/>
        </w:rPr>
        <w:t>详见招标文件第四部分评标办法。</w:t>
      </w:r>
    </w:p>
    <w:p>
      <w:pPr>
        <w:spacing w:line="360" w:lineRule="auto"/>
        <w:rPr>
          <w:rFonts w:hint="eastAsia" w:ascii="仿宋" w:hAnsi="仿宋" w:eastAsia="仿宋" w:cs="仿宋"/>
          <w:b/>
          <w:color w:val="auto"/>
          <w:sz w:val="24"/>
          <w:highlight w:val="none"/>
        </w:rPr>
      </w:pPr>
    </w:p>
    <w:p>
      <w:pPr>
        <w:snapToGrid w:val="0"/>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六、定 标</w:t>
      </w:r>
    </w:p>
    <w:p>
      <w:pPr>
        <w:pStyle w:val="25"/>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22. 确定中标供应商</w:t>
      </w:r>
    </w:p>
    <w:p>
      <w:pPr>
        <w:pStyle w:val="87"/>
        <w:snapToGrid w:val="0"/>
        <w:spacing w:before="0"/>
        <w:ind w:firstLine="48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87"/>
        <w:snapToGrid w:val="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23. 中标通知与中标结果公告</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23.2中标结果公告内容包括采购人及其委托的采购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23.3公告期限为1个工作日。</w:t>
      </w:r>
    </w:p>
    <w:p>
      <w:pPr>
        <w:snapToGrid w:val="0"/>
        <w:spacing w:line="360" w:lineRule="auto"/>
        <w:ind w:left="120" w:leftChars="57" w:firstLine="482" w:firstLineChars="150"/>
        <w:jc w:val="center"/>
        <w:rPr>
          <w:rFonts w:hint="eastAsia" w:ascii="仿宋" w:hAnsi="仿宋" w:eastAsia="仿宋" w:cs="仿宋"/>
          <w:b/>
          <w:color w:val="auto"/>
          <w:sz w:val="32"/>
          <w:highlight w:val="none"/>
        </w:rPr>
      </w:pPr>
    </w:p>
    <w:p>
      <w:pPr>
        <w:snapToGrid w:val="0"/>
        <w:spacing w:line="360" w:lineRule="auto"/>
        <w:ind w:left="120" w:leftChars="57" w:firstLine="482" w:firstLineChars="15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七、合同授予</w:t>
      </w:r>
    </w:p>
    <w:p>
      <w:pPr>
        <w:pStyle w:val="25"/>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 xml:space="preserve">24. </w:t>
      </w:r>
      <w:r>
        <w:rPr>
          <w:rFonts w:hint="eastAsia" w:ascii="仿宋" w:hAnsi="仿宋" w:eastAsia="仿宋" w:cs="仿宋"/>
          <w:color w:val="auto"/>
          <w:highlight w:val="none"/>
        </w:rPr>
        <w:t>合同主要条款详见第五部分拟签订的合同文本。</w:t>
      </w:r>
    </w:p>
    <w:p>
      <w:pPr>
        <w:pStyle w:val="25"/>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25. 合同的签订</w:t>
      </w:r>
    </w:p>
    <w:p>
      <w:pPr>
        <w:widowControl/>
        <w:shd w:val="clear" w:color="auto" w:fill="FFFFFF"/>
        <w:spacing w:line="360" w:lineRule="auto"/>
        <w:ind w:firstLine="48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25.1</w:t>
      </w:r>
      <w:r>
        <w:rPr>
          <w:rFonts w:hint="eastAsia" w:ascii="仿宋" w:hAnsi="仿宋" w:eastAsia="仿宋" w:cs="仿宋"/>
          <w:color w:val="auto"/>
          <w:kern w:val="0"/>
          <w:sz w:val="24"/>
          <w:highlight w:val="none"/>
        </w:rPr>
        <w:t xml:space="preserve"> 采购人与中标人应当通过电子交易平台在中标通知书发出之日起</w:t>
      </w:r>
      <w:r>
        <w:rPr>
          <w:rFonts w:hint="eastAsia" w:ascii="仿宋" w:hAnsi="仿宋" w:eastAsia="仿宋" w:cs="仿宋"/>
          <w:color w:val="auto"/>
          <w:kern w:val="0"/>
          <w:sz w:val="24"/>
          <w:highlight w:val="none"/>
          <w:lang w:eastAsia="zh-CN"/>
        </w:rPr>
        <w:t>十个工作日</w:t>
      </w:r>
      <w:r>
        <w:rPr>
          <w:rFonts w:hint="eastAsia" w:ascii="仿宋" w:hAnsi="仿宋" w:eastAsia="仿宋" w:cs="仿宋"/>
          <w:color w:val="auto"/>
          <w:kern w:val="0"/>
          <w:sz w:val="24"/>
          <w:highlight w:val="none"/>
        </w:rPr>
        <w:t>内，按照招标文件确定的事项签订政府采购合同，并在合同签订之日起2个工作日内依法发布合同公告。</w:t>
      </w:r>
    </w:p>
    <w:p>
      <w:pPr>
        <w:pStyle w:val="87"/>
        <w:snapToGrid w:val="0"/>
        <w:spacing w:before="0"/>
        <w:ind w:firstLine="480"/>
        <w:rPr>
          <w:rFonts w:hint="eastAsia" w:ascii="仿宋" w:hAnsi="仿宋" w:eastAsia="仿宋" w:cs="仿宋"/>
          <w:color w:val="auto"/>
          <w:kern w:val="0"/>
          <w:highlight w:val="none"/>
        </w:rPr>
      </w:pPr>
      <w:r>
        <w:rPr>
          <w:rFonts w:hint="eastAsia" w:ascii="仿宋" w:hAnsi="仿宋" w:eastAsia="仿宋" w:cs="仿宋"/>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7"/>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25.3如签订合同并生效后，供应商无故拒绝或延期，除按照合同条款处理外，列入不良行为记录一次，并给予通报。</w:t>
      </w:r>
    </w:p>
    <w:p>
      <w:pPr>
        <w:pStyle w:val="87"/>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87"/>
        <w:snapToGrid w:val="0"/>
        <w:spacing w:before="0" w:after="120"/>
        <w:ind w:firstLine="480"/>
        <w:rPr>
          <w:rFonts w:hint="eastAsia" w:ascii="仿宋" w:hAnsi="仿宋" w:eastAsia="仿宋" w:cs="仿宋"/>
          <w:color w:val="auto"/>
          <w:highlight w:val="none"/>
        </w:rPr>
      </w:pPr>
      <w:r>
        <w:rPr>
          <w:rFonts w:hint="eastAsia" w:ascii="仿宋" w:hAnsi="仿宋" w:eastAsia="仿宋" w:cs="仿宋"/>
          <w:color w:val="auto"/>
          <w:highlight w:val="none"/>
        </w:rPr>
        <w:t>25.5采购合同由采购人与中标供应商根据招标文件、投标文件等内容通过政府采购电子交易平台在线签订，自动备案。</w:t>
      </w:r>
    </w:p>
    <w:p>
      <w:pPr>
        <w:pStyle w:val="25"/>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26. 履约保证金</w:t>
      </w:r>
    </w:p>
    <w:p>
      <w:pPr>
        <w:tabs>
          <w:tab w:val="left" w:pos="0"/>
        </w:tabs>
        <w:spacing w:line="360" w:lineRule="auto"/>
        <w:ind w:firstLine="482"/>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杭州市政府采购网公布的供应商履约评价为满分的供应商，采购单位应当免收履约保证金。确需收履约保证金的，</w:t>
      </w:r>
      <w:r>
        <w:rPr>
          <w:rFonts w:hint="eastAsia" w:ascii="仿宋" w:hAnsi="仿宋" w:eastAsia="仿宋" w:cs="仿宋"/>
          <w:color w:val="auto"/>
          <w:sz w:val="24"/>
          <w:highlight w:val="none"/>
        </w:rPr>
        <w:t>履约保证金的数额不得超过政府采购合同金额的</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%。鼓励和支持供应商以银行、保险公司出具的保函形式提供履约保证金。</w:t>
      </w:r>
      <w:r>
        <w:rPr>
          <w:rFonts w:hint="eastAsia" w:ascii="仿宋" w:hAnsi="仿宋" w:eastAsia="仿宋" w:cs="仿宋"/>
          <w:b/>
          <w:color w:val="auto"/>
          <w:sz w:val="24"/>
          <w:highlight w:val="none"/>
        </w:rPr>
        <w:t>采购人不得拒收履约保函。</w:t>
      </w:r>
    </w:p>
    <w:p>
      <w:pPr>
        <w:pStyle w:val="5"/>
        <w:ind w:left="0" w:firstLine="480" w:firstLineChars="200"/>
        <w:rPr>
          <w:rFonts w:hint="eastAsia" w:ascii="仿宋" w:hAnsi="仿宋" w:eastAsia="仿宋" w:cs="仿宋"/>
          <w:color w:val="auto"/>
          <w:highlight w:val="none"/>
          <w:lang w:val="en-US"/>
        </w:rPr>
      </w:pPr>
      <w:r>
        <w:rPr>
          <w:rFonts w:hint="eastAsia" w:ascii="仿宋" w:hAnsi="仿宋" w:eastAsia="仿宋" w:cs="仿宋"/>
          <w:b w:val="0"/>
          <w:bCs w:val="0"/>
          <w:snapToGrid w:val="0"/>
          <w:color w:val="auto"/>
          <w:kern w:val="28"/>
          <w:sz w:val="24"/>
          <w:highlight w:val="none"/>
        </w:rPr>
        <w:t>供应商</w:t>
      </w:r>
      <w:r>
        <w:rPr>
          <w:rFonts w:hint="eastAsia" w:ascii="仿宋" w:hAnsi="仿宋" w:eastAsia="仿宋" w:cs="仿宋"/>
          <w:b w:val="0"/>
          <w:bCs w:val="0"/>
          <w:snapToGrid w:val="0"/>
          <w:color w:val="auto"/>
          <w:kern w:val="28"/>
          <w:sz w:val="24"/>
          <w:highlight w:val="none"/>
          <w:lang w:val="en-US"/>
        </w:rPr>
        <w:t>可</w:t>
      </w:r>
      <w:r>
        <w:rPr>
          <w:rFonts w:hint="eastAsia" w:ascii="仿宋" w:hAnsi="仿宋" w:eastAsia="仿宋" w:cs="仿宋"/>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 w:hAnsi="仿宋" w:eastAsia="仿宋" w:cs="仿宋"/>
          <w:b/>
          <w:color w:val="auto"/>
          <w:sz w:val="32"/>
          <w:highlight w:val="none"/>
        </w:rPr>
      </w:pPr>
    </w:p>
    <w:p>
      <w:pPr>
        <w:snapToGrid w:val="0"/>
        <w:spacing w:line="360" w:lineRule="auto"/>
        <w:ind w:firstLine="3357" w:firstLineChars="1045"/>
        <w:rPr>
          <w:rFonts w:hint="eastAsia" w:ascii="仿宋" w:hAnsi="仿宋" w:eastAsia="仿宋" w:cs="仿宋"/>
          <w:b/>
          <w:color w:val="auto"/>
          <w:sz w:val="24"/>
          <w:highlight w:val="none"/>
        </w:rPr>
      </w:pPr>
      <w:r>
        <w:rPr>
          <w:rFonts w:hint="eastAsia" w:ascii="仿宋" w:hAnsi="仿宋" w:eastAsia="仿宋" w:cs="仿宋"/>
          <w:b/>
          <w:color w:val="auto"/>
          <w:sz w:val="32"/>
          <w:highlight w:val="none"/>
        </w:rPr>
        <w:t>八、电子交易活动的中止</w:t>
      </w:r>
    </w:p>
    <w:p>
      <w:pPr>
        <w:pStyle w:val="87"/>
        <w:snapToGrid w:val="0"/>
        <w:spacing w:before="0"/>
        <w:ind w:firstLine="0" w:firstLineChars="0"/>
        <w:rPr>
          <w:rFonts w:hint="eastAsia" w:ascii="仿宋" w:hAnsi="仿宋" w:eastAsia="仿宋" w:cs="仿宋"/>
          <w:color w:val="auto"/>
          <w:highlight w:val="none"/>
        </w:rPr>
      </w:pPr>
      <w:r>
        <w:rPr>
          <w:rFonts w:hint="eastAsia" w:ascii="仿宋" w:hAnsi="仿宋" w:eastAsia="仿宋" w:cs="仿宋"/>
          <w:color w:val="auto"/>
          <w:highlight w:val="none"/>
        </w:rPr>
        <w:t>2</w:t>
      </w:r>
      <w:r>
        <w:rPr>
          <w:rFonts w:hint="eastAsia" w:ascii="仿宋" w:hAnsi="仿宋" w:eastAsia="仿宋" w:cs="仿宋"/>
          <w:b/>
          <w:color w:val="auto"/>
          <w:szCs w:val="24"/>
          <w:highlight w:val="none"/>
        </w:rPr>
        <w:t>7. 电子交易活动的中止。</w:t>
      </w:r>
      <w:r>
        <w:rPr>
          <w:rFonts w:hint="eastAsia" w:ascii="仿宋" w:hAnsi="仿宋" w:eastAsia="仿宋" w:cs="仿宋"/>
          <w:color w:val="auto"/>
          <w:highlight w:val="none"/>
        </w:rPr>
        <w:t>采购过程中出现以下情形，导致电子交易平台无法正常运行，或者无法保证电子交易的公平、公正和安全时，采购机构可中止电子交易活动：</w:t>
      </w:r>
    </w:p>
    <w:p>
      <w:pPr>
        <w:pStyle w:val="87"/>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27.1电子交易平台发生故障而无法登录访问的； </w:t>
      </w:r>
    </w:p>
    <w:p>
      <w:pPr>
        <w:pStyle w:val="87"/>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27.2电子交易平台应用或数据库出现错误，不能进行正常操作的；</w:t>
      </w:r>
    </w:p>
    <w:p>
      <w:pPr>
        <w:pStyle w:val="87"/>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27.3电子交易平台发现严重安全漏洞，有潜在泄密危险的；</w:t>
      </w:r>
    </w:p>
    <w:p>
      <w:pPr>
        <w:pStyle w:val="87"/>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27.4病毒发作导致不能进行正常操作的； </w:t>
      </w:r>
    </w:p>
    <w:p>
      <w:pPr>
        <w:pStyle w:val="87"/>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27.5其他无法保证电子交易的公平、公正和安全的情况。</w:t>
      </w:r>
    </w:p>
    <w:p>
      <w:pPr>
        <w:pStyle w:val="87"/>
        <w:snapToGrid w:val="0"/>
        <w:spacing w:before="0"/>
        <w:ind w:firstLine="0" w:firstLineChars="0"/>
        <w:rPr>
          <w:rFonts w:hint="eastAsia" w:ascii="仿宋" w:hAnsi="仿宋" w:eastAsia="仿宋" w:cs="仿宋"/>
          <w:color w:val="auto"/>
          <w:highlight w:val="none"/>
        </w:rPr>
      </w:pPr>
      <w:r>
        <w:rPr>
          <w:rFonts w:hint="eastAsia" w:ascii="仿宋" w:hAnsi="仿宋" w:eastAsia="仿宋" w:cs="仿宋"/>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color w:val="auto"/>
          <w:sz w:val="24"/>
          <w:highlight w:val="none"/>
        </w:rPr>
      </w:pPr>
    </w:p>
    <w:p>
      <w:pPr>
        <w:snapToGrid w:val="0"/>
        <w:spacing w:line="360" w:lineRule="auto"/>
        <w:ind w:left="120" w:leftChars="57" w:firstLine="482" w:firstLineChars="15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九、验收</w:t>
      </w:r>
    </w:p>
    <w:p>
      <w:pPr>
        <w:pStyle w:val="25"/>
        <w:spacing w:line="360" w:lineRule="auto"/>
        <w:ind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29.验收</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color w:val="auto"/>
          <w:sz w:val="18"/>
          <w:szCs w:val="18"/>
          <w:highlight w:val="none"/>
        </w:rPr>
      </w:pPr>
      <w:r>
        <w:rPr>
          <w:rFonts w:hint="eastAsia" w:ascii="仿宋" w:hAnsi="仿宋" w:eastAsia="仿宋" w:cs="仿宋"/>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hint="eastAsia" w:ascii="仿宋" w:hAnsi="仿宋" w:eastAsia="仿宋" w:cs="仿宋"/>
          <w:color w:val="auto"/>
          <w:kern w:val="0"/>
          <w:sz w:val="24"/>
          <w:highlight w:val="none"/>
        </w:rPr>
      </w:pPr>
      <w:bookmarkStart w:id="14" w:name="_Hlt74730295"/>
      <w:bookmarkEnd w:id="14"/>
      <w:bookmarkStart w:id="15" w:name="_Hlt68073093"/>
      <w:bookmarkEnd w:id="15"/>
      <w:bookmarkStart w:id="16" w:name="_Hlt75236101"/>
      <w:bookmarkEnd w:id="16"/>
      <w:bookmarkStart w:id="17" w:name="_Hlt74729768"/>
      <w:bookmarkEnd w:id="17"/>
      <w:bookmarkStart w:id="18" w:name="_Hlt75236290"/>
      <w:bookmarkEnd w:id="18"/>
      <w:bookmarkStart w:id="19" w:name="_Hlt74714665"/>
      <w:bookmarkEnd w:id="19"/>
      <w:bookmarkStart w:id="20" w:name="_Hlt68072990"/>
      <w:bookmarkEnd w:id="20"/>
      <w:bookmarkStart w:id="21" w:name="_Hlt68072998"/>
      <w:bookmarkEnd w:id="21"/>
      <w:bookmarkStart w:id="22" w:name="_Hlt74707468"/>
      <w:bookmarkEnd w:id="22"/>
      <w:bookmarkStart w:id="23" w:name="_Hlt68057669"/>
      <w:bookmarkEnd w:id="23"/>
      <w:bookmarkStart w:id="24" w:name="_Hlt68403820"/>
      <w:bookmarkEnd w:id="24"/>
      <w:bookmarkStart w:id="25" w:name="_Hlt75236011"/>
      <w:bookmarkEnd w:id="25"/>
    </w:p>
    <w:p>
      <w:pPr>
        <w:widowControl w:val="0"/>
        <w:adjustRightInd w:val="0"/>
        <w:snapToGrid w:val="0"/>
        <w:spacing w:before="0" w:beforeAutospacing="0" w:after="0" w:afterAutospacing="0" w:line="360" w:lineRule="auto"/>
        <w:ind w:left="120" w:leftChars="57" w:right="0" w:firstLine="482" w:firstLineChars="150"/>
        <w:jc w:val="center"/>
        <w:rPr>
          <w:rFonts w:hint="eastAsia" w:ascii="仿宋" w:hAnsi="仿宋" w:eastAsia="仿宋" w:cs="仿宋"/>
          <w:b/>
          <w:color w:val="auto"/>
          <w:sz w:val="32"/>
          <w:szCs w:val="20"/>
          <w:highlight w:val="none"/>
          <w:lang w:val="en-US"/>
        </w:rPr>
      </w:pPr>
      <w:r>
        <w:rPr>
          <w:rFonts w:hint="eastAsia" w:ascii="仿宋" w:hAnsi="仿宋" w:eastAsia="仿宋" w:cs="仿宋"/>
          <w:b/>
          <w:color w:val="auto"/>
          <w:kern w:val="0"/>
          <w:sz w:val="32"/>
          <w:szCs w:val="20"/>
          <w:highlight w:val="none"/>
          <w:lang w:val="en-US" w:eastAsia="zh-CN" w:bidi="ar-SA"/>
        </w:rPr>
        <w:t>十、货款支付</w:t>
      </w:r>
    </w:p>
    <w:p>
      <w:pPr>
        <w:spacing w:line="560"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bidi="ar-SA"/>
        </w:rPr>
        <w:t>30.1</w:t>
      </w:r>
      <w:r>
        <w:rPr>
          <w:rFonts w:hint="eastAsia" w:ascii="仿宋" w:hAnsi="仿宋" w:eastAsia="仿宋" w:cs="仿宋"/>
          <w:color w:val="auto"/>
          <w:sz w:val="24"/>
          <w:szCs w:val="24"/>
          <w:highlight w:val="none"/>
          <w:lang w:val="en-US"/>
        </w:rPr>
        <w:t>付款方式</w:t>
      </w:r>
      <w:r>
        <w:rPr>
          <w:rFonts w:hint="eastAsia" w:ascii="仿宋" w:hAnsi="仿宋" w:eastAsia="仿宋" w:cs="仿宋"/>
          <w:color w:val="auto"/>
          <w:sz w:val="24"/>
          <w:szCs w:val="24"/>
          <w:highlight w:val="none"/>
          <w:lang w:val="en-US" w:eastAsia="zh-CN"/>
        </w:rPr>
        <w:t>：合同签订后15日内支付合同总额的30%；乙方提交中间过程稿，经甲方组织专家和部门审查达到技术要求的，在出具会议纪要后15个工作日内支付至合同总价的50%；乙方提交规划送审稿，经杭州市规划和自然资源局组织专家和部门审查达到技术要求的，在出具会议纪要后15个工作日内支付至合同总价的80%；乙方提交规划成果稿，经杭州市人民政府批复后，按规定提交最终成果经甲方确认后15个工作日内支付至合同总价的100%。</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30.2</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30.3</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rPr>
          <w:rFonts w:hint="eastAsia" w:ascii="仿宋" w:hAnsi="仿宋" w:eastAsia="仿宋" w:cs="仿宋"/>
          <w:color w:val="auto"/>
          <w:highlight w:val="none"/>
          <w:lang w:val="en-US" w:eastAsia="zh-CN"/>
        </w:rPr>
      </w:pPr>
    </w:p>
    <w:p>
      <w:pPr>
        <w:pStyle w:val="618"/>
        <w:spacing w:before="0" w:beforeAutospacing="0" w:after="0" w:afterAutospacing="0"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30.4</w:t>
      </w:r>
      <w:r>
        <w:rPr>
          <w:rFonts w:hint="eastAsia" w:ascii="仿宋" w:hAnsi="仿宋" w:eastAsia="仿宋" w:cs="仿宋"/>
          <w:color w:val="auto"/>
          <w:highlight w:val="none"/>
          <w:lang w:eastAsia="zh-CN"/>
        </w:rPr>
        <w:t>采购人</w:t>
      </w:r>
      <w:r>
        <w:rPr>
          <w:rFonts w:hint="eastAsia" w:ascii="仿宋" w:hAnsi="仿宋" w:eastAsia="仿宋" w:cs="仿宋"/>
          <w:color w:val="auto"/>
          <w:highlight w:val="none"/>
        </w:rPr>
        <w:t>应严格履行合同，及时组织验收，验收合格后及时将合同款支付完毕。对于满足合同约定支付条件的，</w:t>
      </w:r>
      <w:r>
        <w:rPr>
          <w:rFonts w:hint="eastAsia" w:ascii="仿宋" w:hAnsi="仿宋" w:eastAsia="仿宋" w:cs="仿宋"/>
          <w:color w:val="auto"/>
          <w:highlight w:val="none"/>
          <w:lang w:eastAsia="zh-CN"/>
        </w:rPr>
        <w:t>采购人</w:t>
      </w:r>
      <w:r>
        <w:rPr>
          <w:rFonts w:hint="eastAsia" w:ascii="仿宋" w:hAnsi="仿宋" w:eastAsia="仿宋" w:cs="仿宋"/>
          <w:color w:val="auto"/>
          <w:highlight w:val="none"/>
        </w:rPr>
        <w:t>自收到发票后</w:t>
      </w:r>
      <w:r>
        <w:rPr>
          <w:rFonts w:hint="eastAsia" w:ascii="仿宋" w:hAnsi="仿宋" w:eastAsia="仿宋" w:cs="仿宋"/>
          <w:color w:val="auto"/>
          <w:highlight w:val="none"/>
          <w:lang w:val="en-US" w:eastAsia="zh-CN"/>
        </w:rPr>
        <w:t>7</w:t>
      </w:r>
      <w:r>
        <w:rPr>
          <w:rFonts w:hint="eastAsia" w:ascii="仿宋" w:hAnsi="仿宋" w:eastAsia="仿宋" w:cs="仿宋"/>
          <w:color w:val="auto"/>
          <w:highlight w:val="none"/>
        </w:rPr>
        <w:t>个工作日内将资金支付到合同约定的乙方账户。</w:t>
      </w:r>
    </w:p>
    <w:p>
      <w:pPr>
        <w:pStyle w:val="5"/>
        <w:rPr>
          <w:rFonts w:hint="eastAsia" w:ascii="仿宋" w:hAnsi="仿宋" w:eastAsia="仿宋" w:cs="仿宋"/>
          <w:color w:val="auto"/>
          <w:highlight w:val="none"/>
          <w:lang w:val="en-US" w:eastAsia="zh-CN"/>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p>
    <w:bookmarkEnd w:id="11"/>
    <w:bookmarkEnd w:id="12"/>
    <w:p>
      <w:pPr>
        <w:numPr>
          <w:ilvl w:val="0"/>
          <w:numId w:val="2"/>
        </w:numPr>
        <w:spacing w:line="360" w:lineRule="auto"/>
        <w:jc w:val="center"/>
        <w:outlineLvl w:val="0"/>
        <w:rPr>
          <w:rFonts w:hint="eastAsia" w:ascii="仿宋" w:hAnsi="仿宋" w:eastAsia="仿宋" w:cs="仿宋"/>
          <w:b/>
          <w:color w:val="auto"/>
          <w:sz w:val="36"/>
          <w:szCs w:val="36"/>
          <w:highlight w:val="none"/>
        </w:rPr>
      </w:pPr>
      <w:bookmarkStart w:id="26" w:name="第四部分"/>
      <w:r>
        <w:rPr>
          <w:rFonts w:hint="eastAsia" w:ascii="仿宋" w:hAnsi="仿宋" w:eastAsia="仿宋" w:cs="仿宋"/>
          <w:b/>
          <w:color w:val="auto"/>
          <w:sz w:val="36"/>
          <w:szCs w:val="36"/>
          <w:highlight w:val="none"/>
        </w:rPr>
        <w:t xml:space="preserve">  采购需求</w:t>
      </w:r>
    </w:p>
    <w:p>
      <w:pPr>
        <w:pStyle w:val="2"/>
        <w:rPr>
          <w:rFonts w:ascii="仿宋" w:hAnsi="仿宋" w:eastAsia="仿宋" w:cs="仿宋"/>
          <w:sz w:val="36"/>
          <w:szCs w:val="36"/>
          <w:highlight w:val="none"/>
          <w:lang w:val="en-US"/>
        </w:rPr>
      </w:pPr>
      <w:r>
        <w:rPr>
          <w:rFonts w:hint="eastAsia" w:ascii="仿宋" w:hAnsi="仿宋" w:eastAsia="仿宋" w:cs="仿宋"/>
          <w:sz w:val="36"/>
          <w:szCs w:val="36"/>
          <w:highlight w:val="none"/>
          <w:lang w:val="en-US"/>
        </w:rPr>
        <w:t>标项一：</w:t>
      </w:r>
    </w:p>
    <w:p>
      <w:pPr>
        <w:numPr>
          <w:ilvl w:val="0"/>
          <w:numId w:val="3"/>
        </w:numPr>
        <w:spacing w:line="360" w:lineRule="auto"/>
        <w:rPr>
          <w:rFonts w:ascii="仿宋" w:hAnsi="仿宋" w:eastAsia="仿宋" w:cs="仿宋"/>
          <w:sz w:val="24"/>
          <w:highlight w:val="none"/>
        </w:rPr>
      </w:pPr>
      <w:r>
        <w:rPr>
          <w:rFonts w:hint="eastAsia" w:ascii="仿宋" w:hAnsi="仿宋" w:eastAsia="仿宋" w:cs="仿宋"/>
          <w:sz w:val="24"/>
          <w:highlight w:val="none"/>
        </w:rPr>
        <w:t>项目名称：临平区兴旺北单元控制性详细规划编制服务采购项目</w:t>
      </w:r>
    </w:p>
    <w:p>
      <w:pPr>
        <w:spacing w:line="360" w:lineRule="auto"/>
        <w:rPr>
          <w:rFonts w:ascii="仿宋" w:hAnsi="仿宋" w:eastAsia="仿宋" w:cs="仿宋"/>
          <w:sz w:val="24"/>
          <w:highlight w:val="none"/>
        </w:rPr>
      </w:pPr>
      <w:r>
        <w:rPr>
          <w:rFonts w:hint="eastAsia" w:ascii="仿宋" w:hAnsi="仿宋" w:eastAsia="仿宋" w:cs="仿宋"/>
          <w:sz w:val="24"/>
          <w:highlight w:val="none"/>
        </w:rPr>
        <w:t>二、项目背景</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兴旺北单元位于开发区东部，单元内未来四轨汇聚，是重要枢纽地区与公共中心，现状生态资源和基底良好，水网港汊独具特色，具备良好生态基底与文化气质。周边地区开发逐渐成熟，本基地范围内只有东北区域建成，拓展余地多。浙江理工大学临平校区建设之后，兴旺北单元是临开区未来5-15年实现新蝶变的“点睛之笔”和“关键七寸”。需要对周边功能布局和交通组织，原有产业、生活配套片区如何整合提升等问题开展研究并落实规划方案。因此急需开展控规编制，科学指导该区块的开发建设与规划管理。</w:t>
      </w:r>
    </w:p>
    <w:p>
      <w:pPr>
        <w:spacing w:line="360" w:lineRule="auto"/>
        <w:rPr>
          <w:rFonts w:ascii="仿宋" w:hAnsi="仿宋" w:eastAsia="仿宋" w:cs="仿宋"/>
          <w:sz w:val="24"/>
          <w:highlight w:val="none"/>
        </w:rPr>
      </w:pPr>
      <w:r>
        <w:rPr>
          <w:rFonts w:hint="eastAsia" w:ascii="仿宋" w:hAnsi="仿宋" w:eastAsia="仿宋" w:cs="仿宋"/>
          <w:sz w:val="24"/>
          <w:highlight w:val="none"/>
        </w:rPr>
        <w:t>三、项目范围</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位于杭州临平经济技术开发区范围内，规划范围西至荷禹路、北至运溪路、南至宁桥大道、东至亭趾港，用地面积约8.06平方千米。</w:t>
      </w:r>
    </w:p>
    <w:p>
      <w:pPr>
        <w:spacing w:line="360" w:lineRule="auto"/>
        <w:rPr>
          <w:rFonts w:ascii="仿宋" w:hAnsi="仿宋" w:eastAsia="仿宋" w:cs="仿宋"/>
          <w:sz w:val="24"/>
          <w:highlight w:val="none"/>
        </w:rPr>
      </w:pPr>
      <w:r>
        <w:rPr>
          <w:rFonts w:hint="eastAsia" w:ascii="仿宋" w:hAnsi="仿宋" w:eastAsia="仿宋" w:cs="仿宋"/>
          <w:sz w:val="24"/>
          <w:highlight w:val="none"/>
        </w:rPr>
        <w:t>四、规划依据</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1、城乡规划法、城市规划编制办法及其它相关法律法规；</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2、《杭州市国土空间规划（2021—2035年）》；</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3、《临平区国土空间规划（2021-2035）》；</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4、《杭州余杭经济技术开发区（钱江经济开发区）总体规划》（2017—2035年）（成果稿）；</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5、《杭州钱江经济开发区控制性详细规划》（报批稿）；</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6、其他在编控规、河道水系专项、综合交通专项等相关规划、规范。</w:t>
      </w:r>
    </w:p>
    <w:p>
      <w:pPr>
        <w:spacing w:line="360" w:lineRule="auto"/>
        <w:rPr>
          <w:rFonts w:ascii="仿宋" w:hAnsi="仿宋" w:eastAsia="仿宋" w:cs="仿宋"/>
          <w:sz w:val="24"/>
          <w:highlight w:val="none"/>
        </w:rPr>
      </w:pPr>
      <w:r>
        <w:rPr>
          <w:rFonts w:hint="eastAsia" w:ascii="仿宋" w:hAnsi="仿宋" w:eastAsia="仿宋" w:cs="仿宋"/>
          <w:sz w:val="24"/>
          <w:highlight w:val="none"/>
        </w:rPr>
        <w:t>五、内容要求</w:t>
      </w:r>
    </w:p>
    <w:p>
      <w:pPr>
        <w:spacing w:line="360" w:lineRule="auto"/>
        <w:rPr>
          <w:rFonts w:ascii="仿宋" w:hAnsi="仿宋" w:eastAsia="仿宋" w:cs="仿宋"/>
          <w:sz w:val="24"/>
          <w:highlight w:val="none"/>
        </w:rPr>
      </w:pPr>
      <w:r>
        <w:rPr>
          <w:rFonts w:hint="eastAsia" w:ascii="仿宋" w:hAnsi="仿宋" w:eastAsia="仿宋" w:cs="仿宋"/>
          <w:sz w:val="24"/>
          <w:highlight w:val="none"/>
        </w:rPr>
        <w:t>（一）技术要求</w:t>
      </w:r>
    </w:p>
    <w:p>
      <w:pPr>
        <w:pStyle w:val="3"/>
        <w:ind w:firstLine="210"/>
        <w:rPr>
          <w:rFonts w:ascii="仿宋" w:hAnsi="仿宋" w:eastAsia="仿宋" w:cs="仿宋"/>
          <w:bCs/>
          <w:snapToGrid/>
          <w:szCs w:val="24"/>
          <w:highlight w:val="none"/>
          <w:lang w:val="en-US"/>
        </w:rPr>
      </w:pPr>
      <w:r>
        <w:rPr>
          <w:rFonts w:hint="eastAsia" w:ascii="仿宋" w:hAnsi="仿宋" w:eastAsia="仿宋" w:cs="仿宋"/>
          <w:bCs/>
          <w:snapToGrid/>
          <w:szCs w:val="24"/>
          <w:highlight w:val="none"/>
          <w:lang w:val="en-US"/>
        </w:rPr>
        <w:t>（一）技术要求</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1、开展控规实施评估和现状分析。对涉及本单元的原有控规实施情况进行调查和分析综合研判原有规划内容，并研究提出本轮控规需要优化提升的内容及需要解决的问题。以现状踏勘和相关资料为基础，对单元内现状用地、交通、产业发展、工业企业发展需求和配套设施等进行充分调研及分析，形成数字化现状底图，总结归纳问题症结，提出优化策略。现状调研过程中应开展问卷调查、无人机航拍等新技术，确保基础数据的准确性。</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2、落实上位规划、衔接在编规划。落实各类各级上位规划对本单元的功能定位、底线管控、空间布局、设施配套等各方面的要求。做好与在编杭州市、临平区国土空间总体规划的衔接工作，单元控规相关内容需符合杭州市国土空间总体规划要求。</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3、依据《杭州市控制性详细规划编制技术规定》及《杭州市控制性详细规划管理规定》，按照新的控制性详细规划编制技术标准和要求进行控规编制。</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4、功能定位研究和空间功能布局优化。结合国家相关政策，在上位规划指导下，通过案例分析、现状资源梳理、区域发展评估等手段，对本单元的发展定位和功能结构进行研究，明确发展方向，提出合理的发展思路。合理优化空间布局和用地结构，协同周边发展，提升空间发展质量和绩效。</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5、落实公共政策要求，切实保障公共服务设施及基础设施的布局。根据《杭州市城市规划公共服务设施基本配套规定（修订）》及近年来编制的文教卫体、市政设施、交通、历史文化保护等专项规划中明确的设施规模及空间布局要求,并结合单元情况，对单元人口规模、需配建的服务设施进行预测及合理布局，明确公共服务设施的布局条件与规模，明确各级道路的红线、断面、交叉口形式及渠化措施，控制坐标和标高，细化各类管线管廊、基础设施地块和控制要求，做好与周边单元交界地区的容量协调和廊道衔接，明确市政工程管线位置、管径和工程设施的用地界线。</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 xml:space="preserve">6、严格落实地下管廊、地下空间、防洪排涝、海绵城市、建筑高度控制、强度分区等控制要求。重视单元品质建设，明确河网水系和城市绿地的管控要求和建设引导，完善公园休憩体系，强化公共开放空间系统，优化绿地空间及慢行交通系统的统筹规划。 </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7、进一步落实“阳光规划”编制要求，按照“将公众参与贯穿整个编制全过程”的要求，做好前期公众调查及中后期意见征求工作。</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8、主动发挥专业技术优势，积极参与技术创新与论证，做好与项目相关的请示、报告、汇报材料、信访回复等材料的撰写工作。积极配合开展与本项目相关的规划方案公示、意见征集及反馈、规划宣传、解释等各类会议及活动。</w:t>
      </w:r>
    </w:p>
    <w:p>
      <w:pPr>
        <w:pStyle w:val="80"/>
        <w:rPr>
          <w:rFonts w:eastAsia="仿宋"/>
          <w:highlight w:val="none"/>
        </w:rPr>
      </w:pPr>
      <w:r>
        <w:rPr>
          <w:rFonts w:hint="eastAsia" w:ascii="仿宋" w:hAnsi="仿宋" w:eastAsia="仿宋" w:cs="仿宋"/>
          <w:snapToGrid w:val="0"/>
          <w:kern w:val="0"/>
          <w:highlight w:val="none"/>
        </w:rPr>
        <w:t>9、</w:t>
      </w:r>
      <w:r>
        <w:rPr>
          <w:rFonts w:hint="eastAsia" w:ascii="仿宋" w:hAnsi="仿宋" w:eastAsia="仿宋" w:cs="仿宋"/>
          <w:highlight w:val="none"/>
        </w:rPr>
        <w:t>工业用地有机更新方案。重点用于盘活工业用地、产业园区配套设施（道路、绿化）等，从而有力提高属地有机更新的积极性、主动性。</w:t>
      </w:r>
    </w:p>
    <w:p>
      <w:pPr>
        <w:spacing w:line="360" w:lineRule="auto"/>
        <w:rPr>
          <w:rFonts w:ascii="仿宋" w:hAnsi="仿宋" w:eastAsia="仿宋" w:cs="仿宋"/>
          <w:sz w:val="24"/>
          <w:highlight w:val="none"/>
        </w:rPr>
      </w:pPr>
      <w:r>
        <w:rPr>
          <w:rFonts w:hint="eastAsia" w:ascii="仿宋" w:hAnsi="仿宋" w:eastAsia="仿宋" w:cs="仿宋"/>
          <w:sz w:val="24"/>
          <w:highlight w:val="none"/>
        </w:rPr>
        <w:t>（二）成果要求</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1、规划成果按《杭州市城市规划编制电子成果提交规范（修编）》要求完成，由规划文本、规划说明书、规划图纸、基础资料汇编组成。成果形式为纸质文档和电子文档。</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w:t>
      </w:r>
      <w:r>
        <w:rPr>
          <w:rFonts w:ascii="仿宋" w:hAnsi="仿宋" w:eastAsia="仿宋" w:cs="仿宋"/>
          <w:snapToGrid w:val="0"/>
          <w:kern w:val="0"/>
          <w:sz w:val="24"/>
          <w:highlight w:val="none"/>
        </w:rPr>
        <w:t>1</w:t>
      </w:r>
      <w:r>
        <w:rPr>
          <w:rFonts w:hint="eastAsia" w:ascii="仿宋" w:hAnsi="仿宋" w:eastAsia="仿宋" w:cs="仿宋"/>
          <w:snapToGrid w:val="0"/>
          <w:kern w:val="0"/>
          <w:sz w:val="24"/>
          <w:highlight w:val="none"/>
        </w:rPr>
        <w:t>）规划文本包括但不限于以下内容：</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1.总则</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2.发展定位与规模</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3.空间结构</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4.用地布局规划</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5.容量与控制指标</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6.道路交通系统规划</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7.景观规划与城市设计导引</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8.市政工程规划</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9.综合防灾规划</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1</w:t>
      </w:r>
      <w:r>
        <w:rPr>
          <w:rFonts w:ascii="仿宋" w:hAnsi="仿宋" w:eastAsia="仿宋" w:cs="仿宋"/>
          <w:snapToGrid w:val="0"/>
          <w:kern w:val="0"/>
          <w:sz w:val="24"/>
          <w:highlight w:val="none"/>
        </w:rPr>
        <w:t>0.</w:t>
      </w:r>
      <w:r>
        <w:rPr>
          <w:rFonts w:hint="eastAsia" w:ascii="仿宋" w:hAnsi="仿宋" w:eastAsia="仿宋" w:cs="仿宋"/>
          <w:snapToGrid w:val="0"/>
          <w:kern w:val="0"/>
          <w:sz w:val="24"/>
          <w:highlight w:val="none"/>
        </w:rPr>
        <w:t>近期建设规划</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1</w:t>
      </w:r>
      <w:r>
        <w:rPr>
          <w:rFonts w:ascii="仿宋" w:hAnsi="仿宋" w:eastAsia="仿宋" w:cs="仿宋"/>
          <w:snapToGrid w:val="0"/>
          <w:kern w:val="0"/>
          <w:sz w:val="24"/>
          <w:highlight w:val="none"/>
        </w:rPr>
        <w:t>1.</w:t>
      </w:r>
      <w:r>
        <w:rPr>
          <w:rFonts w:hint="eastAsia" w:ascii="仿宋" w:hAnsi="仿宋" w:eastAsia="仿宋" w:cs="仿宋"/>
          <w:snapToGrid w:val="0"/>
          <w:kern w:val="0"/>
          <w:sz w:val="24"/>
          <w:highlight w:val="none"/>
        </w:rPr>
        <w:t>规划实施保障措施</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w:t>
      </w:r>
      <w:r>
        <w:rPr>
          <w:rFonts w:ascii="仿宋" w:hAnsi="仿宋" w:eastAsia="仿宋" w:cs="仿宋"/>
          <w:snapToGrid w:val="0"/>
          <w:kern w:val="0"/>
          <w:sz w:val="24"/>
          <w:highlight w:val="none"/>
        </w:rPr>
        <w:t>2</w:t>
      </w:r>
      <w:r>
        <w:rPr>
          <w:rFonts w:hint="eastAsia" w:ascii="仿宋" w:hAnsi="仿宋" w:eastAsia="仿宋" w:cs="仿宋"/>
          <w:snapToGrid w:val="0"/>
          <w:kern w:val="0"/>
          <w:sz w:val="24"/>
          <w:highlight w:val="none"/>
        </w:rPr>
        <w:t>）规划说明书由正文和附录两部分组成，主要包括：</w:t>
      </w:r>
    </w:p>
    <w:p>
      <w:pPr>
        <w:snapToGrid w:val="0"/>
        <w:spacing w:line="336" w:lineRule="auto"/>
        <w:ind w:firstLine="480" w:firstLineChars="200"/>
        <w:rPr>
          <w:rFonts w:ascii="仿宋" w:hAnsi="仿宋" w:eastAsia="仿宋" w:cs="仿宋"/>
          <w:snapToGrid w:val="0"/>
          <w:kern w:val="0"/>
          <w:sz w:val="24"/>
          <w:highlight w:val="none"/>
        </w:rPr>
      </w:pPr>
      <w:r>
        <w:rPr>
          <w:rFonts w:ascii="仿宋" w:hAnsi="仿宋" w:eastAsia="仿宋" w:cs="仿宋"/>
          <w:snapToGrid w:val="0"/>
          <w:kern w:val="0"/>
          <w:sz w:val="24"/>
          <w:highlight w:val="none"/>
        </w:rPr>
        <w:t>1</w:t>
      </w:r>
      <w:r>
        <w:rPr>
          <w:rFonts w:hint="eastAsia" w:ascii="仿宋" w:hAnsi="仿宋" w:eastAsia="仿宋" w:cs="仿宋"/>
          <w:snapToGrid w:val="0"/>
          <w:kern w:val="0"/>
          <w:sz w:val="24"/>
          <w:highlight w:val="none"/>
        </w:rPr>
        <w:t>.规划说明书正文应当与规划文本的条文相对应，对规划文本条文做出详细说明。</w:t>
      </w:r>
    </w:p>
    <w:p>
      <w:pPr>
        <w:snapToGrid w:val="0"/>
        <w:spacing w:line="336" w:lineRule="auto"/>
        <w:ind w:firstLine="480" w:firstLineChars="200"/>
        <w:rPr>
          <w:rFonts w:ascii="仿宋" w:hAnsi="仿宋" w:eastAsia="仿宋" w:cs="仿宋"/>
          <w:snapToGrid w:val="0"/>
          <w:kern w:val="0"/>
          <w:sz w:val="24"/>
          <w:highlight w:val="none"/>
        </w:rPr>
      </w:pPr>
      <w:r>
        <w:rPr>
          <w:rFonts w:ascii="仿宋" w:hAnsi="仿宋" w:eastAsia="仿宋" w:cs="仿宋"/>
          <w:snapToGrid w:val="0"/>
          <w:kern w:val="0"/>
          <w:sz w:val="24"/>
          <w:highlight w:val="none"/>
        </w:rPr>
        <w:t>2.</w:t>
      </w:r>
      <w:r>
        <w:rPr>
          <w:rFonts w:hint="eastAsia" w:ascii="仿宋" w:hAnsi="仿宋" w:eastAsia="仿宋" w:cs="仿宋"/>
          <w:snapToGrid w:val="0"/>
          <w:kern w:val="0"/>
          <w:sz w:val="24"/>
          <w:highlight w:val="none"/>
        </w:rPr>
        <w:t>规划说明书附录主要包括现状分析评价报告、其它专题研究报告、专家评审意见及落实情况、相关部门建议、公众意见、政府批复等内容</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w:t>
      </w:r>
      <w:r>
        <w:rPr>
          <w:rFonts w:ascii="仿宋" w:hAnsi="仿宋" w:eastAsia="仿宋" w:cs="仿宋"/>
          <w:snapToGrid w:val="0"/>
          <w:kern w:val="0"/>
          <w:sz w:val="24"/>
          <w:highlight w:val="none"/>
        </w:rPr>
        <w:t>3</w:t>
      </w:r>
      <w:r>
        <w:rPr>
          <w:rFonts w:hint="eastAsia" w:ascii="仿宋" w:hAnsi="仿宋" w:eastAsia="仿宋" w:cs="仿宋"/>
          <w:snapToGrid w:val="0"/>
          <w:kern w:val="0"/>
          <w:sz w:val="24"/>
          <w:highlight w:val="none"/>
        </w:rPr>
        <w:t>）规划图纸所表达的内容应当清晰、准确，与规划文本内容相符。现状图、规划图和分析图应当分别表示，图例应当一致。主要图纸应包括但不限于：</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1.区位图</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2.用地现状图</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3.用地规划图</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4.规划结构图</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5.公共设施规划图</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6.道路系统规划图</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7.绿地景观规划图</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8.主要市政设施规划图</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9.其它规划分析图</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2、最终成果应包括：法定文件、技术文件、附件、详规数据库（数据库标准另行制定）。</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1）规划成果包括中审稿、送审稿、报批稿和成果稿四个阶段成果。中间过程稿提交25套，电子文档（光盘）2套；规划送审稿提交25套，电子文档（光盘）2套；规划报批稿6套，电子文档（光盘）6套；最终成果提交6套，电子文档（光盘）6套，（具体数量根据实际需求有所变动）。</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（2）电子文档：包括文本电子文档（doc、pdf、ppt等）以及图纸电子文档（含dwg、jpg等）、详规入库数据库矢量文件，且电子矢量文件必须为可编辑（具体文件格式另行规定）。</w:t>
      </w:r>
    </w:p>
    <w:p>
      <w:pPr>
        <w:snapToGrid w:val="0"/>
        <w:spacing w:line="336" w:lineRule="auto"/>
        <w:ind w:firstLine="480" w:firstLineChars="200"/>
        <w:rPr>
          <w:rFonts w:ascii="仿宋" w:hAnsi="仿宋" w:eastAsia="仿宋" w:cs="仿宋"/>
          <w:bCs/>
          <w:snapToGrid w:val="0"/>
          <w:highlight w:val="none"/>
        </w:rPr>
      </w:pPr>
      <w:r>
        <w:rPr>
          <w:rFonts w:hint="eastAsia" w:ascii="仿宋" w:hAnsi="仿宋" w:eastAsia="仿宋" w:cs="仿宋"/>
          <w:snapToGrid w:val="0"/>
          <w:kern w:val="0"/>
          <w:sz w:val="24"/>
          <w:highlight w:val="none"/>
        </w:rPr>
        <w:t>（3）成果验收时，投标人提交的成果须满足本项所有要求。</w:t>
      </w:r>
    </w:p>
    <w:p>
      <w:pPr>
        <w:spacing w:line="360" w:lineRule="auto"/>
        <w:rPr>
          <w:rFonts w:ascii="仿宋" w:hAnsi="仿宋" w:eastAsia="仿宋" w:cs="仿宋"/>
          <w:sz w:val="24"/>
          <w:highlight w:val="none"/>
        </w:rPr>
      </w:pPr>
      <w:r>
        <w:rPr>
          <w:rFonts w:hint="eastAsia" w:ascii="仿宋" w:hAnsi="仿宋" w:eastAsia="仿宋" w:cs="仿宋"/>
          <w:sz w:val="24"/>
          <w:highlight w:val="none"/>
        </w:rPr>
        <w:t>六、经费预算</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该项目意向公开中经费为</w:t>
      </w:r>
      <w:r>
        <w:rPr>
          <w:rFonts w:ascii="仿宋" w:hAnsi="仿宋" w:eastAsia="仿宋" w:cs="仿宋"/>
          <w:snapToGrid w:val="0"/>
          <w:kern w:val="0"/>
          <w:sz w:val="24"/>
          <w:highlight w:val="none"/>
        </w:rPr>
        <w:t>226</w:t>
      </w:r>
      <w:r>
        <w:rPr>
          <w:rFonts w:hint="eastAsia" w:ascii="仿宋" w:hAnsi="仿宋" w:eastAsia="仿宋" w:cs="仿宋"/>
          <w:snapToGrid w:val="0"/>
          <w:kern w:val="0"/>
          <w:sz w:val="24"/>
          <w:highlight w:val="none"/>
        </w:rPr>
        <w:t>万元，具体经费预算以财政下达为准。</w:t>
      </w:r>
    </w:p>
    <w:p>
      <w:pPr>
        <w:pStyle w:val="2"/>
        <w:rPr>
          <w:rFonts w:hint="eastAsia"/>
          <w:highlight w:val="none"/>
          <w:lang w:val="en-US"/>
        </w:rPr>
      </w:pPr>
    </w:p>
    <w:p>
      <w:pPr>
        <w:spacing w:line="360" w:lineRule="auto"/>
        <w:rPr>
          <w:rFonts w:ascii="仿宋" w:hAnsi="仿宋" w:eastAsia="仿宋" w:cs="仿宋"/>
          <w:sz w:val="24"/>
          <w:highlight w:val="none"/>
        </w:rPr>
      </w:pPr>
    </w:p>
    <w:p>
      <w:pPr>
        <w:spacing w:line="360" w:lineRule="auto"/>
        <w:rPr>
          <w:rFonts w:ascii="仿宋" w:hAnsi="仿宋" w:eastAsia="仿宋" w:cs="仿宋"/>
          <w:sz w:val="24"/>
          <w:highlight w:val="none"/>
        </w:rPr>
      </w:pPr>
      <w:r>
        <w:rPr>
          <w:rFonts w:hint="eastAsia" w:ascii="仿宋" w:hAnsi="仿宋" w:eastAsia="仿宋" w:cs="仿宋"/>
          <w:sz w:val="24"/>
          <w:highlight w:val="none"/>
        </w:rPr>
        <w:t>七、采购方式：公开招标</w:t>
      </w:r>
    </w:p>
    <w:p>
      <w:pPr>
        <w:spacing w:line="360" w:lineRule="auto"/>
        <w:rPr>
          <w:rFonts w:ascii="仿宋" w:hAnsi="仿宋" w:eastAsia="仿宋" w:cs="仿宋"/>
          <w:sz w:val="24"/>
          <w:highlight w:val="none"/>
        </w:rPr>
      </w:pPr>
      <w:r>
        <w:rPr>
          <w:rFonts w:hint="eastAsia" w:ascii="仿宋" w:hAnsi="仿宋" w:eastAsia="仿宋" w:cs="仿宋"/>
          <w:sz w:val="24"/>
          <w:highlight w:val="none"/>
        </w:rPr>
        <w:t>八、时间进度要求：</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中间过程稿：中标后1个月内完成；</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规划送审稿：在2023年4月底前完成；</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规划报批稿：在2023年6月底前完成（含一个月公示时间）；</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规划最终成果稿：按规定程序和时间完成报批工作。</w:t>
      </w:r>
    </w:p>
    <w:p>
      <w:pPr>
        <w:pStyle w:val="80"/>
        <w:ind w:firstLine="0" w:firstLineChars="0"/>
        <w:rPr>
          <w:rFonts w:eastAsia="仿宋"/>
          <w:highlight w:val="none"/>
        </w:rPr>
      </w:pPr>
      <w:r>
        <w:rPr>
          <w:rFonts w:hint="eastAsia" w:ascii="仿宋" w:hAnsi="仿宋" w:eastAsia="仿宋" w:cs="仿宋"/>
          <w:highlight w:val="none"/>
        </w:rPr>
        <w:t>九、付款方式：</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2"/>
        <w:gridCol w:w="1273"/>
        <w:gridCol w:w="5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526" w:type="dxa"/>
            <w:shd w:val="clear" w:color="auto" w:fill="auto"/>
            <w:vAlign w:val="center"/>
          </w:tcPr>
          <w:p>
            <w:pPr>
              <w:spacing w:before="0" w:beforeAutospacing="0" w:after="0" w:afterAutospacing="0"/>
              <w:ind w:left="0" w:right="0"/>
              <w:jc w:val="center"/>
              <w:rPr>
                <w:rFonts w:hint="eastAsia" w:ascii="仿宋" w:hAnsi="仿宋" w:eastAsia="仿宋" w:cs="仿宋"/>
                <w:sz w:val="24"/>
                <w:highlight w:val="none"/>
              </w:rPr>
            </w:pPr>
            <w:r>
              <w:rPr>
                <w:rFonts w:hint="eastAsia" w:ascii="仿宋" w:hAnsi="仿宋" w:eastAsia="仿宋" w:cs="仿宋"/>
                <w:sz w:val="24"/>
                <w:highlight w:val="none"/>
              </w:rPr>
              <w:t>付费阶段</w:t>
            </w:r>
          </w:p>
        </w:tc>
        <w:tc>
          <w:tcPr>
            <w:tcW w:w="1276" w:type="dxa"/>
            <w:shd w:val="clear" w:color="auto" w:fill="auto"/>
            <w:vAlign w:val="center"/>
          </w:tcPr>
          <w:p>
            <w:pPr>
              <w:spacing w:before="0" w:beforeAutospacing="0" w:after="0" w:afterAutospacing="0"/>
              <w:ind w:left="0" w:right="0"/>
              <w:jc w:val="center"/>
              <w:rPr>
                <w:rFonts w:hint="eastAsia" w:ascii="仿宋" w:hAnsi="仿宋" w:eastAsia="仿宋" w:cs="仿宋"/>
                <w:sz w:val="24"/>
                <w:highlight w:val="none"/>
              </w:rPr>
            </w:pPr>
            <w:r>
              <w:rPr>
                <w:rFonts w:hint="eastAsia" w:ascii="仿宋" w:hAnsi="仿宋" w:eastAsia="仿宋" w:cs="仿宋"/>
                <w:sz w:val="24"/>
                <w:highlight w:val="none"/>
              </w:rPr>
              <w:t>付费比例</w:t>
            </w:r>
          </w:p>
        </w:tc>
        <w:tc>
          <w:tcPr>
            <w:tcW w:w="5720" w:type="dxa"/>
            <w:shd w:val="clear" w:color="auto" w:fill="auto"/>
            <w:vAlign w:val="center"/>
          </w:tcPr>
          <w:p>
            <w:pPr>
              <w:spacing w:before="0" w:beforeAutospacing="0" w:after="0" w:afterAutospacing="0"/>
              <w:ind w:left="0" w:right="0"/>
              <w:jc w:val="center"/>
              <w:rPr>
                <w:rFonts w:hint="eastAsia" w:ascii="仿宋" w:hAnsi="仿宋" w:eastAsia="仿宋" w:cs="仿宋"/>
                <w:sz w:val="24"/>
                <w:highlight w:val="none"/>
              </w:rPr>
            </w:pPr>
            <w:r>
              <w:rPr>
                <w:rFonts w:hint="eastAsia" w:ascii="仿宋" w:hAnsi="仿宋" w:eastAsia="仿宋" w:cs="仿宋"/>
                <w:sz w:val="24"/>
                <w:highlight w:val="none"/>
              </w:rPr>
              <w:t>付费要求及时间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1526" w:type="dxa"/>
            <w:shd w:val="clear" w:color="auto" w:fill="auto"/>
            <w:vAlign w:val="center"/>
          </w:tcPr>
          <w:p>
            <w:pPr>
              <w:spacing w:before="0" w:beforeAutospacing="0" w:after="0" w:afterAutospacing="0"/>
              <w:ind w:left="0" w:right="0"/>
              <w:jc w:val="center"/>
              <w:rPr>
                <w:rFonts w:hint="eastAsia" w:ascii="仿宋" w:hAnsi="仿宋" w:eastAsia="仿宋" w:cs="仿宋"/>
                <w:sz w:val="24"/>
                <w:highlight w:val="none"/>
              </w:rPr>
            </w:pPr>
            <w:r>
              <w:rPr>
                <w:rFonts w:hint="eastAsia" w:ascii="仿宋" w:hAnsi="仿宋" w:eastAsia="仿宋" w:cs="仿宋"/>
                <w:sz w:val="24"/>
                <w:highlight w:val="none"/>
              </w:rPr>
              <w:t>第一次付费</w:t>
            </w:r>
          </w:p>
        </w:tc>
        <w:tc>
          <w:tcPr>
            <w:tcW w:w="1276" w:type="dxa"/>
            <w:shd w:val="clear" w:color="auto" w:fill="auto"/>
            <w:vAlign w:val="center"/>
          </w:tcPr>
          <w:p>
            <w:pPr>
              <w:snapToGrid w:val="0"/>
              <w:spacing w:before="0" w:beforeAutospacing="0" w:after="0" w:afterAutospacing="0"/>
              <w:ind w:left="0" w:right="0" w:firstLine="33" w:firstLineChars="14"/>
              <w:jc w:val="center"/>
              <w:rPr>
                <w:rFonts w:hint="eastAsia" w:ascii="仿宋" w:hAnsi="仿宋" w:eastAsia="仿宋" w:cs="仿宋"/>
                <w:sz w:val="24"/>
                <w:highlight w:val="none"/>
              </w:rPr>
            </w:pPr>
            <w:r>
              <w:rPr>
                <w:rFonts w:hint="eastAsia" w:ascii="仿宋" w:hAnsi="仿宋" w:eastAsia="仿宋" w:cs="仿宋"/>
                <w:sz w:val="24"/>
                <w:highlight w:val="none"/>
              </w:rPr>
              <w:t>30%</w:t>
            </w:r>
          </w:p>
        </w:tc>
        <w:tc>
          <w:tcPr>
            <w:tcW w:w="5720" w:type="dxa"/>
            <w:shd w:val="clear" w:color="auto" w:fill="auto"/>
            <w:vAlign w:val="center"/>
          </w:tcPr>
          <w:p>
            <w:pPr>
              <w:snapToGrid w:val="0"/>
              <w:spacing w:before="0" w:beforeAutospacing="0" w:after="0" w:afterAutospacing="0" w:line="336" w:lineRule="auto"/>
              <w:ind w:left="0" w:right="0" w:firstLine="33" w:firstLineChars="14"/>
              <w:rPr>
                <w:rFonts w:hint="eastAsia" w:ascii="仿宋" w:hAnsi="仿宋" w:eastAsia="仿宋" w:cs="仿宋"/>
                <w:snapToGrid w:val="0"/>
                <w:kern w:val="0"/>
                <w:sz w:val="24"/>
                <w:highlight w:val="none"/>
              </w:rPr>
            </w:pPr>
            <w:r>
              <w:rPr>
                <w:rFonts w:hint="eastAsia" w:ascii="仿宋" w:hAnsi="仿宋" w:eastAsia="仿宋" w:cs="仿宋"/>
                <w:snapToGrid w:val="0"/>
                <w:kern w:val="0"/>
                <w:sz w:val="24"/>
                <w:highlight w:val="none"/>
              </w:rPr>
              <w:t>合同签订后15日内支付合同总额的30%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26" w:type="dxa"/>
            <w:shd w:val="clear" w:color="auto" w:fill="auto"/>
            <w:vAlign w:val="center"/>
          </w:tcPr>
          <w:p>
            <w:pPr>
              <w:spacing w:before="0" w:beforeAutospacing="0" w:after="0" w:afterAutospacing="0"/>
              <w:ind w:left="0" w:right="0"/>
              <w:jc w:val="center"/>
              <w:rPr>
                <w:rFonts w:hint="eastAsia" w:ascii="仿宋" w:hAnsi="仿宋" w:eastAsia="仿宋" w:cs="仿宋"/>
                <w:sz w:val="24"/>
                <w:highlight w:val="none"/>
              </w:rPr>
            </w:pPr>
            <w:r>
              <w:rPr>
                <w:rFonts w:hint="eastAsia" w:ascii="仿宋" w:hAnsi="仿宋" w:eastAsia="仿宋" w:cs="仿宋"/>
                <w:sz w:val="24"/>
                <w:highlight w:val="none"/>
              </w:rPr>
              <w:t>第二次付费</w:t>
            </w:r>
          </w:p>
        </w:tc>
        <w:tc>
          <w:tcPr>
            <w:tcW w:w="1276" w:type="dxa"/>
            <w:shd w:val="clear" w:color="auto" w:fill="auto"/>
            <w:vAlign w:val="center"/>
          </w:tcPr>
          <w:p>
            <w:pPr>
              <w:snapToGrid w:val="0"/>
              <w:spacing w:before="0" w:beforeAutospacing="0" w:after="0" w:afterAutospacing="0"/>
              <w:ind w:left="0" w:right="0" w:firstLine="33" w:firstLineChars="14"/>
              <w:jc w:val="center"/>
              <w:rPr>
                <w:rFonts w:hint="eastAsia" w:ascii="仿宋" w:hAnsi="仿宋" w:eastAsia="仿宋" w:cs="仿宋"/>
                <w:sz w:val="24"/>
                <w:highlight w:val="none"/>
              </w:rPr>
            </w:pPr>
            <w:r>
              <w:rPr>
                <w:rFonts w:hint="eastAsia" w:ascii="仿宋" w:hAnsi="仿宋" w:eastAsia="仿宋" w:cs="仿宋"/>
                <w:sz w:val="24"/>
                <w:highlight w:val="none"/>
              </w:rPr>
              <w:t>20%</w:t>
            </w:r>
          </w:p>
        </w:tc>
        <w:tc>
          <w:tcPr>
            <w:tcW w:w="5720" w:type="dxa"/>
            <w:shd w:val="clear" w:color="auto" w:fill="auto"/>
            <w:vAlign w:val="center"/>
          </w:tcPr>
          <w:p>
            <w:pPr>
              <w:snapToGrid w:val="0"/>
              <w:spacing w:before="0" w:beforeAutospacing="0" w:after="0" w:afterAutospacing="0" w:line="336" w:lineRule="auto"/>
              <w:ind w:left="0" w:right="0" w:firstLine="33" w:firstLineChars="14"/>
              <w:rPr>
                <w:rFonts w:hint="eastAsia" w:ascii="仿宋" w:hAnsi="仿宋" w:eastAsia="仿宋" w:cs="仿宋"/>
                <w:snapToGrid w:val="0"/>
                <w:kern w:val="0"/>
                <w:sz w:val="24"/>
                <w:highlight w:val="none"/>
              </w:rPr>
            </w:pPr>
            <w:r>
              <w:rPr>
                <w:rFonts w:hint="eastAsia" w:ascii="仿宋" w:hAnsi="仿宋" w:eastAsia="仿宋" w:cs="仿宋"/>
                <w:sz w:val="24"/>
                <w:highlight w:val="none"/>
              </w:rPr>
              <w:t>乙方提交中间过程稿，经甲方组织专家和部门审查达到技术要求的，在出具会议纪要后15个工作日内支付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26" w:type="dxa"/>
            <w:shd w:val="clear" w:color="auto" w:fill="auto"/>
            <w:vAlign w:val="center"/>
          </w:tcPr>
          <w:p>
            <w:pPr>
              <w:spacing w:before="0" w:beforeAutospacing="0" w:after="0" w:afterAutospacing="0"/>
              <w:ind w:left="0" w:right="0"/>
              <w:jc w:val="center"/>
              <w:rPr>
                <w:rFonts w:hint="eastAsia" w:ascii="仿宋" w:hAnsi="仿宋" w:eastAsia="仿宋" w:cs="仿宋"/>
                <w:sz w:val="24"/>
                <w:highlight w:val="none"/>
              </w:rPr>
            </w:pPr>
            <w:r>
              <w:rPr>
                <w:rFonts w:hint="eastAsia" w:ascii="仿宋" w:hAnsi="仿宋" w:eastAsia="仿宋" w:cs="仿宋"/>
                <w:sz w:val="24"/>
                <w:highlight w:val="none"/>
              </w:rPr>
              <w:t>第三次付费</w:t>
            </w:r>
          </w:p>
        </w:tc>
        <w:tc>
          <w:tcPr>
            <w:tcW w:w="1276" w:type="dxa"/>
            <w:shd w:val="clear" w:color="auto" w:fill="auto"/>
            <w:vAlign w:val="center"/>
          </w:tcPr>
          <w:p>
            <w:pPr>
              <w:snapToGrid w:val="0"/>
              <w:spacing w:before="0" w:beforeAutospacing="0" w:after="0" w:afterAutospacing="0"/>
              <w:ind w:left="0" w:right="0" w:firstLine="33" w:firstLineChars="14"/>
              <w:jc w:val="center"/>
              <w:rPr>
                <w:rFonts w:hint="eastAsia" w:ascii="仿宋" w:hAnsi="仿宋" w:eastAsia="仿宋" w:cs="仿宋"/>
                <w:sz w:val="24"/>
                <w:highlight w:val="none"/>
              </w:rPr>
            </w:pPr>
            <w:r>
              <w:rPr>
                <w:rFonts w:hint="eastAsia" w:ascii="仿宋" w:hAnsi="仿宋" w:eastAsia="仿宋" w:cs="仿宋"/>
                <w:sz w:val="24"/>
                <w:highlight w:val="none"/>
              </w:rPr>
              <w:t>30%</w:t>
            </w:r>
          </w:p>
        </w:tc>
        <w:tc>
          <w:tcPr>
            <w:tcW w:w="5720" w:type="dxa"/>
            <w:shd w:val="clear" w:color="auto" w:fill="auto"/>
            <w:vAlign w:val="center"/>
          </w:tcPr>
          <w:p>
            <w:pPr>
              <w:snapToGrid w:val="0"/>
              <w:spacing w:before="0" w:beforeAutospacing="0" w:after="0" w:afterAutospacing="0" w:line="336" w:lineRule="auto"/>
              <w:ind w:left="0" w:right="0" w:firstLine="33" w:firstLineChars="14"/>
              <w:rPr>
                <w:rFonts w:hint="eastAsia" w:ascii="仿宋" w:hAnsi="仿宋" w:eastAsia="仿宋" w:cs="仿宋"/>
                <w:snapToGrid w:val="0"/>
                <w:kern w:val="0"/>
                <w:sz w:val="24"/>
                <w:highlight w:val="none"/>
              </w:rPr>
            </w:pPr>
            <w:r>
              <w:rPr>
                <w:rFonts w:hint="eastAsia" w:ascii="仿宋" w:hAnsi="仿宋" w:eastAsia="仿宋" w:cs="仿宋"/>
                <w:sz w:val="24"/>
                <w:highlight w:val="none"/>
              </w:rPr>
              <w:t>乙方提交规划送审稿，经杭州市规划和自然资源局组织专家和部门审查达到技术要求的，在出具会议纪要后15个工作日内支付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26" w:type="dxa"/>
            <w:shd w:val="clear" w:color="auto" w:fill="auto"/>
            <w:vAlign w:val="center"/>
          </w:tcPr>
          <w:p>
            <w:pPr>
              <w:spacing w:before="0" w:beforeAutospacing="0" w:after="0" w:afterAutospacing="0"/>
              <w:ind w:left="0" w:right="0"/>
              <w:jc w:val="center"/>
              <w:rPr>
                <w:rFonts w:hint="eastAsia" w:ascii="仿宋" w:hAnsi="仿宋" w:eastAsia="仿宋" w:cs="仿宋"/>
                <w:sz w:val="24"/>
                <w:highlight w:val="none"/>
              </w:rPr>
            </w:pPr>
            <w:r>
              <w:rPr>
                <w:rFonts w:hint="eastAsia" w:ascii="仿宋" w:hAnsi="仿宋" w:eastAsia="仿宋" w:cs="仿宋"/>
                <w:sz w:val="24"/>
                <w:highlight w:val="none"/>
              </w:rPr>
              <w:t>第四次付费</w:t>
            </w:r>
          </w:p>
        </w:tc>
        <w:tc>
          <w:tcPr>
            <w:tcW w:w="1276" w:type="dxa"/>
            <w:shd w:val="clear" w:color="auto" w:fill="auto"/>
            <w:vAlign w:val="center"/>
          </w:tcPr>
          <w:p>
            <w:pPr>
              <w:snapToGrid w:val="0"/>
              <w:spacing w:before="0" w:beforeAutospacing="0" w:after="0" w:afterAutospacing="0"/>
              <w:ind w:left="0" w:right="0" w:firstLine="33" w:firstLineChars="14"/>
              <w:jc w:val="center"/>
              <w:rPr>
                <w:rFonts w:hint="eastAsia" w:ascii="仿宋" w:hAnsi="仿宋" w:eastAsia="仿宋" w:cs="仿宋"/>
                <w:sz w:val="24"/>
                <w:highlight w:val="none"/>
              </w:rPr>
            </w:pPr>
            <w:r>
              <w:rPr>
                <w:rFonts w:hint="eastAsia" w:ascii="仿宋" w:hAnsi="仿宋" w:eastAsia="仿宋" w:cs="仿宋"/>
                <w:sz w:val="24"/>
                <w:highlight w:val="none"/>
              </w:rPr>
              <w:t>20%</w:t>
            </w:r>
          </w:p>
        </w:tc>
        <w:tc>
          <w:tcPr>
            <w:tcW w:w="5720" w:type="dxa"/>
            <w:shd w:val="clear" w:color="auto" w:fill="auto"/>
            <w:vAlign w:val="center"/>
          </w:tcPr>
          <w:p>
            <w:pPr>
              <w:snapToGrid w:val="0"/>
              <w:spacing w:before="0" w:beforeAutospacing="0" w:after="0" w:afterAutospacing="0" w:line="336" w:lineRule="auto"/>
              <w:ind w:left="0" w:right="0" w:firstLine="33" w:firstLineChars="14"/>
              <w:rPr>
                <w:rFonts w:hint="eastAsia" w:ascii="仿宋" w:hAnsi="仿宋" w:eastAsia="仿宋" w:cs="仿宋"/>
                <w:snapToGrid w:val="0"/>
                <w:kern w:val="0"/>
                <w:sz w:val="24"/>
                <w:highlight w:val="none"/>
              </w:rPr>
            </w:pPr>
            <w:r>
              <w:rPr>
                <w:rFonts w:hint="eastAsia" w:ascii="仿宋" w:hAnsi="仿宋" w:eastAsia="仿宋" w:cs="仿宋"/>
                <w:sz w:val="24"/>
                <w:highlight w:val="none"/>
              </w:rPr>
              <w:t>乙方提交规划报批稿，经杭州市人民政府批复后，按规定提交最终成果经甲方确认后15个工作日内支付</w:t>
            </w:r>
          </w:p>
        </w:tc>
      </w:tr>
    </w:tbl>
    <w:p>
      <w:pPr>
        <w:spacing w:line="360" w:lineRule="auto"/>
        <w:rPr>
          <w:rFonts w:hint="eastAsia" w:ascii="仿宋" w:hAnsi="仿宋" w:eastAsia="仿宋" w:cs="仿宋"/>
          <w:color w:val="auto"/>
          <w:sz w:val="24"/>
          <w:szCs w:val="24"/>
          <w:highlight w:val="none"/>
        </w:rPr>
        <w:sectPr>
          <w:headerReference r:id="rId8" w:type="default"/>
          <w:footerReference r:id="rId9" w:type="default"/>
          <w:pgSz w:w="11907" w:h="16840"/>
          <w:pgMar w:top="1474" w:right="1814" w:bottom="1474" w:left="1814" w:header="851" w:footer="851" w:gutter="0"/>
          <w:cols w:space="720" w:num="1"/>
        </w:sectPr>
      </w:pPr>
      <w:r>
        <w:rPr>
          <w:rFonts w:hint="eastAsia" w:ascii="仿宋" w:hAnsi="仿宋" w:eastAsia="仿宋" w:cs="仿宋"/>
          <w:b/>
          <w:bCs/>
          <w:color w:val="auto"/>
          <w:sz w:val="24"/>
          <w:szCs w:val="24"/>
          <w:highlight w:val="none"/>
        </w:rPr>
        <w:t>带“</w:t>
      </w:r>
      <w:r>
        <w:rPr>
          <w:rFonts w:hint="eastAsia" w:ascii="仿宋" w:hAnsi="仿宋" w:eastAsia="仿宋" w:cs="仿宋"/>
          <w:color w:val="auto"/>
          <w:sz w:val="24"/>
          <w:szCs w:val="24"/>
          <w:highlight w:val="none"/>
        </w:rPr>
        <w:t>▲</w:t>
      </w:r>
      <w:r>
        <w:rPr>
          <w:rFonts w:hint="eastAsia" w:ascii="仿宋" w:hAnsi="仿宋" w:eastAsia="仿宋" w:cs="仿宋"/>
          <w:b/>
          <w:bCs/>
          <w:color w:val="auto"/>
          <w:sz w:val="24"/>
          <w:szCs w:val="24"/>
          <w:highlight w:val="none"/>
        </w:rPr>
        <w:t>”条款为实质性条款，投标人须</w:t>
      </w:r>
      <w:r>
        <w:rPr>
          <w:rFonts w:hint="eastAsia" w:ascii="仿宋" w:hAnsi="仿宋" w:eastAsia="仿宋" w:cs="仿宋"/>
          <w:b/>
          <w:bCs/>
          <w:color w:val="auto"/>
          <w:sz w:val="24"/>
          <w:szCs w:val="24"/>
          <w:highlight w:val="none"/>
          <w:lang w:val="en-US" w:eastAsia="zh-CN"/>
        </w:rPr>
        <w:t>将相应内容填写至</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符合性审查资料</w:t>
      </w:r>
      <w:r>
        <w:rPr>
          <w:rFonts w:hint="eastAsia" w:ascii="仿宋" w:hAnsi="仿宋" w:eastAsia="仿宋" w:cs="仿宋"/>
          <w:b/>
          <w:bCs/>
          <w:color w:val="auto"/>
          <w:sz w:val="24"/>
          <w:szCs w:val="24"/>
          <w:highlight w:val="none"/>
        </w:rPr>
        <w:t>》，如有任意一条未响应或不满足，将被视为</w:t>
      </w:r>
      <w:r>
        <w:rPr>
          <w:rFonts w:hint="eastAsia" w:ascii="仿宋" w:hAnsi="仿宋" w:eastAsia="仿宋" w:cs="仿宋"/>
          <w:b/>
          <w:bCs/>
          <w:color w:val="auto"/>
          <w:sz w:val="24"/>
          <w:szCs w:val="24"/>
          <w:highlight w:val="none"/>
          <w:lang w:eastAsia="zh-CN"/>
        </w:rPr>
        <w:t>投标</w:t>
      </w:r>
      <w:r>
        <w:rPr>
          <w:rFonts w:hint="eastAsia" w:ascii="仿宋" w:hAnsi="仿宋" w:eastAsia="仿宋" w:cs="仿宋"/>
          <w:b/>
          <w:bCs/>
          <w:color w:val="auto"/>
          <w:sz w:val="24"/>
          <w:szCs w:val="24"/>
          <w:highlight w:val="none"/>
        </w:rPr>
        <w:t>无效</w:t>
      </w:r>
      <w:r>
        <w:rPr>
          <w:rFonts w:hint="eastAsia" w:ascii="仿宋" w:hAnsi="仿宋" w:eastAsia="仿宋" w:cs="仿宋"/>
          <w:b/>
          <w:bCs/>
          <w:color w:val="auto"/>
          <w:sz w:val="24"/>
          <w:szCs w:val="24"/>
          <w:highlight w:val="none"/>
          <w:lang w:eastAsia="zh-CN"/>
        </w:rPr>
        <w:t>。</w:t>
      </w:r>
    </w:p>
    <w:p>
      <w:pPr>
        <w:spacing w:line="360" w:lineRule="auto"/>
        <w:rPr>
          <w:rFonts w:ascii="仿宋" w:hAnsi="仿宋" w:eastAsia="仿宋" w:cs="仿宋"/>
          <w:bCs/>
          <w:sz w:val="24"/>
          <w:highlight w:val="none"/>
        </w:rPr>
      </w:pPr>
      <w:r>
        <w:rPr>
          <w:rFonts w:hint="eastAsia" w:ascii="仿宋" w:hAnsi="仿宋" w:eastAsia="仿宋" w:cs="仿宋"/>
          <w:color w:val="auto"/>
          <w:sz w:val="36"/>
          <w:szCs w:val="36"/>
          <w:highlight w:val="none"/>
          <w:lang w:val="en-US" w:eastAsia="zh-CN"/>
        </w:rPr>
        <w:t>标项二：</w:t>
      </w:r>
      <w:r>
        <w:rPr>
          <w:rFonts w:hint="eastAsia"/>
          <w:color w:val="auto"/>
          <w:highlight w:val="none"/>
          <w:lang w:val="en-US" w:eastAsia="zh-CN"/>
        </w:rPr>
        <w:br w:type="textWrapping"/>
      </w:r>
      <w:r>
        <w:rPr>
          <w:rFonts w:hint="eastAsia" w:ascii="仿宋" w:hAnsi="仿宋" w:eastAsia="仿宋" w:cs="仿宋"/>
          <w:bCs/>
          <w:sz w:val="24"/>
          <w:highlight w:val="none"/>
        </w:rPr>
        <w:t>一、项目名称：临平区东湖新城单元控制性详细规划编制服务采购项目</w:t>
      </w:r>
    </w:p>
    <w:p>
      <w:pPr>
        <w:pStyle w:val="2"/>
        <w:rPr>
          <w:rFonts w:ascii="仿宋" w:hAnsi="仿宋" w:eastAsia="仿宋" w:cs="仿宋"/>
          <w:bCs/>
          <w:snapToGrid/>
          <w:szCs w:val="24"/>
          <w:highlight w:val="none"/>
          <w:lang w:val="en-US"/>
        </w:rPr>
      </w:pPr>
      <w:r>
        <w:rPr>
          <w:rFonts w:hint="eastAsia" w:ascii="仿宋" w:hAnsi="仿宋" w:eastAsia="仿宋" w:cs="仿宋"/>
          <w:bCs/>
          <w:snapToGrid/>
          <w:szCs w:val="24"/>
          <w:highlight w:val="none"/>
          <w:lang w:val="en-US"/>
        </w:rPr>
        <w:t>二、项目背景</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杭州余杭经济技术开发区成立于1993年，并于2012年升级为国家级开发区，随着临平区的成立，城市格局重构，一城两大产业平台，开发区的地位和作用更加凸显。</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本次规划临平区东湖新城单元星河路以西区块大部分为建成区，星河路以东大部分为未开发建设用地，原有农居点已经基本拆迁完毕。随着近年开发区产城融合发展大背景和地铁9号线通车，东湖新城重要的城市地标，文化中心、市民广场等三大公建项目启动建设，极大的提升了单元发展潜力和驱动力，从优地优用、提升单元整体形象及产城融合发展出发对规划单元提出了新的要求。</w:t>
      </w:r>
    </w:p>
    <w:p>
      <w:pPr>
        <w:snapToGrid w:val="0"/>
        <w:spacing w:line="336" w:lineRule="auto"/>
        <w:ind w:firstLine="480" w:firstLineChars="200"/>
        <w:rPr>
          <w:rFonts w:hint="eastAsia" w:ascii="仿宋" w:hAnsi="仿宋" w:eastAsia="仿宋" w:cs="仿宋"/>
          <w:bCs/>
          <w:sz w:val="24"/>
          <w:highlight w:val="none"/>
        </w:rPr>
      </w:pPr>
      <w:r>
        <w:rPr>
          <w:rFonts w:hint="eastAsia" w:ascii="仿宋" w:hAnsi="仿宋" w:eastAsia="仿宋" w:cs="仿宋"/>
          <w:snapToGrid w:val="0"/>
          <w:kern w:val="0"/>
          <w:sz w:val="24"/>
          <w:highlight w:val="none"/>
        </w:rPr>
        <w:t>因此，有必要从临平区产城融合、提质增效、设施提档和整体环境风貌提升等层面，以打造临平副城次中心和现代化产城人融合都市新区为目标，开展单元控规的修编，保障片区实现发展愿景。</w:t>
      </w:r>
    </w:p>
    <w:p>
      <w:pPr>
        <w:pStyle w:val="3"/>
        <w:ind w:firstLine="0"/>
        <w:rPr>
          <w:rFonts w:ascii="仿宋" w:hAnsi="仿宋" w:eastAsia="仿宋" w:cs="仿宋"/>
          <w:bCs/>
          <w:snapToGrid/>
          <w:szCs w:val="24"/>
          <w:highlight w:val="none"/>
          <w:lang w:val="en-US"/>
        </w:rPr>
      </w:pPr>
      <w:r>
        <w:rPr>
          <w:rFonts w:hint="eastAsia" w:ascii="仿宋" w:hAnsi="仿宋" w:eastAsia="仿宋" w:cs="仿宋"/>
          <w:bCs/>
          <w:snapToGrid/>
          <w:szCs w:val="24"/>
          <w:highlight w:val="none"/>
          <w:lang w:val="en-US"/>
        </w:rPr>
        <w:t>三、项目范围</w:t>
      </w:r>
    </w:p>
    <w:p>
      <w:pPr>
        <w:snapToGrid w:val="0"/>
        <w:spacing w:line="336" w:lineRule="auto"/>
        <w:ind w:firstLine="480" w:firstLineChars="200"/>
        <w:rPr>
          <w:rFonts w:hint="eastAsia" w:ascii="仿宋" w:hAnsi="仿宋" w:eastAsia="仿宋" w:cs="仿宋"/>
          <w:snapToGrid w:val="0"/>
          <w:kern w:val="0"/>
          <w:sz w:val="24"/>
          <w:highlight w:val="none"/>
        </w:rPr>
      </w:pPr>
      <w:r>
        <w:rPr>
          <w:rFonts w:hint="eastAsia" w:ascii="仿宋" w:hAnsi="仿宋" w:eastAsia="仿宋" w:cs="仿宋"/>
          <w:snapToGrid w:val="0"/>
          <w:kern w:val="0"/>
          <w:sz w:val="24"/>
          <w:highlight w:val="none"/>
        </w:rPr>
        <w:t>规划范围为东至禾丰港，南至（320国道）临平大道，西至望梅路、五洲路，北至宁桥大道，面积约13.</w:t>
      </w:r>
      <w:r>
        <w:rPr>
          <w:rFonts w:ascii="仿宋" w:hAnsi="仿宋" w:eastAsia="仿宋" w:cs="仿宋"/>
          <w:snapToGrid w:val="0"/>
          <w:kern w:val="0"/>
          <w:sz w:val="24"/>
          <w:highlight w:val="none"/>
        </w:rPr>
        <w:t>9</w:t>
      </w:r>
      <w:r>
        <w:rPr>
          <w:rFonts w:hint="eastAsia" w:ascii="仿宋" w:hAnsi="仿宋" w:eastAsia="仿宋" w:cs="仿宋"/>
          <w:snapToGrid w:val="0"/>
          <w:kern w:val="0"/>
          <w:sz w:val="24"/>
          <w:highlight w:val="none"/>
        </w:rPr>
        <w:t>平方公里。</w:t>
      </w:r>
    </w:p>
    <w:p>
      <w:pPr>
        <w:pStyle w:val="3"/>
        <w:ind w:firstLine="0"/>
        <w:rPr>
          <w:rFonts w:ascii="仿宋" w:hAnsi="仿宋" w:eastAsia="仿宋" w:cs="仿宋"/>
          <w:bCs/>
          <w:snapToGrid/>
          <w:szCs w:val="24"/>
          <w:highlight w:val="none"/>
          <w:lang w:val="en-US"/>
        </w:rPr>
      </w:pPr>
      <w:r>
        <w:rPr>
          <w:rFonts w:hint="eastAsia" w:ascii="仿宋" w:hAnsi="仿宋" w:eastAsia="仿宋" w:cs="仿宋"/>
          <w:bCs/>
          <w:snapToGrid/>
          <w:szCs w:val="24"/>
          <w:highlight w:val="none"/>
          <w:lang w:val="en-US"/>
        </w:rPr>
        <w:t>四、规划依据</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1、城乡规划法、城市规划编制办法及其它相关法律法规；</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2、《杭州市国土空间规划（2021—2035年）》；</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3、《临平区国土空间规划（2021-2035）》；</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4、《杭州余杭经济技术开发区（钱江经济开发区）总体规划》（2017—2035年）（成果稿）；</w:t>
      </w:r>
    </w:p>
    <w:p>
      <w:pPr>
        <w:snapToGrid w:val="0"/>
        <w:spacing w:line="336" w:lineRule="auto"/>
        <w:ind w:firstLine="480" w:firstLineChars="200"/>
        <w:rPr>
          <w:rFonts w:ascii="仿宋" w:hAnsi="仿宋" w:eastAsia="仿宋" w:cs="仿宋"/>
          <w:snapToGrid w:val="0"/>
          <w:kern w:val="0"/>
          <w:sz w:val="24"/>
          <w:highlight w:val="none"/>
        </w:rPr>
      </w:pPr>
      <w:r>
        <w:rPr>
          <w:rFonts w:ascii="仿宋" w:hAnsi="仿宋" w:eastAsia="仿宋" w:cs="仿宋"/>
          <w:snapToGrid w:val="0"/>
          <w:kern w:val="0"/>
          <w:sz w:val="24"/>
          <w:highlight w:val="none"/>
        </w:rPr>
        <w:t>5</w:t>
      </w:r>
      <w:r>
        <w:rPr>
          <w:rFonts w:hint="eastAsia" w:ascii="仿宋" w:hAnsi="仿宋" w:eastAsia="仿宋" w:cs="仿宋"/>
          <w:snapToGrid w:val="0"/>
          <w:kern w:val="0"/>
          <w:sz w:val="24"/>
          <w:highlight w:val="none"/>
        </w:rPr>
        <w:t>、其他在编河道水系专项、综合交通专项、公共服务设施专项等相关规划、规范。</w:t>
      </w:r>
    </w:p>
    <w:p>
      <w:pPr>
        <w:pStyle w:val="3"/>
        <w:ind w:firstLine="0"/>
        <w:rPr>
          <w:rFonts w:ascii="仿宋" w:hAnsi="仿宋" w:eastAsia="仿宋" w:cs="仿宋"/>
          <w:bCs/>
          <w:snapToGrid/>
          <w:szCs w:val="24"/>
          <w:highlight w:val="none"/>
          <w:lang w:val="en-US"/>
        </w:rPr>
      </w:pPr>
      <w:r>
        <w:rPr>
          <w:rFonts w:hint="eastAsia" w:ascii="仿宋" w:hAnsi="仿宋" w:eastAsia="仿宋" w:cs="仿宋"/>
          <w:bCs/>
          <w:snapToGrid/>
          <w:szCs w:val="24"/>
          <w:highlight w:val="none"/>
          <w:lang w:val="en-US"/>
        </w:rPr>
        <w:t>五、内容要求</w:t>
      </w:r>
    </w:p>
    <w:p>
      <w:pPr>
        <w:pStyle w:val="3"/>
        <w:ind w:firstLine="0"/>
        <w:rPr>
          <w:rFonts w:ascii="仿宋" w:hAnsi="仿宋" w:eastAsia="仿宋" w:cs="仿宋"/>
          <w:bCs/>
          <w:snapToGrid/>
          <w:szCs w:val="24"/>
          <w:highlight w:val="none"/>
          <w:lang w:val="en-US"/>
        </w:rPr>
      </w:pPr>
      <w:r>
        <w:rPr>
          <w:rFonts w:hint="eastAsia" w:ascii="仿宋" w:hAnsi="仿宋" w:eastAsia="仿宋" w:cs="仿宋"/>
          <w:bCs/>
          <w:snapToGrid/>
          <w:szCs w:val="24"/>
          <w:highlight w:val="none"/>
          <w:lang w:val="en-US"/>
        </w:rPr>
        <w:t>（一）技术要求</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1、开展控规实施评估和现状分析。对涉及本单元的原有控规实施情况进行调查和分析综合研判原有规划内容，并研究提出本轮控规需要优化提升的内容及需要解决的问题。以现状踏勘和相关资料为基础，对单元内现状用地、交通、产业发展、工业企业发展需求和配套设施等进行充分调研及分析，形成数字化现状底图，总结归纳问题症结，提出优化策略。现状调研过程中应开展问卷调查、无人机航拍等新技术，确保基础数据的准确性。</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2、落实上位规划、衔接在编规划。落实各类各级上位规划对本单元的功能定位、底线管控、空间布局、设施配套等各方面的要求。做好与在编杭州市、临平区国土空间总体规划的衔接工作，单元控规相关内容需符合杭州市国土空间总体规划要求。</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3、依据《杭州市控制性详细规划编制技术规定》及《杭州市控制性详细规划管理规定》，按照新的控制性详细规划编制技术标准和要求进行控规编制。</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4、功能定位研究和空间功能布局优化。结合国家相关政策，在上位规划指导下，通过案例分析、现状资源梳理、区域发展评估等手段，对本单元的发展定位和功能结构进行研究，明确发展方向，提出合理的发展思路。合理优化空间布局和用地结构，协同周边发展，提升空间发展质量和绩效。</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5、落实公共政策要求，切实保障公共服务设施及基础设施的布局。根据《杭州市城市规划公共服务设施基本配套规定（修订）》及近年来编制的文教卫体、市政设施、交通、历史文化保护等专项规划中明确的设施规模及空间布局要求,并结合单元情况，对单元人口规模、需配建的服务设施进行预测及合理布局，明确公共服务设施的布局条件与规模，明确各级道路的红线、断面、交叉口形式及渠化措施，控制坐标和标高，细化各类管线管廊、基础设施地块和控制要求，做好与周边单元交界地区的容量协调和廊道衔接，明确市政工程管线位置、管径和工程设施的用地界线。</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 xml:space="preserve">6、严格落实地下管廊、地下空间、防洪排涝、海绵城市、建筑高度控制、强度分区等控制要求。重视单元品质建设，明确河网水系和城市绿地的管控要求和建设引导，完善公园休憩体系，强化公共开放空间系统，优化绿地空间及慢行交通系统的统筹规划。 </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7、进一步落实“阳光规划”编制要求，按照“将公众参与贯穿整个编制全过程”的要求，做好前期公众调查及中后期意见征求工作。</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8、主动发挥专业技术优势，积极参与技术创新与论证，做好与项目相关的请示、报告、汇报材料、信访回复等材料的撰写工作。积极配合开展与本项目相关的规划方案公示、意见征集及反馈、规划宣传、解释等各类会议及活动。</w:t>
      </w:r>
    </w:p>
    <w:p>
      <w:pPr>
        <w:pStyle w:val="80"/>
        <w:rPr>
          <w:rFonts w:hint="eastAsia" w:eastAsia="仿宋"/>
          <w:highlight w:val="none"/>
        </w:rPr>
      </w:pPr>
      <w:r>
        <w:rPr>
          <w:rFonts w:hint="eastAsia" w:ascii="仿宋" w:hAnsi="仿宋" w:eastAsia="仿宋" w:cs="仿宋"/>
          <w:snapToGrid w:val="0"/>
          <w:kern w:val="0"/>
          <w:highlight w:val="none"/>
        </w:rPr>
        <w:t>9、</w:t>
      </w:r>
      <w:r>
        <w:rPr>
          <w:rFonts w:hint="eastAsia" w:ascii="仿宋" w:hAnsi="仿宋" w:eastAsia="仿宋" w:cs="仿宋"/>
          <w:highlight w:val="none"/>
        </w:rPr>
        <w:t>工业用地有机更新方案。重点用于盘活工业用地、产业园区配套设施（道路、绿化）等，从而有力提高属地有机更新的积极性、主动性。</w:t>
      </w:r>
    </w:p>
    <w:p>
      <w:pPr>
        <w:pStyle w:val="3"/>
        <w:spacing w:before="240"/>
        <w:ind w:firstLine="0"/>
        <w:rPr>
          <w:rFonts w:ascii="仿宋" w:hAnsi="仿宋" w:eastAsia="仿宋" w:cs="仿宋"/>
          <w:bCs/>
          <w:snapToGrid/>
          <w:szCs w:val="24"/>
          <w:highlight w:val="none"/>
          <w:lang w:val="en-US"/>
        </w:rPr>
      </w:pPr>
      <w:r>
        <w:rPr>
          <w:rFonts w:hint="eastAsia" w:ascii="仿宋" w:hAnsi="仿宋" w:eastAsia="仿宋" w:cs="仿宋"/>
          <w:bCs/>
          <w:snapToGrid/>
          <w:szCs w:val="24"/>
          <w:highlight w:val="none"/>
          <w:lang w:val="en-US"/>
        </w:rPr>
        <w:t>（二）成果要求</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1、规划成果按《杭州市城市规划编制电子成果提交规范（修编）》要求完成，由规划文本、规划说明书、规划图纸、基础资料汇编组成。成果形式为纸质文档和电子文档。</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w:t>
      </w:r>
      <w:r>
        <w:rPr>
          <w:rFonts w:ascii="仿宋" w:hAnsi="仿宋" w:eastAsia="仿宋" w:cs="仿宋"/>
          <w:snapToGrid w:val="0"/>
          <w:kern w:val="0"/>
          <w:sz w:val="24"/>
          <w:highlight w:val="none"/>
        </w:rPr>
        <w:t>1</w:t>
      </w:r>
      <w:r>
        <w:rPr>
          <w:rFonts w:hint="eastAsia" w:ascii="仿宋" w:hAnsi="仿宋" w:eastAsia="仿宋" w:cs="仿宋"/>
          <w:snapToGrid w:val="0"/>
          <w:kern w:val="0"/>
          <w:sz w:val="24"/>
          <w:highlight w:val="none"/>
        </w:rPr>
        <w:t>）规划文本包括但不限于以下内容：</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1.总则</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2.发展定位与规模</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3.空间结构</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4.用地布局规划</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5.容量与控制指标</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6.道路交通系统规划</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7.景观规划与城市设计导引</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8.市政工程规划</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9.综合防灾规划</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1</w:t>
      </w:r>
      <w:r>
        <w:rPr>
          <w:rFonts w:ascii="仿宋" w:hAnsi="仿宋" w:eastAsia="仿宋" w:cs="仿宋"/>
          <w:snapToGrid w:val="0"/>
          <w:kern w:val="0"/>
          <w:sz w:val="24"/>
          <w:highlight w:val="none"/>
        </w:rPr>
        <w:t>0.</w:t>
      </w:r>
      <w:r>
        <w:rPr>
          <w:rFonts w:hint="eastAsia" w:ascii="仿宋" w:hAnsi="仿宋" w:eastAsia="仿宋" w:cs="仿宋"/>
          <w:snapToGrid w:val="0"/>
          <w:kern w:val="0"/>
          <w:sz w:val="24"/>
          <w:highlight w:val="none"/>
        </w:rPr>
        <w:t>近期建设规划</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1</w:t>
      </w:r>
      <w:r>
        <w:rPr>
          <w:rFonts w:ascii="仿宋" w:hAnsi="仿宋" w:eastAsia="仿宋" w:cs="仿宋"/>
          <w:snapToGrid w:val="0"/>
          <w:kern w:val="0"/>
          <w:sz w:val="24"/>
          <w:highlight w:val="none"/>
        </w:rPr>
        <w:t>1.</w:t>
      </w:r>
      <w:r>
        <w:rPr>
          <w:rFonts w:hint="eastAsia" w:ascii="仿宋" w:hAnsi="仿宋" w:eastAsia="仿宋" w:cs="仿宋"/>
          <w:snapToGrid w:val="0"/>
          <w:kern w:val="0"/>
          <w:sz w:val="24"/>
          <w:highlight w:val="none"/>
        </w:rPr>
        <w:t>规划实施保障措施</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w:t>
      </w:r>
      <w:r>
        <w:rPr>
          <w:rFonts w:ascii="仿宋" w:hAnsi="仿宋" w:eastAsia="仿宋" w:cs="仿宋"/>
          <w:snapToGrid w:val="0"/>
          <w:kern w:val="0"/>
          <w:sz w:val="24"/>
          <w:highlight w:val="none"/>
        </w:rPr>
        <w:t>2</w:t>
      </w:r>
      <w:r>
        <w:rPr>
          <w:rFonts w:hint="eastAsia" w:ascii="仿宋" w:hAnsi="仿宋" w:eastAsia="仿宋" w:cs="仿宋"/>
          <w:snapToGrid w:val="0"/>
          <w:kern w:val="0"/>
          <w:sz w:val="24"/>
          <w:highlight w:val="none"/>
        </w:rPr>
        <w:t>）规划说明书由正文和附录两部分组成，主要包括：</w:t>
      </w:r>
    </w:p>
    <w:p>
      <w:pPr>
        <w:snapToGrid w:val="0"/>
        <w:spacing w:line="336" w:lineRule="auto"/>
        <w:ind w:firstLine="480" w:firstLineChars="200"/>
        <w:rPr>
          <w:rFonts w:ascii="仿宋" w:hAnsi="仿宋" w:eastAsia="仿宋" w:cs="仿宋"/>
          <w:snapToGrid w:val="0"/>
          <w:kern w:val="0"/>
          <w:sz w:val="24"/>
          <w:highlight w:val="none"/>
        </w:rPr>
      </w:pPr>
      <w:r>
        <w:rPr>
          <w:rFonts w:ascii="仿宋" w:hAnsi="仿宋" w:eastAsia="仿宋" w:cs="仿宋"/>
          <w:snapToGrid w:val="0"/>
          <w:kern w:val="0"/>
          <w:sz w:val="24"/>
          <w:highlight w:val="none"/>
        </w:rPr>
        <w:t>1</w:t>
      </w:r>
      <w:r>
        <w:rPr>
          <w:rFonts w:hint="eastAsia" w:ascii="仿宋" w:hAnsi="仿宋" w:eastAsia="仿宋" w:cs="仿宋"/>
          <w:snapToGrid w:val="0"/>
          <w:kern w:val="0"/>
          <w:sz w:val="24"/>
          <w:highlight w:val="none"/>
        </w:rPr>
        <w:t>.规划说明书正文应当与规划文本的条文相对应，对规划文本条文做出详细说明。</w:t>
      </w:r>
    </w:p>
    <w:p>
      <w:pPr>
        <w:snapToGrid w:val="0"/>
        <w:spacing w:line="336" w:lineRule="auto"/>
        <w:ind w:firstLine="480" w:firstLineChars="200"/>
        <w:rPr>
          <w:rFonts w:ascii="仿宋" w:hAnsi="仿宋" w:eastAsia="仿宋" w:cs="仿宋"/>
          <w:snapToGrid w:val="0"/>
          <w:kern w:val="0"/>
          <w:sz w:val="24"/>
          <w:highlight w:val="none"/>
        </w:rPr>
      </w:pPr>
      <w:r>
        <w:rPr>
          <w:rFonts w:ascii="仿宋" w:hAnsi="仿宋" w:eastAsia="仿宋" w:cs="仿宋"/>
          <w:snapToGrid w:val="0"/>
          <w:kern w:val="0"/>
          <w:sz w:val="24"/>
          <w:highlight w:val="none"/>
        </w:rPr>
        <w:t>2.</w:t>
      </w:r>
      <w:r>
        <w:rPr>
          <w:rFonts w:hint="eastAsia" w:ascii="仿宋" w:hAnsi="仿宋" w:eastAsia="仿宋" w:cs="仿宋"/>
          <w:snapToGrid w:val="0"/>
          <w:kern w:val="0"/>
          <w:sz w:val="24"/>
          <w:highlight w:val="none"/>
        </w:rPr>
        <w:t>规划说明书附录主要包括现状分析评价报告、其它专题研究报告、专家评审意见及落实情况、相关部门建议、公众意见、政府批复等内容</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w:t>
      </w:r>
      <w:r>
        <w:rPr>
          <w:rFonts w:ascii="仿宋" w:hAnsi="仿宋" w:eastAsia="仿宋" w:cs="仿宋"/>
          <w:snapToGrid w:val="0"/>
          <w:kern w:val="0"/>
          <w:sz w:val="24"/>
          <w:highlight w:val="none"/>
        </w:rPr>
        <w:t>3</w:t>
      </w:r>
      <w:r>
        <w:rPr>
          <w:rFonts w:hint="eastAsia" w:ascii="仿宋" w:hAnsi="仿宋" w:eastAsia="仿宋" w:cs="仿宋"/>
          <w:snapToGrid w:val="0"/>
          <w:kern w:val="0"/>
          <w:sz w:val="24"/>
          <w:highlight w:val="none"/>
        </w:rPr>
        <w:t>）规划图纸所表达的内容应当清晰、准确，与规划文本内容相符。现状图、规划图和分析图应当分别表示，图例应当一致。主要图纸应包括但不限于：</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1.区位图</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2.用地现状图</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3.用地规划图</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4.规划结构图</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5.公共设施规划图</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6.道路系统规划图</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7.绿地景观规划图</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8.主要市政设施规划图</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9.其它规划分析图</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2、最终成果应包括：法定文件、技术文件、附件、详规数据库（数据库标准另行制定）。</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1）规划成果包括中审稿、送审稿、报批稿和成果稿四个阶段成果。中间过程稿提交25套，电子文档（光盘）2套；规划送审稿提交25套，电子文档（光盘）2套；规划报批稿6套，电子文档（光盘）6套；最终成果提交6套，电子文档（光盘）6套，（具体数量根据实际需求有所变动）。</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（2）电子文档：包括文本电子文档（doc、pdf、ppt等）以及图纸电子文档（含dwg、jpg等）、详规入库数据库矢量文件，且电子矢量文件必须为可编辑（具体文件格式另行规定）。</w:t>
      </w:r>
    </w:p>
    <w:p>
      <w:pPr>
        <w:snapToGrid w:val="0"/>
        <w:spacing w:line="336" w:lineRule="auto"/>
        <w:ind w:firstLine="480" w:firstLineChars="200"/>
        <w:rPr>
          <w:rFonts w:ascii="仿宋" w:hAnsi="仿宋" w:eastAsia="仿宋" w:cs="仿宋"/>
          <w:bCs/>
          <w:snapToGrid w:val="0"/>
          <w:highlight w:val="none"/>
        </w:rPr>
      </w:pPr>
      <w:r>
        <w:rPr>
          <w:rFonts w:hint="eastAsia" w:ascii="仿宋" w:hAnsi="仿宋" w:eastAsia="仿宋" w:cs="仿宋"/>
          <w:snapToGrid w:val="0"/>
          <w:kern w:val="0"/>
          <w:sz w:val="24"/>
          <w:highlight w:val="none"/>
        </w:rPr>
        <w:t>（3）成果验收时，投标人提交的成果须满足本项所有要求。</w:t>
      </w:r>
    </w:p>
    <w:p>
      <w:pPr>
        <w:pStyle w:val="3"/>
        <w:ind w:firstLine="0"/>
        <w:rPr>
          <w:rFonts w:ascii="仿宋" w:hAnsi="仿宋" w:eastAsia="仿宋" w:cs="仿宋"/>
          <w:bCs/>
          <w:snapToGrid/>
          <w:szCs w:val="24"/>
          <w:highlight w:val="none"/>
          <w:lang w:val="en-US"/>
        </w:rPr>
      </w:pPr>
      <w:r>
        <w:rPr>
          <w:rFonts w:hint="eastAsia" w:ascii="仿宋" w:hAnsi="仿宋" w:eastAsia="仿宋" w:cs="仿宋"/>
          <w:bCs/>
          <w:snapToGrid/>
          <w:szCs w:val="24"/>
          <w:highlight w:val="none"/>
          <w:lang w:val="en-US"/>
        </w:rPr>
        <w:t>六、经费预算</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该项目意向公开中经费为</w:t>
      </w:r>
      <w:r>
        <w:rPr>
          <w:rFonts w:ascii="仿宋" w:hAnsi="仿宋" w:eastAsia="仿宋" w:cs="仿宋"/>
          <w:snapToGrid w:val="0"/>
          <w:kern w:val="0"/>
          <w:sz w:val="24"/>
          <w:highlight w:val="none"/>
        </w:rPr>
        <w:t>174</w:t>
      </w:r>
      <w:r>
        <w:rPr>
          <w:rFonts w:hint="eastAsia" w:ascii="仿宋" w:hAnsi="仿宋" w:eastAsia="仿宋" w:cs="仿宋"/>
          <w:snapToGrid w:val="0"/>
          <w:kern w:val="0"/>
          <w:sz w:val="24"/>
          <w:highlight w:val="none"/>
        </w:rPr>
        <w:t>万元，具体经费预算以财政下达为准。</w:t>
      </w:r>
    </w:p>
    <w:p>
      <w:pPr>
        <w:pStyle w:val="3"/>
        <w:ind w:firstLine="0"/>
        <w:rPr>
          <w:rFonts w:ascii="仿宋" w:hAnsi="仿宋" w:eastAsia="仿宋" w:cs="仿宋"/>
          <w:bCs/>
          <w:snapToGrid/>
          <w:szCs w:val="24"/>
          <w:highlight w:val="none"/>
          <w:lang w:val="en-US"/>
        </w:rPr>
      </w:pPr>
      <w:r>
        <w:rPr>
          <w:rFonts w:hint="eastAsia" w:ascii="仿宋" w:hAnsi="仿宋" w:eastAsia="仿宋" w:cs="仿宋"/>
          <w:bCs/>
          <w:snapToGrid/>
          <w:szCs w:val="24"/>
          <w:highlight w:val="none"/>
          <w:lang w:val="en-US"/>
        </w:rPr>
        <w:t>七、采购方式</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该项目采购方式为公开招标。</w:t>
      </w:r>
    </w:p>
    <w:p>
      <w:pPr>
        <w:pStyle w:val="3"/>
        <w:ind w:firstLine="0"/>
        <w:rPr>
          <w:rFonts w:ascii="仿宋" w:hAnsi="仿宋" w:eastAsia="仿宋" w:cs="仿宋"/>
          <w:bCs/>
          <w:snapToGrid/>
          <w:szCs w:val="24"/>
          <w:highlight w:val="none"/>
          <w:lang w:val="en-US"/>
        </w:rPr>
      </w:pPr>
      <w:r>
        <w:rPr>
          <w:rFonts w:hint="eastAsia" w:ascii="仿宋" w:hAnsi="仿宋" w:eastAsia="仿宋" w:cs="仿宋"/>
          <w:bCs/>
          <w:snapToGrid/>
          <w:szCs w:val="24"/>
          <w:highlight w:val="none"/>
          <w:lang w:val="en-US"/>
        </w:rPr>
        <w:t>八、工作进度</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1、中间过程稿：中标后1个月内完成；</w:t>
      </w:r>
    </w:p>
    <w:p>
      <w:pPr>
        <w:snapToGrid w:val="0"/>
        <w:spacing w:line="336" w:lineRule="auto"/>
        <w:ind w:firstLine="480" w:firstLineChars="200"/>
        <w:rPr>
          <w:rFonts w:ascii="仿宋" w:hAnsi="仿宋" w:eastAsia="仿宋" w:cs="仿宋"/>
          <w:snapToGrid w:val="0"/>
          <w:kern w:val="0"/>
          <w:sz w:val="24"/>
          <w:highlight w:val="none"/>
        </w:rPr>
      </w:pPr>
      <w:r>
        <w:rPr>
          <w:rFonts w:ascii="仿宋" w:hAnsi="仿宋" w:eastAsia="仿宋" w:cs="仿宋"/>
          <w:snapToGrid w:val="0"/>
          <w:kern w:val="0"/>
          <w:sz w:val="24"/>
          <w:highlight w:val="none"/>
        </w:rPr>
        <w:t>2</w:t>
      </w:r>
      <w:r>
        <w:rPr>
          <w:rFonts w:hint="eastAsia" w:ascii="仿宋" w:hAnsi="仿宋" w:eastAsia="仿宋" w:cs="仿宋"/>
          <w:snapToGrid w:val="0"/>
          <w:kern w:val="0"/>
          <w:sz w:val="24"/>
          <w:highlight w:val="none"/>
        </w:rPr>
        <w:t>、规划送审稿：在2023年4月底前完成；</w:t>
      </w:r>
    </w:p>
    <w:p>
      <w:pPr>
        <w:snapToGrid w:val="0"/>
        <w:spacing w:line="336" w:lineRule="auto"/>
        <w:ind w:firstLine="480" w:firstLineChars="200"/>
        <w:rPr>
          <w:rFonts w:ascii="仿宋" w:hAnsi="仿宋" w:eastAsia="仿宋" w:cs="仿宋"/>
          <w:snapToGrid w:val="0"/>
          <w:kern w:val="0"/>
          <w:sz w:val="24"/>
          <w:highlight w:val="none"/>
        </w:rPr>
      </w:pPr>
      <w:r>
        <w:rPr>
          <w:rFonts w:ascii="仿宋" w:hAnsi="仿宋" w:eastAsia="仿宋" w:cs="仿宋"/>
          <w:snapToGrid w:val="0"/>
          <w:kern w:val="0"/>
          <w:sz w:val="24"/>
          <w:highlight w:val="none"/>
        </w:rPr>
        <w:t>3</w:t>
      </w:r>
      <w:r>
        <w:rPr>
          <w:rFonts w:hint="eastAsia" w:ascii="仿宋" w:hAnsi="仿宋" w:eastAsia="仿宋" w:cs="仿宋"/>
          <w:snapToGrid w:val="0"/>
          <w:kern w:val="0"/>
          <w:sz w:val="24"/>
          <w:highlight w:val="none"/>
        </w:rPr>
        <w:t>、规划报批稿：在2023年6月底前完成（含一个月公示时间）；</w:t>
      </w:r>
    </w:p>
    <w:p>
      <w:pPr>
        <w:snapToGrid w:val="0"/>
        <w:spacing w:line="336" w:lineRule="auto"/>
        <w:ind w:firstLine="480" w:firstLineChars="200"/>
        <w:rPr>
          <w:rFonts w:ascii="仿宋" w:hAnsi="仿宋" w:eastAsia="仿宋" w:cs="仿宋"/>
          <w:snapToGrid w:val="0"/>
          <w:kern w:val="0"/>
          <w:sz w:val="24"/>
          <w:highlight w:val="none"/>
        </w:rPr>
      </w:pPr>
      <w:r>
        <w:rPr>
          <w:rFonts w:ascii="仿宋" w:hAnsi="仿宋" w:eastAsia="仿宋" w:cs="仿宋"/>
          <w:snapToGrid w:val="0"/>
          <w:kern w:val="0"/>
          <w:sz w:val="24"/>
          <w:highlight w:val="none"/>
        </w:rPr>
        <w:t>4</w:t>
      </w:r>
      <w:r>
        <w:rPr>
          <w:rFonts w:hint="eastAsia" w:ascii="仿宋" w:hAnsi="仿宋" w:eastAsia="仿宋" w:cs="仿宋"/>
          <w:snapToGrid w:val="0"/>
          <w:kern w:val="0"/>
          <w:sz w:val="24"/>
          <w:highlight w:val="none"/>
        </w:rPr>
        <w:t>、规划最终成果稿：按规定程序和时间完成报批工作。</w:t>
      </w:r>
    </w:p>
    <w:p>
      <w:pPr>
        <w:pStyle w:val="3"/>
        <w:ind w:firstLine="0"/>
        <w:rPr>
          <w:rFonts w:ascii="仿宋" w:hAnsi="仿宋" w:eastAsia="仿宋" w:cs="仿宋"/>
          <w:bCs/>
          <w:snapToGrid/>
          <w:szCs w:val="24"/>
          <w:highlight w:val="none"/>
          <w:lang w:val="en-US"/>
        </w:rPr>
      </w:pPr>
      <w:r>
        <w:rPr>
          <w:rFonts w:hint="eastAsia" w:ascii="仿宋" w:hAnsi="仿宋" w:eastAsia="仿宋" w:cs="仿宋"/>
          <w:bCs/>
          <w:snapToGrid/>
          <w:szCs w:val="24"/>
          <w:highlight w:val="none"/>
          <w:lang w:val="en-US"/>
        </w:rPr>
        <w:t>九、支付进度</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2"/>
        <w:gridCol w:w="1246"/>
        <w:gridCol w:w="5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2" w:type="dxa"/>
            <w:shd w:val="clear" w:color="auto" w:fill="auto"/>
            <w:vAlign w:val="center"/>
          </w:tcPr>
          <w:p>
            <w:pPr>
              <w:spacing w:before="0" w:beforeAutospacing="0" w:after="0" w:afterAutospacing="0"/>
              <w:ind w:left="0" w:right="0"/>
              <w:jc w:val="center"/>
              <w:rPr>
                <w:rFonts w:hint="eastAsia" w:ascii="仿宋" w:hAnsi="仿宋" w:eastAsia="仿宋" w:cs="仿宋"/>
                <w:sz w:val="24"/>
                <w:highlight w:val="none"/>
              </w:rPr>
            </w:pPr>
            <w:r>
              <w:rPr>
                <w:rFonts w:hint="eastAsia" w:ascii="仿宋" w:hAnsi="仿宋" w:eastAsia="仿宋" w:cs="仿宋"/>
                <w:sz w:val="24"/>
                <w:highlight w:val="none"/>
              </w:rPr>
              <w:t>付费阶段</w:t>
            </w:r>
          </w:p>
        </w:tc>
        <w:tc>
          <w:tcPr>
            <w:tcW w:w="1246" w:type="dxa"/>
            <w:shd w:val="clear" w:color="auto" w:fill="auto"/>
            <w:vAlign w:val="center"/>
          </w:tcPr>
          <w:p>
            <w:pPr>
              <w:spacing w:before="0" w:beforeAutospacing="0" w:after="0" w:afterAutospacing="0"/>
              <w:ind w:left="0" w:right="0"/>
              <w:jc w:val="center"/>
              <w:rPr>
                <w:rFonts w:hint="eastAsia" w:ascii="仿宋" w:hAnsi="仿宋" w:eastAsia="仿宋" w:cs="仿宋"/>
                <w:sz w:val="24"/>
                <w:highlight w:val="none"/>
              </w:rPr>
            </w:pPr>
            <w:r>
              <w:rPr>
                <w:rFonts w:hint="eastAsia" w:ascii="仿宋" w:hAnsi="仿宋" w:eastAsia="仿宋" w:cs="仿宋"/>
                <w:sz w:val="24"/>
                <w:highlight w:val="none"/>
              </w:rPr>
              <w:t>付费比例</w:t>
            </w:r>
          </w:p>
        </w:tc>
        <w:tc>
          <w:tcPr>
            <w:tcW w:w="5867" w:type="dxa"/>
            <w:shd w:val="clear" w:color="auto" w:fill="auto"/>
            <w:vAlign w:val="center"/>
          </w:tcPr>
          <w:p>
            <w:pPr>
              <w:spacing w:before="0" w:beforeAutospacing="0" w:after="0" w:afterAutospacing="0"/>
              <w:ind w:left="0" w:right="0"/>
              <w:jc w:val="center"/>
              <w:rPr>
                <w:rFonts w:hint="eastAsia" w:ascii="仿宋" w:hAnsi="仿宋" w:eastAsia="仿宋" w:cs="仿宋"/>
                <w:sz w:val="24"/>
                <w:highlight w:val="none"/>
              </w:rPr>
            </w:pPr>
            <w:r>
              <w:rPr>
                <w:rFonts w:hint="eastAsia" w:ascii="仿宋" w:hAnsi="仿宋" w:eastAsia="仿宋" w:cs="仿宋"/>
                <w:sz w:val="24"/>
                <w:highlight w:val="none"/>
              </w:rPr>
              <w:t>付费要求及时间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1382" w:type="dxa"/>
            <w:shd w:val="clear" w:color="auto" w:fill="auto"/>
            <w:vAlign w:val="center"/>
          </w:tcPr>
          <w:p>
            <w:pPr>
              <w:spacing w:before="0" w:beforeAutospacing="0" w:after="0" w:afterAutospacing="0"/>
              <w:ind w:left="0" w:right="0"/>
              <w:jc w:val="center"/>
              <w:rPr>
                <w:rFonts w:hint="eastAsia" w:ascii="仿宋" w:hAnsi="仿宋" w:eastAsia="仿宋" w:cs="仿宋"/>
                <w:sz w:val="24"/>
                <w:highlight w:val="none"/>
              </w:rPr>
            </w:pPr>
            <w:r>
              <w:rPr>
                <w:rFonts w:hint="eastAsia" w:ascii="仿宋" w:hAnsi="仿宋" w:eastAsia="仿宋" w:cs="仿宋"/>
                <w:sz w:val="24"/>
                <w:highlight w:val="none"/>
              </w:rPr>
              <w:t>第一次付费</w:t>
            </w:r>
          </w:p>
        </w:tc>
        <w:tc>
          <w:tcPr>
            <w:tcW w:w="1246" w:type="dxa"/>
            <w:shd w:val="clear" w:color="auto" w:fill="auto"/>
            <w:vAlign w:val="center"/>
          </w:tcPr>
          <w:p>
            <w:pPr>
              <w:snapToGrid w:val="0"/>
              <w:spacing w:before="0" w:beforeAutospacing="0" w:after="0" w:afterAutospacing="0"/>
              <w:ind w:left="0" w:right="0" w:firstLine="33" w:firstLineChars="14"/>
              <w:jc w:val="center"/>
              <w:rPr>
                <w:rFonts w:hint="eastAsia" w:ascii="仿宋" w:hAnsi="仿宋" w:eastAsia="仿宋" w:cs="仿宋"/>
                <w:sz w:val="24"/>
                <w:highlight w:val="none"/>
              </w:rPr>
            </w:pPr>
            <w:r>
              <w:rPr>
                <w:rFonts w:hint="eastAsia" w:ascii="仿宋" w:hAnsi="仿宋" w:eastAsia="仿宋" w:cs="仿宋"/>
                <w:sz w:val="24"/>
                <w:highlight w:val="none"/>
              </w:rPr>
              <w:t>30%</w:t>
            </w:r>
          </w:p>
        </w:tc>
        <w:tc>
          <w:tcPr>
            <w:tcW w:w="5867" w:type="dxa"/>
            <w:shd w:val="clear" w:color="auto" w:fill="auto"/>
            <w:vAlign w:val="center"/>
          </w:tcPr>
          <w:p>
            <w:pPr>
              <w:snapToGrid w:val="0"/>
              <w:spacing w:before="0" w:beforeAutospacing="0" w:after="0" w:afterAutospacing="0" w:line="336" w:lineRule="auto"/>
              <w:ind w:left="0" w:right="0" w:firstLine="33" w:firstLineChars="14"/>
              <w:rPr>
                <w:rFonts w:hint="eastAsia" w:ascii="仿宋" w:hAnsi="仿宋" w:eastAsia="仿宋" w:cs="仿宋"/>
                <w:snapToGrid w:val="0"/>
                <w:kern w:val="0"/>
                <w:sz w:val="24"/>
                <w:highlight w:val="none"/>
              </w:rPr>
            </w:pPr>
            <w:r>
              <w:rPr>
                <w:rFonts w:hint="eastAsia" w:ascii="仿宋" w:hAnsi="仿宋" w:eastAsia="仿宋" w:cs="仿宋"/>
                <w:snapToGrid w:val="0"/>
                <w:kern w:val="0"/>
                <w:sz w:val="24"/>
                <w:highlight w:val="none"/>
              </w:rPr>
              <w:t>合同签订后15日内支付合同总额的30%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2" w:type="dxa"/>
            <w:shd w:val="clear" w:color="auto" w:fill="auto"/>
            <w:vAlign w:val="center"/>
          </w:tcPr>
          <w:p>
            <w:pPr>
              <w:spacing w:before="0" w:beforeAutospacing="0" w:after="0" w:afterAutospacing="0"/>
              <w:ind w:left="0" w:right="0"/>
              <w:jc w:val="center"/>
              <w:rPr>
                <w:rFonts w:hint="eastAsia" w:ascii="仿宋" w:hAnsi="仿宋" w:eastAsia="仿宋" w:cs="仿宋"/>
                <w:sz w:val="24"/>
                <w:highlight w:val="none"/>
              </w:rPr>
            </w:pPr>
            <w:r>
              <w:rPr>
                <w:rFonts w:hint="eastAsia" w:ascii="仿宋" w:hAnsi="仿宋" w:eastAsia="仿宋" w:cs="仿宋"/>
                <w:sz w:val="24"/>
                <w:highlight w:val="none"/>
              </w:rPr>
              <w:t>第二次付费</w:t>
            </w:r>
          </w:p>
        </w:tc>
        <w:tc>
          <w:tcPr>
            <w:tcW w:w="1246" w:type="dxa"/>
            <w:shd w:val="clear" w:color="auto" w:fill="auto"/>
            <w:vAlign w:val="center"/>
          </w:tcPr>
          <w:p>
            <w:pPr>
              <w:snapToGrid w:val="0"/>
              <w:spacing w:before="0" w:beforeAutospacing="0" w:after="0" w:afterAutospacing="0"/>
              <w:ind w:left="0" w:right="0" w:firstLine="33" w:firstLineChars="14"/>
              <w:jc w:val="center"/>
              <w:rPr>
                <w:rFonts w:hint="eastAsia" w:ascii="仿宋" w:hAnsi="仿宋" w:eastAsia="仿宋" w:cs="仿宋"/>
                <w:sz w:val="24"/>
                <w:highlight w:val="none"/>
              </w:rPr>
            </w:pPr>
            <w:r>
              <w:rPr>
                <w:rFonts w:hint="eastAsia" w:ascii="仿宋" w:hAnsi="仿宋" w:eastAsia="仿宋" w:cs="仿宋"/>
                <w:sz w:val="24"/>
                <w:highlight w:val="none"/>
              </w:rPr>
              <w:t>20%</w:t>
            </w:r>
          </w:p>
        </w:tc>
        <w:tc>
          <w:tcPr>
            <w:tcW w:w="5867" w:type="dxa"/>
            <w:shd w:val="clear" w:color="auto" w:fill="auto"/>
            <w:vAlign w:val="center"/>
          </w:tcPr>
          <w:p>
            <w:pPr>
              <w:snapToGrid w:val="0"/>
              <w:spacing w:before="0" w:beforeAutospacing="0" w:after="0" w:afterAutospacing="0" w:line="336" w:lineRule="auto"/>
              <w:ind w:left="0" w:right="0" w:firstLine="33" w:firstLineChars="14"/>
              <w:rPr>
                <w:rFonts w:hint="eastAsia" w:ascii="仿宋" w:hAnsi="仿宋" w:eastAsia="仿宋" w:cs="仿宋"/>
                <w:snapToGrid w:val="0"/>
                <w:kern w:val="0"/>
                <w:sz w:val="24"/>
                <w:highlight w:val="none"/>
              </w:rPr>
            </w:pPr>
            <w:r>
              <w:rPr>
                <w:rFonts w:hint="eastAsia" w:ascii="仿宋" w:hAnsi="仿宋" w:eastAsia="仿宋" w:cs="仿宋"/>
                <w:sz w:val="24"/>
                <w:highlight w:val="none"/>
              </w:rPr>
              <w:t>乙方提交中间过程稿，经甲方组织专家和部门审查达到技术要求的，在出具会议纪要后15个工作日内支付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2" w:type="dxa"/>
            <w:shd w:val="clear" w:color="auto" w:fill="auto"/>
            <w:vAlign w:val="center"/>
          </w:tcPr>
          <w:p>
            <w:pPr>
              <w:spacing w:before="0" w:beforeAutospacing="0" w:after="0" w:afterAutospacing="0"/>
              <w:ind w:left="0" w:right="0"/>
              <w:jc w:val="center"/>
              <w:rPr>
                <w:rFonts w:hint="eastAsia" w:ascii="仿宋" w:hAnsi="仿宋" w:eastAsia="仿宋" w:cs="仿宋"/>
                <w:sz w:val="24"/>
                <w:highlight w:val="none"/>
              </w:rPr>
            </w:pPr>
            <w:r>
              <w:rPr>
                <w:rFonts w:hint="eastAsia" w:ascii="仿宋" w:hAnsi="仿宋" w:eastAsia="仿宋" w:cs="仿宋"/>
                <w:sz w:val="24"/>
                <w:highlight w:val="none"/>
              </w:rPr>
              <w:t>第三次付费</w:t>
            </w:r>
          </w:p>
        </w:tc>
        <w:tc>
          <w:tcPr>
            <w:tcW w:w="1246" w:type="dxa"/>
            <w:shd w:val="clear" w:color="auto" w:fill="auto"/>
            <w:vAlign w:val="center"/>
          </w:tcPr>
          <w:p>
            <w:pPr>
              <w:snapToGrid w:val="0"/>
              <w:spacing w:before="0" w:beforeAutospacing="0" w:after="0" w:afterAutospacing="0"/>
              <w:ind w:left="0" w:right="0" w:firstLine="33" w:firstLineChars="14"/>
              <w:jc w:val="center"/>
              <w:rPr>
                <w:rFonts w:hint="eastAsia" w:ascii="仿宋" w:hAnsi="仿宋" w:eastAsia="仿宋" w:cs="仿宋"/>
                <w:sz w:val="24"/>
                <w:highlight w:val="none"/>
              </w:rPr>
            </w:pPr>
            <w:r>
              <w:rPr>
                <w:rFonts w:hint="eastAsia" w:ascii="仿宋" w:hAnsi="仿宋" w:eastAsia="仿宋" w:cs="仿宋"/>
                <w:sz w:val="24"/>
                <w:highlight w:val="none"/>
              </w:rPr>
              <w:t>30%</w:t>
            </w:r>
          </w:p>
        </w:tc>
        <w:tc>
          <w:tcPr>
            <w:tcW w:w="5867" w:type="dxa"/>
            <w:shd w:val="clear" w:color="auto" w:fill="auto"/>
            <w:vAlign w:val="center"/>
          </w:tcPr>
          <w:p>
            <w:pPr>
              <w:snapToGrid w:val="0"/>
              <w:spacing w:before="0" w:beforeAutospacing="0" w:after="0" w:afterAutospacing="0" w:line="336" w:lineRule="auto"/>
              <w:ind w:left="0" w:right="0" w:firstLine="33" w:firstLineChars="14"/>
              <w:rPr>
                <w:rFonts w:hint="eastAsia" w:ascii="仿宋" w:hAnsi="仿宋" w:eastAsia="仿宋" w:cs="仿宋"/>
                <w:snapToGrid w:val="0"/>
                <w:kern w:val="0"/>
                <w:sz w:val="24"/>
                <w:highlight w:val="none"/>
              </w:rPr>
            </w:pPr>
            <w:r>
              <w:rPr>
                <w:rFonts w:hint="eastAsia" w:ascii="仿宋" w:hAnsi="仿宋" w:eastAsia="仿宋" w:cs="仿宋"/>
                <w:sz w:val="24"/>
                <w:highlight w:val="none"/>
              </w:rPr>
              <w:t>乙方提交规划送审稿，经杭州市规划和自然资源局组织专家和部门审查达到技术要求的，在出具会议纪要后15个工作日内支付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2" w:type="dxa"/>
            <w:shd w:val="clear" w:color="auto" w:fill="auto"/>
            <w:vAlign w:val="center"/>
          </w:tcPr>
          <w:p>
            <w:pPr>
              <w:spacing w:before="0" w:beforeAutospacing="0" w:after="0" w:afterAutospacing="0"/>
              <w:ind w:left="0" w:right="0"/>
              <w:jc w:val="center"/>
              <w:rPr>
                <w:rFonts w:hint="eastAsia" w:ascii="仿宋" w:hAnsi="仿宋" w:eastAsia="仿宋" w:cs="仿宋"/>
                <w:sz w:val="24"/>
                <w:highlight w:val="none"/>
              </w:rPr>
            </w:pPr>
            <w:r>
              <w:rPr>
                <w:rFonts w:hint="eastAsia" w:ascii="仿宋" w:hAnsi="仿宋" w:eastAsia="仿宋" w:cs="仿宋"/>
                <w:sz w:val="24"/>
                <w:highlight w:val="none"/>
              </w:rPr>
              <w:t>第四次付费</w:t>
            </w:r>
          </w:p>
        </w:tc>
        <w:tc>
          <w:tcPr>
            <w:tcW w:w="1246" w:type="dxa"/>
            <w:shd w:val="clear" w:color="auto" w:fill="auto"/>
            <w:vAlign w:val="center"/>
          </w:tcPr>
          <w:p>
            <w:pPr>
              <w:snapToGrid w:val="0"/>
              <w:spacing w:before="0" w:beforeAutospacing="0" w:after="0" w:afterAutospacing="0"/>
              <w:ind w:left="0" w:right="0" w:firstLine="33" w:firstLineChars="14"/>
              <w:jc w:val="center"/>
              <w:rPr>
                <w:rFonts w:hint="eastAsia" w:ascii="仿宋" w:hAnsi="仿宋" w:eastAsia="仿宋" w:cs="仿宋"/>
                <w:sz w:val="24"/>
                <w:highlight w:val="none"/>
              </w:rPr>
            </w:pPr>
            <w:r>
              <w:rPr>
                <w:rFonts w:hint="eastAsia" w:ascii="仿宋" w:hAnsi="仿宋" w:eastAsia="仿宋" w:cs="仿宋"/>
                <w:sz w:val="24"/>
                <w:highlight w:val="none"/>
              </w:rPr>
              <w:t>20%</w:t>
            </w:r>
          </w:p>
        </w:tc>
        <w:tc>
          <w:tcPr>
            <w:tcW w:w="5867" w:type="dxa"/>
            <w:shd w:val="clear" w:color="auto" w:fill="auto"/>
            <w:vAlign w:val="center"/>
          </w:tcPr>
          <w:p>
            <w:pPr>
              <w:snapToGrid w:val="0"/>
              <w:spacing w:before="0" w:beforeAutospacing="0" w:after="0" w:afterAutospacing="0" w:line="336" w:lineRule="auto"/>
              <w:ind w:left="0" w:right="0" w:firstLine="33" w:firstLineChars="14"/>
              <w:rPr>
                <w:rFonts w:hint="eastAsia" w:ascii="仿宋" w:hAnsi="仿宋" w:eastAsia="仿宋" w:cs="仿宋"/>
                <w:snapToGrid w:val="0"/>
                <w:kern w:val="0"/>
                <w:sz w:val="24"/>
                <w:highlight w:val="none"/>
              </w:rPr>
            </w:pPr>
            <w:r>
              <w:rPr>
                <w:rFonts w:hint="eastAsia" w:ascii="仿宋" w:hAnsi="仿宋" w:eastAsia="仿宋" w:cs="仿宋"/>
                <w:sz w:val="24"/>
                <w:highlight w:val="none"/>
              </w:rPr>
              <w:t>乙方提交规划报批稿，经杭州市人民政府批复后，按规定提交最终成果经甲方确认后15个工作日内支付</w:t>
            </w:r>
          </w:p>
        </w:tc>
      </w:tr>
    </w:tbl>
    <w:p>
      <w:pPr>
        <w:pStyle w:val="2"/>
        <w:rPr>
          <w:rFonts w:hint="default" w:eastAsia="宋体"/>
          <w:color w:val="auto"/>
          <w:highlight w:val="none"/>
          <w:lang w:val="en-US" w:eastAsia="zh-CN"/>
        </w:rPr>
        <w:sectPr>
          <w:pgSz w:w="11907" w:h="16840"/>
          <w:pgMar w:top="1474" w:right="1814" w:bottom="1474" w:left="1814" w:header="851" w:footer="851" w:gutter="0"/>
          <w:cols w:space="720" w:num="1"/>
        </w:sectPr>
      </w:pPr>
      <w:r>
        <w:rPr>
          <w:rFonts w:hint="eastAsia" w:ascii="仿宋" w:hAnsi="仿宋" w:eastAsia="仿宋" w:cs="仿宋"/>
          <w:b/>
          <w:bCs/>
          <w:color w:val="auto"/>
          <w:sz w:val="24"/>
          <w:szCs w:val="24"/>
          <w:highlight w:val="none"/>
        </w:rPr>
        <w:t>带“</w:t>
      </w:r>
      <w:r>
        <w:rPr>
          <w:rFonts w:hint="eastAsia" w:ascii="仿宋" w:hAnsi="仿宋" w:eastAsia="仿宋" w:cs="仿宋"/>
          <w:color w:val="auto"/>
          <w:sz w:val="24"/>
          <w:szCs w:val="24"/>
          <w:highlight w:val="none"/>
        </w:rPr>
        <w:t>▲</w:t>
      </w:r>
      <w:r>
        <w:rPr>
          <w:rFonts w:hint="eastAsia" w:ascii="仿宋" w:hAnsi="仿宋" w:eastAsia="仿宋" w:cs="仿宋"/>
          <w:b/>
          <w:bCs/>
          <w:color w:val="auto"/>
          <w:sz w:val="24"/>
          <w:szCs w:val="24"/>
          <w:highlight w:val="none"/>
        </w:rPr>
        <w:t>”条款为实质性条款，投标人须</w:t>
      </w:r>
      <w:r>
        <w:rPr>
          <w:rFonts w:hint="eastAsia" w:ascii="仿宋" w:hAnsi="仿宋" w:eastAsia="仿宋" w:cs="仿宋"/>
          <w:b/>
          <w:bCs/>
          <w:color w:val="auto"/>
          <w:sz w:val="24"/>
          <w:szCs w:val="24"/>
          <w:highlight w:val="none"/>
          <w:lang w:val="en-US" w:eastAsia="zh-CN"/>
        </w:rPr>
        <w:t>将相应内容填写至</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符合性审查资料</w:t>
      </w:r>
      <w:r>
        <w:rPr>
          <w:rFonts w:hint="eastAsia" w:ascii="仿宋" w:hAnsi="仿宋" w:eastAsia="仿宋" w:cs="仿宋"/>
          <w:b/>
          <w:bCs/>
          <w:color w:val="auto"/>
          <w:sz w:val="24"/>
          <w:szCs w:val="24"/>
          <w:highlight w:val="none"/>
        </w:rPr>
        <w:t>》，如有任意一条未响应或不满足，将被视为</w:t>
      </w:r>
      <w:r>
        <w:rPr>
          <w:rFonts w:hint="eastAsia" w:ascii="仿宋" w:hAnsi="仿宋" w:eastAsia="仿宋" w:cs="仿宋"/>
          <w:b/>
          <w:bCs/>
          <w:color w:val="auto"/>
          <w:sz w:val="24"/>
          <w:szCs w:val="24"/>
          <w:highlight w:val="none"/>
          <w:lang w:eastAsia="zh-CN"/>
        </w:rPr>
        <w:t>投标</w:t>
      </w:r>
      <w:r>
        <w:rPr>
          <w:rFonts w:hint="eastAsia" w:ascii="仿宋" w:hAnsi="仿宋" w:eastAsia="仿宋" w:cs="仿宋"/>
          <w:b/>
          <w:bCs/>
          <w:color w:val="auto"/>
          <w:sz w:val="24"/>
          <w:szCs w:val="24"/>
          <w:highlight w:val="none"/>
        </w:rPr>
        <w:t>无效</w:t>
      </w:r>
      <w:r>
        <w:rPr>
          <w:rFonts w:hint="eastAsia" w:ascii="仿宋" w:hAnsi="仿宋" w:eastAsia="仿宋" w:cs="仿宋"/>
          <w:b/>
          <w:bCs/>
          <w:color w:val="auto"/>
          <w:sz w:val="24"/>
          <w:szCs w:val="24"/>
          <w:highlight w:val="none"/>
          <w:lang w:eastAsia="zh-CN"/>
        </w:rPr>
        <w:t>。</w:t>
      </w:r>
    </w:p>
    <w:p>
      <w:pPr>
        <w:pStyle w:val="102"/>
        <w:spacing w:line="360" w:lineRule="auto"/>
        <w:ind w:firstLine="0" w:firstLineChars="0"/>
        <w:rPr>
          <w:rFonts w:hint="eastAsia" w:ascii="仿宋" w:hAnsi="仿宋" w:eastAsia="仿宋" w:cs="仿宋"/>
          <w:b/>
          <w:bCs/>
          <w:color w:val="auto"/>
          <w:sz w:val="36"/>
          <w:szCs w:val="36"/>
          <w:highlight w:val="none"/>
          <w:lang w:val="en-US" w:eastAsia="zh-CN"/>
        </w:rPr>
      </w:pPr>
      <w:r>
        <w:rPr>
          <w:rFonts w:hint="eastAsia" w:ascii="仿宋" w:hAnsi="仿宋" w:eastAsia="仿宋" w:cs="仿宋"/>
          <w:b/>
          <w:bCs/>
          <w:color w:val="auto"/>
          <w:sz w:val="36"/>
          <w:szCs w:val="36"/>
          <w:highlight w:val="none"/>
          <w:lang w:val="en-US" w:eastAsia="zh-CN"/>
        </w:rPr>
        <w:t>标项三：</w:t>
      </w:r>
    </w:p>
    <w:p>
      <w:pPr>
        <w:tabs>
          <w:tab w:val="left" w:pos="0"/>
        </w:tabs>
        <w:spacing w:line="360" w:lineRule="auto"/>
        <w:rPr>
          <w:rFonts w:hint="eastAsia" w:ascii="仿宋" w:hAnsi="仿宋" w:eastAsia="仿宋" w:cs="仿宋"/>
          <w:b/>
          <w:bCs/>
          <w:color w:val="auto"/>
          <w:highlight w:val="none"/>
        </w:rPr>
      </w:pPr>
      <w:r>
        <w:rPr>
          <w:rFonts w:hint="eastAsia" w:ascii="仿宋" w:hAnsi="仿宋" w:eastAsia="仿宋" w:cs="仿宋"/>
          <w:b/>
          <w:bCs/>
          <w:color w:val="auto"/>
          <w:sz w:val="24"/>
          <w:szCs w:val="24"/>
          <w:highlight w:val="none"/>
          <w:lang w:val="en-US" w:eastAsia="zh-CN"/>
        </w:rPr>
        <w:t>一</w:t>
      </w:r>
      <w:r>
        <w:rPr>
          <w:rFonts w:hint="eastAsia" w:ascii="仿宋" w:hAnsi="仿宋" w:eastAsia="仿宋" w:cs="仿宋"/>
          <w:b/>
          <w:bCs/>
          <w:color w:val="auto"/>
          <w:sz w:val="24"/>
          <w:szCs w:val="24"/>
          <w:highlight w:val="none"/>
        </w:rPr>
        <w:t>、项目</w:t>
      </w:r>
      <w:r>
        <w:rPr>
          <w:rFonts w:hint="eastAsia" w:ascii="仿宋" w:hAnsi="仿宋" w:eastAsia="仿宋" w:cs="仿宋"/>
          <w:b/>
          <w:bCs/>
          <w:color w:val="auto"/>
          <w:sz w:val="24"/>
          <w:szCs w:val="24"/>
          <w:highlight w:val="none"/>
          <w:lang w:eastAsia="zh-CN"/>
        </w:rPr>
        <w:t>名称</w:t>
      </w:r>
    </w:p>
    <w:p>
      <w:pPr>
        <w:tabs>
          <w:tab w:val="left" w:pos="0"/>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临平区山北单元控制性详细规划编制服务采购项目</w:t>
      </w:r>
      <w:r>
        <w:rPr>
          <w:rFonts w:hint="eastAsia" w:ascii="仿宋" w:hAnsi="仿宋" w:eastAsia="仿宋" w:cs="仿宋"/>
          <w:color w:val="auto"/>
          <w:sz w:val="24"/>
          <w:szCs w:val="24"/>
          <w:highlight w:val="none"/>
          <w:lang w:eastAsia="zh-CN"/>
        </w:rPr>
        <w:t>。</w:t>
      </w:r>
    </w:p>
    <w:p>
      <w:pPr>
        <w:tabs>
          <w:tab w:val="left" w:pos="0"/>
        </w:tabs>
        <w:spacing w:line="360" w:lineRule="auto"/>
        <w:rPr>
          <w:rFonts w:hint="eastAsia" w:ascii="仿宋" w:hAnsi="仿宋" w:eastAsia="仿宋" w:cs="仿宋"/>
          <w:b/>
          <w:bCs/>
          <w:color w:val="auto"/>
          <w:highlight w:val="none"/>
        </w:rPr>
      </w:pPr>
      <w:r>
        <w:rPr>
          <w:rFonts w:hint="eastAsia" w:ascii="仿宋" w:hAnsi="仿宋" w:eastAsia="仿宋" w:cs="仿宋"/>
          <w:b/>
          <w:bCs/>
          <w:color w:val="auto"/>
          <w:sz w:val="24"/>
          <w:szCs w:val="24"/>
          <w:highlight w:val="none"/>
          <w:lang w:val="en-US" w:eastAsia="zh-CN"/>
        </w:rPr>
        <w:t>二</w:t>
      </w:r>
      <w:r>
        <w:rPr>
          <w:rFonts w:hint="eastAsia" w:ascii="仿宋" w:hAnsi="仿宋" w:eastAsia="仿宋" w:cs="仿宋"/>
          <w:b/>
          <w:bCs/>
          <w:color w:val="auto"/>
          <w:sz w:val="24"/>
          <w:szCs w:val="24"/>
          <w:highlight w:val="none"/>
        </w:rPr>
        <w:t>、项目背景</w:t>
      </w:r>
    </w:p>
    <w:p>
      <w:pPr>
        <w:tabs>
          <w:tab w:val="left" w:pos="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为充分落实新一轮国土空间规划对该地区提出的刚性管控和自身发展新要求，在杭州市开展新一轮单元控制性详细规划的要求下，结合在编的的杭州市市级、临平区级国土空间总体规划和其他专项规划，强化对临平山北单元的规划统筹和空间治理能力的提升，科学安排用地功能，完善基础设施配套，指导片区未来开发建设，特开展杭州市临平山北单元控制性详细规划编制。</w:t>
      </w:r>
    </w:p>
    <w:p>
      <w:pPr>
        <w:tabs>
          <w:tab w:val="left" w:pos="0"/>
        </w:tabs>
        <w:spacing w:line="360" w:lineRule="auto"/>
        <w:rPr>
          <w:rFonts w:hint="eastAsia" w:ascii="仿宋" w:hAnsi="仿宋" w:eastAsia="仿宋" w:cs="仿宋"/>
          <w:b/>
          <w:bCs/>
          <w:color w:val="auto"/>
          <w:highlight w:val="none"/>
        </w:rPr>
      </w:pPr>
      <w:r>
        <w:rPr>
          <w:rFonts w:hint="eastAsia" w:ascii="仿宋" w:hAnsi="仿宋" w:eastAsia="仿宋" w:cs="仿宋"/>
          <w:b/>
          <w:bCs/>
          <w:color w:val="auto"/>
          <w:sz w:val="24"/>
          <w:szCs w:val="24"/>
          <w:highlight w:val="none"/>
        </w:rPr>
        <w:t>三、规划范围</w:t>
      </w:r>
    </w:p>
    <w:p>
      <w:pPr>
        <w:tabs>
          <w:tab w:val="left" w:pos="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北至临平大道、南至星光街、西至望梅路、东至禾丰港。规划面积6.05平方公里。</w:t>
      </w:r>
    </w:p>
    <w:p>
      <w:pPr>
        <w:tabs>
          <w:tab w:val="left" w:pos="0"/>
        </w:tabs>
        <w:spacing w:line="360" w:lineRule="auto"/>
        <w:rPr>
          <w:rFonts w:hint="eastAsia" w:ascii="仿宋" w:hAnsi="仿宋" w:eastAsia="仿宋" w:cs="仿宋"/>
          <w:b/>
          <w:bCs/>
          <w:color w:val="auto"/>
          <w:highlight w:val="none"/>
        </w:rPr>
      </w:pPr>
      <w:r>
        <w:rPr>
          <w:rFonts w:hint="eastAsia" w:ascii="仿宋" w:hAnsi="仿宋" w:eastAsia="仿宋" w:cs="仿宋"/>
          <w:b/>
          <w:bCs/>
          <w:color w:val="auto"/>
          <w:sz w:val="24"/>
          <w:szCs w:val="24"/>
          <w:highlight w:val="none"/>
        </w:rPr>
        <w:t>四、规划依据（包括但不限于）：</w:t>
      </w:r>
    </w:p>
    <w:p>
      <w:pPr>
        <w:pStyle w:val="58"/>
        <w:widowControl w:val="0"/>
        <w:spacing w:before="0" w:beforeAutospacing="0" w:after="0" w:afterAutospacing="0" w:line="360" w:lineRule="auto"/>
        <w:ind w:left="420" w:right="33"/>
        <w:rPr>
          <w:rFonts w:hint="eastAsia" w:ascii="仿宋" w:hAnsi="仿宋" w:eastAsia="仿宋" w:cs="仿宋"/>
          <w:color w:val="auto"/>
          <w:kern w:val="2"/>
          <w:highlight w:val="none"/>
        </w:rPr>
      </w:pPr>
      <w:r>
        <w:rPr>
          <w:rFonts w:hint="eastAsia" w:ascii="仿宋" w:hAnsi="仿宋" w:eastAsia="仿宋" w:cs="仿宋"/>
          <w:color w:val="auto"/>
          <w:kern w:val="2"/>
          <w:highlight w:val="none"/>
        </w:rPr>
        <w:t>《中华人民共和国土地管理法》；</w:t>
      </w:r>
    </w:p>
    <w:p>
      <w:pPr>
        <w:pStyle w:val="58"/>
        <w:widowControl w:val="0"/>
        <w:spacing w:before="0" w:beforeAutospacing="0" w:after="0" w:afterAutospacing="0" w:line="360" w:lineRule="auto"/>
        <w:ind w:left="420" w:right="33"/>
        <w:rPr>
          <w:rFonts w:hint="eastAsia" w:ascii="仿宋" w:hAnsi="仿宋" w:eastAsia="仿宋" w:cs="仿宋"/>
          <w:color w:val="auto"/>
          <w:kern w:val="2"/>
          <w:highlight w:val="none"/>
        </w:rPr>
      </w:pPr>
      <w:r>
        <w:rPr>
          <w:rFonts w:hint="eastAsia" w:ascii="仿宋" w:hAnsi="仿宋" w:eastAsia="仿宋" w:cs="仿宋"/>
          <w:color w:val="auto"/>
          <w:kern w:val="2"/>
          <w:highlight w:val="none"/>
        </w:rPr>
        <w:t>《中华人民共和国城乡规划法》；</w:t>
      </w:r>
    </w:p>
    <w:p>
      <w:pPr>
        <w:pStyle w:val="58"/>
        <w:widowControl w:val="0"/>
        <w:spacing w:before="0" w:beforeAutospacing="0" w:after="0" w:afterAutospacing="0" w:line="360" w:lineRule="auto"/>
        <w:ind w:left="420" w:right="33"/>
        <w:rPr>
          <w:rFonts w:hint="eastAsia" w:ascii="仿宋" w:hAnsi="仿宋" w:eastAsia="仿宋" w:cs="仿宋"/>
          <w:color w:val="auto"/>
          <w:kern w:val="2"/>
          <w:highlight w:val="none"/>
        </w:rPr>
      </w:pPr>
      <w:r>
        <w:rPr>
          <w:rFonts w:hint="eastAsia" w:ascii="仿宋" w:hAnsi="仿宋" w:eastAsia="仿宋" w:cs="仿宋"/>
          <w:color w:val="auto"/>
          <w:kern w:val="2"/>
          <w:highlight w:val="none"/>
        </w:rPr>
        <w:t>《国土空间调查、规划、用途管制用地用海分类指南（试行）》；</w:t>
      </w:r>
    </w:p>
    <w:p>
      <w:pPr>
        <w:pStyle w:val="58"/>
        <w:widowControl w:val="0"/>
        <w:spacing w:before="0" w:beforeAutospacing="0" w:after="0" w:afterAutospacing="0" w:line="360" w:lineRule="auto"/>
        <w:ind w:left="420" w:right="33"/>
        <w:rPr>
          <w:rFonts w:hint="eastAsia" w:ascii="仿宋" w:hAnsi="仿宋" w:eastAsia="仿宋" w:cs="仿宋"/>
          <w:color w:val="auto"/>
          <w:kern w:val="2"/>
          <w:highlight w:val="none"/>
        </w:rPr>
      </w:pPr>
      <w:r>
        <w:rPr>
          <w:rFonts w:hint="eastAsia" w:ascii="仿宋" w:hAnsi="仿宋" w:eastAsia="仿宋" w:cs="仿宋"/>
          <w:color w:val="auto"/>
          <w:kern w:val="2"/>
          <w:highlight w:val="none"/>
        </w:rPr>
        <w:t>《浙江省土地管理条例》；</w:t>
      </w:r>
    </w:p>
    <w:p>
      <w:pPr>
        <w:pStyle w:val="58"/>
        <w:widowControl w:val="0"/>
        <w:spacing w:before="0" w:beforeAutospacing="0" w:after="0" w:afterAutospacing="0" w:line="360" w:lineRule="auto"/>
        <w:ind w:left="420" w:right="33"/>
        <w:rPr>
          <w:rFonts w:hint="eastAsia" w:ascii="仿宋" w:hAnsi="仿宋" w:eastAsia="仿宋" w:cs="仿宋"/>
          <w:color w:val="auto"/>
          <w:kern w:val="2"/>
          <w:highlight w:val="none"/>
        </w:rPr>
      </w:pPr>
      <w:r>
        <w:rPr>
          <w:rFonts w:hint="eastAsia" w:ascii="仿宋" w:hAnsi="仿宋" w:eastAsia="仿宋" w:cs="仿宋"/>
          <w:color w:val="auto"/>
          <w:kern w:val="2"/>
          <w:highlight w:val="none"/>
        </w:rPr>
        <w:t>《浙江省城乡规划条例》；</w:t>
      </w:r>
    </w:p>
    <w:p>
      <w:pPr>
        <w:pStyle w:val="58"/>
        <w:widowControl w:val="0"/>
        <w:spacing w:before="0" w:beforeAutospacing="0" w:after="0" w:afterAutospacing="0" w:line="360" w:lineRule="auto"/>
        <w:ind w:left="420" w:right="33"/>
        <w:rPr>
          <w:rFonts w:hint="eastAsia" w:ascii="仿宋" w:hAnsi="仿宋" w:eastAsia="仿宋" w:cs="仿宋"/>
          <w:color w:val="auto"/>
          <w:kern w:val="2"/>
          <w:highlight w:val="none"/>
        </w:rPr>
      </w:pPr>
      <w:r>
        <w:rPr>
          <w:rFonts w:hint="eastAsia" w:ascii="仿宋" w:hAnsi="仿宋" w:eastAsia="仿宋" w:cs="仿宋"/>
          <w:color w:val="auto"/>
          <w:kern w:val="2"/>
          <w:highlight w:val="none"/>
        </w:rPr>
        <w:t>《杭州市城乡规划条例》；</w:t>
      </w:r>
    </w:p>
    <w:p>
      <w:pPr>
        <w:pStyle w:val="58"/>
        <w:widowControl w:val="0"/>
        <w:spacing w:before="0" w:beforeAutospacing="0" w:after="0" w:afterAutospacing="0" w:line="360" w:lineRule="auto"/>
        <w:ind w:left="420" w:right="33"/>
        <w:rPr>
          <w:rFonts w:hint="eastAsia" w:ascii="仿宋" w:hAnsi="仿宋" w:eastAsia="仿宋" w:cs="仿宋"/>
          <w:color w:val="auto"/>
          <w:kern w:val="2"/>
          <w:highlight w:val="none"/>
        </w:rPr>
      </w:pPr>
      <w:r>
        <w:rPr>
          <w:rFonts w:hint="eastAsia" w:ascii="仿宋" w:hAnsi="仿宋" w:eastAsia="仿宋" w:cs="仿宋"/>
          <w:color w:val="auto"/>
          <w:kern w:val="2"/>
          <w:highlight w:val="none"/>
        </w:rPr>
        <w:t>《城市规划编制办法》；</w:t>
      </w:r>
    </w:p>
    <w:p>
      <w:pPr>
        <w:pStyle w:val="58"/>
        <w:widowControl w:val="0"/>
        <w:spacing w:before="0" w:beforeAutospacing="0" w:after="0" w:afterAutospacing="0" w:line="360" w:lineRule="auto"/>
        <w:ind w:left="420" w:right="33"/>
        <w:rPr>
          <w:rFonts w:hint="eastAsia" w:ascii="仿宋" w:hAnsi="仿宋" w:eastAsia="仿宋" w:cs="仿宋"/>
          <w:color w:val="auto"/>
          <w:kern w:val="2"/>
          <w:highlight w:val="none"/>
        </w:rPr>
      </w:pPr>
      <w:r>
        <w:rPr>
          <w:rFonts w:hint="eastAsia" w:ascii="仿宋" w:hAnsi="仿宋" w:eastAsia="仿宋" w:cs="仿宋"/>
          <w:color w:val="auto"/>
          <w:kern w:val="2"/>
          <w:highlight w:val="none"/>
        </w:rPr>
        <w:t>《杭州市城镇详细规划编制技术规程》；</w:t>
      </w:r>
    </w:p>
    <w:p>
      <w:pPr>
        <w:pStyle w:val="58"/>
        <w:widowControl w:val="0"/>
        <w:spacing w:before="0" w:beforeAutospacing="0" w:after="0" w:afterAutospacing="0" w:line="360" w:lineRule="auto"/>
        <w:ind w:left="420" w:right="33"/>
        <w:rPr>
          <w:rFonts w:hint="eastAsia" w:ascii="仿宋" w:hAnsi="仿宋" w:eastAsia="仿宋" w:cs="仿宋"/>
          <w:color w:val="auto"/>
          <w:highlight w:val="none"/>
        </w:rPr>
      </w:pPr>
      <w:r>
        <w:rPr>
          <w:rFonts w:hint="eastAsia" w:ascii="仿宋" w:hAnsi="仿宋" w:eastAsia="仿宋" w:cs="仿宋"/>
          <w:color w:val="auto"/>
          <w:highlight w:val="none"/>
        </w:rPr>
        <w:t>《杭州市国土空间规划公共服务设施配套规定》。</w:t>
      </w:r>
    </w:p>
    <w:p>
      <w:pPr>
        <w:pStyle w:val="58"/>
        <w:widowControl w:val="0"/>
        <w:spacing w:before="0" w:beforeAutospacing="0" w:after="0" w:afterAutospacing="0" w:line="360" w:lineRule="auto"/>
        <w:ind w:left="420" w:right="33"/>
        <w:rPr>
          <w:rFonts w:hint="eastAsia" w:ascii="仿宋" w:hAnsi="仿宋" w:eastAsia="仿宋" w:cs="仿宋"/>
          <w:color w:val="auto"/>
          <w:highlight w:val="none"/>
        </w:rPr>
      </w:pPr>
    </w:p>
    <w:p>
      <w:pPr>
        <w:tabs>
          <w:tab w:val="left" w:pos="0"/>
        </w:tabs>
        <w:spacing w:line="360" w:lineRule="auto"/>
        <w:rPr>
          <w:rFonts w:hint="eastAsia" w:ascii="仿宋" w:hAnsi="仿宋" w:eastAsia="仿宋" w:cs="仿宋"/>
          <w:b/>
          <w:bCs/>
          <w:color w:val="auto"/>
          <w:highlight w:val="none"/>
        </w:rPr>
      </w:pPr>
      <w:r>
        <w:rPr>
          <w:rFonts w:hint="eastAsia" w:ascii="仿宋" w:hAnsi="仿宋" w:eastAsia="仿宋" w:cs="仿宋"/>
          <w:b/>
          <w:bCs/>
          <w:color w:val="auto"/>
          <w:sz w:val="24"/>
          <w:szCs w:val="24"/>
          <w:highlight w:val="none"/>
        </w:rPr>
        <w:t>五、</w:t>
      </w:r>
      <w:r>
        <w:rPr>
          <w:rFonts w:hint="eastAsia" w:ascii="仿宋" w:hAnsi="仿宋" w:eastAsia="仿宋" w:cs="仿宋"/>
          <w:b/>
          <w:bCs/>
          <w:color w:val="auto"/>
          <w:sz w:val="24"/>
          <w:szCs w:val="24"/>
          <w:highlight w:val="none"/>
          <w:lang w:eastAsia="zh-CN"/>
        </w:rPr>
        <w:t>内容要求</w:t>
      </w:r>
    </w:p>
    <w:p>
      <w:pPr>
        <w:tabs>
          <w:tab w:val="left" w:pos="0"/>
        </w:tabs>
        <w:spacing w:line="360" w:lineRule="auto"/>
        <w:ind w:firstLine="482" w:firstLineChars="200"/>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eastAsia="zh-CN"/>
        </w:rPr>
        <w:t>（一）技术要求</w:t>
      </w:r>
    </w:p>
    <w:p>
      <w:pPr>
        <w:tabs>
          <w:tab w:val="left" w:pos="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贯彻国土空间规划改革新要求，衔接杭州市国土空间规划体系，严格落实新一轮杭州市国土空间总体规划对本单元的战略引领和刚性管控要求，加强与各级国土空间规划、专项规划的动态衔接。在现行相关技术准则和规范要求的基础上，立足本单元的发展特色和主要诉求，充分落实上位规划对本单元的各项要求，积极探索和创新新时期控制性详细规划编制思路和方法，实现全域全要素空间规划及管控。</w:t>
      </w:r>
    </w:p>
    <w:p>
      <w:pPr>
        <w:tabs>
          <w:tab w:val="left" w:pos="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（1）现状分析。加强对单元内现状用地、交通、产业发展、配套设施及水系等进行充分调研及分析。完成统一数据标准的控规现状一张图，并形成规范化的现状用地入库数据。</w:t>
      </w:r>
    </w:p>
    <w:p>
      <w:pPr>
        <w:tabs>
          <w:tab w:val="left" w:pos="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（2）落实上位规划的要求。落实各类各级上位规划对本单元的功能定位、底线管控、空间布局、设施配套等各方面的要求,并注重相关规划和单元之间的协调。</w:t>
      </w:r>
    </w:p>
    <w:p>
      <w:pPr>
        <w:tabs>
          <w:tab w:val="left" w:pos="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（3）目标定位和功能布局。根据规划单元的总体目标和功能定位，合理优化空间布局和用地结构。</w:t>
      </w:r>
    </w:p>
    <w:p>
      <w:pPr>
        <w:tabs>
          <w:tab w:val="left" w:pos="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公共服务和人居环境。切实改善人居环境品质，衔接相关技术标准和专项规划，落实市级、区级重要公共服务设施，科学合理布局各级各类公共服务设施，统筹协调跨单元公共服务设施共建共享。优化居住空间布局和结构，强化地区内职住平衡。</w:t>
      </w:r>
    </w:p>
    <w:p>
      <w:pPr>
        <w:tabs>
          <w:tab w:val="left" w:pos="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（5）重视单元品质建设，强化公共开放空间系统，优化绿地空间及慢行交通系统的统筹规划。 </w:t>
      </w:r>
    </w:p>
    <w:p>
      <w:pPr>
        <w:tabs>
          <w:tab w:val="left" w:pos="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（6）城市重点地区的管控。保护单元内蓝绿空间特色，营造独特城市形态，提出城市重点地区界面的管控思路及管控指标。</w:t>
      </w:r>
    </w:p>
    <w:p>
      <w:pPr>
        <w:tabs>
          <w:tab w:val="left" w:pos="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综合交通和市政设施。落实市、区级重要区域交通设施、城市轨道交通、主干路网，做好与周边单元交界地区的通道衔接。落实市、区级重要区域性市政设施、设施通道和应急避难场所，深化细化各类管线管廊、基础设施地块和控制要求，做好与周边单元交界地区的容量协调和廊道衔接。</w:t>
      </w:r>
    </w:p>
    <w:p>
      <w:pPr>
        <w:tabs>
          <w:tab w:val="left" w:pos="0"/>
        </w:tabs>
        <w:spacing w:line="360" w:lineRule="auto"/>
        <w:ind w:firstLine="482" w:firstLineChars="200"/>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eastAsia="zh-CN"/>
        </w:rPr>
        <w:t>（二）成果要求</w:t>
      </w:r>
    </w:p>
    <w:p>
      <w:pPr>
        <w:tabs>
          <w:tab w:val="left" w:pos="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1、规划成果按《杭州市城市规划编制电子成果提交规范（修编）》要求完成，由规划文本、规划说明书、规划图纸、基础资料汇编组成。成果形式为纸质文档和电子文档。</w:t>
      </w:r>
    </w:p>
    <w:p>
      <w:pPr>
        <w:tabs>
          <w:tab w:val="left" w:pos="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2、规划文本包括但不限于以下内容：</w:t>
      </w:r>
    </w:p>
    <w:p>
      <w:pPr>
        <w:tabs>
          <w:tab w:val="left" w:pos="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（1）总则</w:t>
      </w:r>
    </w:p>
    <w:p>
      <w:pPr>
        <w:tabs>
          <w:tab w:val="left" w:pos="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（2）发展定位与规模</w:t>
      </w:r>
    </w:p>
    <w:p>
      <w:pPr>
        <w:tabs>
          <w:tab w:val="left" w:pos="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（3）空间结构</w:t>
      </w:r>
    </w:p>
    <w:p>
      <w:pPr>
        <w:tabs>
          <w:tab w:val="left" w:pos="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（4）用地布局规划</w:t>
      </w:r>
    </w:p>
    <w:p>
      <w:pPr>
        <w:tabs>
          <w:tab w:val="left" w:pos="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（5）容量与控制指标</w:t>
      </w:r>
    </w:p>
    <w:p>
      <w:pPr>
        <w:tabs>
          <w:tab w:val="left" w:pos="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（6）道路交通系统规划</w:t>
      </w:r>
    </w:p>
    <w:p>
      <w:pPr>
        <w:tabs>
          <w:tab w:val="left" w:pos="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（7）景观规划与城市设计导引</w:t>
      </w:r>
    </w:p>
    <w:p>
      <w:pPr>
        <w:tabs>
          <w:tab w:val="left" w:pos="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（8）市政工程规划</w:t>
      </w:r>
    </w:p>
    <w:p>
      <w:pPr>
        <w:tabs>
          <w:tab w:val="left" w:pos="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（9）综合防灾规划</w:t>
      </w:r>
    </w:p>
    <w:p>
      <w:pPr>
        <w:tabs>
          <w:tab w:val="left" w:pos="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（10）近期建设规划</w:t>
      </w:r>
    </w:p>
    <w:p>
      <w:pPr>
        <w:tabs>
          <w:tab w:val="left" w:pos="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（11）规划实施保障措施</w:t>
      </w:r>
    </w:p>
    <w:p>
      <w:pPr>
        <w:tabs>
          <w:tab w:val="left" w:pos="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规划说明书主要包括：</w:t>
      </w:r>
    </w:p>
    <w:p>
      <w:pPr>
        <w:tabs>
          <w:tab w:val="left" w:pos="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1、规划说明书由正文和附录两部分组成。</w:t>
      </w:r>
    </w:p>
    <w:p>
      <w:pPr>
        <w:tabs>
          <w:tab w:val="left" w:pos="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2、规划说明书正文应当与规划文本的条文相对应，对规划文本条文做出详细说明。</w:t>
      </w:r>
    </w:p>
    <w:p>
      <w:pPr>
        <w:tabs>
          <w:tab w:val="left" w:pos="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规划说明书附录主要包括以下主要内容：</w:t>
      </w:r>
    </w:p>
    <w:p>
      <w:pPr>
        <w:tabs>
          <w:tab w:val="left" w:pos="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（1）现状分析评价报告</w:t>
      </w:r>
    </w:p>
    <w:p>
      <w:pPr>
        <w:tabs>
          <w:tab w:val="left" w:pos="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（2）其它专题研究报告</w:t>
      </w:r>
    </w:p>
    <w:p>
      <w:pPr>
        <w:tabs>
          <w:tab w:val="left" w:pos="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（3）专家评审意见及落实情况</w:t>
      </w:r>
    </w:p>
    <w:p>
      <w:pPr>
        <w:tabs>
          <w:tab w:val="left" w:pos="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（4）相关部门建议</w:t>
      </w:r>
    </w:p>
    <w:p>
      <w:pPr>
        <w:tabs>
          <w:tab w:val="left" w:pos="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（5）公众意见</w:t>
      </w:r>
    </w:p>
    <w:p>
      <w:pPr>
        <w:tabs>
          <w:tab w:val="left" w:pos="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（6）政府批复</w:t>
      </w:r>
    </w:p>
    <w:p>
      <w:pPr>
        <w:tabs>
          <w:tab w:val="left" w:pos="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规划图纸所表达的内容应当清晰、准确，与规划文本内容相符。现状图、规划图和分析图应当分别表示，图例应当一致。主要图纸应包括但不限于：</w:t>
      </w:r>
    </w:p>
    <w:p>
      <w:pPr>
        <w:tabs>
          <w:tab w:val="left" w:pos="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1、区位图</w:t>
      </w:r>
    </w:p>
    <w:p>
      <w:pPr>
        <w:tabs>
          <w:tab w:val="left" w:pos="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2、用地现状图</w:t>
      </w:r>
    </w:p>
    <w:p>
      <w:pPr>
        <w:tabs>
          <w:tab w:val="left" w:pos="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3、用地规划图</w:t>
      </w:r>
    </w:p>
    <w:p>
      <w:pPr>
        <w:tabs>
          <w:tab w:val="left" w:pos="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4、规划结构图</w:t>
      </w:r>
    </w:p>
    <w:p>
      <w:pPr>
        <w:tabs>
          <w:tab w:val="left" w:pos="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5、公共设施规划图</w:t>
      </w:r>
    </w:p>
    <w:p>
      <w:pPr>
        <w:tabs>
          <w:tab w:val="left" w:pos="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6、道路系统规划图</w:t>
      </w:r>
    </w:p>
    <w:p>
      <w:pPr>
        <w:tabs>
          <w:tab w:val="left" w:pos="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7、绿地景观规划图</w:t>
      </w:r>
    </w:p>
    <w:p>
      <w:pPr>
        <w:tabs>
          <w:tab w:val="left" w:pos="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8、主要市政设施规划图</w:t>
      </w:r>
    </w:p>
    <w:p>
      <w:pPr>
        <w:tabs>
          <w:tab w:val="left" w:pos="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9、其它规划分析图</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最终成果应包括：法定文件、技术文件、附件、详规数据库（数据库标准另行制定）。</w:t>
      </w:r>
    </w:p>
    <w:p>
      <w:pPr>
        <w:tabs>
          <w:tab w:val="left" w:pos="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规划成果包括中审稿、送审稿、报批稿和成果稿四个阶段成果。中间过程稿提交25套，电子文档（光盘）2套；规划送审稿提交25套，电子文档（光盘）2套；规划报批稿6套，电子文档（光盘）6套；最终成果提交6套，电子文档（光盘）6套，（具体数量根据实际需求有所变动）。</w:t>
      </w:r>
    </w:p>
    <w:p>
      <w:pPr>
        <w:tabs>
          <w:tab w:val="left" w:pos="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、电子文档：包括文本电子文档（doc、pdf、ppt等）以及图纸电子文档（含dwg、jpg等）、详规入库数据库矢量文件，且电子矢量文件必须为可编辑（具体文件格式另行规定）。</w:t>
      </w:r>
    </w:p>
    <w:p>
      <w:pPr>
        <w:tabs>
          <w:tab w:val="left" w:pos="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、成果验收时，投标人提交的成果须满足本项所有要求。</w:t>
      </w:r>
    </w:p>
    <w:p>
      <w:pPr>
        <w:tabs>
          <w:tab w:val="left" w:pos="0"/>
        </w:tabs>
        <w:spacing w:line="360" w:lineRule="auto"/>
        <w:rPr>
          <w:rFonts w:hint="eastAsia" w:ascii="仿宋" w:hAnsi="仿宋" w:eastAsia="仿宋" w:cs="仿宋"/>
          <w:color w:val="auto"/>
          <w:highlight w:val="none"/>
        </w:rPr>
      </w:pPr>
      <w:r>
        <w:rPr>
          <w:rFonts w:hint="eastAsia" w:ascii="仿宋" w:hAnsi="仿宋" w:eastAsia="仿宋" w:cs="仿宋"/>
          <w:b/>
          <w:bCs/>
          <w:color w:val="auto"/>
          <w:sz w:val="24"/>
          <w:szCs w:val="24"/>
          <w:highlight w:val="none"/>
          <w:lang w:eastAsia="zh-CN"/>
        </w:rPr>
        <w:t>六</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eastAsia="zh-CN"/>
        </w:rPr>
        <w:t>经费预算</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该项目意向公开中经费为</w:t>
      </w:r>
      <w:r>
        <w:rPr>
          <w:rFonts w:ascii="仿宋" w:hAnsi="仿宋" w:eastAsia="仿宋" w:cs="仿宋"/>
          <w:snapToGrid w:val="0"/>
          <w:kern w:val="0"/>
          <w:sz w:val="24"/>
          <w:highlight w:val="none"/>
        </w:rPr>
        <w:t>1</w:t>
      </w:r>
      <w:r>
        <w:rPr>
          <w:rFonts w:hint="eastAsia" w:ascii="仿宋" w:hAnsi="仿宋" w:eastAsia="仿宋" w:cs="仿宋"/>
          <w:snapToGrid w:val="0"/>
          <w:kern w:val="0"/>
          <w:sz w:val="24"/>
          <w:highlight w:val="none"/>
          <w:lang w:val="en-US" w:eastAsia="zh-CN"/>
        </w:rPr>
        <w:t>27</w:t>
      </w:r>
      <w:r>
        <w:rPr>
          <w:rFonts w:hint="eastAsia" w:ascii="仿宋" w:hAnsi="仿宋" w:eastAsia="仿宋" w:cs="仿宋"/>
          <w:snapToGrid w:val="0"/>
          <w:kern w:val="0"/>
          <w:sz w:val="24"/>
          <w:highlight w:val="none"/>
        </w:rPr>
        <w:t>万元，具体经费预算以财政下达为准。</w:t>
      </w:r>
    </w:p>
    <w:p>
      <w:pPr>
        <w:tabs>
          <w:tab w:val="left" w:pos="0"/>
        </w:tabs>
        <w:spacing w:line="360" w:lineRule="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七、采购方式</w:t>
      </w:r>
    </w:p>
    <w:p>
      <w:pPr>
        <w:snapToGrid w:val="0"/>
        <w:spacing w:line="336" w:lineRule="auto"/>
        <w:ind w:firstLine="480" w:firstLineChars="200"/>
        <w:rPr>
          <w:rFonts w:ascii="仿宋" w:hAnsi="仿宋" w:eastAsia="仿宋" w:cs="仿宋"/>
          <w:snapToGrid w:val="0"/>
          <w:kern w:val="0"/>
          <w:sz w:val="24"/>
          <w:highlight w:val="none"/>
        </w:rPr>
      </w:pPr>
      <w:r>
        <w:rPr>
          <w:rFonts w:hint="eastAsia" w:ascii="仿宋" w:hAnsi="仿宋" w:eastAsia="仿宋" w:cs="仿宋"/>
          <w:snapToGrid w:val="0"/>
          <w:kern w:val="0"/>
          <w:sz w:val="24"/>
          <w:highlight w:val="none"/>
        </w:rPr>
        <w:t>该项目采购方式为公开招标。</w:t>
      </w:r>
    </w:p>
    <w:p>
      <w:pPr>
        <w:tabs>
          <w:tab w:val="left" w:pos="0"/>
        </w:tabs>
        <w:spacing w:line="360" w:lineRule="auto"/>
        <w:rPr>
          <w:rFonts w:hint="eastAsia" w:ascii="仿宋" w:hAnsi="仿宋" w:eastAsia="仿宋" w:cs="仿宋"/>
          <w:b/>
          <w:bCs/>
          <w:color w:val="auto"/>
          <w:highlight w:val="none"/>
        </w:rPr>
      </w:pPr>
      <w:r>
        <w:rPr>
          <w:rFonts w:hint="eastAsia" w:ascii="仿宋" w:hAnsi="仿宋" w:eastAsia="仿宋" w:cs="仿宋"/>
          <w:b/>
          <w:bCs/>
          <w:color w:val="auto"/>
          <w:sz w:val="24"/>
          <w:szCs w:val="24"/>
          <w:highlight w:val="none"/>
          <w:lang w:eastAsia="zh-CN"/>
        </w:rPr>
        <w:t>八</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eastAsia="zh-CN"/>
        </w:rPr>
        <w:t>工作进度</w:t>
      </w:r>
    </w:p>
    <w:p>
      <w:pPr>
        <w:snapToGrid w:val="0"/>
        <w:spacing w:line="336" w:lineRule="auto"/>
        <w:ind w:firstLine="480" w:firstLineChars="200"/>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rPr>
        <w:t>中间</w:t>
      </w:r>
      <w:r>
        <w:rPr>
          <w:rFonts w:hint="eastAsia" w:ascii="仿宋" w:hAnsi="仿宋" w:eastAsia="仿宋" w:cs="仿宋"/>
          <w:snapToGrid w:val="0"/>
          <w:color w:val="auto"/>
          <w:kern w:val="0"/>
          <w:sz w:val="24"/>
          <w:highlight w:val="none"/>
          <w:lang w:val="en-US" w:eastAsia="zh-CN"/>
        </w:rPr>
        <w:t>过程</w:t>
      </w:r>
      <w:r>
        <w:rPr>
          <w:rFonts w:hint="eastAsia" w:ascii="仿宋" w:hAnsi="仿宋" w:eastAsia="仿宋" w:cs="仿宋"/>
          <w:snapToGrid w:val="0"/>
          <w:color w:val="auto"/>
          <w:kern w:val="0"/>
          <w:sz w:val="24"/>
          <w:highlight w:val="none"/>
        </w:rPr>
        <w:t>稿：中标后1个月内完成；</w:t>
      </w:r>
    </w:p>
    <w:p>
      <w:pPr>
        <w:snapToGrid w:val="0"/>
        <w:spacing w:line="336" w:lineRule="auto"/>
        <w:ind w:firstLine="480" w:firstLineChars="200"/>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rPr>
        <w:t>规划送审稿：在2023年4月底前完成；</w:t>
      </w:r>
    </w:p>
    <w:p>
      <w:pPr>
        <w:snapToGrid w:val="0"/>
        <w:spacing w:line="336" w:lineRule="auto"/>
        <w:ind w:firstLine="480" w:firstLineChars="200"/>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rPr>
        <w:t>规划报批稿：在2023年6月底前完成（含一个月公示时间）；</w:t>
      </w:r>
    </w:p>
    <w:p>
      <w:pPr>
        <w:snapToGrid w:val="0"/>
        <w:spacing w:line="336" w:lineRule="auto"/>
        <w:ind w:firstLine="480" w:firstLineChars="200"/>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rPr>
        <w:t>规划最终成果稿：按规定程序和时间完成报批工作。</w:t>
      </w:r>
    </w:p>
    <w:p>
      <w:pPr>
        <w:tabs>
          <w:tab w:val="left" w:pos="0"/>
        </w:tabs>
        <w:spacing w:line="360" w:lineRule="auto"/>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eastAsia="zh-CN"/>
        </w:rPr>
        <w:t>九、支付进度</w:t>
      </w:r>
    </w:p>
    <w:tbl>
      <w:tblPr>
        <w:tblStyle w:val="62"/>
        <w:tblW w:w="8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2"/>
        <w:gridCol w:w="1273"/>
        <w:gridCol w:w="5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22" w:type="dxa"/>
            <w:vAlign w:val="center"/>
          </w:tcPr>
          <w:p>
            <w:pPr>
              <w:spacing w:before="0" w:beforeAutospacing="0" w:after="0" w:afterAutospacing="0"/>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付费阶段</w:t>
            </w:r>
          </w:p>
        </w:tc>
        <w:tc>
          <w:tcPr>
            <w:tcW w:w="1273" w:type="dxa"/>
            <w:vAlign w:val="center"/>
          </w:tcPr>
          <w:p>
            <w:pPr>
              <w:spacing w:before="0" w:beforeAutospacing="0" w:after="0" w:afterAutospacing="0"/>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付费比例</w:t>
            </w:r>
          </w:p>
        </w:tc>
        <w:tc>
          <w:tcPr>
            <w:tcW w:w="5700" w:type="dxa"/>
            <w:vAlign w:val="center"/>
          </w:tcPr>
          <w:p>
            <w:pPr>
              <w:spacing w:before="0" w:beforeAutospacing="0" w:after="0" w:afterAutospacing="0"/>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付费要求及时间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1522" w:type="dxa"/>
            <w:vAlign w:val="center"/>
          </w:tcPr>
          <w:p>
            <w:pPr>
              <w:spacing w:before="0" w:beforeAutospacing="0" w:after="0" w:afterAutospacing="0"/>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第一次付费</w:t>
            </w:r>
          </w:p>
        </w:tc>
        <w:tc>
          <w:tcPr>
            <w:tcW w:w="1273" w:type="dxa"/>
            <w:vAlign w:val="center"/>
          </w:tcPr>
          <w:p>
            <w:pPr>
              <w:snapToGrid w:val="0"/>
              <w:spacing w:before="0" w:beforeAutospacing="0" w:after="0" w:afterAutospacing="0"/>
              <w:ind w:left="0" w:right="0" w:firstLine="33" w:firstLineChars="14"/>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30%</w:t>
            </w:r>
          </w:p>
        </w:tc>
        <w:tc>
          <w:tcPr>
            <w:tcW w:w="5700" w:type="dxa"/>
            <w:vAlign w:val="center"/>
          </w:tcPr>
          <w:p>
            <w:pPr>
              <w:snapToGrid w:val="0"/>
              <w:spacing w:before="0" w:beforeAutospacing="0" w:after="0" w:afterAutospacing="0" w:line="336" w:lineRule="auto"/>
              <w:ind w:left="0" w:right="0" w:firstLine="33" w:firstLineChars="14"/>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合同签订后15日内支付合同总额的30%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22" w:type="dxa"/>
            <w:vAlign w:val="center"/>
          </w:tcPr>
          <w:p>
            <w:pPr>
              <w:spacing w:before="0" w:beforeAutospacing="0" w:after="0" w:afterAutospacing="0"/>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第二次付费</w:t>
            </w:r>
          </w:p>
        </w:tc>
        <w:tc>
          <w:tcPr>
            <w:tcW w:w="1273" w:type="dxa"/>
            <w:vAlign w:val="center"/>
          </w:tcPr>
          <w:p>
            <w:pPr>
              <w:snapToGrid w:val="0"/>
              <w:spacing w:before="0" w:beforeAutospacing="0" w:after="0" w:afterAutospacing="0"/>
              <w:ind w:left="0" w:right="0" w:firstLine="33" w:firstLineChars="14"/>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5700" w:type="dxa"/>
            <w:vAlign w:val="center"/>
          </w:tcPr>
          <w:p>
            <w:pPr>
              <w:snapToGrid w:val="0"/>
              <w:spacing w:before="0" w:beforeAutospacing="0" w:after="0" w:afterAutospacing="0" w:line="336" w:lineRule="auto"/>
              <w:ind w:left="0" w:right="0" w:firstLine="33" w:firstLineChars="14"/>
              <w:rPr>
                <w:rFonts w:hint="eastAsia" w:ascii="仿宋" w:hAnsi="仿宋" w:eastAsia="仿宋" w:cs="仿宋"/>
                <w:snapToGrid w:val="0"/>
                <w:color w:val="auto"/>
                <w:kern w:val="0"/>
                <w:sz w:val="24"/>
                <w:szCs w:val="24"/>
                <w:highlight w:val="none"/>
              </w:rPr>
            </w:pPr>
            <w:r>
              <w:rPr>
                <w:rFonts w:hint="eastAsia" w:ascii="仿宋" w:hAnsi="仿宋" w:eastAsia="仿宋" w:cs="仿宋"/>
                <w:color w:val="auto"/>
                <w:sz w:val="24"/>
                <w:szCs w:val="24"/>
                <w:highlight w:val="none"/>
                <w:lang w:val="en-US" w:eastAsia="zh-CN"/>
              </w:rPr>
              <w:t>乙方提交中间过程稿，经甲方组织专家和部门审查达到技术要求的，在出具会议纪要后15个工作日内支付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22" w:type="dxa"/>
            <w:vAlign w:val="center"/>
          </w:tcPr>
          <w:p>
            <w:pPr>
              <w:spacing w:before="0" w:beforeAutospacing="0" w:after="0" w:afterAutospacing="0"/>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第三次付费</w:t>
            </w:r>
          </w:p>
        </w:tc>
        <w:tc>
          <w:tcPr>
            <w:tcW w:w="1273" w:type="dxa"/>
            <w:vAlign w:val="center"/>
          </w:tcPr>
          <w:p>
            <w:pPr>
              <w:snapToGrid w:val="0"/>
              <w:spacing w:before="0" w:beforeAutospacing="0" w:after="0" w:afterAutospacing="0"/>
              <w:ind w:left="0" w:right="0" w:firstLine="33" w:firstLineChars="14"/>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30%</w:t>
            </w:r>
          </w:p>
        </w:tc>
        <w:tc>
          <w:tcPr>
            <w:tcW w:w="5700" w:type="dxa"/>
            <w:vAlign w:val="center"/>
          </w:tcPr>
          <w:p>
            <w:pPr>
              <w:snapToGrid w:val="0"/>
              <w:spacing w:before="0" w:beforeAutospacing="0" w:after="0" w:afterAutospacing="0" w:line="336" w:lineRule="auto"/>
              <w:ind w:left="0" w:right="0" w:firstLine="33" w:firstLineChars="14"/>
              <w:rPr>
                <w:rFonts w:hint="eastAsia" w:ascii="仿宋" w:hAnsi="仿宋" w:eastAsia="仿宋" w:cs="仿宋"/>
                <w:snapToGrid w:val="0"/>
                <w:color w:val="auto"/>
                <w:kern w:val="0"/>
                <w:sz w:val="24"/>
                <w:szCs w:val="24"/>
                <w:highlight w:val="none"/>
              </w:rPr>
            </w:pPr>
            <w:r>
              <w:rPr>
                <w:rFonts w:hint="eastAsia" w:ascii="仿宋" w:hAnsi="仿宋" w:eastAsia="仿宋" w:cs="仿宋"/>
                <w:color w:val="auto"/>
                <w:sz w:val="24"/>
                <w:szCs w:val="24"/>
                <w:highlight w:val="none"/>
                <w:lang w:val="en-US" w:eastAsia="zh-CN"/>
              </w:rPr>
              <w:t>乙方提交规划送审稿，经杭州市规划和自然资源局组织专家和部门审查达到技术要求的，在出具会议纪要后15个工作日内支付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22" w:type="dxa"/>
            <w:vAlign w:val="center"/>
          </w:tcPr>
          <w:p>
            <w:pPr>
              <w:spacing w:before="0" w:beforeAutospacing="0" w:after="0" w:afterAutospacing="0"/>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第四次付费</w:t>
            </w:r>
          </w:p>
        </w:tc>
        <w:tc>
          <w:tcPr>
            <w:tcW w:w="1273" w:type="dxa"/>
            <w:vAlign w:val="center"/>
          </w:tcPr>
          <w:p>
            <w:pPr>
              <w:snapToGrid w:val="0"/>
              <w:spacing w:before="0" w:beforeAutospacing="0" w:after="0" w:afterAutospacing="0"/>
              <w:ind w:left="0" w:right="0" w:firstLine="33" w:firstLineChars="14"/>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5700" w:type="dxa"/>
            <w:vAlign w:val="center"/>
          </w:tcPr>
          <w:p>
            <w:pPr>
              <w:snapToGrid w:val="0"/>
              <w:spacing w:before="0" w:beforeAutospacing="0" w:after="0" w:afterAutospacing="0" w:line="336" w:lineRule="auto"/>
              <w:ind w:left="0" w:right="0" w:firstLine="33" w:firstLineChars="14"/>
              <w:rPr>
                <w:rFonts w:hint="eastAsia" w:ascii="仿宋" w:hAnsi="仿宋" w:eastAsia="仿宋" w:cs="仿宋"/>
                <w:snapToGrid w:val="0"/>
                <w:color w:val="auto"/>
                <w:kern w:val="0"/>
                <w:sz w:val="24"/>
                <w:szCs w:val="24"/>
                <w:highlight w:val="none"/>
              </w:rPr>
            </w:pPr>
            <w:r>
              <w:rPr>
                <w:rFonts w:hint="eastAsia" w:ascii="仿宋" w:hAnsi="仿宋" w:eastAsia="仿宋" w:cs="仿宋"/>
                <w:color w:val="auto"/>
                <w:sz w:val="24"/>
                <w:szCs w:val="24"/>
                <w:highlight w:val="none"/>
                <w:lang w:val="en-US" w:eastAsia="zh-CN"/>
              </w:rPr>
              <w:t>乙方提交规划报批稿，经杭州市人民政府批复后，按规定提交最终成果经甲方确认后15个工作日内支付</w:t>
            </w:r>
          </w:p>
        </w:tc>
      </w:tr>
    </w:tbl>
    <w:p>
      <w:pPr>
        <w:pStyle w:val="102"/>
        <w:spacing w:line="360" w:lineRule="auto"/>
        <w:ind w:firstLine="0" w:firstLineChars="0"/>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rPr>
        <w:t>带“</w:t>
      </w:r>
      <w:r>
        <w:rPr>
          <w:rFonts w:hint="eastAsia" w:ascii="仿宋" w:hAnsi="仿宋" w:eastAsia="仿宋" w:cs="仿宋"/>
          <w:color w:val="auto"/>
          <w:sz w:val="24"/>
          <w:szCs w:val="24"/>
          <w:highlight w:val="none"/>
        </w:rPr>
        <w:t>▲</w:t>
      </w:r>
      <w:r>
        <w:rPr>
          <w:rFonts w:hint="eastAsia" w:ascii="仿宋" w:hAnsi="仿宋" w:eastAsia="仿宋" w:cs="仿宋"/>
          <w:b/>
          <w:bCs/>
          <w:color w:val="auto"/>
          <w:sz w:val="24"/>
          <w:szCs w:val="24"/>
          <w:highlight w:val="none"/>
        </w:rPr>
        <w:t>”条款为实质性条款，投标人须</w:t>
      </w:r>
      <w:r>
        <w:rPr>
          <w:rFonts w:hint="eastAsia" w:ascii="仿宋" w:hAnsi="仿宋" w:eastAsia="仿宋" w:cs="仿宋"/>
          <w:b/>
          <w:bCs/>
          <w:color w:val="auto"/>
          <w:sz w:val="24"/>
          <w:szCs w:val="24"/>
          <w:highlight w:val="none"/>
          <w:lang w:val="en-US" w:eastAsia="zh-CN"/>
        </w:rPr>
        <w:t>将相应内容填写至</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符合性审查资料</w:t>
      </w:r>
      <w:r>
        <w:rPr>
          <w:rFonts w:hint="eastAsia" w:ascii="仿宋" w:hAnsi="仿宋" w:eastAsia="仿宋" w:cs="仿宋"/>
          <w:b/>
          <w:bCs/>
          <w:color w:val="auto"/>
          <w:sz w:val="24"/>
          <w:szCs w:val="24"/>
          <w:highlight w:val="none"/>
        </w:rPr>
        <w:t>》，如有任意一条未响应或不满足，将被视为</w:t>
      </w:r>
      <w:r>
        <w:rPr>
          <w:rFonts w:hint="eastAsia" w:ascii="仿宋" w:hAnsi="仿宋" w:eastAsia="仿宋" w:cs="仿宋"/>
          <w:b/>
          <w:bCs/>
          <w:color w:val="auto"/>
          <w:sz w:val="24"/>
          <w:szCs w:val="24"/>
          <w:highlight w:val="none"/>
          <w:lang w:eastAsia="zh-CN"/>
        </w:rPr>
        <w:t>投标</w:t>
      </w:r>
      <w:r>
        <w:rPr>
          <w:rFonts w:hint="eastAsia" w:ascii="仿宋" w:hAnsi="仿宋" w:eastAsia="仿宋" w:cs="仿宋"/>
          <w:b/>
          <w:bCs/>
          <w:color w:val="auto"/>
          <w:sz w:val="24"/>
          <w:szCs w:val="24"/>
          <w:highlight w:val="none"/>
        </w:rPr>
        <w:t>无效</w:t>
      </w:r>
      <w:r>
        <w:rPr>
          <w:rFonts w:hint="eastAsia" w:ascii="仿宋" w:hAnsi="仿宋" w:eastAsia="仿宋" w:cs="仿宋"/>
          <w:b/>
          <w:bCs/>
          <w:color w:val="auto"/>
          <w:sz w:val="24"/>
          <w:szCs w:val="24"/>
          <w:highlight w:val="none"/>
          <w:lang w:eastAsia="zh-CN"/>
        </w:rPr>
        <w:t>。</w:t>
      </w:r>
    </w:p>
    <w:p>
      <w:pP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br w:type="page"/>
      </w:r>
    </w:p>
    <w:p>
      <w:pPr>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 xml:space="preserve">第四部分   </w:t>
      </w:r>
      <w:bookmarkStart w:id="27" w:name="_Toc184312115"/>
      <w:bookmarkEnd w:id="27"/>
      <w:bookmarkStart w:id="28" w:name="_Toc184308089"/>
      <w:bookmarkEnd w:id="28"/>
      <w:bookmarkStart w:id="29" w:name="_Toc184310289"/>
      <w:bookmarkEnd w:id="29"/>
      <w:bookmarkStart w:id="30" w:name="_Toc184313278"/>
      <w:bookmarkEnd w:id="30"/>
      <w:bookmarkStart w:id="31" w:name="_Toc184310302"/>
      <w:bookmarkEnd w:id="31"/>
      <w:bookmarkStart w:id="32" w:name="_Toc184314481"/>
      <w:bookmarkEnd w:id="32"/>
      <w:bookmarkStart w:id="33" w:name="_Toc184308045"/>
      <w:bookmarkEnd w:id="33"/>
      <w:bookmarkStart w:id="34" w:name="_Toc184312085"/>
      <w:bookmarkEnd w:id="34"/>
      <w:bookmarkStart w:id="35" w:name="_Toc184314447"/>
      <w:bookmarkEnd w:id="35"/>
      <w:bookmarkStart w:id="36" w:name="_Toc184310295"/>
      <w:bookmarkEnd w:id="36"/>
      <w:bookmarkStart w:id="37" w:name="_Toc184314434"/>
      <w:bookmarkEnd w:id="37"/>
      <w:bookmarkStart w:id="38" w:name="_Toc184313263"/>
      <w:bookmarkEnd w:id="38"/>
      <w:bookmarkStart w:id="39" w:name="_Toc184312076"/>
      <w:bookmarkEnd w:id="39"/>
      <w:bookmarkStart w:id="40" w:name="_Toc184308098"/>
      <w:bookmarkEnd w:id="40"/>
      <w:bookmarkStart w:id="41" w:name="_Toc184312090"/>
      <w:bookmarkEnd w:id="41"/>
      <w:bookmarkStart w:id="42" w:name="_Toc184313287"/>
      <w:bookmarkEnd w:id="42"/>
      <w:bookmarkStart w:id="43" w:name="_Toc184314431"/>
      <w:bookmarkEnd w:id="43"/>
      <w:bookmarkStart w:id="44" w:name="_Toc184308092"/>
      <w:bookmarkEnd w:id="44"/>
      <w:bookmarkStart w:id="45" w:name="_Toc184312094"/>
      <w:bookmarkEnd w:id="45"/>
      <w:bookmarkStart w:id="46" w:name="_Toc184312070"/>
      <w:bookmarkEnd w:id="46"/>
      <w:bookmarkStart w:id="47" w:name="_Toc184314449"/>
      <w:bookmarkEnd w:id="47"/>
      <w:bookmarkStart w:id="48" w:name="_Toc184314446"/>
      <w:bookmarkEnd w:id="48"/>
      <w:bookmarkStart w:id="49" w:name="_Toc184312087"/>
      <w:bookmarkEnd w:id="49"/>
      <w:bookmarkStart w:id="50" w:name="_Toc184313262"/>
      <w:bookmarkEnd w:id="50"/>
      <w:bookmarkStart w:id="51" w:name="_Toc184310285"/>
      <w:bookmarkEnd w:id="51"/>
      <w:bookmarkStart w:id="52" w:name="_Toc184308084"/>
      <w:bookmarkEnd w:id="52"/>
      <w:bookmarkStart w:id="53" w:name="_Toc184314476"/>
      <w:bookmarkEnd w:id="53"/>
      <w:bookmarkStart w:id="54" w:name="_Toc184313295"/>
      <w:bookmarkEnd w:id="54"/>
      <w:bookmarkStart w:id="55" w:name="_Toc184308087"/>
      <w:bookmarkEnd w:id="55"/>
      <w:bookmarkStart w:id="56" w:name="_Toc184308066"/>
      <w:bookmarkEnd w:id="56"/>
      <w:bookmarkStart w:id="57" w:name="_Toc184312086"/>
      <w:bookmarkEnd w:id="57"/>
      <w:bookmarkStart w:id="58" w:name="_Toc184308101"/>
      <w:bookmarkEnd w:id="58"/>
      <w:bookmarkStart w:id="59" w:name="_Toc184308038"/>
      <w:bookmarkEnd w:id="59"/>
      <w:bookmarkStart w:id="60" w:name="_Toc184314464"/>
      <w:bookmarkEnd w:id="60"/>
      <w:bookmarkStart w:id="61" w:name="_Toc184310322"/>
      <w:bookmarkEnd w:id="61"/>
      <w:bookmarkStart w:id="62" w:name="_Toc184310330"/>
      <w:bookmarkEnd w:id="62"/>
      <w:bookmarkStart w:id="63" w:name="_Toc184314469"/>
      <w:bookmarkEnd w:id="63"/>
      <w:bookmarkStart w:id="64" w:name="_Toc184313284"/>
      <w:bookmarkEnd w:id="64"/>
      <w:bookmarkStart w:id="65" w:name="_Toc184312120"/>
      <w:bookmarkEnd w:id="65"/>
      <w:bookmarkStart w:id="66" w:name="_Toc184312069"/>
      <w:bookmarkEnd w:id="66"/>
      <w:bookmarkStart w:id="67" w:name="_Toc184312079"/>
      <w:bookmarkEnd w:id="67"/>
      <w:bookmarkStart w:id="68" w:name="_Toc184314417"/>
      <w:bookmarkEnd w:id="68"/>
      <w:bookmarkStart w:id="69" w:name="_Toc184310314"/>
      <w:bookmarkEnd w:id="69"/>
      <w:bookmarkStart w:id="70" w:name="_Toc184314430"/>
      <w:bookmarkEnd w:id="70"/>
      <w:bookmarkStart w:id="71" w:name="_Toc184314452"/>
      <w:bookmarkEnd w:id="71"/>
      <w:bookmarkStart w:id="72" w:name="_Toc184313309"/>
      <w:bookmarkEnd w:id="72"/>
      <w:bookmarkStart w:id="73" w:name="_Toc184310298"/>
      <w:bookmarkEnd w:id="73"/>
      <w:bookmarkStart w:id="74" w:name="_Toc184314414"/>
      <w:bookmarkEnd w:id="74"/>
      <w:bookmarkStart w:id="75" w:name="_Toc184310291"/>
      <w:bookmarkEnd w:id="75"/>
      <w:bookmarkStart w:id="76" w:name="_Toc184308090"/>
      <w:bookmarkEnd w:id="76"/>
      <w:bookmarkStart w:id="77" w:name="_Toc184313261"/>
      <w:bookmarkEnd w:id="77"/>
      <w:bookmarkStart w:id="78" w:name="_Toc184312107"/>
      <w:bookmarkEnd w:id="78"/>
      <w:bookmarkStart w:id="79" w:name="_Toc184313307"/>
      <w:bookmarkEnd w:id="79"/>
      <w:bookmarkStart w:id="80" w:name="_Toc184308099"/>
      <w:bookmarkEnd w:id="80"/>
      <w:bookmarkStart w:id="81" w:name="_Toc184314412"/>
      <w:bookmarkEnd w:id="81"/>
      <w:bookmarkStart w:id="82" w:name="_Toc184313285"/>
      <w:bookmarkEnd w:id="82"/>
      <w:bookmarkStart w:id="83" w:name="_Toc184308037"/>
      <w:bookmarkEnd w:id="83"/>
      <w:bookmarkStart w:id="84" w:name="_Toc184312125"/>
      <w:bookmarkEnd w:id="84"/>
      <w:bookmarkStart w:id="85" w:name="_Toc184312118"/>
      <w:bookmarkEnd w:id="85"/>
      <w:bookmarkStart w:id="86" w:name="_Toc184308036"/>
      <w:bookmarkEnd w:id="86"/>
      <w:bookmarkStart w:id="87" w:name="_Toc184312092"/>
      <w:bookmarkEnd w:id="87"/>
      <w:bookmarkStart w:id="88" w:name="_Toc184308061"/>
      <w:bookmarkEnd w:id="88"/>
      <w:bookmarkStart w:id="89" w:name="_Toc184313282"/>
      <w:bookmarkEnd w:id="89"/>
      <w:bookmarkStart w:id="90" w:name="_Toc184313286"/>
      <w:bookmarkEnd w:id="90"/>
      <w:bookmarkStart w:id="91" w:name="_Toc184314472"/>
      <w:bookmarkEnd w:id="91"/>
      <w:bookmarkStart w:id="92" w:name="_Toc184312129"/>
      <w:bookmarkEnd w:id="92"/>
      <w:bookmarkStart w:id="93" w:name="_Toc184314416"/>
      <w:bookmarkEnd w:id="93"/>
      <w:bookmarkStart w:id="94" w:name="_Toc184314435"/>
      <w:bookmarkEnd w:id="94"/>
      <w:bookmarkStart w:id="95" w:name="_Toc184314471"/>
      <w:bookmarkEnd w:id="95"/>
      <w:bookmarkStart w:id="96" w:name="_Toc184314432"/>
      <w:bookmarkEnd w:id="96"/>
      <w:bookmarkStart w:id="97" w:name="_Toc184310274"/>
      <w:bookmarkEnd w:id="97"/>
      <w:bookmarkStart w:id="98" w:name="_Toc184314413"/>
      <w:bookmarkEnd w:id="98"/>
      <w:bookmarkStart w:id="99" w:name="_Toc184313244"/>
      <w:bookmarkEnd w:id="99"/>
      <w:bookmarkStart w:id="100" w:name="_Toc184314451"/>
      <w:bookmarkEnd w:id="100"/>
      <w:bookmarkStart w:id="101" w:name="_Toc184312089"/>
      <w:bookmarkEnd w:id="101"/>
      <w:bookmarkStart w:id="102" w:name="_Toc184312072"/>
      <w:bookmarkEnd w:id="102"/>
      <w:bookmarkStart w:id="103" w:name="_Toc184308095"/>
      <w:bookmarkEnd w:id="103"/>
      <w:bookmarkStart w:id="104" w:name="_Toc184308040"/>
      <w:bookmarkEnd w:id="104"/>
      <w:bookmarkStart w:id="105" w:name="_Toc184310276"/>
      <w:bookmarkEnd w:id="105"/>
      <w:bookmarkStart w:id="106" w:name="_Toc184308055"/>
      <w:bookmarkEnd w:id="106"/>
      <w:bookmarkStart w:id="107" w:name="_Toc184314461"/>
      <w:bookmarkEnd w:id="107"/>
      <w:bookmarkStart w:id="108" w:name="_Toc184310297"/>
      <w:bookmarkEnd w:id="108"/>
      <w:bookmarkStart w:id="109" w:name="_Toc184314463"/>
      <w:bookmarkEnd w:id="109"/>
      <w:bookmarkStart w:id="110" w:name="_Toc184308052"/>
      <w:bookmarkEnd w:id="110"/>
      <w:bookmarkStart w:id="111" w:name="_Toc184313276"/>
      <w:bookmarkEnd w:id="111"/>
      <w:bookmarkStart w:id="112" w:name="_Toc184310312"/>
      <w:bookmarkEnd w:id="112"/>
      <w:bookmarkStart w:id="113" w:name="_Toc184313301"/>
      <w:bookmarkEnd w:id="113"/>
      <w:bookmarkStart w:id="114" w:name="_Toc184313306"/>
      <w:bookmarkEnd w:id="114"/>
      <w:bookmarkStart w:id="115" w:name="_Toc184314457"/>
      <w:bookmarkEnd w:id="115"/>
      <w:bookmarkStart w:id="116" w:name="_Toc184313251"/>
      <w:bookmarkEnd w:id="116"/>
      <w:bookmarkStart w:id="117" w:name="_Toc184310317"/>
      <w:bookmarkEnd w:id="117"/>
      <w:bookmarkStart w:id="118" w:name="_Toc184312100"/>
      <w:bookmarkEnd w:id="118"/>
      <w:bookmarkStart w:id="119" w:name="_Toc184314467"/>
      <w:bookmarkEnd w:id="119"/>
      <w:bookmarkStart w:id="120" w:name="_Toc184310342"/>
      <w:bookmarkEnd w:id="120"/>
      <w:bookmarkStart w:id="121" w:name="_Toc184310300"/>
      <w:bookmarkEnd w:id="121"/>
      <w:bookmarkStart w:id="122" w:name="_Toc184310277"/>
      <w:bookmarkEnd w:id="122"/>
      <w:bookmarkStart w:id="123" w:name="_Toc184310343"/>
      <w:bookmarkEnd w:id="123"/>
      <w:bookmarkStart w:id="124" w:name="_Toc184313308"/>
      <w:bookmarkEnd w:id="124"/>
      <w:bookmarkStart w:id="125" w:name="_Toc184308060"/>
      <w:bookmarkEnd w:id="125"/>
      <w:bookmarkStart w:id="126" w:name="_Toc184312083"/>
      <w:bookmarkEnd w:id="126"/>
      <w:bookmarkStart w:id="127" w:name="_Toc184312077"/>
      <w:bookmarkEnd w:id="127"/>
      <w:bookmarkStart w:id="128" w:name="_Toc184310279"/>
      <w:bookmarkEnd w:id="128"/>
      <w:bookmarkStart w:id="129" w:name="_Toc184308050"/>
      <w:bookmarkEnd w:id="129"/>
      <w:bookmarkStart w:id="130" w:name="_Toc184313243"/>
      <w:bookmarkEnd w:id="130"/>
      <w:bookmarkStart w:id="131" w:name="_Toc184308049"/>
      <w:bookmarkEnd w:id="131"/>
      <w:bookmarkStart w:id="132" w:name="_Toc184314454"/>
      <w:bookmarkEnd w:id="132"/>
      <w:bookmarkStart w:id="133" w:name="_Toc184308081"/>
      <w:bookmarkEnd w:id="133"/>
      <w:bookmarkStart w:id="134" w:name="_Toc184308108"/>
      <w:bookmarkEnd w:id="134"/>
      <w:bookmarkStart w:id="135" w:name="_Toc184314429"/>
      <w:bookmarkEnd w:id="135"/>
      <w:bookmarkStart w:id="136" w:name="_Toc184314422"/>
      <w:bookmarkEnd w:id="136"/>
      <w:bookmarkStart w:id="137" w:name="_Toc184313265"/>
      <w:bookmarkEnd w:id="137"/>
      <w:bookmarkStart w:id="138" w:name="_Toc184308062"/>
      <w:bookmarkEnd w:id="138"/>
      <w:bookmarkStart w:id="139" w:name="_Toc184312098"/>
      <w:bookmarkEnd w:id="139"/>
      <w:bookmarkStart w:id="140" w:name="_Toc184313277"/>
      <w:bookmarkEnd w:id="140"/>
      <w:bookmarkStart w:id="141" w:name="_Toc184314448"/>
      <w:bookmarkEnd w:id="141"/>
      <w:bookmarkStart w:id="142" w:name="_Toc184308079"/>
      <w:bookmarkEnd w:id="142"/>
      <w:bookmarkStart w:id="143" w:name="_Toc184313248"/>
      <w:bookmarkEnd w:id="143"/>
      <w:bookmarkStart w:id="144" w:name="_Toc184312136"/>
      <w:bookmarkEnd w:id="144"/>
      <w:bookmarkStart w:id="145" w:name="_Toc184308053"/>
      <w:bookmarkEnd w:id="145"/>
      <w:bookmarkStart w:id="146" w:name="_Toc184310308"/>
      <w:bookmarkEnd w:id="146"/>
      <w:bookmarkStart w:id="147" w:name="_Toc184314479"/>
      <w:bookmarkEnd w:id="147"/>
      <w:bookmarkStart w:id="148" w:name="_Toc184308080"/>
      <w:bookmarkEnd w:id="148"/>
      <w:bookmarkStart w:id="149" w:name="_Toc184308102"/>
      <w:bookmarkEnd w:id="149"/>
      <w:bookmarkStart w:id="150" w:name="_Toc184312110"/>
      <w:bookmarkEnd w:id="150"/>
      <w:bookmarkStart w:id="151" w:name="_Toc184310292"/>
      <w:bookmarkEnd w:id="151"/>
      <w:bookmarkStart w:id="152" w:name="_Toc184312123"/>
      <w:bookmarkEnd w:id="152"/>
      <w:bookmarkStart w:id="153" w:name="_Toc184310293"/>
      <w:bookmarkEnd w:id="153"/>
      <w:bookmarkStart w:id="154" w:name="_Toc184314445"/>
      <w:bookmarkEnd w:id="154"/>
      <w:bookmarkStart w:id="155" w:name="_Toc184312078"/>
      <w:bookmarkEnd w:id="155"/>
      <w:bookmarkStart w:id="156" w:name="_Toc184312130"/>
      <w:bookmarkEnd w:id="156"/>
      <w:bookmarkStart w:id="157" w:name="_Toc184314426"/>
      <w:bookmarkEnd w:id="157"/>
      <w:bookmarkStart w:id="158" w:name="_Toc184312109"/>
      <w:bookmarkEnd w:id="158"/>
      <w:bookmarkStart w:id="159" w:name="_Toc184313267"/>
      <w:bookmarkEnd w:id="159"/>
      <w:bookmarkStart w:id="160" w:name="_Toc184308047"/>
      <w:bookmarkEnd w:id="160"/>
      <w:bookmarkStart w:id="161" w:name="_Toc184310286"/>
      <w:bookmarkEnd w:id="161"/>
      <w:bookmarkStart w:id="162" w:name="_Toc184312133"/>
      <w:bookmarkEnd w:id="162"/>
      <w:bookmarkStart w:id="163" w:name="_Toc184312068"/>
      <w:bookmarkEnd w:id="163"/>
      <w:bookmarkStart w:id="164" w:name="_Toc184314433"/>
      <w:bookmarkEnd w:id="164"/>
      <w:bookmarkStart w:id="165" w:name="_Toc184313271"/>
      <w:bookmarkEnd w:id="165"/>
      <w:bookmarkStart w:id="166" w:name="_Toc184313254"/>
      <w:bookmarkEnd w:id="166"/>
      <w:bookmarkStart w:id="167" w:name="_Toc184310275"/>
      <w:bookmarkEnd w:id="167"/>
      <w:bookmarkStart w:id="168" w:name="_Toc184310290"/>
      <w:bookmarkEnd w:id="168"/>
      <w:bookmarkStart w:id="169" w:name="_Toc184312103"/>
      <w:bookmarkEnd w:id="169"/>
      <w:bookmarkStart w:id="170" w:name="_Toc184312095"/>
      <w:bookmarkEnd w:id="170"/>
      <w:bookmarkStart w:id="171" w:name="_Toc184310316"/>
      <w:bookmarkEnd w:id="171"/>
      <w:bookmarkStart w:id="172" w:name="_Toc184310329"/>
      <w:bookmarkEnd w:id="172"/>
      <w:bookmarkStart w:id="173" w:name="_Toc184314459"/>
      <w:bookmarkEnd w:id="173"/>
      <w:bookmarkStart w:id="174" w:name="_Toc184313257"/>
      <w:bookmarkEnd w:id="174"/>
      <w:bookmarkStart w:id="175" w:name="_Toc184313305"/>
      <w:bookmarkEnd w:id="175"/>
      <w:bookmarkStart w:id="176" w:name="_Toc184310296"/>
      <w:bookmarkEnd w:id="176"/>
      <w:bookmarkStart w:id="177" w:name="_Toc184312128"/>
      <w:bookmarkEnd w:id="177"/>
      <w:bookmarkStart w:id="178" w:name="_Toc184310272"/>
      <w:bookmarkEnd w:id="178"/>
      <w:bookmarkStart w:id="179" w:name="_Toc184313302"/>
      <w:bookmarkEnd w:id="179"/>
      <w:bookmarkStart w:id="180" w:name="_Toc184313258"/>
      <w:bookmarkEnd w:id="180"/>
      <w:bookmarkStart w:id="181" w:name="_Toc184308088"/>
      <w:bookmarkEnd w:id="181"/>
      <w:bookmarkStart w:id="182" w:name="_Toc184313252"/>
      <w:bookmarkEnd w:id="182"/>
      <w:bookmarkStart w:id="183" w:name="_Toc184313260"/>
      <w:bookmarkEnd w:id="183"/>
      <w:bookmarkStart w:id="184" w:name="_Toc184310321"/>
      <w:bookmarkEnd w:id="184"/>
      <w:bookmarkStart w:id="185" w:name="_Toc184310283"/>
      <w:bookmarkEnd w:id="185"/>
      <w:bookmarkStart w:id="186" w:name="_Toc184310331"/>
      <w:bookmarkEnd w:id="186"/>
      <w:bookmarkStart w:id="187" w:name="_Toc184313259"/>
      <w:bookmarkEnd w:id="187"/>
      <w:bookmarkStart w:id="188" w:name="_Toc184310282"/>
      <w:bookmarkEnd w:id="188"/>
      <w:bookmarkStart w:id="189" w:name="_Toc184312067"/>
      <w:bookmarkEnd w:id="189"/>
      <w:bookmarkStart w:id="190" w:name="_Toc184310325"/>
      <w:bookmarkEnd w:id="190"/>
      <w:bookmarkStart w:id="191" w:name="_Toc184313273"/>
      <w:bookmarkEnd w:id="191"/>
      <w:bookmarkStart w:id="192" w:name="_Toc184310284"/>
      <w:bookmarkEnd w:id="192"/>
      <w:bookmarkStart w:id="193" w:name="_Toc184308093"/>
      <w:bookmarkEnd w:id="193"/>
      <w:bookmarkStart w:id="194" w:name="_Toc184314441"/>
      <w:bookmarkEnd w:id="194"/>
      <w:bookmarkStart w:id="195" w:name="_Toc184312074"/>
      <w:bookmarkEnd w:id="195"/>
      <w:bookmarkStart w:id="196" w:name="_Toc184308042"/>
      <w:bookmarkEnd w:id="196"/>
      <w:bookmarkStart w:id="197" w:name="_Toc184310344"/>
      <w:bookmarkEnd w:id="197"/>
      <w:bookmarkStart w:id="198" w:name="_Toc184312119"/>
      <w:bookmarkEnd w:id="198"/>
      <w:bookmarkStart w:id="199" w:name="_Toc184308054"/>
      <w:bookmarkEnd w:id="199"/>
      <w:bookmarkStart w:id="200" w:name="_Toc184310278"/>
      <w:bookmarkEnd w:id="200"/>
      <w:bookmarkStart w:id="201" w:name="_Toc184312075"/>
      <w:bookmarkEnd w:id="201"/>
      <w:bookmarkStart w:id="202" w:name="_Toc184314421"/>
      <w:bookmarkEnd w:id="202"/>
      <w:bookmarkStart w:id="203" w:name="_Toc184312121"/>
      <w:bookmarkEnd w:id="203"/>
      <w:bookmarkStart w:id="204" w:name="_Toc184310333"/>
      <w:bookmarkEnd w:id="204"/>
      <w:bookmarkStart w:id="205" w:name="_Toc184313280"/>
      <w:bookmarkEnd w:id="205"/>
      <w:bookmarkStart w:id="206" w:name="_Toc184312132"/>
      <w:bookmarkEnd w:id="206"/>
      <w:bookmarkStart w:id="207" w:name="_Toc184314418"/>
      <w:bookmarkEnd w:id="207"/>
      <w:bookmarkStart w:id="208" w:name="_Toc184312122"/>
      <w:bookmarkEnd w:id="208"/>
      <w:bookmarkStart w:id="209" w:name="_Toc184310306"/>
      <w:bookmarkEnd w:id="209"/>
      <w:bookmarkStart w:id="210" w:name="_Toc184310320"/>
      <w:bookmarkEnd w:id="210"/>
      <w:bookmarkStart w:id="211" w:name="_Toc184313275"/>
      <w:bookmarkEnd w:id="211"/>
      <w:bookmarkStart w:id="212" w:name="_Toc184314424"/>
      <w:bookmarkEnd w:id="212"/>
      <w:bookmarkStart w:id="213" w:name="_Toc184308056"/>
      <w:bookmarkEnd w:id="213"/>
      <w:bookmarkStart w:id="214" w:name="_Toc184314438"/>
      <w:bookmarkEnd w:id="214"/>
      <w:bookmarkStart w:id="215" w:name="_Toc184313283"/>
      <w:bookmarkEnd w:id="215"/>
      <w:bookmarkStart w:id="216" w:name="_Toc184313240"/>
      <w:bookmarkEnd w:id="216"/>
      <w:bookmarkStart w:id="217" w:name="_Toc184313245"/>
      <w:bookmarkEnd w:id="217"/>
      <w:bookmarkStart w:id="218" w:name="_Toc184308051"/>
      <w:bookmarkEnd w:id="218"/>
      <w:bookmarkStart w:id="219" w:name="_Toc184314440"/>
      <w:bookmarkEnd w:id="219"/>
      <w:bookmarkStart w:id="220" w:name="_Toc184312106"/>
      <w:bookmarkEnd w:id="220"/>
      <w:bookmarkStart w:id="221" w:name="_Toc184314466"/>
      <w:bookmarkEnd w:id="221"/>
      <w:bookmarkStart w:id="222" w:name="_Toc184308103"/>
      <w:bookmarkEnd w:id="222"/>
      <w:bookmarkStart w:id="223" w:name="_Toc184314428"/>
      <w:bookmarkEnd w:id="223"/>
      <w:bookmarkStart w:id="224" w:name="_Toc184313272"/>
      <w:bookmarkEnd w:id="224"/>
      <w:bookmarkStart w:id="225" w:name="_Toc184313255"/>
      <w:bookmarkEnd w:id="225"/>
      <w:bookmarkStart w:id="226" w:name="_Toc184310328"/>
      <w:bookmarkEnd w:id="226"/>
      <w:bookmarkStart w:id="227" w:name="_Toc184308070"/>
      <w:bookmarkEnd w:id="227"/>
      <w:bookmarkStart w:id="228" w:name="_Toc184314444"/>
      <w:bookmarkEnd w:id="228"/>
      <w:bookmarkStart w:id="229" w:name="_Toc184313249"/>
      <w:bookmarkEnd w:id="229"/>
      <w:bookmarkStart w:id="230" w:name="_Toc184308078"/>
      <w:bookmarkEnd w:id="230"/>
      <w:bookmarkStart w:id="231" w:name="_Toc184308065"/>
      <w:bookmarkEnd w:id="231"/>
      <w:bookmarkStart w:id="232" w:name="_Toc184310280"/>
      <w:bookmarkEnd w:id="232"/>
      <w:bookmarkStart w:id="233" w:name="_Toc184308057"/>
      <w:bookmarkEnd w:id="233"/>
      <w:bookmarkStart w:id="234" w:name="_Toc184314473"/>
      <w:bookmarkEnd w:id="234"/>
      <w:bookmarkStart w:id="235" w:name="_Toc184313238"/>
      <w:bookmarkEnd w:id="235"/>
      <w:bookmarkStart w:id="236" w:name="_Toc184314410"/>
      <w:bookmarkEnd w:id="236"/>
      <w:bookmarkStart w:id="237" w:name="_Toc184314475"/>
      <w:bookmarkEnd w:id="237"/>
      <w:bookmarkStart w:id="238" w:name="_Toc184310307"/>
      <w:bookmarkEnd w:id="238"/>
      <w:bookmarkStart w:id="239" w:name="_Toc184312135"/>
      <w:bookmarkEnd w:id="239"/>
      <w:bookmarkStart w:id="240" w:name="_Toc184313266"/>
      <w:bookmarkEnd w:id="240"/>
      <w:bookmarkStart w:id="241" w:name="_Toc184314462"/>
      <w:bookmarkEnd w:id="241"/>
      <w:bookmarkStart w:id="242" w:name="_Toc184314477"/>
      <w:bookmarkEnd w:id="242"/>
      <w:bookmarkStart w:id="243" w:name="_Toc184312071"/>
      <w:bookmarkEnd w:id="243"/>
      <w:bookmarkStart w:id="244" w:name="_Toc184308043"/>
      <w:bookmarkEnd w:id="244"/>
      <w:bookmarkStart w:id="245" w:name="_Toc184314436"/>
      <w:bookmarkEnd w:id="245"/>
      <w:bookmarkStart w:id="246" w:name="_Toc184312139"/>
      <w:bookmarkEnd w:id="246"/>
      <w:bookmarkStart w:id="247" w:name="_Toc184313279"/>
      <w:bookmarkEnd w:id="247"/>
      <w:bookmarkStart w:id="248" w:name="_Toc184313296"/>
      <w:bookmarkEnd w:id="248"/>
      <w:bookmarkStart w:id="249" w:name="_Toc184308073"/>
      <w:bookmarkEnd w:id="249"/>
      <w:bookmarkStart w:id="250" w:name="_Toc184312084"/>
      <w:bookmarkEnd w:id="250"/>
      <w:bookmarkStart w:id="251" w:name="_Toc184314453"/>
      <w:bookmarkEnd w:id="251"/>
      <w:bookmarkStart w:id="252" w:name="_Toc184314415"/>
      <w:bookmarkEnd w:id="252"/>
      <w:bookmarkStart w:id="253" w:name="_Toc184308039"/>
      <w:bookmarkEnd w:id="253"/>
      <w:bookmarkStart w:id="254" w:name="_Toc184314425"/>
      <w:bookmarkEnd w:id="254"/>
      <w:bookmarkStart w:id="255" w:name="_Toc184308075"/>
      <w:bookmarkEnd w:id="255"/>
      <w:bookmarkStart w:id="256" w:name="_Toc184314419"/>
      <w:bookmarkEnd w:id="256"/>
      <w:bookmarkStart w:id="257" w:name="_Toc184312093"/>
      <w:bookmarkEnd w:id="257"/>
      <w:bookmarkStart w:id="258" w:name="_Toc184310341"/>
      <w:bookmarkEnd w:id="258"/>
      <w:bookmarkStart w:id="259" w:name="_Toc184312126"/>
      <w:bookmarkEnd w:id="259"/>
      <w:bookmarkStart w:id="260" w:name="_Toc184313291"/>
      <w:bookmarkEnd w:id="260"/>
      <w:bookmarkStart w:id="261" w:name="_Toc184313264"/>
      <w:bookmarkEnd w:id="261"/>
      <w:bookmarkStart w:id="262" w:name="_Toc184310294"/>
      <w:bookmarkEnd w:id="262"/>
      <w:bookmarkStart w:id="263" w:name="_Toc184313270"/>
      <w:bookmarkEnd w:id="263"/>
      <w:bookmarkStart w:id="264" w:name="_Toc184314474"/>
      <w:bookmarkEnd w:id="264"/>
      <w:bookmarkStart w:id="265" w:name="_Toc184308058"/>
      <w:bookmarkEnd w:id="265"/>
      <w:bookmarkStart w:id="266" w:name="_Toc184308094"/>
      <w:bookmarkEnd w:id="266"/>
      <w:bookmarkStart w:id="267" w:name="_Toc184312116"/>
      <w:bookmarkEnd w:id="267"/>
      <w:bookmarkStart w:id="268" w:name="_Toc184313247"/>
      <w:bookmarkEnd w:id="268"/>
      <w:bookmarkStart w:id="269" w:name="_Toc184310337"/>
      <w:bookmarkEnd w:id="269"/>
      <w:bookmarkStart w:id="270" w:name="_Toc184312131"/>
      <w:bookmarkEnd w:id="270"/>
      <w:bookmarkStart w:id="271" w:name="_Toc184308104"/>
      <w:bookmarkEnd w:id="271"/>
      <w:bookmarkStart w:id="272" w:name="_Toc184312097"/>
      <w:bookmarkEnd w:id="272"/>
      <w:bookmarkStart w:id="273" w:name="_Toc184314420"/>
      <w:bookmarkEnd w:id="273"/>
      <w:bookmarkStart w:id="274" w:name="_Toc184312073"/>
      <w:bookmarkEnd w:id="274"/>
      <w:bookmarkStart w:id="275" w:name="_Toc184308100"/>
      <w:bookmarkEnd w:id="275"/>
      <w:bookmarkStart w:id="276" w:name="_Toc184308072"/>
      <w:bookmarkEnd w:id="276"/>
      <w:bookmarkStart w:id="277" w:name="_Toc184308097"/>
      <w:bookmarkEnd w:id="277"/>
      <w:bookmarkStart w:id="278" w:name="_Toc184314423"/>
      <w:bookmarkEnd w:id="278"/>
      <w:bookmarkStart w:id="279" w:name="_Toc184310323"/>
      <w:bookmarkEnd w:id="279"/>
      <w:bookmarkStart w:id="280" w:name="_Toc184310335"/>
      <w:bookmarkEnd w:id="280"/>
      <w:bookmarkStart w:id="281" w:name="_Toc184310327"/>
      <w:bookmarkEnd w:id="281"/>
      <w:bookmarkStart w:id="282" w:name="_Toc184312134"/>
      <w:bookmarkEnd w:id="282"/>
      <w:bookmarkStart w:id="283" w:name="_Toc184308064"/>
      <w:bookmarkEnd w:id="283"/>
      <w:bookmarkStart w:id="284" w:name="_Toc184314456"/>
      <w:bookmarkEnd w:id="284"/>
      <w:bookmarkStart w:id="285" w:name="_Toc184313274"/>
      <w:bookmarkEnd w:id="285"/>
      <w:bookmarkStart w:id="286" w:name="_Toc184312137"/>
      <w:bookmarkEnd w:id="286"/>
      <w:bookmarkStart w:id="287" w:name="_Toc184314411"/>
      <w:bookmarkEnd w:id="287"/>
      <w:bookmarkStart w:id="288" w:name="_Toc184312111"/>
      <w:bookmarkEnd w:id="288"/>
      <w:bookmarkStart w:id="289" w:name="_Toc184312113"/>
      <w:bookmarkEnd w:id="289"/>
      <w:bookmarkStart w:id="290" w:name="_Toc184310339"/>
      <w:bookmarkEnd w:id="290"/>
      <w:bookmarkStart w:id="291" w:name="_Toc184310311"/>
      <w:bookmarkEnd w:id="291"/>
      <w:bookmarkStart w:id="292" w:name="_Toc184314482"/>
      <w:bookmarkEnd w:id="292"/>
      <w:bookmarkStart w:id="293" w:name="_Toc184312108"/>
      <w:bookmarkEnd w:id="293"/>
      <w:bookmarkStart w:id="294" w:name="_Toc184308083"/>
      <w:bookmarkEnd w:id="294"/>
      <w:bookmarkStart w:id="295" w:name="_Toc184312102"/>
      <w:bookmarkEnd w:id="295"/>
      <w:bookmarkStart w:id="296" w:name="_Toc184313256"/>
      <w:bookmarkEnd w:id="296"/>
      <w:bookmarkStart w:id="297" w:name="_Toc184310288"/>
      <w:bookmarkEnd w:id="297"/>
      <w:bookmarkStart w:id="298" w:name="_Toc184312082"/>
      <w:bookmarkEnd w:id="298"/>
      <w:bookmarkStart w:id="299" w:name="_Toc184313297"/>
      <w:bookmarkEnd w:id="299"/>
      <w:bookmarkStart w:id="300" w:name="_Toc184312105"/>
      <w:bookmarkEnd w:id="300"/>
      <w:bookmarkStart w:id="301" w:name="_Toc184308086"/>
      <w:bookmarkEnd w:id="301"/>
      <w:bookmarkStart w:id="302" w:name="_Toc184313293"/>
      <w:bookmarkEnd w:id="302"/>
      <w:bookmarkStart w:id="303" w:name="_Toc184310303"/>
      <w:bookmarkEnd w:id="303"/>
      <w:bookmarkStart w:id="304" w:name="_Toc184314458"/>
      <w:bookmarkEnd w:id="304"/>
      <w:bookmarkStart w:id="305" w:name="_Toc184308059"/>
      <w:bookmarkEnd w:id="305"/>
      <w:bookmarkStart w:id="306" w:name="_Toc184314442"/>
      <w:bookmarkEnd w:id="306"/>
      <w:bookmarkStart w:id="307" w:name="_Toc184313288"/>
      <w:bookmarkEnd w:id="307"/>
      <w:bookmarkStart w:id="308" w:name="_Toc184310338"/>
      <w:bookmarkEnd w:id="308"/>
      <w:bookmarkStart w:id="309" w:name="_Toc184308082"/>
      <w:bookmarkEnd w:id="309"/>
      <w:bookmarkStart w:id="310" w:name="_Toc184313281"/>
      <w:bookmarkEnd w:id="310"/>
      <w:bookmarkStart w:id="311" w:name="_Toc184314427"/>
      <w:bookmarkEnd w:id="311"/>
      <w:bookmarkStart w:id="312" w:name="_Toc184308096"/>
      <w:bookmarkEnd w:id="312"/>
      <w:bookmarkStart w:id="313" w:name="_Toc184308077"/>
      <w:bookmarkEnd w:id="313"/>
      <w:bookmarkStart w:id="314" w:name="_Toc184308085"/>
      <w:bookmarkEnd w:id="314"/>
      <w:bookmarkStart w:id="315" w:name="_Toc184312138"/>
      <w:bookmarkEnd w:id="315"/>
      <w:bookmarkStart w:id="316" w:name="_Toc184308091"/>
      <w:bookmarkEnd w:id="316"/>
      <w:bookmarkStart w:id="317" w:name="_Toc184313246"/>
      <w:bookmarkEnd w:id="317"/>
      <w:bookmarkStart w:id="318" w:name="_Toc184310340"/>
      <w:bookmarkEnd w:id="318"/>
      <w:bookmarkStart w:id="319" w:name="_Toc184308069"/>
      <w:bookmarkEnd w:id="319"/>
      <w:bookmarkStart w:id="320" w:name="_Toc184312127"/>
      <w:bookmarkEnd w:id="320"/>
      <w:bookmarkStart w:id="321" w:name="_Toc184308071"/>
      <w:bookmarkEnd w:id="321"/>
      <w:bookmarkStart w:id="322" w:name="_Toc184310281"/>
      <w:bookmarkEnd w:id="322"/>
      <w:bookmarkStart w:id="323" w:name="_Toc184313269"/>
      <w:bookmarkEnd w:id="323"/>
      <w:bookmarkStart w:id="324" w:name="_Toc184308068"/>
      <w:bookmarkEnd w:id="324"/>
      <w:bookmarkStart w:id="325" w:name="_Toc184313300"/>
      <w:bookmarkEnd w:id="325"/>
      <w:bookmarkStart w:id="326" w:name="_Toc184314465"/>
      <w:bookmarkEnd w:id="326"/>
      <w:bookmarkStart w:id="327" w:name="_Toc184313253"/>
      <w:bookmarkEnd w:id="327"/>
      <w:bookmarkStart w:id="328" w:name="_Toc184313303"/>
      <w:bookmarkEnd w:id="328"/>
      <w:bookmarkStart w:id="329" w:name="_Toc184308063"/>
      <w:bookmarkEnd w:id="329"/>
      <w:bookmarkStart w:id="330" w:name="_Toc184312101"/>
      <w:bookmarkEnd w:id="330"/>
      <w:bookmarkStart w:id="331" w:name="_Toc184312096"/>
      <w:bookmarkEnd w:id="331"/>
      <w:bookmarkStart w:id="332" w:name="_Toc184312080"/>
      <w:bookmarkEnd w:id="332"/>
      <w:bookmarkStart w:id="333" w:name="_Toc184308076"/>
      <w:bookmarkEnd w:id="333"/>
      <w:bookmarkStart w:id="334" w:name="_Toc184313289"/>
      <w:bookmarkEnd w:id="334"/>
      <w:bookmarkStart w:id="335" w:name="_Toc184310313"/>
      <w:bookmarkEnd w:id="335"/>
      <w:bookmarkStart w:id="336" w:name="_Toc184313239"/>
      <w:bookmarkEnd w:id="336"/>
      <w:bookmarkStart w:id="337" w:name="_Toc184308106"/>
      <w:bookmarkEnd w:id="337"/>
      <w:bookmarkStart w:id="338" w:name="_Toc184314478"/>
      <w:bookmarkEnd w:id="338"/>
      <w:bookmarkStart w:id="339" w:name="_Toc184308048"/>
      <w:bookmarkEnd w:id="339"/>
      <w:bookmarkStart w:id="340" w:name="_Toc184310334"/>
      <w:bookmarkEnd w:id="340"/>
      <w:bookmarkStart w:id="341" w:name="_Toc184313294"/>
      <w:bookmarkEnd w:id="341"/>
      <w:bookmarkStart w:id="342" w:name="_Toc184312124"/>
      <w:bookmarkEnd w:id="342"/>
      <w:bookmarkStart w:id="343" w:name="_Toc184313241"/>
      <w:bookmarkEnd w:id="343"/>
      <w:bookmarkStart w:id="344" w:name="_Toc184314443"/>
      <w:bookmarkEnd w:id="344"/>
      <w:bookmarkStart w:id="345" w:name="_Toc184314480"/>
      <w:bookmarkEnd w:id="345"/>
      <w:bookmarkStart w:id="346" w:name="_Toc184308107"/>
      <w:bookmarkEnd w:id="346"/>
      <w:bookmarkStart w:id="347" w:name="_Toc184312114"/>
      <w:bookmarkEnd w:id="347"/>
      <w:bookmarkStart w:id="348" w:name="_Toc184310304"/>
      <w:bookmarkEnd w:id="348"/>
      <w:bookmarkStart w:id="349" w:name="_Toc184308074"/>
      <w:bookmarkEnd w:id="349"/>
      <w:bookmarkStart w:id="350" w:name="_Toc184310332"/>
      <w:bookmarkEnd w:id="350"/>
      <w:bookmarkStart w:id="351" w:name="_Toc184314437"/>
      <w:bookmarkEnd w:id="351"/>
      <w:bookmarkStart w:id="352" w:name="_Toc184313268"/>
      <w:bookmarkEnd w:id="352"/>
      <w:bookmarkStart w:id="353" w:name="_Toc184313310"/>
      <w:bookmarkEnd w:id="353"/>
      <w:bookmarkStart w:id="354" w:name="_Toc184310310"/>
      <w:bookmarkEnd w:id="354"/>
      <w:bookmarkStart w:id="355" w:name="_Toc184314468"/>
      <w:bookmarkEnd w:id="355"/>
      <w:bookmarkStart w:id="356" w:name="_Toc184312104"/>
      <w:bookmarkEnd w:id="356"/>
      <w:bookmarkStart w:id="357" w:name="_Toc184314439"/>
      <w:bookmarkEnd w:id="357"/>
      <w:bookmarkStart w:id="358" w:name="_Toc184310336"/>
      <w:bookmarkEnd w:id="358"/>
      <w:bookmarkStart w:id="359" w:name="_Toc184312117"/>
      <w:bookmarkEnd w:id="359"/>
      <w:bookmarkStart w:id="360" w:name="_Toc184314455"/>
      <w:bookmarkEnd w:id="360"/>
      <w:bookmarkStart w:id="361" w:name="_Toc184308041"/>
      <w:bookmarkEnd w:id="361"/>
      <w:bookmarkStart w:id="362" w:name="_Toc184313290"/>
      <w:bookmarkEnd w:id="362"/>
      <w:bookmarkStart w:id="363" w:name="_Toc184308105"/>
      <w:bookmarkEnd w:id="363"/>
      <w:bookmarkStart w:id="364" w:name="_Toc184314470"/>
      <w:bookmarkEnd w:id="364"/>
      <w:bookmarkStart w:id="365" w:name="_Toc184313304"/>
      <w:bookmarkEnd w:id="365"/>
      <w:bookmarkStart w:id="366" w:name="_Toc184314460"/>
      <w:bookmarkEnd w:id="366"/>
      <w:bookmarkStart w:id="367" w:name="_Toc184313292"/>
      <w:bookmarkEnd w:id="367"/>
      <w:bookmarkStart w:id="368" w:name="_Toc184310319"/>
      <w:bookmarkEnd w:id="368"/>
      <w:bookmarkStart w:id="369" w:name="_Toc184313242"/>
      <w:bookmarkEnd w:id="369"/>
      <w:bookmarkStart w:id="370" w:name="_Toc184313298"/>
      <w:bookmarkEnd w:id="370"/>
      <w:bookmarkStart w:id="371" w:name="_Toc184314450"/>
      <w:bookmarkEnd w:id="371"/>
      <w:bookmarkStart w:id="372" w:name="_Toc184312112"/>
      <w:bookmarkEnd w:id="372"/>
      <w:bookmarkStart w:id="373" w:name="_Toc184312091"/>
      <w:bookmarkEnd w:id="373"/>
      <w:bookmarkStart w:id="374" w:name="_Toc184313250"/>
      <w:bookmarkEnd w:id="374"/>
      <w:bookmarkStart w:id="375" w:name="_Toc184308044"/>
      <w:bookmarkEnd w:id="375"/>
      <w:bookmarkStart w:id="376" w:name="_Toc184310273"/>
      <w:bookmarkEnd w:id="376"/>
      <w:bookmarkStart w:id="377" w:name="_Toc184308046"/>
      <w:bookmarkEnd w:id="377"/>
      <w:bookmarkStart w:id="378" w:name="_Toc184310305"/>
      <w:bookmarkEnd w:id="378"/>
      <w:bookmarkStart w:id="379" w:name="_Toc184310324"/>
      <w:bookmarkEnd w:id="379"/>
      <w:bookmarkStart w:id="380" w:name="_Toc184310301"/>
      <w:bookmarkEnd w:id="380"/>
      <w:bookmarkStart w:id="381" w:name="_Toc184310315"/>
      <w:bookmarkEnd w:id="381"/>
      <w:bookmarkStart w:id="382" w:name="_Toc184310318"/>
      <w:bookmarkEnd w:id="382"/>
      <w:bookmarkStart w:id="383" w:name="_Toc184310287"/>
      <w:bookmarkEnd w:id="383"/>
      <w:bookmarkStart w:id="384" w:name="_Toc184310309"/>
      <w:bookmarkEnd w:id="384"/>
      <w:bookmarkStart w:id="385" w:name="_Toc184310299"/>
      <w:bookmarkEnd w:id="385"/>
      <w:bookmarkStart w:id="386" w:name="_Toc184308067"/>
      <w:bookmarkEnd w:id="386"/>
      <w:bookmarkStart w:id="387" w:name="_Toc184312099"/>
      <w:bookmarkEnd w:id="387"/>
      <w:bookmarkStart w:id="388" w:name="_Toc184313299"/>
      <w:bookmarkEnd w:id="388"/>
      <w:bookmarkStart w:id="389" w:name="_Toc184312088"/>
      <w:bookmarkEnd w:id="389"/>
      <w:bookmarkStart w:id="390" w:name="_Toc184310326"/>
      <w:bookmarkEnd w:id="390"/>
      <w:bookmarkStart w:id="391" w:name="_Toc184312081"/>
      <w:bookmarkEnd w:id="391"/>
      <w:r>
        <w:rPr>
          <w:rFonts w:hint="eastAsia" w:ascii="仿宋" w:hAnsi="仿宋" w:eastAsia="仿宋" w:cs="仿宋"/>
          <w:b/>
          <w:color w:val="auto"/>
          <w:sz w:val="36"/>
          <w:szCs w:val="36"/>
          <w:highlight w:val="none"/>
        </w:rPr>
        <w:t>评标办法</w:t>
      </w:r>
    </w:p>
    <w:p>
      <w:pPr>
        <w:snapToGrid w:val="0"/>
        <w:spacing w:line="360" w:lineRule="auto"/>
        <w:jc w:val="center"/>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评标办法前附表</w:t>
      </w:r>
    </w:p>
    <w:p>
      <w:pPr>
        <w:pStyle w:val="2"/>
        <w:rPr>
          <w:rFonts w:hint="default" w:eastAsia="仿宋"/>
          <w:color w:val="auto"/>
          <w:sz w:val="36"/>
          <w:szCs w:val="36"/>
          <w:highlight w:val="none"/>
          <w:lang w:val="en-US" w:eastAsia="zh-CN"/>
        </w:rPr>
      </w:pPr>
      <w:r>
        <w:rPr>
          <w:rFonts w:hint="eastAsia" w:ascii="仿宋" w:hAnsi="仿宋" w:eastAsia="仿宋" w:cs="仿宋"/>
          <w:b/>
          <w:color w:val="auto"/>
          <w:sz w:val="36"/>
          <w:szCs w:val="36"/>
          <w:highlight w:val="none"/>
          <w:lang w:val="en-US" w:eastAsia="zh-CN"/>
        </w:rPr>
        <w:t>标项一：</w:t>
      </w:r>
    </w:p>
    <w:tbl>
      <w:tblPr>
        <w:tblStyle w:val="62"/>
        <w:tblW w:w="953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87"/>
        <w:gridCol w:w="5516"/>
        <w:gridCol w:w="787"/>
        <w:gridCol w:w="16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7"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评分细则</w:t>
            </w:r>
          </w:p>
        </w:tc>
        <w:tc>
          <w:tcPr>
            <w:tcW w:w="5516" w:type="dxa"/>
            <w:tcBorders>
              <w:top w:val="single" w:color="000000" w:sz="4" w:space="0"/>
              <w:left w:val="single" w:color="000000" w:sz="4" w:space="0"/>
              <w:bottom w:val="single" w:color="000000" w:sz="4" w:space="0"/>
              <w:right w:val="single" w:color="000000" w:sz="4" w:space="0"/>
            </w:tcBorders>
            <w:noWrap w:val="0"/>
            <w:vAlign w:val="top"/>
          </w:tcPr>
          <w:p>
            <w:pPr>
              <w:spacing w:before="0" w:beforeAutospacing="0" w:after="0" w:afterAutospacing="0" w:line="400" w:lineRule="atLeast"/>
              <w:ind w:left="0" w:right="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评分细则内容</w:t>
            </w:r>
          </w:p>
        </w:tc>
        <w:tc>
          <w:tcPr>
            <w:tcW w:w="787" w:type="dxa"/>
            <w:tcBorders>
              <w:top w:val="single" w:color="000000" w:sz="4" w:space="0"/>
              <w:left w:val="single" w:color="000000" w:sz="4" w:space="0"/>
              <w:bottom w:val="single" w:color="000000" w:sz="4" w:space="0"/>
              <w:right w:val="single" w:color="000000" w:sz="4" w:space="0"/>
            </w:tcBorders>
            <w:noWrap w:val="0"/>
            <w:vAlign w:val="top"/>
          </w:tcPr>
          <w:p>
            <w:pPr>
              <w:spacing w:before="0" w:beforeAutospacing="0" w:after="0" w:afterAutospacing="0" w:line="400" w:lineRule="atLeast"/>
              <w:ind w:left="0" w:right="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分值(分)</w:t>
            </w:r>
          </w:p>
        </w:tc>
        <w:tc>
          <w:tcPr>
            <w:tcW w:w="1647" w:type="dxa"/>
            <w:tcBorders>
              <w:top w:val="single" w:color="000000" w:sz="4" w:space="0"/>
              <w:left w:val="single" w:color="000000" w:sz="4" w:space="0"/>
              <w:bottom w:val="single" w:color="000000" w:sz="4" w:space="0"/>
              <w:right w:val="single" w:color="000000" w:sz="4" w:space="0"/>
            </w:tcBorders>
            <w:noWrap w:val="0"/>
            <w:vAlign w:val="top"/>
          </w:tcPr>
          <w:p>
            <w:pPr>
              <w:spacing w:before="0" w:beforeAutospacing="0" w:after="0" w:afterAutospacing="0" w:line="400" w:lineRule="atLeast"/>
              <w:ind w:left="0" w:right="0"/>
              <w:rPr>
                <w:rFonts w:hint="eastAsia" w:ascii="仿宋" w:hAnsi="仿宋" w:eastAsia="仿宋" w:cs="仿宋"/>
                <w:b w:val="0"/>
                <w:bCs/>
                <w:color w:val="auto"/>
                <w:sz w:val="24"/>
                <w:szCs w:val="24"/>
                <w:highlight w:val="none"/>
              </w:rPr>
            </w:pPr>
            <w:r>
              <w:rPr>
                <w:rFonts w:hint="eastAsia" w:ascii="仿宋" w:hAnsi="仿宋" w:eastAsia="仿宋" w:cs="仿宋"/>
                <w:b w:val="0"/>
                <w:bCs/>
                <w:color w:val="auto"/>
                <w:kern w:val="0"/>
                <w:sz w:val="24"/>
                <w:szCs w:val="24"/>
                <w:highlight w:val="none"/>
              </w:rPr>
              <w:t>投标文件中评标标准相应的商务技术资料目录*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85" w:hRule="atLeast"/>
        </w:trPr>
        <w:tc>
          <w:tcPr>
            <w:tcW w:w="1587" w:type="dxa"/>
            <w:vMerge w:val="restart"/>
            <w:tcBorders>
              <w:top w:val="single" w:color="000000" w:sz="4" w:space="0"/>
              <w:left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b w:val="0"/>
                <w:bCs/>
                <w:color w:val="auto"/>
                <w:sz w:val="24"/>
                <w:szCs w:val="24"/>
                <w:highlight w:val="none"/>
              </w:rPr>
            </w:pPr>
            <w:bookmarkStart w:id="392" w:name="_Hlk52522868"/>
            <w:bookmarkStart w:id="393" w:name="OLE_LINK4" w:colFirst="2" w:colLast="2"/>
            <w:bookmarkStart w:id="394" w:name="OLE_LINK3" w:colFirst="2" w:colLast="2"/>
            <w:r>
              <w:rPr>
                <w:rFonts w:hint="eastAsia" w:ascii="仿宋" w:hAnsi="仿宋" w:eastAsia="仿宋" w:cs="仿宋"/>
                <w:b w:val="0"/>
                <w:bCs/>
                <w:color w:val="auto"/>
                <w:sz w:val="24"/>
                <w:szCs w:val="24"/>
                <w:highlight w:val="none"/>
              </w:rPr>
              <w:t>供应商资质</w:t>
            </w:r>
          </w:p>
        </w:tc>
        <w:tc>
          <w:tcPr>
            <w:tcW w:w="5516"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right="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供应商具有城乡规划甲级资质的，得3分，具有土地乡规划乙级及以上资质的，得2分，本项最高5分。</w:t>
            </w:r>
          </w:p>
          <w:p>
            <w:pPr>
              <w:widowControl/>
              <w:spacing w:before="0" w:beforeAutospacing="0" w:after="0" w:afterAutospacing="0" w:line="360" w:lineRule="auto"/>
              <w:ind w:left="0" w:right="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bCs w:val="0"/>
                <w:color w:val="auto"/>
                <w:kern w:val="2"/>
                <w:sz w:val="24"/>
                <w:szCs w:val="24"/>
                <w:highlight w:val="none"/>
                <w:lang w:val="en-US" w:eastAsia="zh-CN" w:bidi="ar-SA"/>
              </w:rPr>
              <w:t>注：需提供资质证书复印件并加盖公章，不提供不得分。</w:t>
            </w:r>
          </w:p>
        </w:tc>
        <w:tc>
          <w:tcPr>
            <w:tcW w:w="787"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right="0"/>
              <w:jc w:val="center"/>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5</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b w:val="0"/>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1587" w:type="dxa"/>
            <w:tcBorders>
              <w:top w:val="single" w:color="000000" w:sz="4" w:space="0"/>
              <w:left w:val="single" w:color="000000" w:sz="4" w:space="0"/>
              <w:right w:val="single" w:color="000000" w:sz="4" w:space="0"/>
            </w:tcBorders>
            <w:noWrap w:val="0"/>
            <w:vAlign w:val="center"/>
          </w:tcPr>
          <w:p>
            <w:pPr>
              <w:pStyle w:val="59"/>
              <w:spacing w:before="0" w:beforeAutospacing="0" w:after="0" w:afterAutospacing="0"/>
              <w:ind w:left="0" w:right="0"/>
              <w:jc w:val="center"/>
              <w:rPr>
                <w:rFonts w:hint="default" w:ascii="仿宋" w:hAnsi="仿宋" w:eastAsia="仿宋" w:cs="仿宋"/>
                <w:b w:val="0"/>
                <w:bCs/>
                <w:color w:val="auto"/>
                <w:sz w:val="24"/>
                <w:szCs w:val="24"/>
                <w:highlight w:val="none"/>
                <w:lang w:val="en-US" w:eastAsia="zh-CN"/>
              </w:rPr>
            </w:pPr>
            <w:r>
              <w:rPr>
                <w:rFonts w:hint="default" w:ascii="仿宋" w:hAnsi="仿宋" w:eastAsia="仿宋" w:cs="仿宋"/>
                <w:b w:val="0"/>
                <w:bCs/>
                <w:color w:val="auto"/>
                <w:sz w:val="24"/>
                <w:szCs w:val="24"/>
                <w:highlight w:val="none"/>
                <w:lang w:val="en-US" w:eastAsia="zh-CN"/>
              </w:rPr>
              <w:t>类似业绩</w:t>
            </w:r>
          </w:p>
        </w:tc>
        <w:tc>
          <w:tcPr>
            <w:tcW w:w="5516" w:type="dxa"/>
            <w:tcBorders>
              <w:top w:val="single" w:color="000000" w:sz="4" w:space="0"/>
              <w:left w:val="single" w:color="000000" w:sz="4" w:space="0"/>
              <w:right w:val="single" w:color="000000" w:sz="4" w:space="0"/>
            </w:tcBorders>
            <w:noWrap w:val="0"/>
            <w:vAlign w:val="center"/>
          </w:tcPr>
          <w:p>
            <w:pPr>
              <w:widowControl/>
              <w:numPr>
                <w:ilvl w:val="0"/>
                <w:numId w:val="0"/>
              </w:numPr>
              <w:spacing w:before="0" w:beforeAutospacing="0" w:after="0" w:afterAutospacing="0" w:line="360" w:lineRule="auto"/>
              <w:ind w:left="0" w:right="0" w:rightChars="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投标人2019年1月1日（合同签订时间为准）起至投标截止之日，承担过类似项目业绩，每个项目得0.5分,本项最高得1分。</w:t>
            </w:r>
            <w:r>
              <w:rPr>
                <w:rFonts w:hint="eastAsia" w:ascii="仿宋" w:hAnsi="仿宋" w:eastAsia="仿宋" w:cs="仿宋"/>
                <w:b w:val="0"/>
                <w:bCs/>
                <w:color w:val="auto"/>
                <w:kern w:val="2"/>
                <w:sz w:val="24"/>
                <w:szCs w:val="24"/>
                <w:highlight w:val="none"/>
                <w:lang w:val="en-US" w:eastAsia="zh-CN" w:bidi="ar-SA"/>
              </w:rPr>
              <w:br w:type="textWrapping"/>
            </w:r>
            <w:r>
              <w:rPr>
                <w:rFonts w:hint="eastAsia" w:ascii="仿宋" w:hAnsi="仿宋" w:eastAsia="仿宋" w:cs="仿宋"/>
                <w:b/>
                <w:bCs w:val="0"/>
                <w:color w:val="auto"/>
                <w:kern w:val="2"/>
                <w:sz w:val="24"/>
                <w:szCs w:val="24"/>
                <w:highlight w:val="none"/>
                <w:lang w:val="en-US" w:eastAsia="zh-CN" w:bidi="ar-SA"/>
              </w:rPr>
              <w:t>注：需提供合同复印件并加盖公章，不提供不得分。</w:t>
            </w:r>
          </w:p>
        </w:tc>
        <w:tc>
          <w:tcPr>
            <w:tcW w:w="787"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right="0"/>
              <w:jc w:val="center"/>
              <w:rPr>
                <w:rFonts w:hint="default"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1</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b w:val="0"/>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1587" w:type="dxa"/>
            <w:tcBorders>
              <w:top w:val="single" w:color="000000" w:sz="4" w:space="0"/>
              <w:left w:val="single" w:color="000000" w:sz="4" w:space="0"/>
              <w:right w:val="single" w:color="000000" w:sz="4" w:space="0"/>
            </w:tcBorders>
            <w:noWrap w:val="0"/>
            <w:vAlign w:val="center"/>
          </w:tcPr>
          <w:p>
            <w:pPr>
              <w:pStyle w:val="59"/>
              <w:spacing w:before="0" w:beforeAutospacing="0" w:after="0" w:afterAutospacing="0"/>
              <w:ind w:left="0" w:right="0"/>
              <w:jc w:val="center"/>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体系认证</w:t>
            </w:r>
          </w:p>
        </w:tc>
        <w:tc>
          <w:tcPr>
            <w:tcW w:w="5516"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right="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投标人具有有效期内的质量体系认证，环境管理体系认证，职业健康安全管理体系认证证书的每项得1分，本项最高得3分。</w:t>
            </w:r>
          </w:p>
          <w:p>
            <w:pPr>
              <w:widowControl/>
              <w:spacing w:before="0" w:beforeAutospacing="0" w:after="0" w:afterAutospacing="0" w:line="360" w:lineRule="auto"/>
              <w:ind w:left="0" w:right="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bCs w:val="0"/>
                <w:color w:val="auto"/>
                <w:kern w:val="2"/>
                <w:sz w:val="24"/>
                <w:szCs w:val="24"/>
                <w:highlight w:val="none"/>
                <w:lang w:val="en-US" w:eastAsia="zh-CN" w:bidi="ar-SA"/>
              </w:rPr>
              <w:t>证明材料：提供有效证书扫描件并加盖公章，否则不得分。</w:t>
            </w:r>
          </w:p>
        </w:tc>
        <w:tc>
          <w:tcPr>
            <w:tcW w:w="787"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right="0"/>
              <w:jc w:val="center"/>
              <w:rPr>
                <w:rFonts w:hint="default"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3</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b w:val="0"/>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1587" w:type="dxa"/>
            <w:tcBorders>
              <w:top w:val="single" w:color="000000" w:sz="4" w:space="0"/>
              <w:left w:val="single" w:color="000000" w:sz="4" w:space="0"/>
              <w:right w:val="single" w:color="000000" w:sz="4" w:space="0"/>
            </w:tcBorders>
            <w:noWrap w:val="0"/>
            <w:vAlign w:val="center"/>
          </w:tcPr>
          <w:p>
            <w:pPr>
              <w:pStyle w:val="59"/>
              <w:spacing w:before="0" w:beforeAutospacing="0" w:after="0" w:afterAutospacing="0"/>
              <w:ind w:left="0" w:right="0"/>
              <w:rPr>
                <w:rFonts w:hint="eastAsia" w:ascii="仿宋" w:hAnsi="仿宋" w:eastAsia="仿宋" w:cs="仿宋"/>
                <w:b w:val="0"/>
                <w:bCs/>
                <w:kern w:val="2"/>
                <w:sz w:val="24"/>
                <w:szCs w:val="24"/>
                <w:highlight w:val="none"/>
                <w:lang w:val="en-US" w:eastAsia="zh-CN" w:bidi="ar-SA"/>
              </w:rPr>
            </w:pPr>
            <w:r>
              <w:rPr>
                <w:rFonts w:hint="eastAsia" w:ascii="仿宋" w:hAnsi="仿宋" w:eastAsia="仿宋" w:cs="仿宋"/>
                <w:b w:val="0"/>
                <w:bCs/>
                <w:kern w:val="2"/>
                <w:szCs w:val="24"/>
                <w:highlight w:val="none"/>
              </w:rPr>
              <w:t>投标人荣誉</w:t>
            </w:r>
          </w:p>
        </w:tc>
        <w:tc>
          <w:tcPr>
            <w:tcW w:w="5516"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right="0"/>
              <w:jc w:val="left"/>
              <w:rPr>
                <w:rFonts w:hint="eastAsia" w:ascii="仿宋" w:hAnsi="仿宋" w:eastAsia="仿宋" w:cs="仿宋"/>
                <w:bCs/>
                <w:kern w:val="2"/>
                <w:sz w:val="24"/>
                <w:szCs w:val="24"/>
                <w:highlight w:val="none"/>
                <w:lang w:val="en-US" w:eastAsia="zh-CN" w:bidi="ar-SA"/>
              </w:rPr>
            </w:pPr>
            <w:r>
              <w:rPr>
                <w:rFonts w:hint="eastAsia" w:ascii="仿宋" w:hAnsi="仿宋" w:eastAsia="仿宋" w:cs="仿宋"/>
                <w:bCs/>
                <w:sz w:val="24"/>
                <w:highlight w:val="none"/>
              </w:rPr>
              <w:t>投标人2019年1月1日以来，投标人获得过国家级（不含除中国城市规划协会以外的行业学会或协会颁发）荣誉、奖项的，一等奖每个得2分，二等奖每个得1分，三等奖每个得0.5分。本项最高6分。</w:t>
            </w:r>
            <w:r>
              <w:rPr>
                <w:rFonts w:hint="eastAsia" w:ascii="仿宋" w:hAnsi="仿宋" w:eastAsia="仿宋" w:cs="仿宋"/>
                <w:b/>
                <w:sz w:val="24"/>
                <w:highlight w:val="none"/>
              </w:rPr>
              <w:t>相同项目不得重复计算，以荣誉、获奖证书等复印件并加盖公章为准。</w:t>
            </w:r>
          </w:p>
        </w:tc>
        <w:tc>
          <w:tcPr>
            <w:tcW w:w="787"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right="0"/>
              <w:jc w:val="center"/>
              <w:rPr>
                <w:rFonts w:hint="eastAsia" w:ascii="仿宋" w:hAnsi="仿宋" w:eastAsia="仿宋" w:cs="仿宋"/>
                <w:bCs/>
                <w:kern w:val="2"/>
                <w:sz w:val="24"/>
                <w:szCs w:val="24"/>
                <w:highlight w:val="none"/>
                <w:lang w:val="en-US" w:eastAsia="zh-CN" w:bidi="ar-SA"/>
              </w:rPr>
            </w:pPr>
            <w:r>
              <w:rPr>
                <w:rFonts w:hint="eastAsia" w:ascii="仿宋" w:hAnsi="仿宋" w:eastAsia="仿宋" w:cs="仿宋"/>
                <w:bCs/>
                <w:sz w:val="24"/>
                <w:highlight w:val="none"/>
              </w:rPr>
              <w:t>6</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b w:val="0"/>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69" w:hRule="atLeast"/>
        </w:trPr>
        <w:tc>
          <w:tcPr>
            <w:tcW w:w="1587" w:type="dxa"/>
            <w:tcBorders>
              <w:top w:val="single" w:color="000000" w:sz="4" w:space="0"/>
              <w:left w:val="single" w:color="000000" w:sz="4" w:space="0"/>
              <w:right w:val="single" w:color="000000" w:sz="4" w:space="0"/>
            </w:tcBorders>
            <w:noWrap w:val="0"/>
            <w:vAlign w:val="center"/>
          </w:tcPr>
          <w:p>
            <w:pPr>
              <w:pStyle w:val="59"/>
              <w:spacing w:before="0" w:beforeAutospacing="0" w:after="0" w:afterAutospacing="0"/>
              <w:ind w:left="0" w:leftChars="0" w:right="0" w:rightChars="0"/>
              <w:jc w:val="center"/>
              <w:rPr>
                <w:rFonts w:hint="eastAsia" w:ascii="仿宋" w:hAnsi="仿宋" w:eastAsia="仿宋" w:cs="仿宋"/>
                <w:b w:val="0"/>
                <w:bCs/>
                <w:color w:val="auto"/>
                <w:kern w:val="0"/>
                <w:sz w:val="24"/>
                <w:szCs w:val="24"/>
                <w:highlight w:val="none"/>
                <w:lang w:val="en-US" w:eastAsia="zh-CN" w:bidi="ar-SA"/>
              </w:rPr>
            </w:pPr>
            <w:r>
              <w:rPr>
                <w:rFonts w:hint="eastAsia" w:ascii="仿宋" w:hAnsi="仿宋" w:eastAsia="仿宋" w:cs="仿宋"/>
                <w:b w:val="0"/>
                <w:bCs/>
                <w:color w:val="auto"/>
                <w:sz w:val="24"/>
                <w:szCs w:val="24"/>
                <w:highlight w:val="none"/>
                <w:lang w:val="en-US" w:eastAsia="zh-CN"/>
              </w:rPr>
              <w:t>项目认知</w:t>
            </w:r>
          </w:p>
        </w:tc>
        <w:tc>
          <w:tcPr>
            <w:tcW w:w="5516"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leftChars="0" w:right="0" w:rightChars="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1）根据供应商对本项目的整体概况详细阐述项目的思路和重点方向进行打分，内容优秀，科学合理、可实施性强的得5分，在此基础上内容的科学性、合理性、针对性一般的得3分，内容基本提及的得1分，不提供不得分。</w:t>
            </w:r>
            <w:r>
              <w:rPr>
                <w:rFonts w:hint="eastAsia" w:ascii="仿宋" w:hAnsi="仿宋" w:eastAsia="仿宋" w:cs="仿宋"/>
                <w:b w:val="0"/>
                <w:bCs/>
                <w:color w:val="auto"/>
                <w:kern w:val="2"/>
                <w:sz w:val="24"/>
                <w:szCs w:val="24"/>
                <w:highlight w:val="none"/>
                <w:lang w:val="en-US" w:eastAsia="zh-CN" w:bidi="ar-SA"/>
              </w:rPr>
              <w:br w:type="textWrapping"/>
            </w:r>
            <w:r>
              <w:rPr>
                <w:rFonts w:hint="eastAsia" w:ascii="仿宋" w:hAnsi="仿宋" w:eastAsia="仿宋" w:cs="仿宋"/>
                <w:b w:val="0"/>
                <w:bCs/>
                <w:color w:val="auto"/>
                <w:kern w:val="2"/>
                <w:sz w:val="24"/>
                <w:szCs w:val="24"/>
                <w:highlight w:val="none"/>
                <w:lang w:val="en-US" w:eastAsia="zh-CN" w:bidi="ar-SA"/>
              </w:rPr>
              <w:t>（2）根据供应商对本项目的项目背景详细阐述项目的思路和重点方向进行打分，内容优秀，科学合理、可实施性强的得5分，在此基础上内容的科学性、合理性、针对性一般的得3分，内容基本提及的得1分，不提供不得分。</w:t>
            </w:r>
            <w:r>
              <w:rPr>
                <w:rFonts w:hint="eastAsia" w:ascii="仿宋" w:hAnsi="仿宋" w:eastAsia="仿宋" w:cs="仿宋"/>
                <w:b w:val="0"/>
                <w:bCs/>
                <w:color w:val="auto"/>
                <w:kern w:val="2"/>
                <w:sz w:val="24"/>
                <w:szCs w:val="24"/>
                <w:highlight w:val="none"/>
                <w:lang w:val="en-US" w:eastAsia="zh-CN" w:bidi="ar-SA"/>
              </w:rPr>
              <w:br w:type="textWrapping"/>
            </w:r>
            <w:r>
              <w:rPr>
                <w:rFonts w:hint="eastAsia" w:ascii="仿宋" w:hAnsi="仿宋" w:eastAsia="仿宋" w:cs="仿宋"/>
                <w:b w:val="0"/>
                <w:bCs/>
                <w:color w:val="auto"/>
                <w:kern w:val="2"/>
                <w:sz w:val="24"/>
                <w:szCs w:val="24"/>
                <w:highlight w:val="none"/>
                <w:lang w:val="en-US" w:eastAsia="zh-CN" w:bidi="ar-SA"/>
              </w:rPr>
              <w:t>（3）根据供应商对本项目的工作内容、工作内容、工作任务的理解和认识程度详细阐述项目的思路和重点方向进行打分，内容优秀，科学合理、可实施性强的得5分，在此基础上内容的科学性、合理性、针对性一般的得3分，内容基本提及的得1分，不提供不得分。</w:t>
            </w:r>
          </w:p>
        </w:tc>
        <w:tc>
          <w:tcPr>
            <w:tcW w:w="787"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leftChars="0" w:right="0" w:rightChars="0"/>
              <w:jc w:val="center"/>
              <w:rPr>
                <w:rFonts w:hint="default"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15</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b w:val="0"/>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86" w:hRule="atLeast"/>
        </w:trPr>
        <w:tc>
          <w:tcPr>
            <w:tcW w:w="1587" w:type="dxa"/>
            <w:tcBorders>
              <w:top w:val="single" w:color="000000" w:sz="4" w:space="0"/>
              <w:left w:val="single" w:color="000000" w:sz="4" w:space="0"/>
              <w:right w:val="single" w:color="000000" w:sz="4" w:space="0"/>
            </w:tcBorders>
            <w:noWrap w:val="0"/>
            <w:vAlign w:val="center"/>
          </w:tcPr>
          <w:p>
            <w:pPr>
              <w:pStyle w:val="59"/>
              <w:spacing w:before="0" w:beforeAutospacing="0" w:after="0" w:afterAutospacing="0"/>
              <w:ind w:left="0" w:leftChars="0" w:right="0" w:rightChars="0"/>
              <w:jc w:val="center"/>
              <w:rPr>
                <w:rFonts w:hint="default" w:ascii="仿宋" w:hAnsi="仿宋" w:eastAsia="仿宋" w:cs="仿宋"/>
                <w:b w:val="0"/>
                <w:bCs/>
                <w:color w:val="auto"/>
                <w:kern w:val="0"/>
                <w:sz w:val="24"/>
                <w:szCs w:val="24"/>
                <w:highlight w:val="none"/>
                <w:lang w:val="en-US" w:eastAsia="zh-CN" w:bidi="ar-SA"/>
              </w:rPr>
            </w:pPr>
            <w:r>
              <w:rPr>
                <w:rFonts w:hint="eastAsia" w:ascii="仿宋" w:hAnsi="仿宋" w:eastAsia="仿宋" w:cs="仿宋"/>
                <w:b w:val="0"/>
                <w:bCs/>
                <w:color w:val="auto"/>
                <w:sz w:val="24"/>
                <w:szCs w:val="24"/>
                <w:highlight w:val="none"/>
                <w:lang w:val="en-US" w:eastAsia="zh-CN"/>
              </w:rPr>
              <w:t>项目总体思路、技术操作</w:t>
            </w:r>
          </w:p>
        </w:tc>
        <w:tc>
          <w:tcPr>
            <w:tcW w:w="5516"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right="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根据供应商对项目总体思路的科学性、合理性、针对性和可行性等进行评分。（0-5）</w:t>
            </w:r>
          </w:p>
          <w:p>
            <w:pPr>
              <w:widowControl/>
              <w:spacing w:before="0" w:beforeAutospacing="0" w:after="0" w:afterAutospacing="0" w:line="360" w:lineRule="auto"/>
              <w:ind w:left="0" w:right="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根据供应商对项目技术路线科学性、合理性、针对性和可行性等进行评分。（0-5）</w:t>
            </w:r>
          </w:p>
          <w:p>
            <w:pPr>
              <w:widowControl/>
              <w:spacing w:before="0" w:beforeAutospacing="0" w:after="0" w:afterAutospacing="0" w:line="360" w:lineRule="auto"/>
              <w:ind w:left="0" w:leftChars="0" w:right="0" w:rightChars="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根据供应商对项目具体技术操作步骤科学性、合理性、针对性和可行性等进行评分。（0-5）</w:t>
            </w:r>
          </w:p>
        </w:tc>
        <w:tc>
          <w:tcPr>
            <w:tcW w:w="787"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leftChars="0" w:right="0" w:rightChars="0"/>
              <w:jc w:val="center"/>
              <w:rPr>
                <w:rFonts w:hint="default"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15</w:t>
            </w:r>
          </w:p>
        </w:tc>
        <w:tc>
          <w:tcPr>
            <w:tcW w:w="1647" w:type="dxa"/>
            <w:tcBorders>
              <w:top w:val="single" w:color="000000" w:sz="4" w:space="0"/>
              <w:left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b w:val="0"/>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1587" w:type="dxa"/>
            <w:tcBorders>
              <w:top w:val="single" w:color="000000" w:sz="4" w:space="0"/>
              <w:left w:val="single" w:color="000000" w:sz="4" w:space="0"/>
              <w:right w:val="single" w:color="000000" w:sz="4" w:space="0"/>
            </w:tcBorders>
            <w:noWrap w:val="0"/>
            <w:vAlign w:val="center"/>
          </w:tcPr>
          <w:p>
            <w:pPr>
              <w:pStyle w:val="59"/>
              <w:spacing w:before="0" w:beforeAutospacing="0" w:after="0" w:afterAutospacing="0"/>
              <w:ind w:left="0" w:leftChars="0" w:right="0" w:rightChars="0"/>
              <w:jc w:val="center"/>
              <w:rPr>
                <w:rFonts w:hint="eastAsia" w:ascii="仿宋" w:hAnsi="仿宋" w:eastAsia="仿宋" w:cs="仿宋"/>
                <w:b w:val="0"/>
                <w:bCs/>
                <w:color w:val="auto"/>
                <w:kern w:val="0"/>
                <w:sz w:val="24"/>
                <w:szCs w:val="24"/>
                <w:highlight w:val="none"/>
                <w:lang w:val="en-US" w:eastAsia="zh-CN" w:bidi="ar-SA"/>
              </w:rPr>
            </w:pPr>
            <w:r>
              <w:rPr>
                <w:rFonts w:hint="eastAsia" w:ascii="仿宋" w:hAnsi="仿宋" w:eastAsia="仿宋" w:cs="仿宋"/>
                <w:b w:val="0"/>
                <w:bCs/>
                <w:color w:val="auto"/>
                <w:sz w:val="24"/>
                <w:szCs w:val="24"/>
                <w:highlight w:val="none"/>
                <w:lang w:val="en-US" w:eastAsia="zh-CN"/>
              </w:rPr>
              <w:t>项目的重点、难点分析</w:t>
            </w:r>
          </w:p>
        </w:tc>
        <w:tc>
          <w:tcPr>
            <w:tcW w:w="5516"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leftChars="0" w:right="0" w:rightChars="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根据供应商针对本项目的重点、难点分析和提出的重点、难点的相应解决方案进行评分。（0-5）</w:t>
            </w:r>
          </w:p>
        </w:tc>
        <w:tc>
          <w:tcPr>
            <w:tcW w:w="787"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leftChars="0" w:right="0" w:rightChars="0"/>
              <w:jc w:val="center"/>
              <w:rPr>
                <w:rFonts w:hint="default"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5</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b w:val="0"/>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1587" w:type="dxa"/>
            <w:tcBorders>
              <w:top w:val="single" w:color="000000" w:sz="4" w:space="0"/>
              <w:left w:val="single" w:color="000000" w:sz="4" w:space="0"/>
              <w:right w:val="single" w:color="000000" w:sz="4" w:space="0"/>
            </w:tcBorders>
            <w:noWrap w:val="0"/>
            <w:vAlign w:val="center"/>
          </w:tcPr>
          <w:p>
            <w:pPr>
              <w:pStyle w:val="59"/>
              <w:spacing w:before="0" w:beforeAutospacing="0" w:after="0" w:afterAutospacing="0"/>
              <w:ind w:left="0" w:leftChars="0" w:right="0" w:rightChars="0"/>
              <w:jc w:val="center"/>
              <w:rPr>
                <w:rFonts w:hint="eastAsia" w:ascii="仿宋" w:hAnsi="仿宋" w:eastAsia="仿宋" w:cs="仿宋"/>
                <w:b w:val="0"/>
                <w:bCs/>
                <w:color w:val="auto"/>
                <w:kern w:val="0"/>
                <w:sz w:val="24"/>
                <w:szCs w:val="24"/>
                <w:highlight w:val="none"/>
                <w:lang w:val="en-US" w:eastAsia="zh-CN" w:bidi="ar-SA"/>
              </w:rPr>
            </w:pPr>
            <w:r>
              <w:rPr>
                <w:rFonts w:hint="eastAsia" w:ascii="仿宋" w:hAnsi="仿宋" w:eastAsia="仿宋" w:cs="仿宋"/>
                <w:b w:val="0"/>
                <w:bCs/>
                <w:color w:val="auto"/>
                <w:sz w:val="24"/>
                <w:szCs w:val="24"/>
                <w:highlight w:val="none"/>
                <w:lang w:val="en-US" w:eastAsia="zh-CN"/>
              </w:rPr>
              <w:t>项目的任务划分和进度控制</w:t>
            </w:r>
          </w:p>
        </w:tc>
        <w:tc>
          <w:tcPr>
            <w:tcW w:w="5516"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leftChars="0" w:right="0" w:rightChars="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根据供应商对项目整体工作阶段及任务划分、进度控制是否合理、关键时间节点把握是否科学准确进行评分，内容优秀，科学合理、可实施性强的得5分，在此基础上内容的科学性、合理性、针对性一般的得3分，内容基本提及的得1分，不提供不得分。</w:t>
            </w:r>
          </w:p>
        </w:tc>
        <w:tc>
          <w:tcPr>
            <w:tcW w:w="787"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leftChars="0" w:right="0" w:rightChars="0"/>
              <w:jc w:val="center"/>
              <w:rPr>
                <w:rFonts w:hint="default"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5</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b w:val="0"/>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1587" w:type="dxa"/>
            <w:tcBorders>
              <w:top w:val="single" w:color="000000" w:sz="4" w:space="0"/>
              <w:left w:val="single" w:color="000000" w:sz="4" w:space="0"/>
              <w:right w:val="single" w:color="000000" w:sz="4" w:space="0"/>
            </w:tcBorders>
            <w:noWrap w:val="0"/>
            <w:vAlign w:val="center"/>
          </w:tcPr>
          <w:p>
            <w:pPr>
              <w:pStyle w:val="59"/>
              <w:spacing w:before="0" w:beforeAutospacing="0" w:after="0" w:afterAutospacing="0"/>
              <w:ind w:left="0" w:leftChars="0" w:right="0" w:rightChars="0"/>
              <w:jc w:val="center"/>
              <w:rPr>
                <w:rFonts w:hint="eastAsia" w:ascii="仿宋" w:hAnsi="仿宋" w:eastAsia="仿宋" w:cs="仿宋"/>
                <w:b w:val="0"/>
                <w:bCs/>
                <w:color w:val="auto"/>
                <w:kern w:val="0"/>
                <w:sz w:val="24"/>
                <w:szCs w:val="24"/>
                <w:highlight w:val="none"/>
                <w:lang w:val="en-US" w:eastAsia="zh-CN" w:bidi="ar-SA"/>
              </w:rPr>
            </w:pPr>
            <w:r>
              <w:rPr>
                <w:rFonts w:hint="eastAsia" w:ascii="仿宋" w:hAnsi="仿宋" w:eastAsia="仿宋" w:cs="仿宋"/>
                <w:b w:val="0"/>
                <w:bCs/>
                <w:color w:val="auto"/>
                <w:sz w:val="24"/>
                <w:szCs w:val="24"/>
                <w:highlight w:val="none"/>
                <w:lang w:val="en-US" w:eastAsia="zh-CN"/>
              </w:rPr>
              <w:t>质量目标、质量保证措施、项目管理制度</w:t>
            </w:r>
          </w:p>
        </w:tc>
        <w:tc>
          <w:tcPr>
            <w:tcW w:w="5516"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right="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（1）根据供应商对项目质量目标进行打分，内容优秀，科学合理、可实施性强的得5分，在此基础上内容的科学性、合理性、针对性一般的得3分，内容基本提及的得1分，不提供不得分。</w:t>
            </w:r>
          </w:p>
          <w:p>
            <w:pPr>
              <w:widowControl/>
              <w:spacing w:before="0" w:beforeAutospacing="0" w:after="0" w:afterAutospacing="0" w:line="360" w:lineRule="auto"/>
              <w:ind w:left="0" w:right="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（2）根据供应商对项目质量保证措施进行打分，内容优秀，科学合理、可实施性强的得5分，在此基础上内容的科学性、合理性、针对性一般的得3分，内容基本提及的得1分，不提供不得分。</w:t>
            </w:r>
          </w:p>
          <w:p>
            <w:pPr>
              <w:widowControl/>
              <w:spacing w:before="0" w:beforeAutospacing="0" w:after="0" w:afterAutospacing="0" w:line="360" w:lineRule="auto"/>
              <w:ind w:left="0" w:leftChars="0" w:right="0" w:rightChars="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3）根据供应商对项目项目管理制度（包括质量管理、成果维护、保密管理及档案管理等）进行评分进行打分，内容优秀，科学合理、可实施性强的得5分，在此基础上内容的科学性、合理性、针对性一般的得3分，内容基本提及的得1分，不提供不得分。</w:t>
            </w:r>
          </w:p>
        </w:tc>
        <w:tc>
          <w:tcPr>
            <w:tcW w:w="787"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leftChars="0" w:right="0" w:rightChars="0"/>
              <w:jc w:val="center"/>
              <w:rPr>
                <w:rFonts w:hint="default"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15</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b w:val="0"/>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1587" w:type="dxa"/>
            <w:tcBorders>
              <w:top w:val="single" w:color="000000" w:sz="4" w:space="0"/>
              <w:left w:val="single" w:color="000000" w:sz="4" w:space="0"/>
              <w:right w:val="single" w:color="000000" w:sz="4" w:space="0"/>
            </w:tcBorders>
            <w:noWrap w:val="0"/>
            <w:vAlign w:val="center"/>
          </w:tcPr>
          <w:p>
            <w:pPr>
              <w:pStyle w:val="59"/>
              <w:spacing w:before="0" w:beforeAutospacing="0" w:after="0" w:afterAutospacing="0"/>
              <w:ind w:left="0" w:right="0"/>
              <w:jc w:val="center"/>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kern w:val="2"/>
                <w:sz w:val="24"/>
                <w:szCs w:val="24"/>
                <w:highlight w:val="none"/>
                <w:lang w:val="en-US" w:eastAsia="zh-CN" w:bidi="ar-SA"/>
              </w:rPr>
              <w:t>拟派项目负责人</w:t>
            </w:r>
          </w:p>
        </w:tc>
        <w:tc>
          <w:tcPr>
            <w:tcW w:w="5516"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right="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拟派项目负责人具有城乡规划专业教授级高级工程师职称证书的，得5分，具有城乡规划专业高级工程师职称证书的，得3分；同时具备国家注册规划师证书的，另加5分。本项最高得10分。</w:t>
            </w:r>
          </w:p>
          <w:p>
            <w:pPr>
              <w:widowControl/>
              <w:spacing w:before="0" w:beforeAutospacing="0" w:after="0" w:afterAutospacing="0" w:line="360" w:lineRule="auto"/>
              <w:ind w:left="0" w:right="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sz w:val="24"/>
                <w:highlight w:val="none"/>
              </w:rPr>
              <w:t>证</w:t>
            </w:r>
            <w:r>
              <w:rPr>
                <w:rFonts w:hint="eastAsia" w:ascii="仿宋" w:hAnsi="仿宋" w:eastAsia="仿宋" w:cs="仿宋"/>
                <w:b/>
                <w:sz w:val="24"/>
                <w:highlight w:val="none"/>
              </w:rPr>
              <w:t>明材料：提供近三个月内任意一个月单位</w:t>
            </w:r>
            <w:r>
              <w:rPr>
                <w:rFonts w:hint="eastAsia" w:ascii="仿宋" w:hAnsi="仿宋" w:eastAsia="仿宋" w:cs="仿宋"/>
                <w:b/>
                <w:sz w:val="24"/>
                <w:highlight w:val="none"/>
              </w:rPr>
              <w:t>缴纳社保证明材料或劳动合同，相关证书扫描件，否则不得分。</w:t>
            </w:r>
            <w:r>
              <w:rPr>
                <w:rFonts w:hint="eastAsia" w:ascii="仿宋" w:hAnsi="仿宋" w:eastAsia="仿宋" w:cs="仿宋"/>
                <w:bCs/>
                <w:sz w:val="24"/>
                <w:highlight w:val="none"/>
              </w:rPr>
              <w:t xml:space="preserve"> </w:t>
            </w:r>
          </w:p>
        </w:tc>
        <w:tc>
          <w:tcPr>
            <w:tcW w:w="787"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right="0"/>
              <w:jc w:val="center"/>
              <w:rPr>
                <w:rFonts w:hint="default"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10</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b w:val="0"/>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1587" w:type="dxa"/>
            <w:tcBorders>
              <w:top w:val="single" w:color="000000" w:sz="4" w:space="0"/>
              <w:left w:val="single" w:color="000000" w:sz="4" w:space="0"/>
              <w:right w:val="single" w:color="000000" w:sz="4" w:space="0"/>
            </w:tcBorders>
            <w:noWrap w:val="0"/>
            <w:vAlign w:val="center"/>
          </w:tcPr>
          <w:p>
            <w:pPr>
              <w:pStyle w:val="59"/>
              <w:spacing w:before="0" w:beforeAutospacing="0" w:after="0" w:afterAutospacing="0"/>
              <w:ind w:left="0" w:right="0"/>
              <w:jc w:val="center"/>
              <w:rPr>
                <w:rFonts w:hint="default" w:ascii="仿宋" w:hAnsi="仿宋" w:eastAsia="仿宋" w:cs="仿宋"/>
                <w:b w:val="0"/>
                <w:bCs/>
                <w:color w:val="auto"/>
                <w:sz w:val="24"/>
                <w:szCs w:val="24"/>
                <w:highlight w:val="none"/>
                <w:lang w:val="en-US" w:eastAsia="zh-CN"/>
              </w:rPr>
            </w:pPr>
            <w:r>
              <w:rPr>
                <w:rFonts w:hint="eastAsia" w:ascii="仿宋" w:hAnsi="仿宋" w:eastAsia="仿宋" w:cs="仿宋"/>
                <w:b w:val="0"/>
                <w:bCs/>
                <w:color w:val="auto"/>
                <w:kern w:val="2"/>
                <w:sz w:val="24"/>
                <w:szCs w:val="24"/>
                <w:highlight w:val="none"/>
                <w:lang w:val="en-US" w:eastAsia="zh-CN" w:bidi="ar-SA"/>
              </w:rPr>
              <w:t>拟派项目组成员</w:t>
            </w:r>
          </w:p>
        </w:tc>
        <w:tc>
          <w:tcPr>
            <w:tcW w:w="5516"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right="0"/>
              <w:jc w:val="left"/>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拟派项目组成员（不包含项目负责人）具有城乡规划专业高级工程师及以上职称证书同时具备国家注册规划师证书的，每个得3分；具有城乡规划专业中级职称同时具备国家注册规划师证书的，每个得1分，本项最高得10分。同一人多个资格证书就高计取，不得重复累计。</w:t>
            </w:r>
          </w:p>
          <w:p>
            <w:pPr>
              <w:widowControl/>
              <w:spacing w:before="0" w:beforeAutospacing="0" w:after="0" w:afterAutospacing="0" w:line="360" w:lineRule="auto"/>
              <w:ind w:left="0" w:right="0"/>
              <w:jc w:val="left"/>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sz w:val="24"/>
                <w:highlight w:val="none"/>
              </w:rPr>
              <w:t>证</w:t>
            </w:r>
            <w:r>
              <w:rPr>
                <w:rFonts w:hint="eastAsia" w:ascii="仿宋" w:hAnsi="仿宋" w:eastAsia="仿宋" w:cs="仿宋"/>
                <w:b/>
                <w:sz w:val="24"/>
                <w:highlight w:val="none"/>
              </w:rPr>
              <w:t>明材料：提供近三个月内任意一个月单位</w:t>
            </w:r>
            <w:r>
              <w:rPr>
                <w:rFonts w:hint="eastAsia" w:ascii="仿宋" w:hAnsi="仿宋" w:eastAsia="仿宋" w:cs="仿宋"/>
                <w:b/>
                <w:sz w:val="24"/>
                <w:highlight w:val="none"/>
              </w:rPr>
              <w:t>缴纳社保证明材料或劳动合同，相关证书扫描件，否则不得分。</w:t>
            </w:r>
            <w:r>
              <w:rPr>
                <w:rFonts w:hint="eastAsia" w:ascii="仿宋" w:hAnsi="仿宋" w:eastAsia="仿宋" w:cs="仿宋"/>
                <w:bCs/>
                <w:sz w:val="24"/>
                <w:highlight w:val="none"/>
              </w:rPr>
              <w:t xml:space="preserve"> </w:t>
            </w:r>
          </w:p>
        </w:tc>
        <w:tc>
          <w:tcPr>
            <w:tcW w:w="787"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right="0"/>
              <w:jc w:val="center"/>
              <w:rPr>
                <w:rFonts w:hint="default"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10</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b w:val="0"/>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7"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报价得分</w:t>
            </w:r>
          </w:p>
        </w:tc>
        <w:tc>
          <w:tcPr>
            <w:tcW w:w="5516" w:type="dxa"/>
            <w:tcBorders>
              <w:top w:val="single" w:color="000000" w:sz="4" w:space="0"/>
              <w:left w:val="single" w:color="000000" w:sz="4" w:space="0"/>
              <w:bottom w:val="single" w:color="000000" w:sz="4" w:space="0"/>
              <w:right w:val="single" w:color="000000" w:sz="4" w:space="0"/>
            </w:tcBorders>
            <w:noWrap w:val="0"/>
            <w:vAlign w:val="center"/>
          </w:tcPr>
          <w:p>
            <w:pPr>
              <w:pStyle w:val="615"/>
              <w:spacing w:before="0" w:beforeAutospacing="0" w:after="0" w:afterAutospacing="0" w:line="380" w:lineRule="exact"/>
              <w:ind w:left="0" w:right="0"/>
              <w:jc w:val="both"/>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价格分采用低价优先法计算，即满足招标文件要求且投标价格最低的投标报价为评标基准价，其价格分为满分。其他投标人的价格分统一按下列公式计算：</w:t>
            </w:r>
          </w:p>
          <w:p>
            <w:pPr>
              <w:pStyle w:val="615"/>
              <w:spacing w:before="0" w:beforeAutospacing="0" w:after="0" w:afterAutospacing="0" w:line="380" w:lineRule="exact"/>
              <w:ind w:left="0" w:right="0"/>
              <w:jc w:val="both"/>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投标报价得分=（评标基准价/投标报价）×(</w:t>
            </w:r>
            <w:r>
              <w:rPr>
                <w:rFonts w:hint="eastAsia" w:ascii="仿宋" w:hAnsi="仿宋" w:eastAsia="仿宋" w:cs="仿宋"/>
                <w:b w:val="0"/>
                <w:bCs/>
                <w:color w:val="auto"/>
                <w:sz w:val="24"/>
                <w:szCs w:val="24"/>
                <w:highlight w:val="none"/>
                <w:lang w:val="en-US" w:eastAsia="zh-CN"/>
              </w:rPr>
              <w:t>10</w:t>
            </w:r>
            <w:r>
              <w:rPr>
                <w:rFonts w:hint="eastAsia" w:ascii="仿宋" w:hAnsi="仿宋" w:eastAsia="仿宋" w:cs="仿宋"/>
                <w:b w:val="0"/>
                <w:bCs/>
                <w:color w:val="auto"/>
                <w:sz w:val="24"/>
                <w:szCs w:val="24"/>
                <w:highlight w:val="none"/>
              </w:rPr>
              <w:t>)分</w:t>
            </w:r>
          </w:p>
          <w:p>
            <w:pPr>
              <w:spacing w:before="0" w:beforeAutospacing="0" w:after="0" w:afterAutospacing="0" w:line="400" w:lineRule="atLeast"/>
              <w:ind w:left="0" w:right="0"/>
              <w:jc w:val="both"/>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注：对小型和微型企业产品的价格给予</w:t>
            </w:r>
            <w:r>
              <w:rPr>
                <w:rFonts w:hint="eastAsia" w:ascii="仿宋" w:hAnsi="仿宋" w:eastAsia="仿宋" w:cs="仿宋"/>
                <w:b w:val="0"/>
                <w:bCs/>
                <w:color w:val="auto"/>
                <w:sz w:val="24"/>
                <w:szCs w:val="24"/>
                <w:highlight w:val="none"/>
                <w:lang w:val="en-US" w:eastAsia="zh-CN"/>
              </w:rPr>
              <w:t>10</w:t>
            </w:r>
            <w:r>
              <w:rPr>
                <w:rFonts w:hint="eastAsia" w:ascii="仿宋" w:hAnsi="仿宋" w:eastAsia="仿宋" w:cs="仿宋"/>
                <w:b w:val="0"/>
                <w:bCs/>
                <w:color w:val="auto"/>
                <w:sz w:val="24"/>
                <w:szCs w:val="24"/>
                <w:highlight w:val="none"/>
              </w:rPr>
              <w:t>%的扣除，用扣除后的价格参与评审。</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10</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b w:val="0"/>
                <w:bCs/>
                <w:color w:val="auto"/>
                <w:sz w:val="24"/>
                <w:szCs w:val="24"/>
                <w:highlight w:val="none"/>
              </w:rPr>
            </w:pPr>
          </w:p>
        </w:tc>
      </w:tr>
      <w:bookmarkEnd w:id="392"/>
      <w:bookmarkEnd w:id="393"/>
      <w:bookmarkEnd w:id="394"/>
    </w:tbl>
    <w:p>
      <w:pPr>
        <w:rPr>
          <w:rFonts w:hint="eastAsia" w:ascii="仿宋" w:hAnsi="仿宋" w:eastAsia="仿宋" w:cs="仿宋"/>
          <w:color w:val="auto"/>
          <w:sz w:val="24"/>
          <w:szCs w:val="24"/>
          <w:highlight w:val="none"/>
        </w:rPr>
      </w:pPr>
    </w:p>
    <w:p>
      <w:pPr>
        <w:pStyle w:val="2"/>
        <w:rPr>
          <w:rFonts w:hint="eastAsia" w:ascii="仿宋" w:hAnsi="仿宋" w:eastAsia="仿宋" w:cs="仿宋"/>
          <w:color w:val="auto"/>
          <w:sz w:val="24"/>
          <w:szCs w:val="24"/>
          <w:highlight w:val="none"/>
        </w:rPr>
      </w:pPr>
    </w:p>
    <w:p>
      <w:pPr>
        <w:pStyle w:val="3"/>
        <w:rPr>
          <w:rFonts w:hint="eastAsia" w:ascii="仿宋" w:hAnsi="仿宋" w:eastAsia="仿宋" w:cs="仿宋"/>
          <w:color w:val="auto"/>
          <w:sz w:val="24"/>
          <w:szCs w:val="24"/>
          <w:highlight w:val="none"/>
        </w:rPr>
      </w:pPr>
    </w:p>
    <w:p>
      <w:pPr>
        <w:rPr>
          <w:rFonts w:hint="eastAsia" w:ascii="仿宋" w:hAnsi="仿宋" w:eastAsia="仿宋" w:cs="仿宋"/>
          <w:color w:val="auto"/>
          <w:sz w:val="36"/>
          <w:szCs w:val="36"/>
          <w:highlight w:val="none"/>
          <w:lang w:val="en-US" w:eastAsia="zh-CN"/>
        </w:rPr>
      </w:pPr>
      <w:r>
        <w:rPr>
          <w:rFonts w:hint="eastAsia" w:ascii="仿宋" w:hAnsi="仿宋" w:eastAsia="仿宋" w:cs="仿宋"/>
          <w:color w:val="auto"/>
          <w:sz w:val="36"/>
          <w:szCs w:val="36"/>
          <w:highlight w:val="none"/>
          <w:lang w:val="en-US" w:eastAsia="zh-CN"/>
        </w:rPr>
        <w:br w:type="page"/>
      </w:r>
    </w:p>
    <w:p>
      <w:pPr>
        <w:pStyle w:val="3"/>
        <w:ind w:left="0" w:leftChars="0" w:firstLine="0" w:firstLineChars="0"/>
        <w:rPr>
          <w:rFonts w:hint="eastAsia" w:ascii="仿宋" w:hAnsi="仿宋" w:eastAsia="仿宋" w:cs="仿宋"/>
          <w:color w:val="auto"/>
          <w:sz w:val="36"/>
          <w:szCs w:val="36"/>
          <w:highlight w:val="none"/>
          <w:lang w:val="en-US" w:eastAsia="zh-CN"/>
        </w:rPr>
      </w:pPr>
      <w:r>
        <w:rPr>
          <w:rFonts w:hint="eastAsia" w:ascii="仿宋" w:hAnsi="仿宋" w:eastAsia="仿宋" w:cs="仿宋"/>
          <w:color w:val="auto"/>
          <w:sz w:val="36"/>
          <w:szCs w:val="36"/>
          <w:highlight w:val="none"/>
          <w:lang w:val="en-US" w:eastAsia="zh-CN"/>
        </w:rPr>
        <w:t>标项二：</w:t>
      </w:r>
    </w:p>
    <w:tbl>
      <w:tblPr>
        <w:tblStyle w:val="62"/>
        <w:tblW w:w="953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87"/>
        <w:gridCol w:w="5516"/>
        <w:gridCol w:w="787"/>
        <w:gridCol w:w="16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7"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评分细则</w:t>
            </w:r>
          </w:p>
        </w:tc>
        <w:tc>
          <w:tcPr>
            <w:tcW w:w="5516"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评分细则内容</w:t>
            </w:r>
          </w:p>
        </w:tc>
        <w:tc>
          <w:tcPr>
            <w:tcW w:w="787" w:type="dxa"/>
            <w:tcBorders>
              <w:top w:val="single" w:color="000000" w:sz="4" w:space="0"/>
              <w:left w:val="single" w:color="000000" w:sz="4" w:space="0"/>
              <w:bottom w:val="single" w:color="000000" w:sz="4" w:space="0"/>
              <w:right w:val="single" w:color="000000" w:sz="4" w:space="0"/>
            </w:tcBorders>
            <w:noWrap w:val="0"/>
            <w:vAlign w:val="top"/>
          </w:tcPr>
          <w:p>
            <w:pPr>
              <w:spacing w:before="0" w:beforeAutospacing="0" w:after="0" w:afterAutospacing="0" w:line="400" w:lineRule="atLeast"/>
              <w:ind w:left="0" w:right="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分值(分)</w:t>
            </w:r>
          </w:p>
        </w:tc>
        <w:tc>
          <w:tcPr>
            <w:tcW w:w="1647" w:type="dxa"/>
            <w:tcBorders>
              <w:top w:val="single" w:color="000000" w:sz="4" w:space="0"/>
              <w:left w:val="single" w:color="000000" w:sz="4" w:space="0"/>
              <w:bottom w:val="single" w:color="000000" w:sz="4" w:space="0"/>
              <w:right w:val="single" w:color="000000" w:sz="4" w:space="0"/>
            </w:tcBorders>
            <w:noWrap w:val="0"/>
            <w:vAlign w:val="top"/>
          </w:tcPr>
          <w:p>
            <w:pPr>
              <w:spacing w:before="0" w:beforeAutospacing="0" w:after="0" w:afterAutospacing="0" w:line="400" w:lineRule="atLeast"/>
              <w:ind w:left="0" w:right="0"/>
              <w:rPr>
                <w:rFonts w:hint="eastAsia" w:ascii="仿宋" w:hAnsi="仿宋" w:eastAsia="仿宋" w:cs="仿宋"/>
                <w:b w:val="0"/>
                <w:bCs/>
                <w:color w:val="auto"/>
                <w:sz w:val="24"/>
                <w:szCs w:val="24"/>
                <w:highlight w:val="none"/>
              </w:rPr>
            </w:pPr>
            <w:r>
              <w:rPr>
                <w:rFonts w:hint="eastAsia" w:ascii="仿宋" w:hAnsi="仿宋" w:eastAsia="仿宋" w:cs="仿宋"/>
                <w:b w:val="0"/>
                <w:bCs/>
                <w:color w:val="auto"/>
                <w:kern w:val="0"/>
                <w:sz w:val="24"/>
                <w:szCs w:val="24"/>
                <w:highlight w:val="none"/>
              </w:rPr>
              <w:t>投标文件中评标标准相应的商务技术资料目录*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85" w:hRule="atLeast"/>
        </w:trPr>
        <w:tc>
          <w:tcPr>
            <w:tcW w:w="1587" w:type="dxa"/>
            <w:vMerge w:val="restart"/>
            <w:tcBorders>
              <w:top w:val="single" w:color="000000" w:sz="4" w:space="0"/>
              <w:left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供应商资质</w:t>
            </w:r>
          </w:p>
        </w:tc>
        <w:tc>
          <w:tcPr>
            <w:tcW w:w="5516" w:type="dxa"/>
            <w:tcBorders>
              <w:top w:val="single" w:color="000000" w:sz="4" w:space="0"/>
              <w:left w:val="single" w:color="000000" w:sz="4" w:space="0"/>
              <w:right w:val="single" w:color="000000" w:sz="4" w:space="0"/>
            </w:tcBorders>
            <w:noWrap w:val="0"/>
            <w:vAlign w:val="center"/>
          </w:tcPr>
          <w:p>
            <w:pPr>
              <w:widowControl/>
              <w:numPr>
                <w:ilvl w:val="0"/>
                <w:numId w:val="4"/>
              </w:numPr>
              <w:spacing w:before="0" w:beforeAutospacing="0" w:after="0" w:afterAutospacing="0" w:line="360" w:lineRule="auto"/>
              <w:ind w:left="0" w:right="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供应商具有城乡规划乙级及以上资质的得2分；</w:t>
            </w:r>
          </w:p>
          <w:p>
            <w:pPr>
              <w:widowControl/>
              <w:numPr>
                <w:ilvl w:val="0"/>
                <w:numId w:val="0"/>
              </w:numPr>
              <w:spacing w:before="0" w:beforeAutospacing="0" w:after="0" w:afterAutospacing="0" w:line="360" w:lineRule="auto"/>
              <w:ind w:left="0" w:right="0" w:rightChars="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（2）供应商具有土地规划甲级资质的得3分，具有土地规划乙级资质的得1分。</w:t>
            </w:r>
          </w:p>
          <w:p>
            <w:pPr>
              <w:widowControl/>
              <w:spacing w:before="0" w:beforeAutospacing="0" w:after="0" w:afterAutospacing="0" w:line="360" w:lineRule="auto"/>
              <w:ind w:left="0" w:right="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bCs w:val="0"/>
                <w:color w:val="auto"/>
                <w:kern w:val="2"/>
                <w:sz w:val="24"/>
                <w:szCs w:val="24"/>
                <w:highlight w:val="none"/>
                <w:lang w:val="en-US" w:eastAsia="zh-CN" w:bidi="ar-SA"/>
              </w:rPr>
              <w:t>注：需提供资质证书复印件并加盖公章，不提供不得分。</w:t>
            </w:r>
          </w:p>
        </w:tc>
        <w:tc>
          <w:tcPr>
            <w:tcW w:w="787"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right="0"/>
              <w:jc w:val="center"/>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5</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b w:val="0"/>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1587" w:type="dxa"/>
            <w:tcBorders>
              <w:top w:val="single" w:color="000000" w:sz="4" w:space="0"/>
              <w:left w:val="single" w:color="000000" w:sz="4" w:space="0"/>
              <w:right w:val="single" w:color="000000" w:sz="4" w:space="0"/>
            </w:tcBorders>
            <w:noWrap w:val="0"/>
            <w:vAlign w:val="center"/>
          </w:tcPr>
          <w:p>
            <w:pPr>
              <w:pStyle w:val="59"/>
              <w:spacing w:before="0" w:beforeAutospacing="0" w:after="0" w:afterAutospacing="0"/>
              <w:ind w:left="0" w:right="0"/>
              <w:jc w:val="center"/>
              <w:rPr>
                <w:rFonts w:hint="default"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类似业绩</w:t>
            </w:r>
          </w:p>
        </w:tc>
        <w:tc>
          <w:tcPr>
            <w:tcW w:w="5516" w:type="dxa"/>
            <w:tcBorders>
              <w:top w:val="single" w:color="000000" w:sz="4" w:space="0"/>
              <w:left w:val="single" w:color="000000" w:sz="4" w:space="0"/>
              <w:right w:val="single" w:color="000000" w:sz="4" w:space="0"/>
            </w:tcBorders>
            <w:noWrap w:val="0"/>
            <w:vAlign w:val="center"/>
          </w:tcPr>
          <w:p>
            <w:pPr>
              <w:widowControl/>
              <w:numPr>
                <w:ilvl w:val="0"/>
                <w:numId w:val="0"/>
              </w:numPr>
              <w:spacing w:before="0" w:beforeAutospacing="0" w:after="0" w:afterAutospacing="0" w:line="360" w:lineRule="auto"/>
              <w:ind w:left="0" w:right="0" w:rightChars="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供应商自2019年1月1日（</w:t>
            </w:r>
            <w:r>
              <w:rPr>
                <w:rFonts w:hint="eastAsia" w:ascii="仿宋" w:hAnsi="仿宋" w:eastAsia="仿宋" w:cs="仿宋"/>
                <w:b w:val="0"/>
                <w:bCs/>
                <w:color w:val="auto"/>
                <w:kern w:val="2"/>
                <w:sz w:val="24"/>
                <w:szCs w:val="24"/>
                <w:highlight w:val="none"/>
                <w:lang w:val="zh-CN" w:eastAsia="zh-CN" w:bidi="ar-SA"/>
              </w:rPr>
              <w:t>以合同签订时间为准</w:t>
            </w:r>
            <w:r>
              <w:rPr>
                <w:rFonts w:hint="eastAsia" w:ascii="仿宋" w:hAnsi="仿宋" w:eastAsia="仿宋" w:cs="仿宋"/>
                <w:b w:val="0"/>
                <w:bCs/>
                <w:color w:val="auto"/>
                <w:kern w:val="2"/>
                <w:sz w:val="24"/>
                <w:szCs w:val="24"/>
                <w:highlight w:val="none"/>
                <w:lang w:val="en-US" w:eastAsia="zh-CN" w:bidi="ar-SA"/>
              </w:rPr>
              <w:t>）至投标截止时间止独立承担过类似项目的，每个得0.5分，最高得1分。</w:t>
            </w:r>
          </w:p>
          <w:p>
            <w:pPr>
              <w:widowControl/>
              <w:numPr>
                <w:ilvl w:val="0"/>
                <w:numId w:val="0"/>
              </w:numPr>
              <w:spacing w:before="0" w:beforeAutospacing="0" w:after="0" w:afterAutospacing="0" w:line="360" w:lineRule="auto"/>
              <w:ind w:left="0" w:right="0" w:rightChars="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bCs w:val="0"/>
                <w:color w:val="auto"/>
                <w:kern w:val="2"/>
                <w:sz w:val="24"/>
                <w:szCs w:val="24"/>
                <w:highlight w:val="none"/>
                <w:lang w:val="en-US" w:eastAsia="zh-CN" w:bidi="ar-SA"/>
              </w:rPr>
              <w:t>注：需提供项目合同复印件并加盖公章，不提供不得分。</w:t>
            </w:r>
          </w:p>
        </w:tc>
        <w:tc>
          <w:tcPr>
            <w:tcW w:w="787"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right="0"/>
              <w:jc w:val="center"/>
              <w:rPr>
                <w:rFonts w:hint="default"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1</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b w:val="0"/>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1587" w:type="dxa"/>
            <w:tcBorders>
              <w:top w:val="single" w:color="000000" w:sz="4" w:space="0"/>
              <w:left w:val="single" w:color="000000" w:sz="4" w:space="0"/>
              <w:right w:val="single" w:color="000000" w:sz="4" w:space="0"/>
            </w:tcBorders>
            <w:noWrap w:val="0"/>
            <w:vAlign w:val="center"/>
          </w:tcPr>
          <w:p>
            <w:pPr>
              <w:pStyle w:val="59"/>
              <w:spacing w:before="0" w:beforeAutospacing="0" w:after="0" w:afterAutospacing="0"/>
              <w:ind w:left="0" w:right="0"/>
              <w:jc w:val="center"/>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体系认证</w:t>
            </w:r>
          </w:p>
        </w:tc>
        <w:tc>
          <w:tcPr>
            <w:tcW w:w="5516"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right="0"/>
              <w:rPr>
                <w:rFonts w:hint="default"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供应商具有有效期内质量管理体系认证证书的、环境管理体系认证证书的、知识产权管理体系认证证书、职业健康安全管理体系认证证书、信息技术服务管理体系认证证书、信息安全管理体系认证证书的，每提供一项得2分，最高得12分</w:t>
            </w:r>
          </w:p>
          <w:p>
            <w:pPr>
              <w:widowControl/>
              <w:spacing w:before="0" w:beforeAutospacing="0" w:after="0" w:afterAutospacing="0" w:line="360" w:lineRule="auto"/>
              <w:ind w:left="0" w:right="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bCs w:val="0"/>
                <w:color w:val="auto"/>
                <w:kern w:val="2"/>
                <w:sz w:val="24"/>
                <w:szCs w:val="24"/>
                <w:highlight w:val="none"/>
                <w:lang w:val="en-US" w:eastAsia="zh-CN" w:bidi="ar-SA"/>
              </w:rPr>
              <w:t>注：提供有效期内的证书复印件并加盖公章，不提供不得分。</w:t>
            </w:r>
          </w:p>
        </w:tc>
        <w:tc>
          <w:tcPr>
            <w:tcW w:w="787"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right="0"/>
              <w:jc w:val="center"/>
              <w:rPr>
                <w:rFonts w:hint="default"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12</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b w:val="0"/>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69" w:hRule="atLeast"/>
        </w:trPr>
        <w:tc>
          <w:tcPr>
            <w:tcW w:w="1587" w:type="dxa"/>
            <w:tcBorders>
              <w:top w:val="single" w:color="000000" w:sz="4" w:space="0"/>
              <w:left w:val="single" w:color="000000" w:sz="4" w:space="0"/>
              <w:right w:val="single" w:color="000000" w:sz="4" w:space="0"/>
            </w:tcBorders>
            <w:noWrap w:val="0"/>
            <w:vAlign w:val="center"/>
          </w:tcPr>
          <w:p>
            <w:pPr>
              <w:pStyle w:val="59"/>
              <w:spacing w:before="0" w:beforeAutospacing="0" w:after="0" w:afterAutospacing="0"/>
              <w:ind w:left="0" w:right="0"/>
              <w:jc w:val="center"/>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软件著作权</w:t>
            </w:r>
          </w:p>
        </w:tc>
        <w:tc>
          <w:tcPr>
            <w:tcW w:w="5516"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right="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供应商具有自然资源和规划一体化信息管理平台、规划报建审批系统、规划方案审查系统、自然资源空间规划管理系统等软件著作权的，每个得1分。最高得4分。</w:t>
            </w:r>
          </w:p>
        </w:tc>
        <w:tc>
          <w:tcPr>
            <w:tcW w:w="787"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right="0"/>
              <w:jc w:val="center"/>
              <w:rPr>
                <w:rFonts w:hint="default"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4</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b w:val="0"/>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86" w:hRule="atLeast"/>
        </w:trPr>
        <w:tc>
          <w:tcPr>
            <w:tcW w:w="1587" w:type="dxa"/>
            <w:tcBorders>
              <w:top w:val="single" w:color="000000" w:sz="4" w:space="0"/>
              <w:left w:val="single" w:color="000000" w:sz="4" w:space="0"/>
              <w:right w:val="single" w:color="000000" w:sz="4" w:space="0"/>
            </w:tcBorders>
            <w:noWrap w:val="0"/>
            <w:vAlign w:val="center"/>
          </w:tcPr>
          <w:p>
            <w:pPr>
              <w:pStyle w:val="59"/>
              <w:spacing w:before="0" w:beforeAutospacing="0" w:after="0" w:afterAutospacing="0"/>
              <w:ind w:left="0" w:right="0"/>
              <w:jc w:val="center"/>
              <w:rPr>
                <w:rFonts w:hint="default"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项目认知</w:t>
            </w:r>
          </w:p>
        </w:tc>
        <w:tc>
          <w:tcPr>
            <w:tcW w:w="5516"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right="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1）根据供应商对本项目的整体概况详细阐述项目的思路和重点方向进行打分，内容优秀，科学合理、可实施性强的得5分，在此基础上内容的科学性、合理性、针对性一般的得3分，内容基本提及的得1分，不提供不得分。</w:t>
            </w:r>
            <w:r>
              <w:rPr>
                <w:rFonts w:hint="eastAsia" w:ascii="仿宋" w:hAnsi="仿宋" w:eastAsia="仿宋" w:cs="仿宋"/>
                <w:b w:val="0"/>
                <w:bCs/>
                <w:color w:val="auto"/>
                <w:kern w:val="2"/>
                <w:sz w:val="24"/>
                <w:szCs w:val="24"/>
                <w:highlight w:val="none"/>
                <w:lang w:val="en-US" w:eastAsia="zh-CN" w:bidi="ar-SA"/>
              </w:rPr>
              <w:br w:type="textWrapping"/>
            </w:r>
            <w:r>
              <w:rPr>
                <w:rFonts w:hint="eastAsia" w:ascii="仿宋" w:hAnsi="仿宋" w:eastAsia="仿宋" w:cs="仿宋"/>
                <w:b w:val="0"/>
                <w:bCs/>
                <w:color w:val="auto"/>
                <w:kern w:val="2"/>
                <w:sz w:val="24"/>
                <w:szCs w:val="24"/>
                <w:highlight w:val="none"/>
                <w:lang w:val="en-US" w:eastAsia="zh-CN" w:bidi="ar-SA"/>
              </w:rPr>
              <w:t>（2）根据供应商对本项目的项目背景详细阐述项目的思路和重点方向进行打分，内容优秀，科学合理、可实施性强的得5分，在此基础上内容的科学性、合理性、针对性一般的得3分，内容基本提及的得1分，不提供不得分。</w:t>
            </w:r>
            <w:r>
              <w:rPr>
                <w:rFonts w:hint="eastAsia" w:ascii="仿宋" w:hAnsi="仿宋" w:eastAsia="仿宋" w:cs="仿宋"/>
                <w:b w:val="0"/>
                <w:bCs/>
                <w:color w:val="auto"/>
                <w:kern w:val="2"/>
                <w:sz w:val="24"/>
                <w:szCs w:val="24"/>
                <w:highlight w:val="none"/>
                <w:lang w:val="en-US" w:eastAsia="zh-CN" w:bidi="ar-SA"/>
              </w:rPr>
              <w:br w:type="textWrapping"/>
            </w:r>
            <w:r>
              <w:rPr>
                <w:rFonts w:hint="eastAsia" w:ascii="仿宋" w:hAnsi="仿宋" w:eastAsia="仿宋" w:cs="仿宋"/>
                <w:b w:val="0"/>
                <w:bCs/>
                <w:color w:val="auto"/>
                <w:kern w:val="2"/>
                <w:sz w:val="24"/>
                <w:szCs w:val="24"/>
                <w:highlight w:val="none"/>
                <w:lang w:val="en-US" w:eastAsia="zh-CN" w:bidi="ar-SA"/>
              </w:rPr>
              <w:t>（3）根据供应商对本项目的工作内容、工作内容、工作任务的理解和认识程度详细阐述项目的思路和重点方向进行打分，内容优秀，科学合理、可实施性强的得5分，在此基础上内容的科学性、合理性、针对性一般的得3分，内容基本提及的得1分，不提供不得分。</w:t>
            </w:r>
          </w:p>
        </w:tc>
        <w:tc>
          <w:tcPr>
            <w:tcW w:w="787"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right="0"/>
              <w:jc w:val="center"/>
              <w:rPr>
                <w:rFonts w:hint="default"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15</w:t>
            </w:r>
          </w:p>
        </w:tc>
        <w:tc>
          <w:tcPr>
            <w:tcW w:w="1647" w:type="dxa"/>
            <w:tcBorders>
              <w:top w:val="single" w:color="000000" w:sz="4" w:space="0"/>
              <w:left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b w:val="0"/>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1587" w:type="dxa"/>
            <w:tcBorders>
              <w:top w:val="single" w:color="000000" w:sz="4" w:space="0"/>
              <w:left w:val="single" w:color="000000" w:sz="4" w:space="0"/>
              <w:right w:val="single" w:color="000000" w:sz="4" w:space="0"/>
            </w:tcBorders>
            <w:noWrap w:val="0"/>
            <w:vAlign w:val="center"/>
          </w:tcPr>
          <w:p>
            <w:pPr>
              <w:pStyle w:val="59"/>
              <w:spacing w:before="0" w:beforeAutospacing="0" w:after="0" w:afterAutospacing="0"/>
              <w:ind w:left="0" w:right="0"/>
              <w:jc w:val="center"/>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项目总体思路、技术操作</w:t>
            </w:r>
          </w:p>
        </w:tc>
        <w:tc>
          <w:tcPr>
            <w:tcW w:w="5516"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right="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根据供应商对项目总体思路的科学性、合理性、针对性和可行性等进行评分。（0-4）</w:t>
            </w:r>
          </w:p>
          <w:p>
            <w:pPr>
              <w:widowControl/>
              <w:spacing w:before="0" w:beforeAutospacing="0" w:after="0" w:afterAutospacing="0" w:line="360" w:lineRule="auto"/>
              <w:ind w:left="0" w:right="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根据供应商对项目技术路线科学性、合理性、针对性和可行性等进行评分。（0-4）</w:t>
            </w:r>
          </w:p>
          <w:p>
            <w:pPr>
              <w:widowControl/>
              <w:spacing w:before="0" w:beforeAutospacing="0" w:after="0" w:afterAutospacing="0" w:line="360" w:lineRule="auto"/>
              <w:ind w:left="0" w:right="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根据供应商对项目具体技术操作步骤科学性、合理性、针对性和可行性等进行评分。（0-4）</w:t>
            </w:r>
          </w:p>
        </w:tc>
        <w:tc>
          <w:tcPr>
            <w:tcW w:w="787"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right="0"/>
              <w:jc w:val="center"/>
              <w:rPr>
                <w:rFonts w:hint="default"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12</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b w:val="0"/>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1587" w:type="dxa"/>
            <w:tcBorders>
              <w:top w:val="single" w:color="000000" w:sz="4" w:space="0"/>
              <w:left w:val="single" w:color="000000" w:sz="4" w:space="0"/>
              <w:right w:val="single" w:color="000000" w:sz="4" w:space="0"/>
            </w:tcBorders>
            <w:noWrap w:val="0"/>
            <w:vAlign w:val="center"/>
          </w:tcPr>
          <w:p>
            <w:pPr>
              <w:pStyle w:val="59"/>
              <w:spacing w:before="0" w:beforeAutospacing="0" w:after="0" w:afterAutospacing="0"/>
              <w:ind w:left="0" w:right="0"/>
              <w:jc w:val="center"/>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项目的重点、难点分析</w:t>
            </w:r>
          </w:p>
        </w:tc>
        <w:tc>
          <w:tcPr>
            <w:tcW w:w="5516"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right="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根据供应商针对本项目的重点、难点分析和提出的重点、难点的相应解决方案进行评分。（0-3）</w:t>
            </w:r>
          </w:p>
        </w:tc>
        <w:tc>
          <w:tcPr>
            <w:tcW w:w="787"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right="0"/>
              <w:jc w:val="center"/>
              <w:rPr>
                <w:rFonts w:hint="default"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3</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b w:val="0"/>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1587" w:type="dxa"/>
            <w:tcBorders>
              <w:top w:val="single" w:color="000000" w:sz="4" w:space="0"/>
              <w:left w:val="single" w:color="000000" w:sz="4" w:space="0"/>
              <w:right w:val="single" w:color="000000" w:sz="4" w:space="0"/>
            </w:tcBorders>
            <w:noWrap w:val="0"/>
            <w:vAlign w:val="center"/>
          </w:tcPr>
          <w:p>
            <w:pPr>
              <w:pStyle w:val="59"/>
              <w:spacing w:before="0" w:beforeAutospacing="0" w:after="0" w:afterAutospacing="0"/>
              <w:ind w:left="0" w:right="0"/>
              <w:jc w:val="center"/>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项目的任务划分和进度控制</w:t>
            </w:r>
          </w:p>
        </w:tc>
        <w:tc>
          <w:tcPr>
            <w:tcW w:w="5516"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right="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根据供应商对项目整体工作阶段及任务划分、进度控制是否合理、关键时间节点把握是否科学准确进行评分，内容优秀，科学合理、可实施性强的得4分，在此基础上内容的科学性、合理性、针对性一般的得2分，内容基本提及的得1分，不提供不得分。</w:t>
            </w:r>
          </w:p>
        </w:tc>
        <w:tc>
          <w:tcPr>
            <w:tcW w:w="787"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right="0"/>
              <w:jc w:val="center"/>
              <w:rPr>
                <w:rFonts w:hint="default"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4</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b w:val="0"/>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1587" w:type="dxa"/>
            <w:tcBorders>
              <w:top w:val="single" w:color="000000" w:sz="4" w:space="0"/>
              <w:left w:val="single" w:color="000000" w:sz="4" w:space="0"/>
              <w:right w:val="single" w:color="000000" w:sz="4" w:space="0"/>
            </w:tcBorders>
            <w:noWrap w:val="0"/>
            <w:vAlign w:val="center"/>
          </w:tcPr>
          <w:p>
            <w:pPr>
              <w:pStyle w:val="59"/>
              <w:spacing w:before="0" w:beforeAutospacing="0" w:after="0" w:afterAutospacing="0"/>
              <w:ind w:left="0" w:right="0"/>
              <w:jc w:val="center"/>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质量目标、质量保证措施、项目管理制度</w:t>
            </w:r>
          </w:p>
        </w:tc>
        <w:tc>
          <w:tcPr>
            <w:tcW w:w="5516"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right="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（1）根据供应商对项目质量目标进行打分，内容优秀，科学合理、可实施性强的得5分，在此基础上内容的科学性、合理性、针对性一般的得3分，内容基本提及的得1分，不提供不得分。</w:t>
            </w:r>
          </w:p>
          <w:p>
            <w:pPr>
              <w:widowControl/>
              <w:spacing w:before="0" w:beforeAutospacing="0" w:after="0" w:afterAutospacing="0" w:line="360" w:lineRule="auto"/>
              <w:ind w:left="0" w:right="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（2）根据供应商对项目质量保证措施进行打分，内容优秀，科学合理、可实施性强的得5分，在此基础上内容的科学性、合理性、针对性一般的得3分，内容基本提及的得1分，不提供不得分。</w:t>
            </w:r>
          </w:p>
          <w:p>
            <w:pPr>
              <w:widowControl/>
              <w:spacing w:before="0" w:beforeAutospacing="0" w:after="0" w:afterAutospacing="0" w:line="360" w:lineRule="auto"/>
              <w:ind w:left="0" w:right="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3）根据供应商对项目项目管理制度（包括质量管理、成果维护、保密管理及档案管理等）进行评分进行打分，内容优秀，科学合理、可实施性强的得5分，在此基础上内容的科学性、合理性、针对性一般的得3分，内容基本提及的得1分，不提供不得分。</w:t>
            </w:r>
          </w:p>
        </w:tc>
        <w:tc>
          <w:tcPr>
            <w:tcW w:w="787"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right="0"/>
              <w:jc w:val="center"/>
              <w:rPr>
                <w:rFonts w:hint="default"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15</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b w:val="0"/>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1587" w:type="dxa"/>
            <w:tcBorders>
              <w:top w:val="single" w:color="000000" w:sz="4" w:space="0"/>
              <w:left w:val="single" w:color="000000" w:sz="4" w:space="0"/>
              <w:right w:val="single" w:color="000000" w:sz="4" w:space="0"/>
            </w:tcBorders>
            <w:noWrap w:val="0"/>
            <w:vAlign w:val="center"/>
          </w:tcPr>
          <w:p>
            <w:pPr>
              <w:pStyle w:val="59"/>
              <w:spacing w:before="0" w:beforeAutospacing="0" w:after="0" w:afterAutospacing="0"/>
              <w:ind w:left="0" w:right="0"/>
              <w:jc w:val="center"/>
              <w:rPr>
                <w:rFonts w:hint="default"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拟投入本项目项目负责人</w:t>
            </w:r>
          </w:p>
        </w:tc>
        <w:tc>
          <w:tcPr>
            <w:tcW w:w="5516"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right="0"/>
              <w:jc w:val="left"/>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(1)项目负责人具有土地类或城乡规划类正高级职称且取得证书年满7年及以上的得5分，具有副高级职称且取得证书年满7年及以上的得3分，同时具备注册城市规划师资格或博士学位证书的加2分（提供职称证书或注册资格证或学位证书）。</w:t>
            </w:r>
          </w:p>
          <w:p>
            <w:pPr>
              <w:widowControl/>
              <w:spacing w:before="0" w:beforeAutospacing="0" w:after="0" w:afterAutospacing="0" w:line="360" w:lineRule="auto"/>
              <w:ind w:left="0" w:right="0"/>
              <w:jc w:val="left"/>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(2)项目负责人获得过自然（国土）资源省部级奖项的得2分（提供获奖证书）。</w:t>
            </w:r>
          </w:p>
          <w:p>
            <w:pPr>
              <w:widowControl/>
              <w:spacing w:before="0" w:beforeAutospacing="0" w:after="0" w:afterAutospacing="0" w:line="360" w:lineRule="auto"/>
              <w:ind w:left="0" w:right="0"/>
              <w:jc w:val="left"/>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(3)项目负责人承担过浙江省国土资源（自然资源）厅（含下属事业单位）规划类课题研究的，每项得2分，最高得4分(提供业主单位盖章的业绩证明)；</w:t>
            </w:r>
          </w:p>
          <w:p>
            <w:pPr>
              <w:widowControl/>
              <w:spacing w:before="0" w:beforeAutospacing="0" w:after="0" w:afterAutospacing="0" w:line="360" w:lineRule="auto"/>
              <w:ind w:left="0" w:right="0"/>
              <w:jc w:val="left"/>
              <w:rPr>
                <w:rFonts w:hint="eastAsia" w:ascii="仿宋" w:hAnsi="仿宋" w:eastAsia="仿宋" w:cs="仿宋"/>
                <w:b/>
                <w:bCs w:val="0"/>
                <w:color w:val="auto"/>
                <w:kern w:val="2"/>
                <w:sz w:val="24"/>
                <w:szCs w:val="24"/>
                <w:highlight w:val="none"/>
                <w:lang w:val="en-US" w:eastAsia="zh-CN" w:bidi="ar-SA"/>
              </w:rPr>
            </w:pPr>
            <w:r>
              <w:rPr>
                <w:rFonts w:hint="eastAsia" w:ascii="仿宋" w:hAnsi="仿宋" w:eastAsia="仿宋" w:cs="仿宋"/>
                <w:b/>
                <w:bCs w:val="0"/>
                <w:color w:val="auto"/>
                <w:kern w:val="2"/>
                <w:sz w:val="24"/>
                <w:szCs w:val="24"/>
                <w:highlight w:val="none"/>
                <w:lang w:val="en-US" w:eastAsia="zh-CN" w:bidi="ar-SA"/>
              </w:rPr>
              <w:t>注：1.提供证明材料复印件并加盖公章，否则不得分。</w:t>
            </w:r>
          </w:p>
          <w:p>
            <w:pPr>
              <w:widowControl/>
              <w:spacing w:before="0" w:beforeAutospacing="0" w:after="0" w:afterAutospacing="0" w:line="360" w:lineRule="auto"/>
              <w:ind w:left="0" w:right="0"/>
              <w:jc w:val="left"/>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bCs w:val="0"/>
                <w:color w:val="auto"/>
                <w:kern w:val="2"/>
                <w:sz w:val="24"/>
                <w:szCs w:val="24"/>
                <w:highlight w:val="none"/>
                <w:lang w:val="en-US" w:eastAsia="zh-CN" w:bidi="ar-SA"/>
              </w:rPr>
              <w:t>2.项目负责人必须是投标人在职正式职工或法定代表人，须提供项目负责人在本企业社保缴纳证明或法定代表人证明。</w:t>
            </w:r>
          </w:p>
        </w:tc>
        <w:tc>
          <w:tcPr>
            <w:tcW w:w="787"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right="0"/>
              <w:jc w:val="center"/>
              <w:rPr>
                <w:rFonts w:hint="default"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13</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b w:val="0"/>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1587" w:type="dxa"/>
            <w:tcBorders>
              <w:top w:val="single" w:color="000000" w:sz="4" w:space="0"/>
              <w:left w:val="single" w:color="000000" w:sz="4" w:space="0"/>
              <w:right w:val="single" w:color="000000" w:sz="4" w:space="0"/>
            </w:tcBorders>
            <w:noWrap w:val="0"/>
            <w:vAlign w:val="center"/>
          </w:tcPr>
          <w:p>
            <w:pPr>
              <w:pStyle w:val="59"/>
              <w:spacing w:before="0" w:beforeAutospacing="0" w:after="0" w:afterAutospacing="0"/>
              <w:ind w:left="0" w:right="0"/>
              <w:jc w:val="center"/>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拟派项目团队其他人员（不含项目负责人）</w:t>
            </w:r>
          </w:p>
        </w:tc>
        <w:tc>
          <w:tcPr>
            <w:tcW w:w="5516"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right="0"/>
              <w:jc w:val="left"/>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项目团队其他人员具有城市规划、土地规划、土地管理、测绘（含测量）、土地整治与生态修复、土地工程中级及以上职称的每类每人得1分，最高得6分。</w:t>
            </w:r>
          </w:p>
          <w:p>
            <w:pPr>
              <w:widowControl/>
              <w:spacing w:before="0" w:beforeAutospacing="0" w:after="0" w:afterAutospacing="0" w:line="360" w:lineRule="auto"/>
              <w:ind w:left="0" w:right="0"/>
              <w:jc w:val="left"/>
              <w:rPr>
                <w:rFonts w:hint="eastAsia" w:ascii="仿宋" w:hAnsi="仿宋" w:eastAsia="仿宋" w:cs="仿宋"/>
                <w:b/>
                <w:bCs w:val="0"/>
                <w:color w:val="auto"/>
                <w:kern w:val="2"/>
                <w:sz w:val="24"/>
                <w:szCs w:val="24"/>
                <w:highlight w:val="none"/>
                <w:lang w:val="en-US" w:eastAsia="zh-CN" w:bidi="ar-SA"/>
              </w:rPr>
            </w:pPr>
            <w:r>
              <w:rPr>
                <w:rFonts w:hint="eastAsia" w:ascii="仿宋" w:hAnsi="仿宋" w:eastAsia="仿宋" w:cs="仿宋"/>
                <w:b/>
                <w:bCs w:val="0"/>
                <w:color w:val="auto"/>
                <w:kern w:val="2"/>
                <w:sz w:val="24"/>
                <w:szCs w:val="24"/>
                <w:highlight w:val="none"/>
                <w:lang w:val="en-US" w:eastAsia="zh-CN" w:bidi="ar-SA"/>
              </w:rPr>
              <w:t>注：1.同1人有多个证书的，按1个证书计算；</w:t>
            </w:r>
          </w:p>
          <w:p>
            <w:pPr>
              <w:widowControl/>
              <w:spacing w:before="0" w:beforeAutospacing="0" w:after="0" w:afterAutospacing="0" w:line="360" w:lineRule="auto"/>
              <w:ind w:left="0" w:right="0"/>
              <w:jc w:val="left"/>
              <w:rPr>
                <w:rFonts w:hint="eastAsia" w:ascii="仿宋" w:hAnsi="仿宋" w:eastAsia="仿宋" w:cs="仿宋"/>
                <w:b/>
                <w:bCs w:val="0"/>
                <w:color w:val="auto"/>
                <w:kern w:val="2"/>
                <w:sz w:val="24"/>
                <w:szCs w:val="24"/>
                <w:highlight w:val="none"/>
                <w:lang w:val="en-US" w:eastAsia="zh-CN" w:bidi="ar-SA"/>
              </w:rPr>
            </w:pPr>
            <w:r>
              <w:rPr>
                <w:rFonts w:hint="eastAsia" w:ascii="仿宋" w:hAnsi="仿宋" w:eastAsia="仿宋" w:cs="仿宋"/>
                <w:b/>
                <w:bCs w:val="0"/>
                <w:color w:val="auto"/>
                <w:kern w:val="2"/>
                <w:sz w:val="24"/>
                <w:szCs w:val="24"/>
                <w:highlight w:val="none"/>
                <w:lang w:val="en-US" w:eastAsia="zh-CN" w:bidi="ar-SA"/>
              </w:rPr>
              <w:t>2.提供相关证书复印件并加盖公章，不提供不得分；</w:t>
            </w:r>
          </w:p>
          <w:p>
            <w:pPr>
              <w:widowControl/>
              <w:spacing w:before="0" w:beforeAutospacing="0" w:after="0" w:afterAutospacing="0" w:line="360" w:lineRule="auto"/>
              <w:ind w:left="0" w:right="0"/>
              <w:jc w:val="left"/>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bCs w:val="0"/>
                <w:color w:val="auto"/>
                <w:kern w:val="2"/>
                <w:sz w:val="24"/>
                <w:szCs w:val="24"/>
                <w:highlight w:val="none"/>
                <w:lang w:val="en-US" w:eastAsia="zh-CN" w:bidi="ar-SA"/>
              </w:rPr>
              <w:t>3.项目组成员（不含项目负责人）必须是投标人在职正式职工或法定代表人，须提供项目负责人在本企业社保缴纳证明或法定代表人证明。</w:t>
            </w:r>
          </w:p>
        </w:tc>
        <w:tc>
          <w:tcPr>
            <w:tcW w:w="787"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right="0"/>
              <w:jc w:val="center"/>
              <w:rPr>
                <w:rFonts w:hint="default"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6</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b w:val="0"/>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7"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报价得分</w:t>
            </w:r>
          </w:p>
        </w:tc>
        <w:tc>
          <w:tcPr>
            <w:tcW w:w="5516" w:type="dxa"/>
            <w:tcBorders>
              <w:top w:val="single" w:color="000000" w:sz="4" w:space="0"/>
              <w:left w:val="single" w:color="000000" w:sz="4" w:space="0"/>
              <w:bottom w:val="single" w:color="000000" w:sz="4" w:space="0"/>
              <w:right w:val="single" w:color="000000" w:sz="4" w:space="0"/>
            </w:tcBorders>
            <w:noWrap w:val="0"/>
            <w:vAlign w:val="center"/>
          </w:tcPr>
          <w:p>
            <w:pPr>
              <w:pStyle w:val="615"/>
              <w:spacing w:before="0" w:beforeAutospacing="0" w:after="0" w:afterAutospacing="0" w:line="380" w:lineRule="exact"/>
              <w:ind w:left="0" w:right="0"/>
              <w:jc w:val="both"/>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价格分采用低价优先法计算，即满足招标文件要求且投标价格最低的投标报价为评标基准价，其价格分为满分。其他投标人的价格分统一按下列公式计算：</w:t>
            </w:r>
          </w:p>
          <w:p>
            <w:pPr>
              <w:pStyle w:val="615"/>
              <w:spacing w:before="0" w:beforeAutospacing="0" w:after="0" w:afterAutospacing="0" w:line="380" w:lineRule="exact"/>
              <w:ind w:left="0" w:right="0"/>
              <w:jc w:val="both"/>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投标报价得分=（评标基准价/投标报价）×(</w:t>
            </w:r>
            <w:r>
              <w:rPr>
                <w:rFonts w:hint="eastAsia" w:ascii="仿宋" w:hAnsi="仿宋" w:eastAsia="仿宋" w:cs="仿宋"/>
                <w:b w:val="0"/>
                <w:bCs/>
                <w:color w:val="auto"/>
                <w:sz w:val="24"/>
                <w:szCs w:val="24"/>
                <w:highlight w:val="none"/>
                <w:lang w:val="en-US" w:eastAsia="zh-CN"/>
              </w:rPr>
              <w:t>10</w:t>
            </w:r>
            <w:r>
              <w:rPr>
                <w:rFonts w:hint="eastAsia" w:ascii="仿宋" w:hAnsi="仿宋" w:eastAsia="仿宋" w:cs="仿宋"/>
                <w:b w:val="0"/>
                <w:bCs/>
                <w:color w:val="auto"/>
                <w:sz w:val="24"/>
                <w:szCs w:val="24"/>
                <w:highlight w:val="none"/>
              </w:rPr>
              <w:t>)分</w:t>
            </w:r>
          </w:p>
          <w:p>
            <w:pPr>
              <w:spacing w:before="0" w:beforeAutospacing="0" w:after="0" w:afterAutospacing="0" w:line="400" w:lineRule="atLeast"/>
              <w:ind w:left="0" w:right="0"/>
              <w:jc w:val="both"/>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注：对小型和微型企业产品的价格给予</w:t>
            </w:r>
            <w:r>
              <w:rPr>
                <w:rFonts w:hint="eastAsia" w:ascii="仿宋" w:hAnsi="仿宋" w:eastAsia="仿宋" w:cs="仿宋"/>
                <w:b w:val="0"/>
                <w:bCs/>
                <w:color w:val="auto"/>
                <w:sz w:val="24"/>
                <w:szCs w:val="24"/>
                <w:highlight w:val="none"/>
                <w:lang w:val="en-US" w:eastAsia="zh-CN"/>
              </w:rPr>
              <w:t>10</w:t>
            </w:r>
            <w:r>
              <w:rPr>
                <w:rFonts w:hint="eastAsia" w:ascii="仿宋" w:hAnsi="仿宋" w:eastAsia="仿宋" w:cs="仿宋"/>
                <w:b w:val="0"/>
                <w:bCs/>
                <w:color w:val="auto"/>
                <w:sz w:val="24"/>
                <w:szCs w:val="24"/>
                <w:highlight w:val="none"/>
              </w:rPr>
              <w:t>%的扣除，用扣除后的价格参与评审。</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10</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b w:val="0"/>
                <w:bCs/>
                <w:color w:val="auto"/>
                <w:sz w:val="24"/>
                <w:szCs w:val="24"/>
                <w:highlight w:val="none"/>
              </w:rPr>
            </w:pPr>
          </w:p>
        </w:tc>
      </w:tr>
    </w:tbl>
    <w:p>
      <w:pPr>
        <w:pStyle w:val="3"/>
        <w:ind w:left="0" w:leftChars="0" w:firstLine="0" w:firstLineChars="0"/>
        <w:rPr>
          <w:rFonts w:hint="default" w:ascii="仿宋" w:hAnsi="仿宋" w:eastAsia="仿宋" w:cs="仿宋"/>
          <w:color w:val="auto"/>
          <w:sz w:val="36"/>
          <w:szCs w:val="36"/>
          <w:highlight w:val="none"/>
          <w:lang w:val="en-US" w:eastAsia="zh-CN"/>
        </w:rPr>
      </w:pPr>
    </w:p>
    <w:p>
      <w:pPr>
        <w:pStyle w:val="3"/>
        <w:ind w:left="0" w:leftChars="0" w:firstLine="0" w:firstLineChars="0"/>
        <w:rPr>
          <w:rFonts w:hint="default" w:ascii="仿宋" w:hAnsi="仿宋" w:eastAsia="仿宋" w:cs="仿宋"/>
          <w:color w:val="auto"/>
          <w:sz w:val="36"/>
          <w:szCs w:val="36"/>
          <w:highlight w:val="none"/>
          <w:lang w:val="en-US" w:eastAsia="zh-CN"/>
        </w:rPr>
      </w:pPr>
    </w:p>
    <w:p>
      <w:pPr>
        <w:pStyle w:val="3"/>
        <w:ind w:left="0" w:leftChars="0" w:firstLine="0" w:firstLineChars="0"/>
        <w:rPr>
          <w:rFonts w:hint="default" w:ascii="仿宋" w:hAnsi="仿宋" w:eastAsia="仿宋" w:cs="仿宋"/>
          <w:color w:val="auto"/>
          <w:sz w:val="36"/>
          <w:szCs w:val="36"/>
          <w:highlight w:val="none"/>
          <w:lang w:val="en-US" w:eastAsia="zh-CN"/>
        </w:rPr>
      </w:pPr>
    </w:p>
    <w:p>
      <w:pPr>
        <w:pStyle w:val="3"/>
        <w:ind w:left="0" w:leftChars="0" w:firstLine="0" w:firstLineChars="0"/>
        <w:rPr>
          <w:rFonts w:hint="default" w:ascii="仿宋" w:hAnsi="仿宋" w:eastAsia="仿宋" w:cs="仿宋"/>
          <w:color w:val="auto"/>
          <w:sz w:val="36"/>
          <w:szCs w:val="36"/>
          <w:highlight w:val="none"/>
          <w:lang w:val="en-US" w:eastAsia="zh-CN"/>
        </w:rPr>
      </w:pPr>
    </w:p>
    <w:p>
      <w:pPr>
        <w:pStyle w:val="3"/>
        <w:ind w:left="0" w:leftChars="0" w:firstLine="0" w:firstLineChars="0"/>
        <w:rPr>
          <w:rFonts w:hint="default" w:ascii="仿宋" w:hAnsi="仿宋" w:eastAsia="仿宋" w:cs="仿宋"/>
          <w:color w:val="auto"/>
          <w:sz w:val="36"/>
          <w:szCs w:val="36"/>
          <w:highlight w:val="none"/>
          <w:lang w:val="en-US" w:eastAsia="zh-CN"/>
        </w:rPr>
      </w:pPr>
    </w:p>
    <w:p>
      <w:pPr>
        <w:pStyle w:val="3"/>
        <w:ind w:left="0" w:leftChars="0" w:firstLine="0" w:firstLineChars="0"/>
        <w:rPr>
          <w:rFonts w:hint="default" w:ascii="仿宋" w:hAnsi="仿宋" w:eastAsia="仿宋" w:cs="仿宋"/>
          <w:color w:val="auto"/>
          <w:sz w:val="36"/>
          <w:szCs w:val="36"/>
          <w:highlight w:val="none"/>
          <w:lang w:val="en-US" w:eastAsia="zh-CN"/>
        </w:rPr>
      </w:pPr>
    </w:p>
    <w:p>
      <w:pPr>
        <w:pStyle w:val="3"/>
        <w:ind w:left="0" w:leftChars="0" w:firstLine="0" w:firstLineChars="0"/>
        <w:rPr>
          <w:rFonts w:hint="default" w:ascii="仿宋" w:hAnsi="仿宋" w:eastAsia="仿宋" w:cs="仿宋"/>
          <w:color w:val="auto"/>
          <w:sz w:val="36"/>
          <w:szCs w:val="36"/>
          <w:highlight w:val="none"/>
          <w:lang w:val="en-US" w:eastAsia="zh-CN"/>
        </w:rPr>
      </w:pPr>
    </w:p>
    <w:p>
      <w:pPr>
        <w:pStyle w:val="3"/>
        <w:ind w:left="0" w:leftChars="0" w:firstLine="0" w:firstLineChars="0"/>
        <w:rPr>
          <w:rFonts w:hint="default" w:ascii="仿宋" w:hAnsi="仿宋" w:eastAsia="仿宋" w:cs="仿宋"/>
          <w:color w:val="auto"/>
          <w:sz w:val="36"/>
          <w:szCs w:val="36"/>
          <w:highlight w:val="none"/>
          <w:lang w:val="en-US" w:eastAsia="zh-CN"/>
        </w:rPr>
      </w:pPr>
    </w:p>
    <w:p>
      <w:pPr>
        <w:pStyle w:val="3"/>
        <w:ind w:left="0" w:leftChars="0" w:firstLine="0" w:firstLineChars="0"/>
        <w:rPr>
          <w:rFonts w:hint="eastAsia" w:ascii="仿宋" w:hAnsi="仿宋" w:eastAsia="仿宋" w:cs="仿宋"/>
          <w:color w:val="auto"/>
          <w:sz w:val="36"/>
          <w:szCs w:val="36"/>
          <w:highlight w:val="none"/>
          <w:lang w:val="en-US" w:eastAsia="zh-CN"/>
        </w:rPr>
      </w:pPr>
      <w:r>
        <w:rPr>
          <w:rFonts w:hint="eastAsia" w:ascii="仿宋" w:hAnsi="仿宋" w:eastAsia="仿宋" w:cs="仿宋"/>
          <w:color w:val="auto"/>
          <w:sz w:val="36"/>
          <w:szCs w:val="36"/>
          <w:highlight w:val="none"/>
          <w:lang w:val="en-US" w:eastAsia="zh-CN"/>
        </w:rPr>
        <w:t>标项三：</w:t>
      </w:r>
    </w:p>
    <w:tbl>
      <w:tblPr>
        <w:tblStyle w:val="62"/>
        <w:tblW w:w="953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87"/>
        <w:gridCol w:w="5516"/>
        <w:gridCol w:w="787"/>
        <w:gridCol w:w="16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7"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评分细则</w:t>
            </w:r>
          </w:p>
        </w:tc>
        <w:tc>
          <w:tcPr>
            <w:tcW w:w="5516" w:type="dxa"/>
            <w:tcBorders>
              <w:top w:val="single" w:color="000000" w:sz="4" w:space="0"/>
              <w:left w:val="single" w:color="000000" w:sz="4" w:space="0"/>
              <w:bottom w:val="single" w:color="000000" w:sz="4" w:space="0"/>
              <w:right w:val="single" w:color="000000" w:sz="4" w:space="0"/>
            </w:tcBorders>
            <w:noWrap w:val="0"/>
            <w:vAlign w:val="top"/>
          </w:tcPr>
          <w:p>
            <w:pPr>
              <w:spacing w:before="0" w:beforeAutospacing="0" w:after="0" w:afterAutospacing="0" w:line="400" w:lineRule="atLeast"/>
              <w:ind w:left="0" w:right="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评分细则内容</w:t>
            </w:r>
          </w:p>
        </w:tc>
        <w:tc>
          <w:tcPr>
            <w:tcW w:w="787" w:type="dxa"/>
            <w:tcBorders>
              <w:top w:val="single" w:color="000000" w:sz="4" w:space="0"/>
              <w:left w:val="single" w:color="000000" w:sz="4" w:space="0"/>
              <w:bottom w:val="single" w:color="000000" w:sz="4" w:space="0"/>
              <w:right w:val="single" w:color="000000" w:sz="4" w:space="0"/>
            </w:tcBorders>
            <w:noWrap w:val="0"/>
            <w:vAlign w:val="top"/>
          </w:tcPr>
          <w:p>
            <w:pPr>
              <w:spacing w:before="0" w:beforeAutospacing="0" w:after="0" w:afterAutospacing="0" w:line="400" w:lineRule="atLeast"/>
              <w:ind w:left="0" w:right="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分值(分)</w:t>
            </w:r>
          </w:p>
        </w:tc>
        <w:tc>
          <w:tcPr>
            <w:tcW w:w="1647" w:type="dxa"/>
            <w:tcBorders>
              <w:top w:val="single" w:color="000000" w:sz="4" w:space="0"/>
              <w:left w:val="single" w:color="000000" w:sz="4" w:space="0"/>
              <w:bottom w:val="single" w:color="000000" w:sz="4" w:space="0"/>
              <w:right w:val="single" w:color="000000" w:sz="4" w:space="0"/>
            </w:tcBorders>
            <w:noWrap w:val="0"/>
            <w:vAlign w:val="top"/>
          </w:tcPr>
          <w:p>
            <w:pPr>
              <w:spacing w:before="0" w:beforeAutospacing="0" w:after="0" w:afterAutospacing="0" w:line="400" w:lineRule="atLeast"/>
              <w:ind w:left="0" w:right="0"/>
              <w:rPr>
                <w:rFonts w:hint="eastAsia" w:ascii="仿宋" w:hAnsi="仿宋" w:eastAsia="仿宋" w:cs="仿宋"/>
                <w:b w:val="0"/>
                <w:bCs/>
                <w:color w:val="auto"/>
                <w:sz w:val="24"/>
                <w:szCs w:val="24"/>
                <w:highlight w:val="none"/>
              </w:rPr>
            </w:pPr>
            <w:r>
              <w:rPr>
                <w:rFonts w:hint="eastAsia" w:ascii="仿宋" w:hAnsi="仿宋" w:eastAsia="仿宋" w:cs="仿宋"/>
                <w:b w:val="0"/>
                <w:bCs/>
                <w:color w:val="auto"/>
                <w:kern w:val="0"/>
                <w:sz w:val="24"/>
                <w:szCs w:val="24"/>
                <w:highlight w:val="none"/>
              </w:rPr>
              <w:t>投标文件中评标标准相应的商务技术资料目录*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8" w:hRule="atLeast"/>
        </w:trPr>
        <w:tc>
          <w:tcPr>
            <w:tcW w:w="1587" w:type="dxa"/>
            <w:vMerge w:val="restart"/>
            <w:tcBorders>
              <w:top w:val="single" w:color="000000" w:sz="4" w:space="0"/>
              <w:left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对编制背景的理解</w:t>
            </w:r>
          </w:p>
        </w:tc>
        <w:tc>
          <w:tcPr>
            <w:tcW w:w="5516"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right="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根据投标人对项目背景的认识和理解，项目背景把握透彻,项目内容和任务理解到位进行打分。</w:t>
            </w:r>
          </w:p>
        </w:tc>
        <w:tc>
          <w:tcPr>
            <w:tcW w:w="787"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right="0"/>
              <w:jc w:val="center"/>
              <w:rPr>
                <w:rFonts w:hint="default"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5</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b w:val="0"/>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1587" w:type="dxa"/>
            <w:tcBorders>
              <w:top w:val="single" w:color="000000" w:sz="4" w:space="0"/>
              <w:left w:val="single" w:color="000000" w:sz="4" w:space="0"/>
              <w:right w:val="single" w:color="000000" w:sz="4" w:space="0"/>
            </w:tcBorders>
            <w:noWrap w:val="0"/>
            <w:vAlign w:val="center"/>
          </w:tcPr>
          <w:p>
            <w:pPr>
              <w:pStyle w:val="59"/>
              <w:spacing w:before="0" w:beforeAutospacing="0" w:after="0" w:afterAutospacing="0"/>
              <w:ind w:left="0" w:right="0"/>
              <w:jc w:val="center"/>
              <w:rPr>
                <w:rFonts w:hint="default" w:ascii="仿宋" w:hAnsi="仿宋" w:eastAsia="仿宋" w:cs="仿宋"/>
                <w:b w:val="0"/>
                <w:bCs/>
                <w:color w:val="auto"/>
                <w:sz w:val="24"/>
                <w:szCs w:val="24"/>
                <w:highlight w:val="none"/>
                <w:lang w:val="en-US" w:eastAsia="zh-CN"/>
              </w:rPr>
            </w:pPr>
            <w:r>
              <w:rPr>
                <w:rFonts w:hint="default" w:ascii="仿宋" w:hAnsi="仿宋" w:eastAsia="仿宋" w:cs="仿宋"/>
                <w:b w:val="0"/>
                <w:bCs/>
                <w:color w:val="auto"/>
                <w:sz w:val="24"/>
                <w:szCs w:val="24"/>
                <w:highlight w:val="none"/>
                <w:lang w:val="en-US" w:eastAsia="zh-CN"/>
              </w:rPr>
              <w:t>单元空间及自然资源现状分析</w:t>
            </w:r>
          </w:p>
        </w:tc>
        <w:tc>
          <w:tcPr>
            <w:tcW w:w="5516" w:type="dxa"/>
            <w:tcBorders>
              <w:top w:val="single" w:color="000000" w:sz="4" w:space="0"/>
              <w:left w:val="single" w:color="000000" w:sz="4" w:space="0"/>
              <w:right w:val="single" w:color="000000" w:sz="4" w:space="0"/>
            </w:tcBorders>
            <w:noWrap w:val="0"/>
            <w:vAlign w:val="center"/>
          </w:tcPr>
          <w:p>
            <w:pPr>
              <w:widowControl/>
              <w:numPr>
                <w:ilvl w:val="0"/>
                <w:numId w:val="0"/>
              </w:numPr>
              <w:spacing w:before="0" w:beforeAutospacing="0" w:after="0" w:afterAutospacing="0" w:line="360" w:lineRule="auto"/>
              <w:ind w:left="0" w:right="0" w:rightChars="0"/>
              <w:rPr>
                <w:rFonts w:hint="default"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根据投标人对项目现状情况调查以及现状分析进行打分。</w:t>
            </w:r>
          </w:p>
        </w:tc>
        <w:tc>
          <w:tcPr>
            <w:tcW w:w="787"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right="0"/>
              <w:jc w:val="center"/>
              <w:rPr>
                <w:rFonts w:hint="default"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5</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b w:val="0"/>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1587" w:type="dxa"/>
            <w:tcBorders>
              <w:top w:val="single" w:color="000000" w:sz="4" w:space="0"/>
              <w:left w:val="single" w:color="000000" w:sz="4" w:space="0"/>
              <w:right w:val="single" w:color="000000" w:sz="4" w:space="0"/>
            </w:tcBorders>
            <w:noWrap w:val="0"/>
            <w:vAlign w:val="center"/>
          </w:tcPr>
          <w:p>
            <w:pPr>
              <w:pStyle w:val="59"/>
              <w:spacing w:before="0" w:beforeAutospacing="0" w:after="0" w:afterAutospacing="0"/>
              <w:ind w:left="0" w:right="0"/>
              <w:jc w:val="center"/>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上位及相关规划分析</w:t>
            </w:r>
          </w:p>
        </w:tc>
        <w:tc>
          <w:tcPr>
            <w:tcW w:w="5516"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right="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投标人对新一轮杭州市国土空间总体规划“三线”管控和各类各级上位规划，相关政策解读全面、完整的得5分，对相关政策解读较全面、完整的得3分，对相关政策解读一般的得1分，不提供不得分。</w:t>
            </w:r>
          </w:p>
        </w:tc>
        <w:tc>
          <w:tcPr>
            <w:tcW w:w="787"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right="0"/>
              <w:jc w:val="center"/>
              <w:rPr>
                <w:rFonts w:hint="default"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5</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b w:val="0"/>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0" w:hRule="atLeast"/>
        </w:trPr>
        <w:tc>
          <w:tcPr>
            <w:tcW w:w="1587" w:type="dxa"/>
            <w:tcBorders>
              <w:top w:val="single" w:color="000000" w:sz="4" w:space="0"/>
              <w:left w:val="single" w:color="000000" w:sz="4" w:space="0"/>
              <w:right w:val="single" w:color="000000" w:sz="4" w:space="0"/>
            </w:tcBorders>
            <w:noWrap w:val="0"/>
            <w:vAlign w:val="center"/>
          </w:tcPr>
          <w:p>
            <w:pPr>
              <w:pStyle w:val="59"/>
              <w:spacing w:before="0" w:beforeAutospacing="0" w:after="0" w:afterAutospacing="0"/>
              <w:ind w:left="0" w:leftChars="0" w:right="0" w:rightChars="0"/>
              <w:jc w:val="center"/>
              <w:rPr>
                <w:rFonts w:hint="eastAsia" w:ascii="仿宋" w:hAnsi="仿宋" w:eastAsia="仿宋" w:cs="仿宋"/>
                <w:b w:val="0"/>
                <w:bCs/>
                <w:color w:val="auto"/>
                <w:kern w:val="0"/>
                <w:sz w:val="24"/>
                <w:szCs w:val="24"/>
                <w:highlight w:val="none"/>
                <w:lang w:val="en-US" w:eastAsia="zh-CN" w:bidi="ar-SA"/>
              </w:rPr>
            </w:pPr>
            <w:r>
              <w:rPr>
                <w:rFonts w:hint="eastAsia" w:ascii="仿宋" w:hAnsi="仿宋" w:eastAsia="仿宋" w:cs="仿宋"/>
                <w:b w:val="0"/>
                <w:bCs/>
                <w:color w:val="auto"/>
                <w:kern w:val="0"/>
                <w:sz w:val="24"/>
                <w:szCs w:val="24"/>
                <w:highlight w:val="none"/>
                <w:lang w:val="en-US" w:eastAsia="zh-CN" w:bidi="ar-SA"/>
              </w:rPr>
              <w:t>单元存在问题分析</w:t>
            </w:r>
          </w:p>
        </w:tc>
        <w:tc>
          <w:tcPr>
            <w:tcW w:w="5516"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leftChars="0" w:right="0" w:rightChars="0"/>
              <w:rPr>
                <w:rFonts w:hint="default"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根据投标人对详规单元存在问题分析打分，现状存在问题罗列清晰、对产生问题的原因剖析到位进行打分。</w:t>
            </w:r>
          </w:p>
        </w:tc>
        <w:tc>
          <w:tcPr>
            <w:tcW w:w="787"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leftChars="0" w:right="0" w:rightChars="0"/>
              <w:jc w:val="center"/>
              <w:rPr>
                <w:rFonts w:hint="default"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5</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b w:val="0"/>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86" w:hRule="atLeast"/>
        </w:trPr>
        <w:tc>
          <w:tcPr>
            <w:tcW w:w="1587" w:type="dxa"/>
            <w:tcBorders>
              <w:top w:val="single" w:color="000000" w:sz="4" w:space="0"/>
              <w:left w:val="single" w:color="000000" w:sz="4" w:space="0"/>
              <w:right w:val="single" w:color="000000" w:sz="4" w:space="0"/>
            </w:tcBorders>
            <w:noWrap w:val="0"/>
            <w:vAlign w:val="center"/>
          </w:tcPr>
          <w:p>
            <w:pPr>
              <w:pStyle w:val="59"/>
              <w:spacing w:before="0" w:beforeAutospacing="0" w:after="0" w:afterAutospacing="0"/>
              <w:ind w:left="0" w:leftChars="0" w:right="0" w:rightChars="0"/>
              <w:jc w:val="center"/>
              <w:rPr>
                <w:rFonts w:hint="default" w:ascii="仿宋" w:hAnsi="仿宋" w:eastAsia="仿宋" w:cs="仿宋"/>
                <w:b w:val="0"/>
                <w:bCs/>
                <w:color w:val="auto"/>
                <w:kern w:val="0"/>
                <w:sz w:val="24"/>
                <w:szCs w:val="24"/>
                <w:highlight w:val="none"/>
                <w:lang w:val="en-US" w:eastAsia="zh-CN" w:bidi="ar-SA"/>
              </w:rPr>
            </w:pPr>
            <w:r>
              <w:rPr>
                <w:rFonts w:hint="default" w:ascii="仿宋" w:hAnsi="仿宋" w:eastAsia="仿宋" w:cs="仿宋"/>
                <w:b w:val="0"/>
                <w:bCs/>
                <w:color w:val="auto"/>
                <w:kern w:val="0"/>
                <w:sz w:val="24"/>
                <w:szCs w:val="24"/>
                <w:highlight w:val="none"/>
                <w:lang w:val="en-US" w:eastAsia="zh-CN" w:bidi="ar-SA"/>
              </w:rPr>
              <w:t>编制方法及技术路线</w:t>
            </w:r>
          </w:p>
        </w:tc>
        <w:tc>
          <w:tcPr>
            <w:tcW w:w="5516"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leftChars="0" w:right="0" w:rightChars="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投标人对本项目研究方法合理、科学性强；工作思路清晰、技术路线科学可行，以城镇为主导的单元详细规划编制思路和方法具备探索及创新内容，可实施性进行打分。</w:t>
            </w:r>
          </w:p>
        </w:tc>
        <w:tc>
          <w:tcPr>
            <w:tcW w:w="787"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leftChars="0" w:right="0" w:rightChars="0"/>
              <w:jc w:val="center"/>
              <w:rPr>
                <w:rFonts w:hint="default"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5</w:t>
            </w:r>
          </w:p>
        </w:tc>
        <w:tc>
          <w:tcPr>
            <w:tcW w:w="1647" w:type="dxa"/>
            <w:tcBorders>
              <w:top w:val="single" w:color="000000" w:sz="4" w:space="0"/>
              <w:left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b w:val="0"/>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1587" w:type="dxa"/>
            <w:tcBorders>
              <w:top w:val="single" w:color="000000" w:sz="4" w:space="0"/>
              <w:left w:val="single" w:color="000000" w:sz="4" w:space="0"/>
              <w:right w:val="single" w:color="000000" w:sz="4" w:space="0"/>
            </w:tcBorders>
            <w:noWrap w:val="0"/>
            <w:vAlign w:val="center"/>
          </w:tcPr>
          <w:p>
            <w:pPr>
              <w:pStyle w:val="59"/>
              <w:spacing w:before="0" w:beforeAutospacing="0" w:after="0" w:afterAutospacing="0"/>
              <w:ind w:left="0" w:leftChars="0" w:right="0" w:rightChars="0"/>
              <w:jc w:val="center"/>
              <w:rPr>
                <w:rFonts w:hint="eastAsia" w:ascii="仿宋" w:hAnsi="仿宋" w:eastAsia="仿宋" w:cs="仿宋"/>
                <w:b w:val="0"/>
                <w:bCs/>
                <w:color w:val="auto"/>
                <w:kern w:val="0"/>
                <w:sz w:val="24"/>
                <w:szCs w:val="24"/>
                <w:highlight w:val="none"/>
                <w:lang w:val="en-US" w:eastAsia="zh-CN" w:bidi="ar-SA"/>
              </w:rPr>
            </w:pPr>
            <w:r>
              <w:rPr>
                <w:rFonts w:hint="eastAsia" w:ascii="仿宋" w:hAnsi="仿宋" w:eastAsia="仿宋" w:cs="仿宋"/>
                <w:b w:val="0"/>
                <w:bCs/>
                <w:color w:val="auto"/>
                <w:kern w:val="0"/>
                <w:sz w:val="24"/>
                <w:szCs w:val="24"/>
                <w:highlight w:val="none"/>
                <w:lang w:val="en-US" w:eastAsia="zh-CN" w:bidi="ar-SA"/>
              </w:rPr>
              <w:t>单元编制重点（拟推动解决的主要问题）和难点</w:t>
            </w:r>
          </w:p>
        </w:tc>
        <w:tc>
          <w:tcPr>
            <w:tcW w:w="5516"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leftChars="0" w:right="0" w:rightChars="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根据投标人对本项目提出得研究重点、难点进行打分，契合背景和目的，分析到位、考虑全面，提出相应对策，且具备合理性与可行性。</w:t>
            </w:r>
          </w:p>
        </w:tc>
        <w:tc>
          <w:tcPr>
            <w:tcW w:w="787"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leftChars="0" w:right="0" w:rightChars="0"/>
              <w:jc w:val="center"/>
              <w:rPr>
                <w:rFonts w:hint="default"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5</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b w:val="0"/>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1587" w:type="dxa"/>
            <w:tcBorders>
              <w:top w:val="single" w:color="000000" w:sz="4" w:space="0"/>
              <w:left w:val="single" w:color="000000" w:sz="4" w:space="0"/>
              <w:right w:val="single" w:color="000000" w:sz="4" w:space="0"/>
            </w:tcBorders>
            <w:noWrap w:val="0"/>
            <w:vAlign w:val="center"/>
          </w:tcPr>
          <w:p>
            <w:pPr>
              <w:pStyle w:val="59"/>
              <w:spacing w:before="0" w:beforeAutospacing="0" w:after="0" w:afterAutospacing="0"/>
              <w:ind w:left="0" w:leftChars="0" w:right="0" w:rightChars="0"/>
              <w:jc w:val="center"/>
              <w:rPr>
                <w:rFonts w:hint="eastAsia" w:ascii="仿宋" w:hAnsi="仿宋" w:eastAsia="仿宋" w:cs="仿宋"/>
                <w:b w:val="0"/>
                <w:bCs/>
                <w:color w:val="auto"/>
                <w:kern w:val="0"/>
                <w:sz w:val="24"/>
                <w:szCs w:val="24"/>
                <w:highlight w:val="none"/>
                <w:lang w:val="en-US" w:eastAsia="zh-CN" w:bidi="ar-SA"/>
              </w:rPr>
            </w:pPr>
            <w:r>
              <w:rPr>
                <w:rFonts w:hint="eastAsia" w:ascii="仿宋" w:hAnsi="仿宋" w:eastAsia="仿宋" w:cs="仿宋"/>
                <w:b w:val="0"/>
                <w:bCs/>
                <w:color w:val="auto"/>
                <w:kern w:val="0"/>
                <w:sz w:val="24"/>
                <w:szCs w:val="24"/>
                <w:highlight w:val="none"/>
                <w:lang w:val="en-US" w:eastAsia="zh-CN" w:bidi="ar-SA"/>
              </w:rPr>
              <w:t>规划初步思路</w:t>
            </w:r>
          </w:p>
        </w:tc>
        <w:tc>
          <w:tcPr>
            <w:tcW w:w="5516"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leftChars="0" w:right="0" w:rightChars="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根据投标人所提出的规划初步思路进行打分</w:t>
            </w:r>
          </w:p>
          <w:p>
            <w:pPr>
              <w:widowControl/>
              <w:spacing w:before="0" w:beforeAutospacing="0" w:after="0" w:afterAutospacing="0" w:line="360" w:lineRule="auto"/>
              <w:ind w:left="0" w:leftChars="0" w:right="0" w:rightChars="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①开展全域详细规划评估、落实上位规划要求进行打分（0-5）；</w:t>
            </w:r>
          </w:p>
          <w:p>
            <w:pPr>
              <w:widowControl/>
              <w:spacing w:before="0" w:beforeAutospacing="0" w:after="0" w:afterAutospacing="0" w:line="360" w:lineRule="auto"/>
              <w:ind w:left="0" w:leftChars="0" w:right="0" w:rightChars="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②确定规模指标和底线管控进行打分（0-5）；</w:t>
            </w:r>
          </w:p>
          <w:p>
            <w:pPr>
              <w:widowControl/>
              <w:spacing w:before="0" w:beforeAutospacing="0" w:after="0" w:afterAutospacing="0" w:line="360" w:lineRule="auto"/>
              <w:ind w:left="0" w:leftChars="0" w:right="0" w:rightChars="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③低效存量空间优化布局进行打分（0-5）；</w:t>
            </w:r>
          </w:p>
          <w:p>
            <w:pPr>
              <w:widowControl/>
              <w:spacing w:before="0" w:beforeAutospacing="0" w:after="0" w:afterAutospacing="0" w:line="360" w:lineRule="auto"/>
              <w:ind w:left="0" w:leftChars="0" w:right="0" w:rightChars="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④优化国土空间用地功能布局进行打分（0-5）；；</w:t>
            </w:r>
          </w:p>
          <w:p>
            <w:pPr>
              <w:widowControl/>
              <w:spacing w:before="0" w:beforeAutospacing="0" w:after="0" w:afterAutospacing="0" w:line="360" w:lineRule="auto"/>
              <w:ind w:left="0" w:leftChars="0" w:right="0" w:rightChars="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⑤完善和统筹片区公共服务和基础设施配套进行打分（0-5）；</w:t>
            </w:r>
          </w:p>
          <w:p>
            <w:pPr>
              <w:widowControl/>
              <w:spacing w:before="0" w:beforeAutospacing="0" w:after="0" w:afterAutospacing="0" w:line="360" w:lineRule="auto"/>
              <w:ind w:left="0" w:leftChars="0" w:right="0" w:rightChars="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⑥产业发展空间引导和配套设施要求进行打分（0-5）；</w:t>
            </w:r>
          </w:p>
          <w:p>
            <w:pPr>
              <w:widowControl/>
              <w:spacing w:before="0" w:beforeAutospacing="0" w:after="0" w:afterAutospacing="0" w:line="360" w:lineRule="auto"/>
              <w:ind w:left="0" w:leftChars="0" w:right="0" w:rightChars="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⑦加强景观风貌和设计引导；图则管控和实施指引进行打分（0-5）。</w:t>
            </w:r>
          </w:p>
        </w:tc>
        <w:tc>
          <w:tcPr>
            <w:tcW w:w="787"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leftChars="0" w:right="0" w:rightChars="0"/>
              <w:jc w:val="center"/>
              <w:rPr>
                <w:rFonts w:hint="default"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35</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b w:val="0"/>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1587" w:type="dxa"/>
            <w:tcBorders>
              <w:top w:val="single" w:color="000000" w:sz="4" w:space="0"/>
              <w:left w:val="single" w:color="000000" w:sz="4" w:space="0"/>
              <w:right w:val="single" w:color="000000" w:sz="4" w:space="0"/>
            </w:tcBorders>
            <w:noWrap w:val="0"/>
            <w:vAlign w:val="center"/>
          </w:tcPr>
          <w:p>
            <w:pPr>
              <w:pStyle w:val="59"/>
              <w:spacing w:before="0" w:beforeAutospacing="0" w:after="0" w:afterAutospacing="0"/>
              <w:ind w:left="0" w:leftChars="0" w:right="0" w:rightChars="0"/>
              <w:jc w:val="center"/>
              <w:rPr>
                <w:rFonts w:hint="default" w:ascii="仿宋" w:hAnsi="仿宋" w:eastAsia="仿宋" w:cs="仿宋"/>
                <w:b w:val="0"/>
                <w:bCs/>
                <w:color w:val="auto"/>
                <w:kern w:val="0"/>
                <w:sz w:val="24"/>
                <w:szCs w:val="24"/>
                <w:highlight w:val="none"/>
                <w:lang w:val="en-US" w:eastAsia="zh-CN" w:bidi="ar-SA"/>
              </w:rPr>
            </w:pPr>
            <w:r>
              <w:rPr>
                <w:rFonts w:hint="eastAsia" w:ascii="仿宋" w:hAnsi="仿宋" w:eastAsia="仿宋" w:cs="仿宋"/>
                <w:b w:val="0"/>
                <w:bCs/>
                <w:color w:val="auto"/>
                <w:kern w:val="0"/>
                <w:sz w:val="24"/>
                <w:szCs w:val="24"/>
                <w:highlight w:val="none"/>
                <w:lang w:val="en-US" w:eastAsia="zh-CN" w:bidi="ar-SA"/>
              </w:rPr>
              <w:t>拟派</w:t>
            </w:r>
            <w:r>
              <w:rPr>
                <w:rFonts w:hint="eastAsia" w:ascii="仿宋" w:hAnsi="仿宋" w:eastAsia="仿宋" w:cs="仿宋"/>
                <w:b w:val="0"/>
                <w:bCs/>
                <w:color w:val="auto"/>
                <w:kern w:val="2"/>
                <w:sz w:val="24"/>
                <w:szCs w:val="24"/>
                <w:highlight w:val="none"/>
                <w:lang w:val="en-US" w:eastAsia="zh-CN" w:bidi="ar-SA"/>
              </w:rPr>
              <w:t>项目负责人参加汇报情况</w:t>
            </w:r>
          </w:p>
        </w:tc>
        <w:tc>
          <w:tcPr>
            <w:tcW w:w="5516"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leftChars="0" w:right="0" w:rightChars="0"/>
              <w:rPr>
                <w:rFonts w:hint="default"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拟派项目负责人参加重要编制成果汇报不少于4次，不足4次不得分，提供相关证明材料（0-3）。</w:t>
            </w:r>
          </w:p>
        </w:tc>
        <w:tc>
          <w:tcPr>
            <w:tcW w:w="787"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leftChars="0" w:right="0" w:rightChars="0"/>
              <w:jc w:val="center"/>
              <w:rPr>
                <w:rFonts w:hint="default"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3</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b w:val="0"/>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1587" w:type="dxa"/>
            <w:tcBorders>
              <w:top w:val="single" w:color="000000" w:sz="4" w:space="0"/>
              <w:left w:val="single" w:color="000000" w:sz="4" w:space="0"/>
              <w:right w:val="single" w:color="000000" w:sz="4" w:space="0"/>
            </w:tcBorders>
            <w:noWrap w:val="0"/>
            <w:vAlign w:val="center"/>
          </w:tcPr>
          <w:p>
            <w:pPr>
              <w:pStyle w:val="59"/>
              <w:spacing w:before="0" w:beforeAutospacing="0" w:after="0" w:afterAutospacing="0"/>
              <w:ind w:left="0" w:right="0"/>
              <w:jc w:val="center"/>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质量保证及后续服务</w:t>
            </w:r>
          </w:p>
        </w:tc>
        <w:tc>
          <w:tcPr>
            <w:tcW w:w="5516"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right="0"/>
              <w:rPr>
                <w:rFonts w:hint="default"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投标人对本项目质量保证体系完备周全，具有针对性应对措施进行打分（0-5）</w:t>
            </w:r>
          </w:p>
        </w:tc>
        <w:tc>
          <w:tcPr>
            <w:tcW w:w="787"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right="0"/>
              <w:jc w:val="center"/>
              <w:rPr>
                <w:rFonts w:hint="default"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5</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b w:val="0"/>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1587" w:type="dxa"/>
            <w:tcBorders>
              <w:top w:val="single" w:color="000000" w:sz="4" w:space="0"/>
              <w:left w:val="single" w:color="000000" w:sz="4" w:space="0"/>
              <w:right w:val="single" w:color="000000" w:sz="4" w:space="0"/>
            </w:tcBorders>
            <w:noWrap w:val="0"/>
            <w:vAlign w:val="center"/>
          </w:tcPr>
          <w:p>
            <w:pPr>
              <w:pStyle w:val="59"/>
              <w:spacing w:before="0" w:beforeAutospacing="0" w:after="0" w:afterAutospacing="0"/>
              <w:ind w:left="0" w:right="0"/>
              <w:jc w:val="center"/>
              <w:rPr>
                <w:rFonts w:hint="default" w:ascii="仿宋" w:hAnsi="仿宋" w:eastAsia="仿宋" w:cs="仿宋"/>
                <w:b w:val="0"/>
                <w:bCs/>
                <w:color w:val="auto"/>
                <w:sz w:val="24"/>
                <w:szCs w:val="24"/>
                <w:highlight w:val="none"/>
                <w:lang w:val="en-US" w:eastAsia="zh-CN"/>
              </w:rPr>
            </w:pPr>
            <w:r>
              <w:rPr>
                <w:rFonts w:hint="eastAsia" w:ascii="仿宋" w:hAnsi="仿宋" w:eastAsia="仿宋" w:cs="仿宋"/>
                <w:b w:val="0"/>
                <w:bCs/>
                <w:color w:val="auto"/>
                <w:kern w:val="2"/>
                <w:sz w:val="24"/>
                <w:szCs w:val="24"/>
                <w:highlight w:val="none"/>
                <w:lang w:val="en-US" w:eastAsia="zh-CN" w:bidi="ar-SA"/>
              </w:rPr>
              <w:t>拟派项目组成员（负责人除外）情况</w:t>
            </w:r>
          </w:p>
        </w:tc>
        <w:tc>
          <w:tcPr>
            <w:tcW w:w="5516"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right="0"/>
              <w:jc w:val="left"/>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拟派人员数量不得少于5人，并且具备中级及以上技术职称证书，满足本项得2分，否则不得分；拟派人员中具备专业注册证书的有1个加1分（专业类别包括城乡规划、土地规划、交通、市政等专业注册证书），最多加3分；本项最高得分5分。</w:t>
            </w:r>
          </w:p>
          <w:p>
            <w:pPr>
              <w:widowControl/>
              <w:spacing w:before="0" w:beforeAutospacing="0" w:after="0" w:afterAutospacing="0" w:line="360" w:lineRule="auto"/>
              <w:ind w:left="0" w:right="0"/>
              <w:jc w:val="left"/>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bCs w:val="0"/>
                <w:color w:val="auto"/>
                <w:kern w:val="2"/>
                <w:sz w:val="24"/>
                <w:szCs w:val="24"/>
                <w:highlight w:val="none"/>
                <w:lang w:val="en-US" w:eastAsia="zh-CN" w:bidi="ar-SA"/>
              </w:rPr>
              <w:t>证明材料：提供相关人员资格证书、职称证书复印件及近一个月的社保缴纳证明，加盖有效公章，否则不得分。</w:t>
            </w:r>
          </w:p>
        </w:tc>
        <w:tc>
          <w:tcPr>
            <w:tcW w:w="787"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right="0"/>
              <w:jc w:val="center"/>
              <w:rPr>
                <w:rFonts w:hint="default"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5</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b w:val="0"/>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3" w:hRule="atLeast"/>
        </w:trPr>
        <w:tc>
          <w:tcPr>
            <w:tcW w:w="1587" w:type="dxa"/>
            <w:tcBorders>
              <w:top w:val="single" w:color="000000" w:sz="4" w:space="0"/>
              <w:left w:val="single" w:color="000000" w:sz="4" w:space="0"/>
              <w:right w:val="single" w:color="000000" w:sz="4" w:space="0"/>
            </w:tcBorders>
            <w:noWrap w:val="0"/>
            <w:vAlign w:val="center"/>
          </w:tcPr>
          <w:p>
            <w:pPr>
              <w:pStyle w:val="59"/>
              <w:spacing w:before="0" w:beforeAutospacing="0" w:after="0" w:afterAutospacing="0"/>
              <w:ind w:left="0" w:right="0"/>
              <w:jc w:val="center"/>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拟派项目组负责人</w:t>
            </w:r>
            <w:r>
              <w:rPr>
                <w:rFonts w:hint="eastAsia" w:ascii="仿宋" w:hAnsi="仿宋" w:eastAsia="仿宋" w:cs="仿宋"/>
                <w:b w:val="0"/>
                <w:bCs/>
                <w:color w:val="auto"/>
                <w:kern w:val="2"/>
                <w:sz w:val="24"/>
                <w:szCs w:val="24"/>
                <w:highlight w:val="none"/>
                <w:lang w:val="en-US" w:eastAsia="zh-CN" w:bidi="ar-SA"/>
              </w:rPr>
              <w:tab/>
            </w:r>
          </w:p>
        </w:tc>
        <w:tc>
          <w:tcPr>
            <w:tcW w:w="5516"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right="0"/>
              <w:jc w:val="left"/>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1、拟投入的项目负责人具有高级工程师职称的，得4分。</w:t>
            </w:r>
          </w:p>
          <w:p>
            <w:pPr>
              <w:widowControl/>
              <w:spacing w:before="0" w:beforeAutospacing="0" w:after="0" w:afterAutospacing="0" w:line="360" w:lineRule="auto"/>
              <w:ind w:left="0" w:right="0"/>
              <w:jc w:val="left"/>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2、拟投入的项目负责人具有注册城乡规划师资格的得3分，否则不得分。</w:t>
            </w:r>
          </w:p>
          <w:p>
            <w:pPr>
              <w:widowControl/>
              <w:spacing w:before="0" w:beforeAutospacing="0" w:after="0" w:afterAutospacing="0" w:line="360" w:lineRule="auto"/>
              <w:ind w:left="0" w:right="0"/>
              <w:jc w:val="left"/>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注：1、2两条所指项目负责人须为同一人担任，且须提供该人员证书复印件以及近1个月的社保缴纳证明，加盖有效公章，否则不得分。</w:t>
            </w:r>
          </w:p>
        </w:tc>
        <w:tc>
          <w:tcPr>
            <w:tcW w:w="787"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right="0"/>
              <w:jc w:val="center"/>
              <w:rPr>
                <w:rFonts w:hint="default"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7</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b w:val="0"/>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1587" w:type="dxa"/>
            <w:tcBorders>
              <w:top w:val="single" w:color="000000" w:sz="4" w:space="0"/>
              <w:left w:val="single" w:color="000000" w:sz="4" w:space="0"/>
              <w:right w:val="single" w:color="000000" w:sz="4" w:space="0"/>
            </w:tcBorders>
            <w:noWrap w:val="0"/>
            <w:vAlign w:val="center"/>
          </w:tcPr>
          <w:p>
            <w:pPr>
              <w:pStyle w:val="59"/>
              <w:spacing w:before="0" w:beforeAutospacing="0" w:after="0" w:afterAutospacing="0"/>
              <w:ind w:left="0" w:right="0"/>
              <w:jc w:val="center"/>
              <w:rPr>
                <w:rFonts w:hint="default"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投标人荣誉</w:t>
            </w:r>
          </w:p>
        </w:tc>
        <w:tc>
          <w:tcPr>
            <w:tcW w:w="5516"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right="0"/>
              <w:jc w:val="left"/>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投标人2019年1月1日以来，投标人编制的单元控制性详细规划，获得省部级（不含除各省城乡规划学会以外的行业学会或协会颁发）荣誉、奖项的每个得4分，获得市级（不含除各市城乡规划学会以外的行业学会或协会颁发）荣誉、奖项的每个得2分。本项最高4分。</w:t>
            </w:r>
            <w:r>
              <w:rPr>
                <w:rFonts w:hint="eastAsia" w:ascii="仿宋" w:hAnsi="仿宋" w:eastAsia="仿宋" w:cs="仿宋"/>
                <w:b/>
                <w:bCs w:val="0"/>
                <w:color w:val="auto"/>
                <w:kern w:val="2"/>
                <w:sz w:val="24"/>
                <w:szCs w:val="24"/>
                <w:highlight w:val="none"/>
                <w:lang w:val="en-US" w:eastAsia="zh-CN" w:bidi="ar-SA"/>
              </w:rPr>
              <w:t>相同项目不得重复计算，以荣誉、获奖证书等复印件并加盖公章为准。</w:t>
            </w:r>
          </w:p>
        </w:tc>
        <w:tc>
          <w:tcPr>
            <w:tcW w:w="787"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right="0"/>
              <w:jc w:val="center"/>
              <w:rPr>
                <w:rFonts w:hint="default"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4</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b w:val="0"/>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1587" w:type="dxa"/>
            <w:tcBorders>
              <w:top w:val="single" w:color="000000" w:sz="4" w:space="0"/>
              <w:left w:val="single" w:color="000000" w:sz="4" w:space="0"/>
              <w:right w:val="single" w:color="000000" w:sz="4" w:space="0"/>
            </w:tcBorders>
            <w:noWrap w:val="0"/>
            <w:vAlign w:val="center"/>
          </w:tcPr>
          <w:p>
            <w:pPr>
              <w:pStyle w:val="59"/>
              <w:spacing w:before="0" w:beforeAutospacing="0" w:after="0" w:afterAutospacing="0"/>
              <w:ind w:left="0" w:right="0"/>
              <w:jc w:val="center"/>
              <w:rPr>
                <w:rFonts w:hint="default"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类似业绩</w:t>
            </w:r>
          </w:p>
        </w:tc>
        <w:tc>
          <w:tcPr>
            <w:tcW w:w="5516"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right="0"/>
              <w:jc w:val="left"/>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投标单位2019年1月1日以来承担过类似项目业绩的每个得0.5分，该项最高得分为1分。</w:t>
            </w:r>
          </w:p>
          <w:p>
            <w:pPr>
              <w:widowControl/>
              <w:spacing w:before="0" w:beforeAutospacing="0" w:after="0" w:afterAutospacing="0" w:line="360" w:lineRule="auto"/>
              <w:ind w:left="0" w:right="0"/>
              <w:jc w:val="left"/>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bCs w:val="0"/>
                <w:color w:val="auto"/>
                <w:kern w:val="2"/>
                <w:sz w:val="24"/>
                <w:szCs w:val="24"/>
                <w:highlight w:val="none"/>
                <w:lang w:val="en-US" w:eastAsia="zh-CN" w:bidi="ar-SA"/>
              </w:rPr>
              <w:t>（以政府批复日期为准，附政府批复文件复印件和合同复印件）。</w:t>
            </w:r>
          </w:p>
        </w:tc>
        <w:tc>
          <w:tcPr>
            <w:tcW w:w="787"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line="360" w:lineRule="auto"/>
              <w:ind w:left="0" w:right="0"/>
              <w:jc w:val="center"/>
              <w:rPr>
                <w:rFonts w:hint="default"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1</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b w:val="0"/>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7"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报价得分</w:t>
            </w:r>
          </w:p>
        </w:tc>
        <w:tc>
          <w:tcPr>
            <w:tcW w:w="5516" w:type="dxa"/>
            <w:tcBorders>
              <w:top w:val="single" w:color="000000" w:sz="4" w:space="0"/>
              <w:left w:val="single" w:color="000000" w:sz="4" w:space="0"/>
              <w:bottom w:val="single" w:color="000000" w:sz="4" w:space="0"/>
              <w:right w:val="single" w:color="000000" w:sz="4" w:space="0"/>
            </w:tcBorders>
            <w:noWrap w:val="0"/>
            <w:vAlign w:val="center"/>
          </w:tcPr>
          <w:p>
            <w:pPr>
              <w:pStyle w:val="615"/>
              <w:spacing w:before="0" w:beforeAutospacing="0" w:after="0" w:afterAutospacing="0" w:line="380" w:lineRule="exact"/>
              <w:ind w:left="0" w:right="0"/>
              <w:jc w:val="both"/>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价格分采用低价优先法计算，即满足招标文件要求且投标价格最低的投标报价为评标基准价，其价格分为满分。其他投标人的价格分统一按下列公式计算：</w:t>
            </w:r>
          </w:p>
          <w:p>
            <w:pPr>
              <w:pStyle w:val="615"/>
              <w:spacing w:before="0" w:beforeAutospacing="0" w:after="0" w:afterAutospacing="0" w:line="380" w:lineRule="exact"/>
              <w:ind w:left="0" w:right="0"/>
              <w:jc w:val="both"/>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投标报价得分=（评标基准价/投标报价）×(</w:t>
            </w:r>
            <w:r>
              <w:rPr>
                <w:rFonts w:hint="eastAsia" w:ascii="仿宋" w:hAnsi="仿宋" w:eastAsia="仿宋" w:cs="仿宋"/>
                <w:b w:val="0"/>
                <w:bCs/>
                <w:color w:val="auto"/>
                <w:sz w:val="24"/>
                <w:szCs w:val="24"/>
                <w:highlight w:val="none"/>
                <w:lang w:val="en-US" w:eastAsia="zh-CN"/>
              </w:rPr>
              <w:t>10</w:t>
            </w:r>
            <w:r>
              <w:rPr>
                <w:rFonts w:hint="eastAsia" w:ascii="仿宋" w:hAnsi="仿宋" w:eastAsia="仿宋" w:cs="仿宋"/>
                <w:b w:val="0"/>
                <w:bCs/>
                <w:color w:val="auto"/>
                <w:sz w:val="24"/>
                <w:szCs w:val="24"/>
                <w:highlight w:val="none"/>
              </w:rPr>
              <w:t>)分</w:t>
            </w:r>
          </w:p>
          <w:p>
            <w:pPr>
              <w:spacing w:before="0" w:beforeAutospacing="0" w:after="0" w:afterAutospacing="0" w:line="400" w:lineRule="atLeast"/>
              <w:ind w:left="0" w:right="0"/>
              <w:jc w:val="both"/>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注：对小型和微型企业产品的价格给予</w:t>
            </w:r>
            <w:r>
              <w:rPr>
                <w:rFonts w:hint="eastAsia" w:ascii="仿宋" w:hAnsi="仿宋" w:eastAsia="仿宋" w:cs="仿宋"/>
                <w:b w:val="0"/>
                <w:bCs/>
                <w:color w:val="auto"/>
                <w:sz w:val="24"/>
                <w:szCs w:val="24"/>
                <w:highlight w:val="none"/>
                <w:lang w:val="en-US" w:eastAsia="zh-CN"/>
              </w:rPr>
              <w:t>10</w:t>
            </w:r>
            <w:r>
              <w:rPr>
                <w:rFonts w:hint="eastAsia" w:ascii="仿宋" w:hAnsi="仿宋" w:eastAsia="仿宋" w:cs="仿宋"/>
                <w:b w:val="0"/>
                <w:bCs/>
                <w:color w:val="auto"/>
                <w:sz w:val="24"/>
                <w:szCs w:val="24"/>
                <w:highlight w:val="none"/>
              </w:rPr>
              <w:t>%的扣除，用扣除后的价格参与评审。</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10</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b w:val="0"/>
                <w:bCs/>
                <w:color w:val="auto"/>
                <w:sz w:val="24"/>
                <w:szCs w:val="24"/>
                <w:highlight w:val="none"/>
              </w:rPr>
            </w:pPr>
          </w:p>
        </w:tc>
      </w:tr>
    </w:tbl>
    <w:p>
      <w:pPr>
        <w:snapToGrid w:val="0"/>
        <w:spacing w:line="360" w:lineRule="auto"/>
        <w:rPr>
          <w:rFonts w:hint="eastAsia" w:ascii="仿宋" w:hAnsi="仿宋" w:eastAsia="仿宋" w:cs="仿宋"/>
          <w:b/>
          <w:color w:val="auto"/>
          <w:sz w:val="24"/>
          <w:highlight w:val="none"/>
        </w:rPr>
      </w:pPr>
      <w:r>
        <w:rPr>
          <w:rFonts w:hint="eastAsia" w:ascii="仿宋" w:hAnsi="仿宋" w:eastAsia="仿宋" w:cs="仿宋"/>
          <w:color w:val="auto"/>
          <w:sz w:val="20"/>
          <w:szCs w:val="20"/>
          <w:highlight w:val="none"/>
          <w:shd w:val="clear" w:color="auto" w:fill="FFFFFF"/>
        </w:rPr>
        <w:t> *</w:t>
      </w:r>
      <w:r>
        <w:rPr>
          <w:rFonts w:hint="eastAsia" w:ascii="仿宋" w:hAnsi="仿宋" w:eastAsia="仿宋" w:cs="仿宋"/>
          <w:b/>
          <w:color w:val="auto"/>
          <w:sz w:val="24"/>
          <w:highlight w:val="none"/>
        </w:rPr>
        <w:t>备注：</w:t>
      </w:r>
      <w:r>
        <w:rPr>
          <w:rFonts w:hint="eastAsia" w:ascii="仿宋" w:hAnsi="仿宋" w:eastAsia="仿宋" w:cs="仿宋"/>
          <w:color w:val="auto"/>
          <w:sz w:val="24"/>
          <w:highlight w:val="none"/>
        </w:rPr>
        <w:t>投标人编制投标文件（商务技术文件部分）时，建议按此目录（序号和内容）提供评标标准相应的商务技术资料。 </w:t>
      </w:r>
    </w:p>
    <w:p>
      <w:pPr>
        <w:snapToGrid w:val="0"/>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32"/>
          <w:highlight w:val="none"/>
        </w:rPr>
        <w:t>一、评标方法</w:t>
      </w:r>
    </w:p>
    <w:p>
      <w:pPr>
        <w:adjustRightInd/>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1.本项目采用综合评分法。</w:t>
      </w:r>
      <w:r>
        <w:rPr>
          <w:rFonts w:hint="eastAsia" w:ascii="仿宋" w:hAnsi="仿宋" w:eastAsia="仿宋" w:cs="仿宋"/>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color w:val="auto"/>
          <w:kern w:val="0"/>
          <w:sz w:val="24"/>
          <w:highlight w:val="none"/>
        </w:rPr>
      </w:pPr>
      <w:r>
        <w:rPr>
          <w:rFonts w:hint="eastAsia" w:ascii="仿宋" w:hAnsi="仿宋" w:eastAsia="仿宋" w:cs="仿宋"/>
          <w:b/>
          <w:color w:val="auto"/>
          <w:sz w:val="32"/>
          <w:highlight w:val="none"/>
        </w:rPr>
        <w:t>二、评标标准</w:t>
      </w:r>
    </w:p>
    <w:p>
      <w:pPr>
        <w:spacing w:line="360" w:lineRule="auto"/>
        <w:ind w:firstLine="472" w:firstLineChars="196"/>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评标标准：</w:t>
      </w:r>
      <w:r>
        <w:rPr>
          <w:rFonts w:hint="eastAsia" w:ascii="仿宋" w:hAnsi="仿宋" w:eastAsia="仿宋" w:cs="仿宋"/>
          <w:color w:val="auto"/>
          <w:kern w:val="0"/>
          <w:sz w:val="24"/>
          <w:highlight w:val="none"/>
        </w:rPr>
        <w:t>见评标办法前附表。</w:t>
      </w:r>
    </w:p>
    <w:p>
      <w:pPr>
        <w:spacing w:line="360" w:lineRule="auto"/>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三、评标程序</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3.1符合性审查。</w:t>
      </w:r>
      <w:r>
        <w:rPr>
          <w:rFonts w:hint="eastAsia" w:ascii="仿宋" w:hAnsi="仿宋" w:eastAsia="仿宋" w:cs="仿宋"/>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3.2 比较与评价。</w:t>
      </w:r>
      <w:r>
        <w:rPr>
          <w:rFonts w:hint="eastAsia" w:ascii="仿宋" w:hAnsi="仿宋" w:eastAsia="仿宋" w:cs="仿宋"/>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3.3汇总商务技术得分。</w:t>
      </w:r>
      <w:r>
        <w:rPr>
          <w:rFonts w:hint="eastAsia" w:ascii="仿宋" w:hAnsi="仿宋" w:eastAsia="仿宋" w:cs="仿宋"/>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3.4报价评审。</w:t>
      </w:r>
    </w:p>
    <w:p>
      <w:pPr>
        <w:pStyle w:val="87"/>
        <w:spacing w:before="0"/>
        <w:ind w:firstLine="508" w:firstLineChars="212"/>
        <w:rPr>
          <w:rFonts w:hint="eastAsia" w:ascii="仿宋" w:hAnsi="仿宋" w:eastAsia="仿宋" w:cs="仿宋"/>
          <w:color w:val="auto"/>
          <w:kern w:val="0"/>
          <w:highlight w:val="none"/>
        </w:rPr>
      </w:pPr>
      <w:r>
        <w:rPr>
          <w:rFonts w:hint="eastAsia" w:ascii="仿宋" w:hAnsi="仿宋" w:eastAsia="仿宋" w:cs="仿宋"/>
          <w:color w:val="auto"/>
          <w:kern w:val="0"/>
          <w:highlight w:val="none"/>
        </w:rPr>
        <w:t>3.4.1投标文件报价出现前后不一致的，按照下列规定修正：</w:t>
      </w:r>
    </w:p>
    <w:p>
      <w:pPr>
        <w:pStyle w:val="87"/>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3.4.1.1投标文件中开标一览表(报价表)内容与投标文件中相应内容不一致的，以开标一览表(报价表)为准;</w:t>
      </w:r>
    </w:p>
    <w:p>
      <w:pPr>
        <w:pStyle w:val="87"/>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3.4.1.2大写金额和小写金额不一致的，以大写金额为准;</w:t>
      </w:r>
    </w:p>
    <w:p>
      <w:pPr>
        <w:pStyle w:val="87"/>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3.4.1.3单价金额小数点或者百分比有明显错位的，以开标一览表的总价为准，并修改单价;</w:t>
      </w:r>
    </w:p>
    <w:p>
      <w:pPr>
        <w:pStyle w:val="87"/>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3.4.1.4总价金额与按单价汇总金额不一致的，以单价金额计算结果为准。</w:t>
      </w:r>
    </w:p>
    <w:p>
      <w:pPr>
        <w:pStyle w:val="87"/>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3.4.3投标报价超过招标文件中规定的预算金额或者最高限价的，投标无效。</w:t>
      </w:r>
    </w:p>
    <w:p>
      <w:pPr>
        <w:pStyle w:val="87"/>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7"/>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3.4.5对于未预留份额专门面向中小企业的政府采购货物或服务项目，以及预留份额政府采购货物或服务项目中的非预留部分标项，对小型和微型企业的投标报价给予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kern w:val="0"/>
          <w:szCs w:val="24"/>
          <w:highlight w:val="none"/>
          <w:lang w:val="en-US" w:eastAsia="zh-CN"/>
        </w:rPr>
        <w:t>20</w:t>
      </w:r>
      <w:r>
        <w:rPr>
          <w:rFonts w:hint="eastAsia" w:ascii="仿宋" w:hAnsi="仿宋" w:eastAsia="仿宋" w:cs="仿宋"/>
          <w:color w:val="auto"/>
          <w:kern w:val="0"/>
          <w:szCs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color w:val="auto"/>
          <w:kern w:val="0"/>
          <w:szCs w:val="24"/>
          <w:highlight w:val="none"/>
          <w:lang w:val="en-US" w:eastAsia="zh-CN"/>
        </w:rPr>
        <w:t>6</w:t>
      </w:r>
      <w:r>
        <w:rPr>
          <w:rFonts w:hint="eastAsia" w:ascii="仿宋" w:hAnsi="仿宋" w:eastAsia="仿宋" w:cs="仿宋"/>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3.5排序与推荐。</w:t>
      </w:r>
      <w:r>
        <w:rPr>
          <w:rFonts w:hint="eastAsia" w:ascii="仿宋" w:hAnsi="仿宋" w:eastAsia="仿宋" w:cs="仿宋"/>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hint="eastAsia" w:ascii="仿宋" w:hAnsi="仿宋" w:eastAsia="仿宋" w:cs="仿宋"/>
          <w:b/>
          <w:color w:val="auto"/>
          <w:kern w:val="0"/>
          <w:sz w:val="24"/>
          <w:highlight w:val="none"/>
        </w:rPr>
      </w:pPr>
      <w:r>
        <w:rPr>
          <w:rFonts w:hint="eastAsia" w:ascii="仿宋" w:hAnsi="仿宋" w:eastAsia="仿宋" w:cs="仿宋"/>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3.6编写评标报告。</w:t>
      </w:r>
      <w:r>
        <w:rPr>
          <w:rFonts w:hint="eastAsia" w:ascii="仿宋" w:hAnsi="仿宋" w:eastAsia="仿宋" w:cs="仿宋"/>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四、评标中的其他事项</w:t>
      </w:r>
    </w:p>
    <w:p>
      <w:pPr>
        <w:pStyle w:val="87"/>
        <w:spacing w:before="0"/>
        <w:ind w:firstLine="472" w:firstLineChars="196"/>
        <w:rPr>
          <w:rFonts w:hint="eastAsia" w:ascii="仿宋" w:hAnsi="仿宋" w:eastAsia="仿宋" w:cs="仿宋"/>
          <w:color w:val="auto"/>
          <w:kern w:val="0"/>
          <w:szCs w:val="24"/>
          <w:highlight w:val="none"/>
        </w:rPr>
      </w:pPr>
      <w:r>
        <w:rPr>
          <w:rFonts w:hint="eastAsia" w:ascii="仿宋" w:hAnsi="仿宋" w:eastAsia="仿宋" w:cs="仿宋"/>
          <w:b/>
          <w:color w:val="auto"/>
          <w:kern w:val="0"/>
          <w:szCs w:val="24"/>
          <w:highlight w:val="none"/>
        </w:rPr>
        <w:t>4.1投标人澄清、说明或者补正。</w:t>
      </w:r>
      <w:r>
        <w:rPr>
          <w:rFonts w:hint="eastAsia" w:ascii="仿宋" w:hAnsi="仿宋" w:eastAsia="仿宋" w:cs="仿宋"/>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hint="eastAsia" w:ascii="仿宋" w:hAnsi="仿宋" w:eastAsia="仿宋" w:cs="仿宋"/>
          <w:color w:val="auto"/>
          <w:szCs w:val="21"/>
          <w:highlight w:val="none"/>
        </w:rPr>
      </w:pPr>
      <w:r>
        <w:rPr>
          <w:rFonts w:hint="eastAsia" w:ascii="仿宋" w:hAnsi="仿宋" w:eastAsia="仿宋" w:cs="仿宋"/>
          <w:b/>
          <w:color w:val="auto"/>
          <w:kern w:val="0"/>
          <w:highlight w:val="none"/>
        </w:rPr>
        <w:t>4.2投标无效。</w:t>
      </w:r>
      <w:r>
        <w:rPr>
          <w:rFonts w:hint="eastAsia" w:ascii="仿宋" w:hAnsi="仿宋" w:eastAsia="仿宋" w:cs="仿宋"/>
          <w:color w:val="auto"/>
          <w:szCs w:val="21"/>
          <w:highlight w:val="none"/>
        </w:rPr>
        <w:t>有下列情况之一的，投标无效：</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4.2.2投标文件未按照招标文件要求签署、盖章的；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4.2.4投标文件含有采购人不能接受的附加条件的；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4.2.6投标文件出现不是唯一的、有选择性投标报价的;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4.2.7投标报价超过招标文件中规定的预算金额或者最高限价的;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4.2.9投标人对根据修正原则修正后的报价不确认的；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4.2.10投标人提供虚假材料投标的；</w:t>
      </w:r>
    </w:p>
    <w:p>
      <w:pPr>
        <w:spacing w:line="360" w:lineRule="auto"/>
        <w:ind w:firstLine="240" w:firstLineChars="1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4.2.12投标人仅提交备份投标文件，</w:t>
      </w:r>
      <w:r>
        <w:rPr>
          <w:rFonts w:hint="eastAsia" w:ascii="仿宋" w:hAnsi="仿宋" w:eastAsia="仿宋" w:cs="仿宋"/>
          <w:color w:val="auto"/>
          <w:kern w:val="0"/>
          <w:sz w:val="24"/>
          <w:highlight w:val="none"/>
          <w:lang w:val="en-US" w:eastAsia="zh-CN"/>
        </w:rPr>
        <w:t>未</w:t>
      </w:r>
      <w:r>
        <w:rPr>
          <w:rFonts w:hint="eastAsia" w:ascii="仿宋" w:hAnsi="仿宋" w:eastAsia="仿宋" w:cs="仿宋"/>
          <w:color w:val="auto"/>
          <w:kern w:val="0"/>
          <w:sz w:val="24"/>
          <w:highlight w:val="none"/>
        </w:rPr>
        <w:t>在电子交易平台传输递交投标文件的，投标无效；</w:t>
      </w:r>
    </w:p>
    <w:p>
      <w:pPr>
        <w:pStyle w:val="5"/>
        <w:ind w:left="862" w:leftChars="205"/>
        <w:rPr>
          <w:rFonts w:hint="eastAsia" w:ascii="仿宋" w:hAnsi="仿宋" w:eastAsia="仿宋" w:cs="仿宋"/>
          <w:b w:val="0"/>
          <w:bCs w:val="0"/>
          <w:color w:val="auto"/>
          <w:kern w:val="0"/>
          <w:sz w:val="24"/>
          <w:szCs w:val="24"/>
          <w:highlight w:val="none"/>
          <w:lang w:val="en-US"/>
        </w:rPr>
      </w:pPr>
      <w:r>
        <w:rPr>
          <w:rFonts w:hint="eastAsia" w:ascii="仿宋" w:hAnsi="仿宋" w:eastAsia="仿宋" w:cs="仿宋"/>
          <w:b w:val="0"/>
          <w:bCs w:val="0"/>
          <w:color w:val="auto"/>
          <w:kern w:val="0"/>
          <w:sz w:val="24"/>
          <w:szCs w:val="24"/>
          <w:highlight w:val="none"/>
          <w:lang w:val="en-US"/>
        </w:rPr>
        <w:t>4.2.13 投标文件不满足招标文件的带“▲”</w:t>
      </w:r>
      <w:r>
        <w:rPr>
          <w:rFonts w:hint="eastAsia" w:ascii="仿宋" w:hAnsi="仿宋" w:eastAsia="仿宋" w:cs="仿宋"/>
          <w:b w:val="0"/>
          <w:bCs w:val="0"/>
          <w:color w:val="auto"/>
          <w:kern w:val="0"/>
          <w:sz w:val="24"/>
          <w:szCs w:val="24"/>
          <w:highlight w:val="none"/>
          <w:lang w:val="en-US" w:eastAsia="zh-CN"/>
        </w:rPr>
        <w:t>号</w:t>
      </w:r>
      <w:r>
        <w:rPr>
          <w:rFonts w:hint="eastAsia" w:ascii="仿宋" w:hAnsi="仿宋" w:eastAsia="仿宋" w:cs="仿宋"/>
          <w:b w:val="0"/>
          <w:bCs w:val="0"/>
          <w:color w:val="auto"/>
          <w:kern w:val="0"/>
          <w:sz w:val="24"/>
          <w:szCs w:val="24"/>
          <w:highlight w:val="none"/>
          <w:lang w:val="en-US"/>
        </w:rPr>
        <w:t>实质性要求的；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4.2.14法律、法规、规章（适用本市的）及省级以上规范性文件（适用本市的）规定的其他无效情形。</w:t>
      </w:r>
    </w:p>
    <w:p>
      <w:pPr>
        <w:pStyle w:val="25"/>
        <w:snapToGrid w:val="0"/>
        <w:spacing w:line="360" w:lineRule="auto"/>
        <w:ind w:firstLine="472" w:firstLineChars="196"/>
        <w:rPr>
          <w:rFonts w:hint="eastAsia" w:ascii="仿宋" w:hAnsi="仿宋" w:eastAsia="仿宋" w:cs="仿宋"/>
          <w:color w:val="auto"/>
          <w:highlight w:val="none"/>
        </w:rPr>
      </w:pPr>
      <w:r>
        <w:rPr>
          <w:rFonts w:hint="eastAsia" w:ascii="仿宋" w:hAnsi="仿宋" w:eastAsia="仿宋" w:cs="仿宋"/>
          <w:b/>
          <w:color w:val="auto"/>
          <w:highlight w:val="none"/>
        </w:rPr>
        <w:t>5.废标。</w:t>
      </w:r>
      <w:r>
        <w:rPr>
          <w:rFonts w:hint="eastAsia" w:ascii="仿宋" w:hAnsi="仿宋" w:eastAsia="仿宋" w:cs="仿宋"/>
          <w:color w:val="auto"/>
          <w:highlight w:val="none"/>
        </w:rPr>
        <w:t>根据《中华人民共和国政府采购法》第三十六条之规定，在采购中，出现下列情形之一的，应予废标：</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5.1符合专业条件的供应商或者对招标文件作实质响应的供应商不足3家的；</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5.2出现影响采购公正的违法、违规行为的；</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5.3投标人的报价均超过了采购预算，采购人不能支付的；</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5.4因重大变故，采购任务取消的。</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废标后，采购机构应当将废标理由通知所有投标人。</w:t>
      </w:r>
    </w:p>
    <w:p>
      <w:pPr>
        <w:pStyle w:val="25"/>
        <w:snapToGrid w:val="0"/>
        <w:spacing w:line="360" w:lineRule="auto"/>
        <w:ind w:firstLine="590" w:firstLineChars="245"/>
        <w:rPr>
          <w:rFonts w:hint="eastAsia" w:ascii="仿宋" w:hAnsi="仿宋" w:eastAsia="仿宋" w:cs="仿宋"/>
          <w:color w:val="auto"/>
          <w:highlight w:val="none"/>
        </w:rPr>
      </w:pPr>
      <w:r>
        <w:rPr>
          <w:rFonts w:hint="eastAsia" w:ascii="仿宋" w:hAnsi="仿宋" w:eastAsia="仿宋" w:cs="仿宋"/>
          <w:b/>
          <w:color w:val="auto"/>
          <w:highlight w:val="none"/>
        </w:rPr>
        <w:t>6.修改招标文件，重新组织采购活动。</w:t>
      </w:r>
      <w:r>
        <w:rPr>
          <w:rFonts w:hint="eastAsia" w:ascii="仿宋" w:hAnsi="仿宋" w:eastAsia="仿宋" w:cs="仿宋"/>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590" w:firstLineChars="245"/>
        <w:rPr>
          <w:rFonts w:hint="eastAsia" w:ascii="仿宋" w:hAnsi="仿宋" w:eastAsia="仿宋" w:cs="仿宋"/>
          <w:color w:val="auto"/>
          <w:highlight w:val="none"/>
        </w:rPr>
      </w:pPr>
      <w:r>
        <w:rPr>
          <w:rFonts w:hint="eastAsia" w:ascii="仿宋" w:hAnsi="仿宋" w:eastAsia="仿宋" w:cs="仿宋"/>
          <w:b/>
          <w:color w:val="auto"/>
          <w:kern w:val="0"/>
          <w:highlight w:val="none"/>
        </w:rPr>
        <w:t>7.重新开展采购。</w:t>
      </w:r>
      <w:r>
        <w:rPr>
          <w:rFonts w:hint="eastAsia" w:ascii="仿宋" w:hAnsi="仿宋" w:eastAsia="仿宋" w:cs="仿宋"/>
          <w:color w:val="auto"/>
          <w:highlight w:val="none"/>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hint="eastAsia" w:ascii="仿宋" w:hAnsi="仿宋" w:eastAsia="仿宋" w:cs="仿宋"/>
          <w:color w:val="auto"/>
          <w:highlight w:val="none"/>
        </w:rPr>
      </w:pPr>
      <w:r>
        <w:rPr>
          <w:rFonts w:hint="eastAsia" w:ascii="仿宋" w:hAnsi="仿宋" w:eastAsia="仿宋" w:cs="仿宋"/>
          <w:color w:val="auto"/>
          <w:highlight w:val="none"/>
        </w:rPr>
        <w:t>7.1未确定中标或者中标人的，终止本次政府采购活动，重新开展政府采购活动。</w:t>
      </w:r>
    </w:p>
    <w:p>
      <w:pPr>
        <w:pStyle w:val="25"/>
        <w:snapToGrid w:val="0"/>
        <w:spacing w:line="360" w:lineRule="auto"/>
        <w:ind w:firstLine="600" w:firstLineChars="250"/>
        <w:rPr>
          <w:rFonts w:hint="eastAsia" w:ascii="仿宋" w:hAnsi="仿宋" w:eastAsia="仿宋" w:cs="仿宋"/>
          <w:color w:val="auto"/>
          <w:highlight w:val="none"/>
        </w:rPr>
      </w:pPr>
      <w:r>
        <w:rPr>
          <w:rFonts w:hint="eastAsia" w:ascii="仿宋" w:hAnsi="仿宋" w:eastAsia="仿宋" w:cs="仿宋"/>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hint="eastAsia" w:ascii="仿宋" w:hAnsi="仿宋" w:eastAsia="仿宋" w:cs="仿宋"/>
          <w:color w:val="auto"/>
          <w:highlight w:val="none"/>
        </w:rPr>
      </w:pPr>
      <w:r>
        <w:rPr>
          <w:rFonts w:hint="eastAsia" w:ascii="仿宋" w:hAnsi="仿宋" w:eastAsia="仿宋" w:cs="仿宋"/>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7.4政府采购合同已经履行，给采购人、供应商造成损失的，由责任人承担赔偿责任。</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7.5政府采购当事人有其他违反政府采购法</w:t>
      </w:r>
      <w:r>
        <w:rPr>
          <w:rFonts w:hint="eastAsia" w:ascii="仿宋" w:hAnsi="仿宋" w:eastAsia="仿宋" w:cs="仿宋"/>
          <w:color w:val="auto"/>
          <w:kern w:val="0"/>
          <w:highlight w:val="none"/>
        </w:rPr>
        <w:t>或者政府采购法实施条例等法律法规规定</w:t>
      </w:r>
      <w:r>
        <w:rPr>
          <w:rFonts w:hint="eastAsia" w:ascii="仿宋" w:hAnsi="仿宋" w:eastAsia="仿宋" w:cs="仿宋"/>
          <w:color w:val="auto"/>
          <w:highlight w:val="none"/>
        </w:rPr>
        <w:t>的行为，经改正后仍然影响或者可能影响中标、成交结果或者依法被认定为中标、成交无效的，依照7.1-7.4规定处理。</w:t>
      </w:r>
    </w:p>
    <w:bookmarkEnd w:id="26"/>
    <w:p>
      <w:pPr>
        <w:rPr>
          <w:rFonts w:hint="eastAsia" w:ascii="仿宋" w:hAnsi="仿宋" w:eastAsia="仿宋" w:cs="仿宋"/>
          <w:b/>
          <w:color w:val="auto"/>
          <w:sz w:val="36"/>
          <w:szCs w:val="36"/>
          <w:highlight w:val="none"/>
        </w:rPr>
      </w:pPr>
      <w:bookmarkStart w:id="395" w:name="第五部分"/>
      <w:bookmarkStart w:id="396" w:name="_Toc86217003"/>
    </w:p>
    <w:p>
      <w:pP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br w:type="page"/>
      </w:r>
    </w:p>
    <w:p>
      <w:pPr>
        <w:spacing w:line="360" w:lineRule="auto"/>
        <w:ind w:left="720" w:leftChars="343" w:firstLine="1084" w:firstLineChars="300"/>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第五部分 拟签订的合同文本</w:t>
      </w:r>
    </w:p>
    <w:p>
      <w:pPr>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合同编号：</w:t>
      </w:r>
      <w:r>
        <w:rPr>
          <w:rFonts w:hint="eastAsia" w:ascii="仿宋" w:hAnsi="仿宋" w:eastAsia="仿宋" w:cs="仿宋"/>
          <w:color w:val="auto"/>
          <w:sz w:val="24"/>
          <w:highlight w:val="none"/>
          <w:u w:val="single"/>
        </w:rPr>
        <w:t xml:space="preserve">           </w:t>
      </w:r>
    </w:p>
    <w:p>
      <w:pPr>
        <w:spacing w:line="480" w:lineRule="auto"/>
        <w:jc w:val="center"/>
        <w:rPr>
          <w:rFonts w:hint="eastAsia" w:ascii="仿宋" w:hAnsi="仿宋" w:eastAsia="仿宋" w:cs="仿宋"/>
          <w:b/>
          <w:color w:val="auto"/>
          <w:sz w:val="28"/>
          <w:szCs w:val="28"/>
          <w:highlight w:val="none"/>
        </w:rPr>
      </w:pPr>
    </w:p>
    <w:p>
      <w:pPr>
        <w:spacing w:line="480" w:lineRule="auto"/>
        <w:jc w:val="center"/>
        <w:rPr>
          <w:rFonts w:hint="eastAsia" w:ascii="仿宋" w:hAnsi="仿宋" w:eastAsia="仿宋" w:cs="仿宋"/>
          <w:b/>
          <w:color w:val="auto"/>
          <w:sz w:val="24"/>
          <w:highlight w:val="none"/>
        </w:rPr>
      </w:pPr>
    </w:p>
    <w:p>
      <w:pPr>
        <w:spacing w:line="480" w:lineRule="auto"/>
        <w:jc w:val="center"/>
        <w:rPr>
          <w:rFonts w:hint="eastAsia" w:ascii="仿宋" w:hAnsi="仿宋" w:eastAsia="仿宋" w:cs="仿宋"/>
          <w:b/>
          <w:color w:val="auto"/>
          <w:sz w:val="24"/>
          <w:highlight w:val="none"/>
        </w:rPr>
      </w:pPr>
    </w:p>
    <w:p>
      <w:pPr>
        <w:spacing w:line="48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政府采购合同参考范本</w:t>
      </w:r>
    </w:p>
    <w:p>
      <w:pPr>
        <w:spacing w:line="480" w:lineRule="auto"/>
        <w:jc w:val="center"/>
        <w:rPr>
          <w:rFonts w:hint="eastAsia" w:ascii="仿宋" w:hAnsi="仿宋" w:eastAsia="仿宋" w:cs="仿宋"/>
          <w:b/>
          <w:color w:val="auto"/>
          <w:sz w:val="36"/>
          <w:szCs w:val="36"/>
          <w:highlight w:val="none"/>
        </w:rPr>
      </w:pPr>
    </w:p>
    <w:p>
      <w:pPr>
        <w:pStyle w:val="387"/>
        <w:rPr>
          <w:rFonts w:hint="eastAsia" w:ascii="仿宋" w:hAnsi="仿宋" w:eastAsia="仿宋" w:cs="仿宋"/>
          <w:color w:val="auto"/>
          <w:szCs w:val="24"/>
          <w:highlight w:val="none"/>
        </w:rPr>
      </w:pPr>
    </w:p>
    <w:p>
      <w:pPr>
        <w:pStyle w:val="387"/>
        <w:jc w:val="center"/>
        <w:rPr>
          <w:rFonts w:hint="eastAsia" w:ascii="仿宋" w:hAnsi="仿宋" w:eastAsia="仿宋" w:cs="仿宋"/>
          <w:color w:val="auto"/>
          <w:szCs w:val="24"/>
          <w:highlight w:val="none"/>
        </w:rPr>
      </w:pPr>
    </w:p>
    <w:p>
      <w:pPr>
        <w:pStyle w:val="387"/>
        <w:rPr>
          <w:rFonts w:hint="eastAsia" w:ascii="仿宋" w:hAnsi="仿宋" w:eastAsia="仿宋" w:cs="仿宋"/>
          <w:color w:val="auto"/>
          <w:szCs w:val="24"/>
          <w:highlight w:val="none"/>
        </w:rPr>
      </w:pPr>
    </w:p>
    <w:p>
      <w:pPr>
        <w:pStyle w:val="387"/>
        <w:rPr>
          <w:rFonts w:hint="eastAsia" w:ascii="仿宋" w:hAnsi="仿宋" w:eastAsia="仿宋" w:cs="仿宋"/>
          <w:color w:val="auto"/>
          <w:szCs w:val="24"/>
          <w:highlight w:val="none"/>
        </w:rPr>
      </w:pPr>
    </w:p>
    <w:p>
      <w:pPr>
        <w:spacing w:before="120" w:line="22" w:lineRule="atLeast"/>
        <w:rPr>
          <w:rFonts w:hint="eastAsia" w:ascii="仿宋" w:hAnsi="仿宋" w:eastAsia="仿宋" w:cs="仿宋"/>
          <w:color w:val="auto"/>
          <w:sz w:val="24"/>
          <w:highlight w:val="none"/>
        </w:rPr>
      </w:pPr>
    </w:p>
    <w:p>
      <w:pPr>
        <w:spacing w:before="120" w:line="22" w:lineRule="atLeast"/>
        <w:ind w:left="96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u w:val="single"/>
        </w:rPr>
        <w:t xml:space="preserve">                                   </w:t>
      </w:r>
    </w:p>
    <w:p>
      <w:pPr>
        <w:pStyle w:val="284"/>
        <w:spacing w:before="120" w:line="22" w:lineRule="atLeast"/>
        <w:rPr>
          <w:rFonts w:hint="eastAsia" w:ascii="仿宋" w:hAnsi="仿宋" w:eastAsia="仿宋" w:cs="仿宋"/>
          <w:color w:val="auto"/>
          <w:szCs w:val="24"/>
          <w:highlight w:val="none"/>
        </w:rPr>
      </w:pPr>
    </w:p>
    <w:p>
      <w:pPr>
        <w:pStyle w:val="284"/>
        <w:spacing w:before="120" w:line="22" w:lineRule="atLeast"/>
        <w:rPr>
          <w:rFonts w:hint="eastAsia" w:ascii="仿宋" w:hAnsi="仿宋" w:eastAsia="仿宋" w:cs="仿宋"/>
          <w:color w:val="auto"/>
          <w:szCs w:val="24"/>
          <w:highlight w:val="none"/>
        </w:rPr>
      </w:pPr>
    </w:p>
    <w:p>
      <w:pPr>
        <w:rPr>
          <w:rFonts w:hint="eastAsia" w:ascii="仿宋" w:hAnsi="仿宋" w:eastAsia="仿宋" w:cs="仿宋"/>
          <w:color w:val="auto"/>
          <w:sz w:val="24"/>
          <w:highlight w:val="none"/>
        </w:rPr>
      </w:pPr>
    </w:p>
    <w:p>
      <w:pPr>
        <w:spacing w:before="120" w:line="22" w:lineRule="atLeast"/>
        <w:ind w:left="96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甲方：</w:t>
      </w:r>
      <w:r>
        <w:rPr>
          <w:rFonts w:hint="eastAsia" w:ascii="仿宋" w:hAnsi="仿宋" w:eastAsia="仿宋" w:cs="仿宋"/>
          <w:color w:val="auto"/>
          <w:sz w:val="24"/>
          <w:highlight w:val="none"/>
          <w:u w:val="single"/>
        </w:rPr>
        <w:t xml:space="preserve">                                       </w:t>
      </w:r>
    </w:p>
    <w:p>
      <w:pPr>
        <w:spacing w:before="120" w:line="22" w:lineRule="atLeast"/>
        <w:rPr>
          <w:rFonts w:hint="eastAsia" w:ascii="仿宋" w:hAnsi="仿宋" w:eastAsia="仿宋" w:cs="仿宋"/>
          <w:color w:val="auto"/>
          <w:sz w:val="24"/>
          <w:highlight w:val="none"/>
        </w:rPr>
      </w:pPr>
    </w:p>
    <w:p>
      <w:pPr>
        <w:spacing w:before="120" w:line="22" w:lineRule="atLeast"/>
        <w:ind w:left="96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乙方：</w:t>
      </w:r>
      <w:r>
        <w:rPr>
          <w:rFonts w:hint="eastAsia" w:ascii="仿宋" w:hAnsi="仿宋" w:eastAsia="仿宋" w:cs="仿宋"/>
          <w:color w:val="auto"/>
          <w:sz w:val="24"/>
          <w:highlight w:val="none"/>
          <w:u w:val="single"/>
        </w:rPr>
        <w:t xml:space="preserve">                                       </w:t>
      </w:r>
    </w:p>
    <w:p>
      <w:pPr>
        <w:spacing w:before="120" w:line="22" w:lineRule="atLeast"/>
        <w:rPr>
          <w:rFonts w:hint="eastAsia" w:ascii="仿宋" w:hAnsi="仿宋" w:eastAsia="仿宋" w:cs="仿宋"/>
          <w:color w:val="auto"/>
          <w:sz w:val="24"/>
          <w:highlight w:val="none"/>
        </w:rPr>
      </w:pPr>
    </w:p>
    <w:p>
      <w:pPr>
        <w:spacing w:before="120" w:line="22" w:lineRule="atLeast"/>
        <w:ind w:firstLine="960" w:firstLineChars="4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签订地：</w:t>
      </w:r>
      <w:r>
        <w:rPr>
          <w:rFonts w:hint="eastAsia" w:ascii="仿宋" w:hAnsi="仿宋" w:eastAsia="仿宋" w:cs="仿宋"/>
          <w:color w:val="auto"/>
          <w:sz w:val="24"/>
          <w:highlight w:val="none"/>
          <w:u w:val="single"/>
        </w:rPr>
        <w:t xml:space="preserve">                                     </w:t>
      </w:r>
    </w:p>
    <w:p>
      <w:pPr>
        <w:spacing w:before="120" w:line="22" w:lineRule="atLeast"/>
        <w:rPr>
          <w:rFonts w:hint="eastAsia" w:ascii="仿宋" w:hAnsi="仿宋" w:eastAsia="仿宋" w:cs="仿宋"/>
          <w:color w:val="auto"/>
          <w:sz w:val="24"/>
          <w:highlight w:val="none"/>
        </w:rPr>
      </w:pPr>
    </w:p>
    <w:p>
      <w:pPr>
        <w:spacing w:before="120" w:line="22" w:lineRule="atLeast"/>
        <w:ind w:firstLine="960" w:firstLineChars="4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签订日期：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widowControl/>
        <w:jc w:val="left"/>
        <w:rPr>
          <w:rFonts w:hint="eastAsia" w:ascii="仿宋" w:hAnsi="仿宋" w:eastAsia="仿宋" w:cs="仿宋"/>
          <w:color w:val="auto"/>
          <w:kern w:val="0"/>
          <w:sz w:val="24"/>
          <w:highlight w:val="none"/>
        </w:rPr>
        <w:sectPr>
          <w:pgSz w:w="11907" w:h="16840"/>
          <w:pgMar w:top="1474" w:right="1814" w:bottom="1474" w:left="1814" w:header="851" w:footer="851" w:gutter="0"/>
          <w:cols w:space="720" w:num="1"/>
        </w:sectPr>
      </w:pPr>
    </w:p>
    <w:p>
      <w:pPr>
        <w:pStyle w:val="33"/>
        <w:adjustRightInd w:val="0"/>
        <w:snapToGrid w:val="0"/>
        <w:spacing w:line="360" w:lineRule="auto"/>
        <w:ind w:left="0" w:leftChars="0" w:right="0"/>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甲方：（买方）</w:t>
      </w:r>
    </w:p>
    <w:p>
      <w:pPr>
        <w:pStyle w:val="33"/>
        <w:adjustRightInd w:val="0"/>
        <w:snapToGrid w:val="0"/>
        <w:spacing w:line="360" w:lineRule="auto"/>
        <w:ind w:left="0" w:leftChars="0" w:right="0"/>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乙方：（卖方）</w:t>
      </w:r>
    </w:p>
    <w:p>
      <w:pPr>
        <w:pStyle w:val="33"/>
        <w:adjustRightInd w:val="0"/>
        <w:snapToGrid w:val="0"/>
        <w:spacing w:line="360" w:lineRule="auto"/>
        <w:ind w:left="0" w:leftChars="0" w:right="0" w:firstLine="482" w:firstLineChars="200"/>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甲、乙双方根据                  项目（项目编号：</w:t>
      </w:r>
      <w:r>
        <w:rPr>
          <w:rFonts w:hint="eastAsia" w:ascii="仿宋" w:hAnsi="仿宋" w:eastAsia="仿宋" w:cs="仿宋"/>
          <w:b/>
          <w:bCs/>
          <w:color w:val="auto"/>
          <w:sz w:val="24"/>
          <w:szCs w:val="24"/>
          <w:highlight w:val="none"/>
          <w:lang w:val="en-US" w:eastAsia="zh-CN"/>
        </w:rPr>
        <w:t xml:space="preserve">         </w:t>
      </w:r>
      <w:r>
        <w:rPr>
          <w:rFonts w:hint="eastAsia" w:ascii="仿宋" w:hAnsi="仿宋" w:eastAsia="仿宋" w:cs="仿宋"/>
          <w:b/>
          <w:bCs/>
          <w:color w:val="auto"/>
          <w:sz w:val="24"/>
          <w:szCs w:val="24"/>
          <w:highlight w:val="none"/>
        </w:rPr>
        <w:t xml:space="preserve"> ）公开招标的结果，签署本合同。</w:t>
      </w:r>
    </w:p>
    <w:p>
      <w:pPr>
        <w:spacing w:line="560" w:lineRule="exact"/>
        <w:ind w:firstLine="482" w:firstLineChars="200"/>
        <w:outlineLvl w:val="0"/>
        <w:rPr>
          <w:rFonts w:hint="eastAsia" w:ascii="仿宋" w:hAnsi="仿宋" w:eastAsia="仿宋" w:cs="仿宋"/>
          <w:b/>
          <w:color w:val="auto"/>
          <w:sz w:val="24"/>
          <w:highlight w:val="none"/>
        </w:rPr>
      </w:pPr>
      <w:bookmarkStart w:id="397" w:name="_Toc2918"/>
      <w:bookmarkStart w:id="398" w:name="_Toc6311"/>
      <w:bookmarkStart w:id="399" w:name="_Toc18585"/>
      <w:bookmarkStart w:id="400" w:name="_Toc22185"/>
      <w:bookmarkStart w:id="401" w:name="_Toc6773"/>
      <w:r>
        <w:rPr>
          <w:rFonts w:hint="eastAsia" w:ascii="仿宋" w:hAnsi="仿宋" w:eastAsia="仿宋" w:cs="仿宋"/>
          <w:b/>
          <w:color w:val="auto"/>
          <w:sz w:val="24"/>
          <w:highlight w:val="none"/>
        </w:rPr>
        <w:t>1</w:t>
      </w:r>
      <w:r>
        <w:rPr>
          <w:rFonts w:hint="eastAsia" w:ascii="仿宋" w:hAnsi="仿宋" w:eastAsia="仿宋" w:cs="仿宋"/>
          <w:b/>
          <w:color w:val="auto"/>
          <w:sz w:val="24"/>
          <w:highlight w:val="none"/>
          <w:lang w:eastAsia="zh-CN"/>
        </w:rPr>
        <w:t>、</w:t>
      </w:r>
      <w:r>
        <w:rPr>
          <w:rFonts w:hint="eastAsia" w:ascii="仿宋" w:hAnsi="仿宋" w:eastAsia="仿宋" w:cs="仿宋"/>
          <w:b/>
          <w:color w:val="auto"/>
          <w:sz w:val="24"/>
          <w:highlight w:val="none"/>
        </w:rPr>
        <w:t>标的</w:t>
      </w:r>
      <w:bookmarkEnd w:id="397"/>
      <w:bookmarkEnd w:id="398"/>
      <w:bookmarkEnd w:id="399"/>
      <w:bookmarkEnd w:id="400"/>
      <w:bookmarkEnd w:id="401"/>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标的名称：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1.2标的数量：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1.3 标的质量：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pStyle w:val="33"/>
        <w:adjustRightInd w:val="0"/>
        <w:snapToGrid w:val="0"/>
        <w:spacing w:line="360" w:lineRule="auto"/>
        <w:ind w:left="0" w:leftChars="0" w:right="0" w:firstLine="482" w:firstLineChars="200"/>
        <w:outlineLvl w:val="9"/>
        <w:rPr>
          <w:rFonts w:hint="eastAsia" w:ascii="仿宋" w:hAnsi="仿宋" w:eastAsia="仿宋" w:cs="仿宋"/>
          <w:b/>
          <w:bCs/>
          <w:color w:val="auto"/>
          <w:sz w:val="24"/>
          <w:szCs w:val="24"/>
          <w:highlight w:val="none"/>
        </w:rPr>
      </w:pPr>
    </w:p>
    <w:p>
      <w:pPr>
        <w:pStyle w:val="33"/>
        <w:adjustRightInd w:val="0"/>
        <w:snapToGrid w:val="0"/>
        <w:spacing w:line="360" w:lineRule="auto"/>
        <w:ind w:left="0" w:leftChars="0" w:right="0" w:firstLine="482" w:firstLineChars="200"/>
        <w:outlineLvl w:val="9"/>
        <w:rPr>
          <w:rFonts w:hint="eastAsia" w:ascii="仿宋" w:hAnsi="仿宋" w:eastAsia="仿宋" w:cs="仿宋"/>
          <w:b/>
          <w:bCs/>
          <w:color w:val="auto"/>
          <w:sz w:val="24"/>
          <w:szCs w:val="24"/>
          <w:highlight w:val="none"/>
        </w:rPr>
      </w:pPr>
      <w:r>
        <w:rPr>
          <w:rFonts w:hint="eastAsia" w:ascii="仿宋" w:hAnsi="仿宋" w:eastAsia="仿宋" w:cs="仿宋"/>
          <w:b/>
          <w:color w:val="auto"/>
          <w:sz w:val="24"/>
          <w:highlight w:val="none"/>
          <w:lang w:val="en-US" w:eastAsia="zh-CN"/>
        </w:rPr>
        <w:t>2、</w:t>
      </w:r>
      <w:r>
        <w:rPr>
          <w:rFonts w:hint="eastAsia" w:ascii="仿宋" w:hAnsi="仿宋" w:eastAsia="仿宋" w:cs="仿宋"/>
          <w:b/>
          <w:color w:val="auto"/>
          <w:sz w:val="24"/>
          <w:highlight w:val="none"/>
        </w:rPr>
        <w:t>价款</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本合同总价为：￥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元（大写：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元人民币）。</w:t>
      </w:r>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分项价格：</w:t>
      </w:r>
    </w:p>
    <w:tbl>
      <w:tblPr>
        <w:tblStyle w:val="6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p>
        </w:tc>
      </w:tr>
    </w:tbl>
    <w:p>
      <w:pPr>
        <w:spacing w:line="360" w:lineRule="auto"/>
        <w:ind w:firstLine="480" w:firstLineChars="200"/>
        <w:rPr>
          <w:rFonts w:hint="eastAsia" w:ascii="仿宋" w:hAnsi="仿宋" w:eastAsia="仿宋" w:cs="仿宋"/>
          <w:color w:val="auto"/>
          <w:kern w:val="0"/>
          <w:sz w:val="24"/>
          <w:szCs w:val="20"/>
          <w:highlight w:val="none"/>
        </w:rPr>
      </w:pPr>
    </w:p>
    <w:p>
      <w:pPr>
        <w:pStyle w:val="33"/>
        <w:adjustRightInd w:val="0"/>
        <w:snapToGrid w:val="0"/>
        <w:spacing w:line="360" w:lineRule="auto"/>
        <w:ind w:left="0" w:leftChars="0" w:right="0"/>
        <w:outlineLvl w:val="9"/>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b/>
          <w:bCs/>
          <w:color w:val="auto"/>
          <w:sz w:val="24"/>
          <w:szCs w:val="24"/>
          <w:highlight w:val="none"/>
        </w:rPr>
        <w:t xml:space="preserve"> </w:t>
      </w: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rPr>
        <w:t>技术资料</w:t>
      </w:r>
    </w:p>
    <w:p>
      <w:pPr>
        <w:pStyle w:val="33"/>
        <w:adjustRightInd w:val="0"/>
        <w:snapToGrid w:val="0"/>
        <w:spacing w:line="360" w:lineRule="auto"/>
        <w:ind w:left="0" w:leftChars="0" w:right="0"/>
        <w:outlineLvl w:val="9"/>
        <w:rPr>
          <w:rFonts w:hint="eastAsia" w:ascii="仿宋" w:hAnsi="仿宋" w:eastAsia="仿宋" w:cs="仿宋"/>
          <w:bCs w:val="0"/>
          <w:color w:val="auto"/>
          <w:kern w:val="0"/>
          <w:sz w:val="24"/>
          <w:szCs w:val="20"/>
          <w:highlight w:val="none"/>
          <w:lang w:val="en-US" w:eastAsia="zh-CN" w:bidi="ar-SA"/>
        </w:rPr>
      </w:pPr>
      <w:r>
        <w:rPr>
          <w:rFonts w:hint="eastAsia" w:ascii="仿宋" w:hAnsi="仿宋" w:eastAsia="仿宋" w:cs="仿宋"/>
          <w:bCs/>
          <w:color w:val="auto"/>
          <w:sz w:val="24"/>
          <w:szCs w:val="24"/>
          <w:highlight w:val="none"/>
        </w:rPr>
        <w:t xml:space="preserve">  </w:t>
      </w:r>
      <w:r>
        <w:rPr>
          <w:rFonts w:hint="eastAsia" w:ascii="仿宋" w:hAnsi="仿宋" w:eastAsia="仿宋" w:cs="仿宋"/>
          <w:bCs w:val="0"/>
          <w:color w:val="auto"/>
          <w:kern w:val="0"/>
          <w:sz w:val="24"/>
          <w:szCs w:val="20"/>
          <w:highlight w:val="none"/>
          <w:lang w:val="en-US" w:eastAsia="zh-CN" w:bidi="ar-SA"/>
        </w:rPr>
        <w:t xml:space="preserve">  3.1乙方应按招标文件规定的时间向甲方提供使用货物的有关技术资料。</w:t>
      </w:r>
    </w:p>
    <w:p>
      <w:pPr>
        <w:adjustRightInd w:val="0"/>
        <w:snapToGrid/>
        <w:spacing w:line="360" w:lineRule="auto"/>
        <w:ind w:left="0" w:leftChars="0" w:right="0" w:firstLine="480" w:firstLineChars="200"/>
        <w:outlineLvl w:val="9"/>
        <w:rPr>
          <w:rFonts w:hint="eastAsia" w:ascii="仿宋" w:hAnsi="仿宋" w:eastAsia="仿宋" w:cs="仿宋"/>
          <w:b w:val="0"/>
          <w:color w:val="auto"/>
          <w:sz w:val="24"/>
          <w:szCs w:val="20"/>
          <w:highlight w:val="none"/>
        </w:rPr>
      </w:pPr>
      <w:r>
        <w:rPr>
          <w:rFonts w:hint="eastAsia" w:ascii="仿宋" w:hAnsi="仿宋" w:eastAsia="仿宋" w:cs="仿宋"/>
          <w:bCs w:val="0"/>
          <w:color w:val="auto"/>
          <w:kern w:val="0"/>
          <w:sz w:val="24"/>
          <w:szCs w:val="20"/>
          <w:highlight w:val="none"/>
          <w:lang w:val="en-US" w:eastAsia="zh-CN"/>
        </w:rPr>
        <w:t>3.2</w:t>
      </w:r>
      <w:r>
        <w:rPr>
          <w:rFonts w:hint="eastAsia" w:ascii="仿宋" w:hAnsi="仿宋" w:eastAsia="仿宋" w:cs="仿宋"/>
          <w:bCs w:val="0"/>
          <w:color w:val="auto"/>
          <w:kern w:val="0"/>
          <w:sz w:val="24"/>
          <w:szCs w:val="20"/>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r>
        <w:rPr>
          <w:rFonts w:hint="eastAsia" w:ascii="仿宋" w:hAnsi="仿宋" w:eastAsia="仿宋" w:cs="仿宋"/>
          <w:bCs w:val="0"/>
          <w:color w:val="auto"/>
          <w:sz w:val="24"/>
          <w:szCs w:val="20"/>
          <w:highlight w:val="none"/>
        </w:rPr>
        <w:t>。</w:t>
      </w:r>
    </w:p>
    <w:p>
      <w:pPr>
        <w:adjustRightInd w:val="0"/>
        <w:snapToGrid w:val="0"/>
        <w:spacing w:line="360" w:lineRule="auto"/>
        <w:ind w:left="0" w:leftChars="0" w:right="0" w:firstLine="354" w:firstLineChars="147"/>
        <w:outlineLvl w:val="9"/>
        <w:rPr>
          <w:rFonts w:hint="eastAsia" w:ascii="仿宋" w:hAnsi="仿宋" w:eastAsia="仿宋" w:cs="仿宋"/>
          <w:b/>
          <w:bCs w:val="0"/>
          <w:color w:val="auto"/>
          <w:sz w:val="24"/>
          <w:szCs w:val="24"/>
          <w:highlight w:val="none"/>
        </w:rPr>
      </w:pPr>
      <w:r>
        <w:rPr>
          <w:rFonts w:hint="eastAsia" w:ascii="仿宋" w:hAnsi="仿宋" w:eastAsia="仿宋" w:cs="仿宋"/>
          <w:b/>
          <w:color w:val="auto"/>
          <w:sz w:val="24"/>
          <w:szCs w:val="24"/>
          <w:highlight w:val="none"/>
          <w:lang w:val="en-US" w:eastAsia="zh-CN"/>
        </w:rPr>
        <w:t xml:space="preserve"> 4.</w:t>
      </w:r>
      <w:r>
        <w:rPr>
          <w:rFonts w:hint="eastAsia" w:ascii="仿宋" w:hAnsi="仿宋" w:eastAsia="仿宋" w:cs="仿宋"/>
          <w:b/>
          <w:color w:val="auto"/>
          <w:sz w:val="24"/>
          <w:szCs w:val="24"/>
          <w:highlight w:val="none"/>
        </w:rPr>
        <w:t>权利担保</w:t>
      </w:r>
    </w:p>
    <w:p>
      <w:pPr>
        <w:adjustRightInd w:val="0"/>
        <w:snapToGrid/>
        <w:spacing w:line="360" w:lineRule="auto"/>
        <w:ind w:left="0" w:leftChars="0" w:right="0" w:firstLine="480" w:firstLineChars="200"/>
        <w:outlineLvl w:val="9"/>
        <w:rPr>
          <w:rFonts w:hint="eastAsia" w:ascii="仿宋" w:hAnsi="仿宋" w:eastAsia="仿宋" w:cs="仿宋"/>
          <w:bCs w:val="0"/>
          <w:color w:val="auto"/>
          <w:sz w:val="24"/>
          <w:szCs w:val="20"/>
          <w:highlight w:val="none"/>
        </w:rPr>
      </w:pPr>
      <w:r>
        <w:rPr>
          <w:rFonts w:hint="eastAsia" w:ascii="仿宋" w:hAnsi="仿宋" w:eastAsia="仿宋" w:cs="仿宋"/>
          <w:bCs w:val="0"/>
          <w:color w:val="auto"/>
          <w:sz w:val="24"/>
          <w:szCs w:val="20"/>
          <w:highlight w:val="none"/>
          <w:lang w:val="en-US" w:eastAsia="zh-CN"/>
        </w:rPr>
        <w:t>4.1</w:t>
      </w:r>
      <w:r>
        <w:rPr>
          <w:rFonts w:hint="eastAsia" w:ascii="仿宋" w:hAnsi="仿宋" w:eastAsia="仿宋" w:cs="仿宋"/>
          <w:bCs w:val="0"/>
          <w:color w:val="auto"/>
          <w:sz w:val="24"/>
          <w:szCs w:val="20"/>
          <w:highlight w:val="none"/>
        </w:rPr>
        <w:t>乙方应保证所提供的货物或其任何一部分均不会侵犯任何第三方的知识产权。</w:t>
      </w:r>
    </w:p>
    <w:p>
      <w:pPr>
        <w:adjustRightInd w:val="0"/>
        <w:snapToGrid/>
        <w:spacing w:line="360" w:lineRule="auto"/>
        <w:ind w:left="0" w:leftChars="0" w:right="0" w:firstLine="480" w:firstLineChars="200"/>
        <w:outlineLvl w:val="9"/>
        <w:rPr>
          <w:rFonts w:hint="eastAsia" w:ascii="仿宋" w:hAnsi="仿宋" w:eastAsia="仿宋" w:cs="仿宋"/>
          <w:bCs w:val="0"/>
          <w:color w:val="auto"/>
          <w:sz w:val="24"/>
          <w:szCs w:val="20"/>
          <w:highlight w:val="none"/>
        </w:rPr>
      </w:pPr>
      <w:r>
        <w:rPr>
          <w:rFonts w:hint="eastAsia" w:ascii="仿宋" w:hAnsi="仿宋" w:eastAsia="仿宋" w:cs="仿宋"/>
          <w:bCs w:val="0"/>
          <w:color w:val="auto"/>
          <w:sz w:val="24"/>
          <w:szCs w:val="20"/>
          <w:highlight w:val="none"/>
          <w:lang w:val="en-US" w:eastAsia="zh-CN"/>
        </w:rPr>
        <w:t>4.2</w:t>
      </w:r>
      <w:r>
        <w:rPr>
          <w:rFonts w:hint="eastAsia" w:ascii="仿宋" w:hAnsi="仿宋" w:eastAsia="仿宋" w:cs="仿宋"/>
          <w:bCs w:val="0"/>
          <w:color w:val="auto"/>
          <w:sz w:val="24"/>
          <w:szCs w:val="20"/>
          <w:highlight w:val="none"/>
        </w:rPr>
        <w:t>乙方保证所交付的货物的所有权完全属于乙方且无任何抵押、查封等产权瑕疵。</w:t>
      </w:r>
    </w:p>
    <w:p>
      <w:pPr>
        <w:adjustRightInd w:val="0"/>
        <w:snapToGrid w:val="0"/>
        <w:spacing w:line="360" w:lineRule="auto"/>
        <w:ind w:left="0" w:leftChars="0" w:right="0" w:firstLine="354" w:firstLineChars="147"/>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 xml:space="preserve"> 5.</w:t>
      </w:r>
      <w:r>
        <w:rPr>
          <w:rFonts w:hint="eastAsia" w:ascii="仿宋" w:hAnsi="仿宋" w:eastAsia="仿宋" w:cs="仿宋"/>
          <w:b/>
          <w:color w:val="auto"/>
          <w:sz w:val="24"/>
          <w:szCs w:val="24"/>
          <w:highlight w:val="none"/>
        </w:rPr>
        <w:t>履约保证金</w:t>
      </w:r>
    </w:p>
    <w:p>
      <w:pPr>
        <w:pStyle w:val="618"/>
        <w:spacing w:before="0" w:beforeAutospacing="0" w:after="0" w:afterAutospacing="0" w:line="360" w:lineRule="auto"/>
        <w:ind w:firstLine="42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 xml:space="preserve"> 5.</w:t>
      </w:r>
      <w:r>
        <w:rPr>
          <w:rFonts w:hint="eastAsia" w:ascii="仿宋" w:hAnsi="仿宋" w:eastAsia="仿宋" w:cs="仿宋"/>
          <w:color w:val="auto"/>
          <w:highlight w:val="none"/>
        </w:rPr>
        <w:t>1 采购文件要求乙方提交履约保证金的，乙方应按</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rPr>
        <w:t>的方式，以支票、汇票、本票或者金融机构、担保机构出具的保函等非现金形式，提交不超过合同金额</w:t>
      </w:r>
      <w:r>
        <w:rPr>
          <w:rFonts w:hint="eastAsia" w:ascii="仿宋" w:hAnsi="仿宋" w:eastAsia="仿宋" w:cs="仿宋"/>
          <w:color w:val="auto"/>
          <w:highlight w:val="none"/>
          <w:lang w:val="en-US" w:eastAsia="zh-CN"/>
        </w:rPr>
        <w:t>1</w:t>
      </w:r>
      <w:r>
        <w:rPr>
          <w:rFonts w:hint="eastAsia" w:ascii="仿宋" w:hAnsi="仿宋" w:eastAsia="仿宋" w:cs="仿宋"/>
          <w:color w:val="auto"/>
          <w:highlight w:val="none"/>
        </w:rPr>
        <w:t>%的履约保证金；鼓励和支持乙方以银行、保险公司出具的保函形式提供履约保证。</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.2  履约保证金在</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期间内不予退还。乙方在前述约定期间届满前能履行完合同约定义务事项的，甲方在前述约定期间届满之日起</w:t>
      </w:r>
      <w:r>
        <w:rPr>
          <w:rFonts w:hint="eastAsia" w:ascii="仿宋" w:hAnsi="仿宋" w:eastAsia="仿宋" w:cs="仿宋"/>
          <w:color w:val="auto"/>
          <w:sz w:val="24"/>
          <w:highlight w:val="none"/>
          <w:u w:val="single"/>
        </w:rPr>
        <w:t xml:space="preserve"> 5 </w:t>
      </w:r>
      <w:r>
        <w:rPr>
          <w:rFonts w:hint="eastAsia" w:ascii="仿宋" w:hAnsi="仿宋" w:eastAsia="仿宋" w:cs="仿宋"/>
          <w:color w:val="auto"/>
          <w:sz w:val="24"/>
          <w:highlight w:val="none"/>
        </w:rPr>
        <w:t>个工作日内，</w:t>
      </w:r>
      <w:r>
        <w:rPr>
          <w:rFonts w:hint="eastAsia" w:ascii="仿宋" w:hAnsi="仿宋" w:eastAsia="仿宋" w:cs="仿宋"/>
          <w:color w:val="auto"/>
          <w:sz w:val="24"/>
          <w:highlight w:val="none"/>
          <w:lang w:val="en-US" w:eastAsia="zh-CN"/>
        </w:rPr>
        <w:t>以</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方式将履约保证金退还乙方，逾期退还的，乙方可要求甲方支付违约金，违约金按每迟延退还一日的应退还而未退还金额的</w:t>
      </w:r>
      <w:r>
        <w:rPr>
          <w:rFonts w:hint="eastAsia" w:ascii="仿宋" w:hAnsi="仿宋" w:eastAsia="仿宋" w:cs="仿宋"/>
          <w:color w:val="auto"/>
          <w:sz w:val="24"/>
          <w:highlight w:val="none"/>
          <w:u w:val="single"/>
        </w:rPr>
        <w:t xml:space="preserve">  0.05  </w:t>
      </w:r>
      <w:r>
        <w:rPr>
          <w:rFonts w:hint="eastAsia" w:ascii="仿宋" w:hAnsi="仿宋" w:eastAsia="仿宋" w:cs="仿宋"/>
          <w:color w:val="auto"/>
          <w:sz w:val="24"/>
          <w:highlight w:val="none"/>
        </w:rPr>
        <w:t>%计算，最高限额为本合同履约保证金的</w:t>
      </w:r>
      <w:r>
        <w:rPr>
          <w:rFonts w:hint="eastAsia" w:ascii="仿宋" w:hAnsi="仿宋" w:eastAsia="仿宋" w:cs="仿宋"/>
          <w:color w:val="auto"/>
          <w:sz w:val="24"/>
          <w:highlight w:val="none"/>
          <w:u w:val="single"/>
        </w:rPr>
        <w:t xml:space="preserve">  20   </w:t>
      </w:r>
      <w:r>
        <w:rPr>
          <w:rFonts w:hint="eastAsia" w:ascii="仿宋" w:hAnsi="仿宋" w:eastAsia="仿宋" w:cs="仿宋"/>
          <w:color w:val="auto"/>
          <w:sz w:val="24"/>
          <w:highlight w:val="non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甲方在乙方履行完合同约定义务事项后及时退还，延迟退还的，应当按照合同约定和法律规定承担相应的赔偿责任。</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5.5</w:t>
      </w:r>
      <w:r>
        <w:rPr>
          <w:rFonts w:hint="eastAsia" w:ascii="仿宋" w:hAnsi="仿宋" w:eastAsia="仿宋" w:cs="仿宋"/>
          <w:color w:val="auto"/>
          <w:sz w:val="24"/>
          <w:highlight w:val="none"/>
        </w:rPr>
        <w:t>对于因甲方原因导致变更、中止或者终止政府采购合同的，甲方应当依照合同约定对供应商受到的损失予以赔偿或者补偿。</w:t>
      </w:r>
    </w:p>
    <w:p>
      <w:pPr>
        <w:adjustRightInd w:val="0"/>
        <w:snapToGrid w:val="0"/>
        <w:spacing w:line="360" w:lineRule="auto"/>
        <w:ind w:left="0" w:leftChars="0" w:right="0" w:firstLine="352" w:firstLineChars="147"/>
        <w:outlineLvl w:val="9"/>
        <w:rPr>
          <w:rFonts w:hint="eastAsia" w:ascii="仿宋" w:hAnsi="仿宋" w:eastAsia="仿宋" w:cs="仿宋"/>
          <w:b/>
          <w:color w:val="auto"/>
          <w:sz w:val="24"/>
          <w:szCs w:val="24"/>
          <w:highlight w:val="none"/>
        </w:rPr>
      </w:pPr>
      <w:r>
        <w:rPr>
          <w:rFonts w:hint="eastAsia" w:ascii="仿宋" w:hAnsi="仿宋" w:eastAsia="仿宋" w:cs="仿宋"/>
          <w:bCs/>
          <w:color w:val="auto"/>
          <w:sz w:val="24"/>
          <w:szCs w:val="24"/>
          <w:highlight w:val="none"/>
          <w:lang w:val="en-US" w:eastAsia="zh-CN"/>
        </w:rPr>
        <w:t xml:space="preserve"> </w:t>
      </w:r>
      <w:r>
        <w:rPr>
          <w:rFonts w:hint="eastAsia" w:ascii="仿宋" w:hAnsi="仿宋" w:eastAsia="仿宋" w:cs="仿宋"/>
          <w:b/>
          <w:bCs w:val="0"/>
          <w:color w:val="auto"/>
          <w:sz w:val="24"/>
          <w:szCs w:val="24"/>
          <w:highlight w:val="none"/>
          <w:lang w:val="en-US" w:eastAsia="zh-CN"/>
        </w:rPr>
        <w:t>6.</w:t>
      </w:r>
      <w:r>
        <w:rPr>
          <w:rFonts w:hint="eastAsia" w:ascii="仿宋" w:hAnsi="仿宋" w:eastAsia="仿宋" w:cs="仿宋"/>
          <w:b/>
          <w:bCs w:val="0"/>
          <w:color w:val="auto"/>
          <w:sz w:val="24"/>
          <w:szCs w:val="24"/>
          <w:highlight w:val="none"/>
        </w:rPr>
        <w:t>转包</w:t>
      </w:r>
      <w:r>
        <w:rPr>
          <w:rFonts w:hint="eastAsia" w:ascii="仿宋" w:hAnsi="仿宋" w:eastAsia="仿宋" w:cs="仿宋"/>
          <w:b/>
          <w:color w:val="auto"/>
          <w:sz w:val="24"/>
          <w:szCs w:val="24"/>
          <w:highlight w:val="none"/>
        </w:rPr>
        <w:t>或分包</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.2乙方采取分包方式履行合同的，甲方可直接向分包供应商支付款项。</w:t>
      </w:r>
    </w:p>
    <w:p>
      <w:pPr>
        <w:adjustRightInd w:val="0"/>
        <w:snapToGrid w:val="0"/>
        <w:spacing w:line="360" w:lineRule="auto"/>
        <w:ind w:left="0" w:leftChars="0" w:right="0" w:firstLine="354" w:firstLineChars="147"/>
        <w:outlineLvl w:val="9"/>
        <w:rPr>
          <w:rFonts w:hint="eastAsia" w:ascii="仿宋" w:hAnsi="仿宋" w:eastAsia="仿宋" w:cs="仿宋"/>
          <w:bCs/>
          <w:color w:val="auto"/>
          <w:sz w:val="24"/>
          <w:szCs w:val="24"/>
          <w:highlight w:val="none"/>
        </w:rPr>
      </w:pPr>
      <w:r>
        <w:rPr>
          <w:rFonts w:hint="eastAsia" w:ascii="仿宋" w:hAnsi="仿宋" w:eastAsia="仿宋" w:cs="仿宋"/>
          <w:b/>
          <w:color w:val="auto"/>
          <w:sz w:val="24"/>
          <w:szCs w:val="24"/>
          <w:highlight w:val="none"/>
          <w:lang w:val="en-US" w:eastAsia="zh-CN"/>
        </w:rPr>
        <w:t>7.</w:t>
      </w:r>
      <w:r>
        <w:rPr>
          <w:rFonts w:hint="eastAsia" w:ascii="仿宋" w:hAnsi="仿宋" w:eastAsia="仿宋" w:cs="仿宋"/>
          <w:b/>
          <w:color w:val="auto"/>
          <w:sz w:val="24"/>
          <w:szCs w:val="24"/>
          <w:highlight w:val="none"/>
        </w:rPr>
        <w:t>质保期</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质保期：产品验收合格使用之日起，质保期</w:t>
      </w:r>
      <w:r>
        <w:rPr>
          <w:rFonts w:hint="eastAsia" w:ascii="仿宋" w:hAnsi="仿宋" w:eastAsia="仿宋" w:cs="仿宋"/>
          <w:bCs/>
          <w:color w:val="auto"/>
          <w:sz w:val="24"/>
          <w:szCs w:val="24"/>
          <w:highlight w:val="none"/>
          <w:lang w:val="en-US" w:eastAsia="zh-CN"/>
        </w:rPr>
        <w:t xml:space="preserve"> </w:t>
      </w:r>
      <w:r>
        <w:rPr>
          <w:rFonts w:hint="eastAsia" w:ascii="仿宋" w:hAnsi="仿宋" w:eastAsia="仿宋" w:cs="仿宋"/>
          <w:bCs/>
          <w:color w:val="auto"/>
          <w:sz w:val="24"/>
          <w:szCs w:val="24"/>
          <w:highlight w:val="none"/>
          <w:u w:val="single" w:color="auto"/>
          <w:lang w:val="en-US" w:eastAsia="zh-CN"/>
        </w:rPr>
        <w:t xml:space="preserve">        </w:t>
      </w:r>
      <w:r>
        <w:rPr>
          <w:rFonts w:hint="eastAsia" w:ascii="仿宋" w:hAnsi="仿宋" w:eastAsia="仿宋" w:cs="仿宋"/>
          <w:bCs/>
          <w:color w:val="auto"/>
          <w:sz w:val="24"/>
          <w:szCs w:val="24"/>
          <w:highlight w:val="none"/>
        </w:rPr>
        <w:t>年（具体再参照乙方按投标文件承诺确定），质保期内的维修费用（包括材料）全部由乙方负责。超过质保期的，维修时只收部件成本费。</w:t>
      </w:r>
    </w:p>
    <w:p>
      <w:pPr>
        <w:spacing w:line="560" w:lineRule="exact"/>
        <w:ind w:firstLine="482" w:firstLineChars="200"/>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8</w:t>
      </w:r>
      <w:r>
        <w:rPr>
          <w:rFonts w:hint="eastAsia" w:ascii="仿宋" w:hAnsi="仿宋" w:eastAsia="仿宋" w:cs="仿宋"/>
          <w:b/>
          <w:color w:val="auto"/>
          <w:sz w:val="24"/>
          <w:highlight w:val="none"/>
        </w:rPr>
        <w:t>.履行期限、地点和方式</w:t>
      </w:r>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1 履行期限：</w:t>
      </w:r>
      <w:r>
        <w:rPr>
          <w:rFonts w:hint="eastAsia" w:ascii="仿宋" w:hAnsi="仿宋" w:eastAsia="仿宋" w:cs="仿宋"/>
          <w:color w:val="auto"/>
          <w:sz w:val="24"/>
          <w:highlight w:val="none"/>
          <w:u w:val="single" w:color="auto"/>
        </w:rPr>
        <w:t>合同期限为</w:t>
      </w:r>
      <w:r>
        <w:rPr>
          <w:rFonts w:hint="eastAsia" w:ascii="仿宋" w:hAnsi="仿宋" w:eastAsia="仿宋" w:cs="仿宋"/>
          <w:color w:val="auto"/>
          <w:sz w:val="24"/>
          <w:highlight w:val="none"/>
          <w:u w:val="single" w:color="auto"/>
          <w:lang w:val="en-US" w:eastAsia="zh-CN"/>
        </w:rPr>
        <w:t>签订合同之日起至20年   月   日</w:t>
      </w:r>
      <w:r>
        <w:rPr>
          <w:rFonts w:hint="eastAsia" w:ascii="仿宋" w:hAnsi="仿宋" w:eastAsia="仿宋" w:cs="仿宋"/>
          <w:color w:val="auto"/>
          <w:sz w:val="24"/>
          <w:highlight w:val="none"/>
          <w:u w:val="single" w:color="auto"/>
        </w:rPr>
        <w:t>。合同期满后，乙方根据甲方需求另行签订补充服务协议；</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2 履行地点：</w:t>
      </w:r>
      <w:r>
        <w:rPr>
          <w:rFonts w:hint="eastAsia" w:ascii="仿宋" w:hAnsi="仿宋" w:eastAsia="仿宋" w:cs="仿宋"/>
          <w:color w:val="auto"/>
          <w:sz w:val="24"/>
          <w:highlight w:val="none"/>
          <w:u w:val="single" w:color="auto"/>
          <w:lang w:val="en-US" w:eastAsia="zh-CN"/>
        </w:rPr>
        <w:t xml:space="preserve">                        </w:t>
      </w:r>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3 履行方式：</w:t>
      </w:r>
      <w:r>
        <w:rPr>
          <w:rFonts w:hint="eastAsia" w:ascii="仿宋" w:hAnsi="仿宋" w:eastAsia="仿宋" w:cs="仿宋"/>
          <w:color w:val="auto"/>
          <w:sz w:val="24"/>
          <w:highlight w:val="none"/>
          <w:u w:val="single" w:color="auto"/>
          <w:lang w:val="en-US" w:eastAsia="zh-CN"/>
        </w:rPr>
        <w:t xml:space="preserve">                        </w:t>
      </w:r>
      <w:r>
        <w:rPr>
          <w:rFonts w:hint="eastAsia" w:ascii="仿宋" w:hAnsi="仿宋" w:eastAsia="仿宋" w:cs="仿宋"/>
          <w:color w:val="auto"/>
          <w:sz w:val="24"/>
          <w:highlight w:val="none"/>
        </w:rPr>
        <w:t>。</w:t>
      </w:r>
    </w:p>
    <w:p>
      <w:pPr>
        <w:spacing w:line="360" w:lineRule="auto"/>
        <w:ind w:firstLine="482" w:firstLineChars="200"/>
        <w:outlineLvl w:val="0"/>
        <w:rPr>
          <w:rFonts w:hint="eastAsia" w:ascii="仿宋" w:hAnsi="仿宋" w:eastAsia="仿宋" w:cs="仿宋"/>
          <w:b/>
          <w:color w:val="auto"/>
          <w:sz w:val="24"/>
          <w:highlight w:val="none"/>
        </w:rPr>
      </w:pPr>
      <w:r>
        <w:rPr>
          <w:rFonts w:hint="eastAsia" w:ascii="仿宋" w:hAnsi="仿宋" w:eastAsia="仿宋" w:cs="仿宋"/>
          <w:b/>
          <w:bCs w:val="0"/>
          <w:color w:val="auto"/>
          <w:sz w:val="24"/>
          <w:szCs w:val="24"/>
          <w:highlight w:val="none"/>
          <w:lang w:val="en-US" w:eastAsia="zh-CN"/>
        </w:rPr>
        <w:t>9.</w:t>
      </w:r>
      <w:r>
        <w:rPr>
          <w:rFonts w:hint="eastAsia" w:ascii="仿宋" w:hAnsi="仿宋" w:eastAsia="仿宋" w:cs="仿宋"/>
          <w:b/>
          <w:color w:val="auto"/>
          <w:sz w:val="24"/>
          <w:highlight w:val="none"/>
        </w:rPr>
        <w:t>付款方式、时间和条件</w:t>
      </w:r>
    </w:p>
    <w:p>
      <w:pPr>
        <w:pStyle w:val="618"/>
        <w:spacing w:before="0" w:beforeAutospacing="0" w:after="0" w:afterAutospacing="0"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9.</w:t>
      </w:r>
      <w:r>
        <w:rPr>
          <w:rFonts w:hint="eastAsia" w:ascii="仿宋" w:hAnsi="仿宋" w:eastAsia="仿宋" w:cs="仿宋"/>
          <w:color w:val="auto"/>
          <w:highlight w:val="none"/>
        </w:rPr>
        <w:t>1甲方应严格履行合同，及时组织验收，验收合格后及时将合同款支付完毕。对于满足合同约定支付条件的，甲方自收到发票后</w:t>
      </w:r>
      <w:r>
        <w:rPr>
          <w:rFonts w:hint="eastAsia" w:ascii="仿宋" w:hAnsi="仿宋" w:eastAsia="仿宋" w:cs="仿宋"/>
          <w:color w:val="auto"/>
          <w:highlight w:val="none"/>
          <w:lang w:val="en-US" w:eastAsia="zh-CN"/>
        </w:rPr>
        <w:t>7</w:t>
      </w:r>
      <w:r>
        <w:rPr>
          <w:rFonts w:hint="eastAsia" w:ascii="仿宋" w:hAnsi="仿宋" w:eastAsia="仿宋" w:cs="仿宋"/>
          <w:color w:val="auto"/>
          <w:highlight w:val="none"/>
        </w:rPr>
        <w:t>个工作日内将资金支付到合同约定的乙方账户，有条件的甲方可以即时支付。甲方不得以机构变动、人员更替、政策调整、单位放假等为由延迟付款。</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.2甲方在政府采购合同中约定预付款，预付款比例为合同金额的</w:t>
      </w:r>
      <w:r>
        <w:rPr>
          <w:rFonts w:hint="eastAsia" w:ascii="仿宋" w:hAnsi="仿宋" w:eastAsia="仿宋" w:cs="仿宋"/>
          <w:color w:val="auto"/>
          <w:sz w:val="24"/>
          <w:highlight w:val="none"/>
          <w:lang w:val="en-US" w:eastAsia="zh-CN"/>
        </w:rPr>
        <w:t>40</w:t>
      </w:r>
      <w:r>
        <w:rPr>
          <w:rFonts w:hint="eastAsia" w:ascii="仿宋" w:hAnsi="仿宋" w:eastAsia="仿宋" w:cs="仿宋"/>
          <w:color w:val="auto"/>
          <w:sz w:val="24"/>
          <w:highlight w:val="none"/>
        </w:rPr>
        <w:t>％；项目分年安排预算的，每年预付款比例为项目年度计划支付资金额的</w:t>
      </w:r>
      <w:r>
        <w:rPr>
          <w:rFonts w:hint="eastAsia" w:ascii="仿宋" w:hAnsi="仿宋" w:eastAsia="仿宋" w:cs="仿宋"/>
          <w:color w:val="auto"/>
          <w:sz w:val="24"/>
          <w:highlight w:val="none"/>
          <w:lang w:val="en-US" w:eastAsia="zh-CN"/>
        </w:rPr>
        <w:t>40</w:t>
      </w:r>
      <w:r>
        <w:rPr>
          <w:rFonts w:hint="eastAsia" w:ascii="仿宋" w:hAnsi="仿宋" w:eastAsia="仿宋" w:cs="仿宋"/>
          <w:color w:val="auto"/>
          <w:sz w:val="24"/>
          <w:highlight w:val="none"/>
        </w:rPr>
        <w:t>％。采购项目实施以人工投入为主的，可适当降低预付款比例，但不低于</w:t>
      </w:r>
      <w:r>
        <w:rPr>
          <w:rFonts w:hint="eastAsia" w:ascii="仿宋" w:hAnsi="仿宋" w:eastAsia="仿宋" w:cs="仿宋"/>
          <w:color w:val="auto"/>
          <w:sz w:val="24"/>
          <w:highlight w:val="none"/>
          <w:lang w:val="en-US" w:eastAsia="zh-CN"/>
        </w:rPr>
        <w:t>20</w:t>
      </w:r>
      <w:r>
        <w:rPr>
          <w:rFonts w:hint="eastAsia" w:ascii="仿宋" w:hAnsi="仿宋" w:eastAsia="仿宋" w:cs="仿宋"/>
          <w:color w:val="auto"/>
          <w:sz w:val="24"/>
          <w:highlight w:val="none"/>
        </w:rPr>
        <w:t>%。甲方可以根据项目特点、乙方信用等实际情况提高预付款比例，最高预付比例可以达到</w:t>
      </w:r>
      <w:r>
        <w:rPr>
          <w:rFonts w:hint="eastAsia" w:ascii="仿宋" w:hAnsi="仿宋" w:eastAsia="仿宋" w:cs="仿宋"/>
          <w:color w:val="auto"/>
          <w:sz w:val="24"/>
          <w:highlight w:val="none"/>
          <w:lang w:val="en-US" w:eastAsia="zh-CN"/>
        </w:rPr>
        <w:t>70</w:t>
      </w:r>
      <w:r>
        <w:rPr>
          <w:rFonts w:hint="eastAsia" w:ascii="仿宋" w:hAnsi="仿宋" w:eastAsia="仿宋" w:cs="仿宋"/>
          <w:color w:val="auto"/>
          <w:sz w:val="24"/>
          <w:highlight w:val="none"/>
        </w:rPr>
        <w:t>%。乙方可登录政采云前台大厅选择金融服务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.3甲方迟延支付乙方款项的，向乙方支付逾期利息。双方可以在合同专用条款中约定逾期利率，约定利率不得低于合同订立时1年期贷款市场报价利率；未作约定的，按照每日利率万分之五支付逾期利息。</w:t>
      </w:r>
    </w:p>
    <w:p>
      <w:pPr>
        <w:spacing w:line="360" w:lineRule="auto"/>
        <w:ind w:firstLine="480" w:firstLineChars="2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.4资金支付的方式、时间和条</w:t>
      </w:r>
      <w:r>
        <w:rPr>
          <w:rFonts w:hint="eastAsia" w:ascii="仿宋" w:hAnsi="仿宋" w:eastAsia="仿宋" w:cs="仿宋"/>
          <w:color w:val="auto"/>
          <w:sz w:val="24"/>
          <w:highlight w:val="none"/>
          <w:lang w:val="en-US" w:eastAsia="zh-CN"/>
        </w:rPr>
        <w:t>件：</w:t>
      </w:r>
      <w:r>
        <w:rPr>
          <w:rFonts w:hint="eastAsia" w:ascii="仿宋" w:hAnsi="仿宋" w:eastAsia="仿宋" w:cs="仿宋"/>
          <w:color w:val="auto"/>
          <w:sz w:val="24"/>
          <w:highlight w:val="none"/>
          <w:u w:val="single" w:color="auto"/>
          <w:lang w:val="en-US" w:eastAsia="zh-CN"/>
        </w:rPr>
        <w:t xml:space="preserve">                            </w:t>
      </w:r>
      <w:r>
        <w:rPr>
          <w:rFonts w:hint="eastAsia" w:ascii="仿宋" w:hAnsi="仿宋" w:eastAsia="仿宋" w:cs="仿宋"/>
          <w:color w:val="auto"/>
          <w:sz w:val="24"/>
          <w:highlight w:val="none"/>
        </w:rPr>
        <w:t>。</w:t>
      </w:r>
    </w:p>
    <w:p>
      <w:pPr>
        <w:spacing w:line="360" w:lineRule="auto"/>
        <w:ind w:firstLine="480" w:firstLineChars="2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adjustRightInd w:val="0"/>
        <w:snapToGrid w:val="0"/>
        <w:spacing w:line="360" w:lineRule="auto"/>
        <w:ind w:left="0" w:leftChars="0" w:right="0" w:firstLine="352" w:firstLineChars="147"/>
        <w:outlineLvl w:val="9"/>
        <w:rPr>
          <w:rFonts w:hint="eastAsia" w:ascii="仿宋" w:hAnsi="仿宋" w:eastAsia="仿宋" w:cs="仿宋"/>
          <w:b/>
          <w:color w:val="auto"/>
          <w:sz w:val="24"/>
          <w:szCs w:val="24"/>
          <w:highlight w:val="none"/>
        </w:rPr>
      </w:pPr>
      <w:r>
        <w:rPr>
          <w:rFonts w:hint="eastAsia" w:ascii="仿宋" w:hAnsi="仿宋" w:eastAsia="仿宋" w:cs="仿宋"/>
          <w:bCs/>
          <w:color w:val="auto"/>
          <w:sz w:val="24"/>
          <w:szCs w:val="24"/>
          <w:highlight w:val="none"/>
          <w:lang w:val="en-US" w:eastAsia="zh-CN"/>
        </w:rPr>
        <w:t xml:space="preserve"> 10</w:t>
      </w:r>
      <w:r>
        <w:rPr>
          <w:rFonts w:hint="eastAsia" w:ascii="仿宋" w:hAnsi="仿宋" w:eastAsia="仿宋" w:cs="仿宋"/>
          <w:b/>
          <w:color w:val="auto"/>
          <w:sz w:val="24"/>
          <w:szCs w:val="24"/>
          <w:highlight w:val="none"/>
          <w:lang w:val="en-US" w:eastAsia="zh-CN"/>
        </w:rPr>
        <w:t>.</w:t>
      </w:r>
      <w:r>
        <w:rPr>
          <w:rFonts w:hint="eastAsia" w:ascii="仿宋" w:hAnsi="仿宋" w:eastAsia="仿宋" w:cs="仿宋"/>
          <w:b/>
          <w:color w:val="auto"/>
          <w:sz w:val="24"/>
          <w:szCs w:val="24"/>
          <w:highlight w:val="none"/>
        </w:rPr>
        <w:t>税费</w:t>
      </w:r>
    </w:p>
    <w:p>
      <w:pPr>
        <w:adjustRightInd w:val="0"/>
        <w:snapToGrid/>
        <w:spacing w:line="360" w:lineRule="auto"/>
        <w:ind w:left="0" w:leftChars="0" w:right="0" w:firstLine="480" w:firstLineChars="200"/>
        <w:outlineLvl w:val="9"/>
        <w:rPr>
          <w:rFonts w:hint="eastAsia" w:ascii="仿宋" w:hAnsi="仿宋" w:eastAsia="仿宋" w:cs="仿宋"/>
          <w:bCs/>
          <w:color w:val="auto"/>
          <w:sz w:val="24"/>
          <w:szCs w:val="24"/>
          <w:highlight w:val="none"/>
        </w:rPr>
      </w:pPr>
      <w:r>
        <w:rPr>
          <w:rFonts w:hint="eastAsia" w:ascii="仿宋" w:hAnsi="仿宋" w:eastAsia="仿宋" w:cs="仿宋"/>
          <w:color w:val="auto"/>
          <w:sz w:val="24"/>
          <w:highlight w:val="none"/>
        </w:rPr>
        <w:t>与合同有关的一切税费，均按照中华人民共和国法律的相关规定缴纳。</w:t>
      </w:r>
    </w:p>
    <w:p>
      <w:pPr>
        <w:adjustRightInd w:val="0"/>
        <w:snapToGrid w:val="0"/>
        <w:spacing w:line="360" w:lineRule="auto"/>
        <w:ind w:left="0" w:leftChars="0" w:right="0" w:firstLine="352" w:firstLineChars="147"/>
        <w:outlineLvl w:val="9"/>
        <w:rPr>
          <w:rFonts w:hint="eastAsia" w:ascii="仿宋" w:hAnsi="仿宋" w:eastAsia="仿宋" w:cs="仿宋"/>
          <w:b/>
          <w:color w:val="auto"/>
          <w:sz w:val="24"/>
          <w:szCs w:val="24"/>
          <w:highlight w:val="none"/>
        </w:rPr>
      </w:pPr>
      <w:r>
        <w:rPr>
          <w:rFonts w:hint="eastAsia" w:ascii="仿宋" w:hAnsi="仿宋" w:eastAsia="仿宋" w:cs="仿宋"/>
          <w:bCs/>
          <w:color w:val="auto"/>
          <w:sz w:val="24"/>
          <w:szCs w:val="24"/>
          <w:highlight w:val="none"/>
        </w:rPr>
        <w:t xml:space="preserve"> </w:t>
      </w:r>
      <w:r>
        <w:rPr>
          <w:rFonts w:hint="eastAsia" w:ascii="仿宋" w:hAnsi="仿宋" w:eastAsia="仿宋" w:cs="仿宋"/>
          <w:b/>
          <w:color w:val="auto"/>
          <w:sz w:val="24"/>
          <w:szCs w:val="24"/>
          <w:highlight w:val="none"/>
          <w:lang w:val="en-US" w:eastAsia="zh-CN"/>
        </w:rPr>
        <w:t>11.</w:t>
      </w:r>
      <w:r>
        <w:rPr>
          <w:rFonts w:hint="eastAsia" w:ascii="仿宋" w:hAnsi="仿宋" w:eastAsia="仿宋" w:cs="仿宋"/>
          <w:b/>
          <w:color w:val="auto"/>
          <w:sz w:val="24"/>
          <w:szCs w:val="24"/>
          <w:highlight w:val="none"/>
        </w:rPr>
        <w:t>质量保证及售后服务</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 xml:space="preserve"> 11.1</w:t>
      </w:r>
      <w:r>
        <w:rPr>
          <w:rFonts w:hint="eastAsia" w:ascii="仿宋" w:hAnsi="仿宋" w:eastAsia="仿宋" w:cs="仿宋"/>
          <w:bCs/>
          <w:color w:val="auto"/>
          <w:sz w:val="24"/>
          <w:szCs w:val="24"/>
          <w:highlight w:val="none"/>
        </w:rPr>
        <w:t>乙方应按招标文件规定的货物性能、技术要求、质量标准向甲方提供未经使用的全产品。所使用的材料必须具有质量保证书或符合规定做的试验资料报告。严禁使用质量不合格或不符合设计要求的材料，否则乙方须承担由此产生的一切责任。如有外购产品由乙方统一配备。乙方所提供的货物必须是符合需求的合法产品，杜绝三无、假冒和走私产品。</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11.2</w:t>
      </w:r>
      <w:r>
        <w:rPr>
          <w:rFonts w:hint="eastAsia" w:ascii="仿宋" w:hAnsi="仿宋" w:eastAsia="仿宋" w:cs="仿宋"/>
          <w:bCs/>
          <w:color w:val="auto"/>
          <w:sz w:val="24"/>
          <w:szCs w:val="24"/>
          <w:highlight w:val="none"/>
        </w:rPr>
        <w:t>乙方提供的货物在质保期内因货物本身的质量问题发生故障，乙方应负责免费更换。对达不到技术要求者，根据实际情况，经双方协商，可按以下办法处理：</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更换：由乙方承担所发生的全部费用。</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贬值处理：由甲乙双方合议定价。</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退货处理：乙方应退还甲方支付的合同款，同时应承担该货物的直接费用（运输、保险、检验、货款利息及银行手续费等）。</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11.3</w:t>
      </w:r>
      <w:r>
        <w:rPr>
          <w:rFonts w:hint="eastAsia" w:ascii="仿宋" w:hAnsi="仿宋" w:eastAsia="仿宋" w:cs="仿宋"/>
          <w:bCs/>
          <w:color w:val="auto"/>
          <w:sz w:val="24"/>
          <w:szCs w:val="24"/>
          <w:highlight w:val="none"/>
        </w:rPr>
        <w:t>在质保期内，乙方应对货物出现的质量及安全问题负责处理解决并承担一切费用。</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11.4</w:t>
      </w:r>
      <w:r>
        <w:rPr>
          <w:rFonts w:hint="eastAsia" w:ascii="仿宋" w:hAnsi="仿宋" w:eastAsia="仿宋" w:cs="仿宋"/>
          <w:bCs/>
          <w:color w:val="auto"/>
          <w:sz w:val="24"/>
          <w:szCs w:val="24"/>
          <w:highlight w:val="none"/>
        </w:rPr>
        <w:t>乙方必须对所供产品实行终身维修，乙方在接到电话后2小时内响应，6小时内到达现场解决问题，最迟在2个工作日内修复，如不能修复应采取补救措施，以保证使用方的正常工作，乙方有其它服务承诺的，一并履行。</w:t>
      </w:r>
    </w:p>
    <w:p>
      <w:pPr>
        <w:adjustRightInd w:val="0"/>
        <w:snapToGrid w:val="0"/>
        <w:spacing w:line="360" w:lineRule="auto"/>
        <w:ind w:left="0" w:leftChars="0" w:right="0" w:firstLine="352" w:firstLineChars="147"/>
        <w:outlineLvl w:val="9"/>
        <w:rPr>
          <w:rFonts w:hint="eastAsia" w:ascii="仿宋" w:hAnsi="仿宋" w:eastAsia="仿宋" w:cs="仿宋"/>
          <w:color w:val="auto"/>
          <w:kern w:val="0"/>
          <w:sz w:val="24"/>
          <w:szCs w:val="24"/>
          <w:highlight w:val="none"/>
        </w:rPr>
      </w:pPr>
      <w:r>
        <w:rPr>
          <w:rFonts w:hint="eastAsia" w:ascii="仿宋" w:hAnsi="仿宋" w:eastAsia="仿宋" w:cs="仿宋"/>
          <w:bCs/>
          <w:color w:val="auto"/>
          <w:sz w:val="24"/>
          <w:szCs w:val="24"/>
          <w:highlight w:val="none"/>
          <w:lang w:val="en-US" w:eastAsia="zh-CN"/>
        </w:rPr>
        <w:t>11.5</w:t>
      </w:r>
      <w:r>
        <w:rPr>
          <w:rFonts w:hint="eastAsia" w:ascii="仿宋" w:hAnsi="仿宋" w:eastAsia="仿宋" w:cs="仿宋"/>
          <w:bCs/>
          <w:color w:val="auto"/>
          <w:sz w:val="24"/>
          <w:szCs w:val="24"/>
          <w:highlight w:val="none"/>
        </w:rPr>
        <w:t>乙方在质保期内每年应（不少于一次）到使用方进行设备保养、检修。</w:t>
      </w:r>
    </w:p>
    <w:p>
      <w:pPr>
        <w:adjustRightInd w:val="0"/>
        <w:snapToGrid w:val="0"/>
        <w:spacing w:line="360" w:lineRule="auto"/>
        <w:ind w:left="0" w:leftChars="0" w:right="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en-US" w:eastAsia="zh-CN"/>
        </w:rPr>
        <w:t>11.6</w:t>
      </w:r>
      <w:r>
        <w:rPr>
          <w:rFonts w:hint="eastAsia" w:ascii="仿宋" w:hAnsi="仿宋" w:eastAsia="仿宋" w:cs="仿宋"/>
          <w:color w:val="auto"/>
          <w:kern w:val="0"/>
          <w:sz w:val="24"/>
          <w:szCs w:val="24"/>
          <w:highlight w:val="none"/>
        </w:rPr>
        <w:t>在质保期内，乙方应兑现“投标文件”中“售后服务”的诸项相关承诺，并应对货物出现的质量及安全问题负责处理解决并承担一切费用。在质保期内乙方不得以任何理由影响用户的正常使用，乙方必须对所供产品实行终身维修，配件按市场价格收取。</w:t>
      </w:r>
    </w:p>
    <w:p>
      <w:pPr>
        <w:adjustRightInd w:val="0"/>
        <w:snapToGrid w:val="0"/>
        <w:spacing w:line="360" w:lineRule="auto"/>
        <w:ind w:left="0" w:leftChars="0" w:right="0" w:firstLine="354" w:firstLineChars="147"/>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12.</w:t>
      </w:r>
      <w:r>
        <w:rPr>
          <w:rFonts w:hint="eastAsia" w:ascii="仿宋" w:hAnsi="仿宋" w:eastAsia="仿宋" w:cs="仿宋"/>
          <w:b/>
          <w:color w:val="auto"/>
          <w:sz w:val="24"/>
          <w:szCs w:val="24"/>
          <w:highlight w:val="none"/>
        </w:rPr>
        <w:t>货物包装、发运及运输</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12.1</w:t>
      </w:r>
      <w:r>
        <w:rPr>
          <w:rFonts w:hint="eastAsia" w:ascii="仿宋" w:hAnsi="仿宋" w:eastAsia="仿宋" w:cs="仿宋"/>
          <w:bCs/>
          <w:color w:val="auto"/>
          <w:sz w:val="24"/>
          <w:szCs w:val="24"/>
          <w:highlight w:val="none"/>
        </w:rPr>
        <w:t>乙方应在货物发运前对其进行满足运输距离、防潮、防震、防锈和防破损装卸等要求包装，以保证货物安全运达甲方指定地点。</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12.2</w:t>
      </w:r>
      <w:r>
        <w:rPr>
          <w:rFonts w:hint="eastAsia" w:ascii="仿宋" w:hAnsi="仿宋" w:eastAsia="仿宋" w:cs="仿宋"/>
          <w:bCs/>
          <w:color w:val="auto"/>
          <w:sz w:val="24"/>
          <w:szCs w:val="24"/>
          <w:highlight w:val="none"/>
        </w:rPr>
        <w:t>使用说明书、质量检验证明书、随配附件和工具以及清单一并附于货物内。</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12.3</w:t>
      </w:r>
      <w:r>
        <w:rPr>
          <w:rFonts w:hint="eastAsia" w:ascii="仿宋" w:hAnsi="仿宋" w:eastAsia="仿宋" w:cs="仿宋"/>
          <w:bCs/>
          <w:color w:val="auto"/>
          <w:sz w:val="24"/>
          <w:szCs w:val="24"/>
          <w:highlight w:val="none"/>
        </w:rPr>
        <w:t>乙方在货物发运手续办理完毕后24小时内或货到甲方48小时前通知甲方，以准备接货。</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12.4</w:t>
      </w:r>
      <w:r>
        <w:rPr>
          <w:rFonts w:hint="eastAsia" w:ascii="仿宋" w:hAnsi="仿宋" w:eastAsia="仿宋" w:cs="仿宋"/>
          <w:bCs/>
          <w:color w:val="auto"/>
          <w:sz w:val="24"/>
          <w:szCs w:val="24"/>
          <w:highlight w:val="none"/>
        </w:rPr>
        <w:t>货物在交付甲方前发生的风险均由乙方负责。</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12.5</w:t>
      </w:r>
      <w:r>
        <w:rPr>
          <w:rFonts w:hint="eastAsia" w:ascii="仿宋" w:hAnsi="仿宋" w:eastAsia="仿宋" w:cs="仿宋"/>
          <w:bCs/>
          <w:color w:val="auto"/>
          <w:sz w:val="24"/>
          <w:szCs w:val="24"/>
          <w:highlight w:val="none"/>
        </w:rPr>
        <w:t>货物在规定的交付期限内由乙方送达甲方指定的地点，及时通知甲方货物已送达并安装调试完毕视为交付。</w:t>
      </w:r>
    </w:p>
    <w:p>
      <w:pPr>
        <w:adjustRightInd w:val="0"/>
        <w:snapToGrid w:val="0"/>
        <w:spacing w:line="360" w:lineRule="auto"/>
        <w:ind w:left="0" w:leftChars="0" w:right="0"/>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    </w:t>
      </w:r>
      <w:r>
        <w:rPr>
          <w:rFonts w:hint="eastAsia" w:ascii="仿宋" w:hAnsi="仿宋" w:eastAsia="仿宋" w:cs="仿宋"/>
          <w:b/>
          <w:color w:val="auto"/>
          <w:sz w:val="24"/>
          <w:szCs w:val="24"/>
          <w:highlight w:val="none"/>
          <w:lang w:val="en-US" w:eastAsia="zh-CN"/>
        </w:rPr>
        <w:t>13.</w:t>
      </w:r>
      <w:r>
        <w:rPr>
          <w:rFonts w:hint="eastAsia" w:ascii="仿宋" w:hAnsi="仿宋" w:eastAsia="仿宋" w:cs="仿宋"/>
          <w:b/>
          <w:color w:val="auto"/>
          <w:sz w:val="24"/>
          <w:szCs w:val="24"/>
          <w:highlight w:val="none"/>
        </w:rPr>
        <w:t>调试和验收</w:t>
      </w:r>
    </w:p>
    <w:p>
      <w:pPr>
        <w:adjustRightInd w:val="0"/>
        <w:snapToGrid/>
        <w:spacing w:line="360" w:lineRule="auto"/>
        <w:ind w:left="0" w:leftChars="0" w:right="0" w:firstLine="480" w:firstLineChars="200"/>
        <w:outlineLvl w:val="0"/>
        <w:rPr>
          <w:rFonts w:hint="eastAsia" w:ascii="仿宋" w:hAnsi="仿宋" w:eastAsia="仿宋" w:cs="仿宋"/>
          <w:bCs/>
          <w:color w:val="auto"/>
          <w:sz w:val="24"/>
          <w:szCs w:val="24"/>
          <w:highlight w:val="none"/>
        </w:rPr>
      </w:pPr>
      <w:r>
        <w:rPr>
          <w:rFonts w:hint="eastAsia" w:ascii="仿宋" w:hAnsi="仿宋" w:eastAsia="仿宋" w:cs="仿宋"/>
          <w:color w:val="auto"/>
          <w:sz w:val="24"/>
          <w:highlight w:val="none"/>
          <w:lang w:val="en-US" w:eastAsia="zh-CN"/>
        </w:rPr>
        <w:t>13.1</w:t>
      </w:r>
      <w:r>
        <w:rPr>
          <w:rFonts w:hint="eastAsia" w:ascii="仿宋" w:hAnsi="仿宋" w:eastAsia="仿宋" w:cs="仿宋"/>
          <w:color w:val="auto"/>
          <w:sz w:val="24"/>
          <w:highlight w:val="none"/>
          <w:u w:val="single" w:color="auto"/>
          <w:lang w:val="en-US" w:eastAsia="zh-CN"/>
        </w:rPr>
        <w:t xml:space="preserve">                                                             </w:t>
      </w:r>
      <w:r>
        <w:rPr>
          <w:rFonts w:hint="eastAsia" w:ascii="仿宋" w:hAnsi="仿宋" w:eastAsia="仿宋" w:cs="仿宋"/>
          <w:color w:val="auto"/>
          <w:sz w:val="24"/>
          <w:highlight w:val="none"/>
        </w:rPr>
        <w:t>。</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 xml:space="preserve"> 13.2</w:t>
      </w:r>
      <w:r>
        <w:rPr>
          <w:rFonts w:hint="eastAsia" w:ascii="仿宋" w:hAnsi="仿宋" w:eastAsia="仿宋" w:cs="仿宋"/>
          <w:bCs/>
          <w:color w:val="auto"/>
          <w:sz w:val="24"/>
          <w:szCs w:val="24"/>
          <w:highlight w:val="none"/>
        </w:rPr>
        <w:t>经验收不合格且无法整改的，不付款不退货，所产生的所有损失由乙方承担。</w:t>
      </w:r>
    </w:p>
    <w:p>
      <w:pPr>
        <w:adjustRightInd w:val="0"/>
        <w:snapToGrid w:val="0"/>
        <w:spacing w:line="360" w:lineRule="auto"/>
        <w:ind w:left="0" w:leftChars="0" w:right="0" w:firstLine="354" w:firstLineChars="147"/>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 xml:space="preserve"> 14.</w:t>
      </w:r>
      <w:r>
        <w:rPr>
          <w:rFonts w:hint="eastAsia" w:ascii="仿宋" w:hAnsi="仿宋" w:eastAsia="仿宋" w:cs="仿宋"/>
          <w:b/>
          <w:color w:val="auto"/>
          <w:sz w:val="24"/>
          <w:szCs w:val="24"/>
          <w:highlight w:val="none"/>
        </w:rPr>
        <w:t>违约责任</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14.</w:t>
      </w:r>
      <w:r>
        <w:rPr>
          <w:rFonts w:hint="eastAsia" w:ascii="仿宋" w:hAnsi="仿宋" w:eastAsia="仿宋" w:cs="仿宋"/>
          <w:color w:val="auto"/>
          <w:sz w:val="24"/>
          <w:highlight w:val="none"/>
        </w:rPr>
        <w:t>1 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color w:val="auto"/>
          <w:sz w:val="24"/>
          <w:highlight w:val="none"/>
          <w:u w:val="single"/>
        </w:rPr>
        <w:t xml:space="preserve">  0.05  </w:t>
      </w:r>
      <w:r>
        <w:rPr>
          <w:rFonts w:hint="eastAsia" w:ascii="仿宋" w:hAnsi="仿宋" w:eastAsia="仿宋" w:cs="仿宋"/>
          <w:color w:val="auto"/>
          <w:sz w:val="24"/>
          <w:highlight w:val="none"/>
        </w:rPr>
        <w:t>%计算，最高限额为本合同总价的</w:t>
      </w:r>
      <w:r>
        <w:rPr>
          <w:rFonts w:hint="eastAsia" w:ascii="仿宋" w:hAnsi="仿宋" w:eastAsia="仿宋" w:cs="仿宋"/>
          <w:color w:val="auto"/>
          <w:sz w:val="24"/>
          <w:highlight w:val="none"/>
          <w:u w:val="single"/>
        </w:rPr>
        <w:t xml:space="preserve"> 20  </w:t>
      </w:r>
      <w:r>
        <w:rPr>
          <w:rFonts w:hint="eastAsia" w:ascii="仿宋" w:hAnsi="仿宋" w:eastAsia="仿宋" w:cs="仿宋"/>
          <w:color w:val="auto"/>
          <w:sz w:val="24"/>
          <w:highlight w:val="none"/>
        </w:rPr>
        <w:t>%；迟延交付货物的违约金计算数额达到前述最高限额之日起，甲方有权在要求乙方支付违约金的同时，书面通知乙方解除本合同；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14</w:t>
      </w:r>
      <w:r>
        <w:rPr>
          <w:rFonts w:hint="eastAsia" w:ascii="仿宋" w:hAnsi="仿宋" w:eastAsia="仿宋" w:cs="仿宋"/>
          <w:color w:val="auto"/>
          <w:sz w:val="24"/>
          <w:highlight w:val="none"/>
        </w:rPr>
        <w:t>.2 除不可抗力外，如果甲方没有按照本合同约定的付款方式付款，那么乙方可要求甲方支付违约金，违约金按每迟延付款一日的应付而未付款的</w:t>
      </w:r>
      <w:r>
        <w:rPr>
          <w:rFonts w:hint="eastAsia" w:ascii="仿宋" w:hAnsi="仿宋" w:eastAsia="仿宋" w:cs="仿宋"/>
          <w:color w:val="auto"/>
          <w:sz w:val="24"/>
          <w:highlight w:val="none"/>
          <w:u w:val="single"/>
        </w:rPr>
        <w:t xml:space="preserve">  0.05  </w:t>
      </w:r>
      <w:r>
        <w:rPr>
          <w:rFonts w:hint="eastAsia" w:ascii="仿宋" w:hAnsi="仿宋" w:eastAsia="仿宋" w:cs="仿宋"/>
          <w:color w:val="auto"/>
          <w:sz w:val="24"/>
          <w:highlight w:val="none"/>
        </w:rPr>
        <w:t>%计算，最高限额为本合同总价的</w:t>
      </w:r>
      <w:r>
        <w:rPr>
          <w:rFonts w:hint="eastAsia" w:ascii="仿宋" w:hAnsi="仿宋" w:eastAsia="仿宋" w:cs="仿宋"/>
          <w:color w:val="auto"/>
          <w:sz w:val="24"/>
          <w:highlight w:val="none"/>
          <w:u w:val="single"/>
        </w:rPr>
        <w:t xml:space="preserve">  20   </w:t>
      </w:r>
      <w:r>
        <w:rPr>
          <w:rFonts w:hint="eastAsia" w:ascii="仿宋" w:hAnsi="仿宋" w:eastAsia="仿宋" w:cs="仿宋"/>
          <w:color w:val="auto"/>
          <w:sz w:val="24"/>
          <w:highlight w:val="none"/>
        </w:rPr>
        <w:t>%；迟延付款的违约金计算数额达到前述最高限额之日起，乙方有权在要求甲方支付违约金的同时，书面通知甲方解除本合同；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14.</w:t>
      </w:r>
      <w:r>
        <w:rPr>
          <w:rFonts w:hint="eastAsia" w:ascii="仿宋" w:hAnsi="仿宋" w:eastAsia="仿宋" w:cs="仿宋"/>
          <w:color w:val="auto"/>
          <w:sz w:val="24"/>
          <w:highlight w:val="none"/>
        </w:rPr>
        <w:t>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14</w:t>
      </w:r>
      <w:r>
        <w:rPr>
          <w:rFonts w:hint="eastAsia" w:ascii="仿宋" w:hAnsi="仿宋" w:eastAsia="仿宋" w:cs="仿宋"/>
          <w:color w:val="auto"/>
          <w:sz w:val="24"/>
          <w:highlight w:val="none"/>
        </w:rPr>
        <w:t>.4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14</w:t>
      </w:r>
      <w:r>
        <w:rPr>
          <w:rFonts w:hint="eastAsia" w:ascii="仿宋" w:hAnsi="仿宋" w:eastAsia="仿宋" w:cs="仿宋"/>
          <w:color w:val="auto"/>
          <w:sz w:val="24"/>
          <w:highlight w:val="none"/>
        </w:rPr>
        <w:t>.5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14</w:t>
      </w:r>
      <w:r>
        <w:rPr>
          <w:rFonts w:hint="eastAsia" w:ascii="仿宋" w:hAnsi="仿宋" w:eastAsia="仿宋" w:cs="仿宋"/>
          <w:color w:val="auto"/>
          <w:sz w:val="24"/>
          <w:highlight w:val="none"/>
        </w:rPr>
        <w:t>.6 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left="-420" w:leftChars="-200" w:right="-420" w:rightChars="-200" w:firstLine="960" w:firstLineChars="400"/>
        <w:rPr>
          <w:rFonts w:hint="eastAsia" w:ascii="仿宋" w:hAnsi="仿宋" w:eastAsia="仿宋" w:cs="仿宋"/>
          <w:color w:val="auto"/>
          <w:highlight w:val="none"/>
        </w:rPr>
      </w:pPr>
      <w:r>
        <w:rPr>
          <w:rFonts w:hint="eastAsia" w:ascii="仿宋" w:hAnsi="仿宋" w:eastAsia="仿宋" w:cs="仿宋"/>
          <w:color w:val="auto"/>
          <w:sz w:val="24"/>
          <w:highlight w:val="none"/>
          <w:lang w:val="en-US" w:eastAsia="zh-CN"/>
        </w:rPr>
        <w:t>14</w:t>
      </w:r>
      <w:r>
        <w:rPr>
          <w:rFonts w:hint="eastAsia" w:ascii="仿宋" w:hAnsi="仿宋" w:eastAsia="仿宋" w:cs="仿宋"/>
          <w:color w:val="auto"/>
          <w:sz w:val="24"/>
          <w:highlight w:val="none"/>
        </w:rPr>
        <w:t>.7违约责任</w:t>
      </w:r>
      <w:r>
        <w:rPr>
          <w:rFonts w:hint="eastAsia" w:ascii="仿宋" w:hAnsi="仿宋" w:eastAsia="仿宋" w:cs="仿宋"/>
          <w:color w:val="auto"/>
          <w:sz w:val="24"/>
          <w:highlight w:val="none"/>
          <w:lang w:val="en-US" w:eastAsia="zh-CN"/>
        </w:rPr>
        <w:t>采购人</w:t>
      </w:r>
      <w:r>
        <w:rPr>
          <w:rFonts w:hint="eastAsia" w:ascii="仿宋" w:hAnsi="仿宋" w:eastAsia="仿宋" w:cs="仿宋"/>
          <w:color w:val="auto"/>
          <w:sz w:val="24"/>
          <w:highlight w:val="none"/>
        </w:rPr>
        <w:t>另有约定的</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u w:val="single" w:color="auto"/>
          <w:lang w:val="en-US" w:eastAsia="zh-CN"/>
        </w:rPr>
        <w:t xml:space="preserve">                         </w:t>
      </w:r>
      <w:r>
        <w:rPr>
          <w:rFonts w:hint="eastAsia" w:ascii="仿宋" w:hAnsi="仿宋" w:eastAsia="仿宋" w:cs="仿宋"/>
          <w:color w:val="auto"/>
          <w:sz w:val="24"/>
          <w:highlight w:val="none"/>
        </w:rPr>
        <w:t>从其约定。</w:t>
      </w:r>
    </w:p>
    <w:p>
      <w:pPr>
        <w:adjustRightInd w:val="0"/>
        <w:snapToGrid/>
        <w:spacing w:line="360" w:lineRule="auto"/>
        <w:ind w:left="0" w:leftChars="0" w:right="0" w:firstLine="0" w:firstLineChars="0"/>
        <w:outlineLvl w:val="9"/>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 xml:space="preserve">    15.</w:t>
      </w:r>
      <w:r>
        <w:rPr>
          <w:rFonts w:hint="eastAsia" w:ascii="仿宋" w:hAnsi="仿宋" w:eastAsia="仿宋" w:cs="仿宋"/>
          <w:b/>
          <w:bCs/>
          <w:color w:val="auto"/>
          <w:sz w:val="24"/>
          <w:highlight w:val="none"/>
        </w:rPr>
        <w:t>不可抗力事件处理</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15.1</w:t>
      </w:r>
      <w:r>
        <w:rPr>
          <w:rFonts w:hint="eastAsia" w:ascii="仿宋" w:hAnsi="仿宋" w:eastAsia="仿宋" w:cs="仿宋"/>
          <w:color w:val="auto"/>
          <w:sz w:val="24"/>
          <w:highlight w:val="none"/>
        </w:rPr>
        <w:t>在合同有效期内，任何一方因不可抗力事件导致不能履行合同，则合同履行期可延长，其延长期与不可抗力影响期相同。</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15.2</w:t>
      </w:r>
      <w:r>
        <w:rPr>
          <w:rFonts w:hint="eastAsia" w:ascii="仿宋" w:hAnsi="仿宋" w:eastAsia="仿宋" w:cs="仿宋"/>
          <w:color w:val="auto"/>
          <w:sz w:val="24"/>
          <w:highlight w:val="none"/>
        </w:rPr>
        <w:t>不可抗力事件发生后，应立即通知对方，并寄送有关权威机构出具的证明。</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15.3</w:t>
      </w:r>
      <w:r>
        <w:rPr>
          <w:rFonts w:hint="eastAsia" w:ascii="仿宋" w:hAnsi="仿宋" w:eastAsia="仿宋" w:cs="仿宋"/>
          <w:color w:val="auto"/>
          <w:sz w:val="24"/>
          <w:highlight w:val="none"/>
        </w:rPr>
        <w:t>不可抗力事件延续120天以上，双方应通过友好协商，确定是否继续履行合同。</w:t>
      </w:r>
    </w:p>
    <w:p>
      <w:pPr>
        <w:adjustRightInd w:val="0"/>
        <w:snapToGrid/>
        <w:spacing w:line="360" w:lineRule="auto"/>
        <w:ind w:left="0" w:leftChars="0" w:right="0" w:firstLine="0" w:firstLineChars="0"/>
        <w:outlineLvl w:val="9"/>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 xml:space="preserve">    16.</w:t>
      </w:r>
      <w:r>
        <w:rPr>
          <w:rFonts w:hint="eastAsia" w:ascii="仿宋" w:hAnsi="仿宋" w:eastAsia="仿宋" w:cs="仿宋"/>
          <w:b/>
          <w:bCs/>
          <w:color w:val="auto"/>
          <w:sz w:val="24"/>
          <w:highlight w:val="none"/>
        </w:rPr>
        <w:t>诉讼</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双方在执行合同中所发生的一切争议，应通过协商解决。如协商不成，可向甲方所在地法院起诉。</w:t>
      </w:r>
    </w:p>
    <w:p>
      <w:pPr>
        <w:adjustRightInd w:val="0"/>
        <w:snapToGrid/>
        <w:spacing w:line="360" w:lineRule="auto"/>
        <w:ind w:left="0" w:leftChars="0" w:right="0" w:firstLine="0" w:firstLineChars="0"/>
        <w:outlineLvl w:val="9"/>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 xml:space="preserve">    17.</w:t>
      </w:r>
      <w:r>
        <w:rPr>
          <w:rFonts w:hint="eastAsia" w:ascii="仿宋" w:hAnsi="仿宋" w:eastAsia="仿宋" w:cs="仿宋"/>
          <w:b/>
          <w:bCs/>
          <w:color w:val="auto"/>
          <w:sz w:val="24"/>
          <w:highlight w:val="none"/>
        </w:rPr>
        <w:t>合同生效及其它</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17.1</w:t>
      </w:r>
      <w:r>
        <w:rPr>
          <w:rFonts w:hint="eastAsia" w:ascii="仿宋" w:hAnsi="仿宋" w:eastAsia="仿宋" w:cs="仿宋"/>
          <w:color w:val="auto"/>
          <w:sz w:val="24"/>
          <w:highlight w:val="none"/>
        </w:rPr>
        <w:t>招标文件、投标文件、更正公告、中标通知书、承诺函等均作为本合同组成部分，具有同等效力。</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17.2</w:t>
      </w:r>
      <w:r>
        <w:rPr>
          <w:rFonts w:hint="eastAsia" w:ascii="仿宋" w:hAnsi="仿宋" w:eastAsia="仿宋" w:cs="仿宋"/>
          <w:color w:val="auto"/>
          <w:sz w:val="24"/>
          <w:highlight w:val="none"/>
        </w:rPr>
        <w:t>合同经双方法定代表人或其授权代表签字并加盖单位公章后方可生效。</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17.3</w:t>
      </w:r>
      <w:r>
        <w:rPr>
          <w:rFonts w:hint="eastAsia" w:ascii="仿宋" w:hAnsi="仿宋" w:eastAsia="仿宋" w:cs="仿宋"/>
          <w:color w:val="auto"/>
          <w:sz w:val="24"/>
          <w:highlight w:val="none"/>
        </w:rPr>
        <w:t>合同执行中涉及采购资金和采购内容修改或补充的，须经财政部门审批，并签书面补充协议报政府采购监督管理部门备案，作为主合同不可分割的一部分。</w:t>
      </w:r>
    </w:p>
    <w:p>
      <w:pPr>
        <w:snapToGrid/>
        <w:spacing w:line="360" w:lineRule="auto"/>
        <w:ind w:firstLine="0" w:firstLineChars="0"/>
        <w:rPr>
          <w:rFonts w:hint="eastAsia" w:ascii="仿宋" w:hAnsi="仿宋" w:eastAsia="仿宋" w:cs="仿宋"/>
          <w:b/>
          <w:bCs/>
          <w:color w:val="auto"/>
          <w:sz w:val="24"/>
          <w:highlight w:val="non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b/>
          <w:bCs/>
          <w:color w:val="auto"/>
          <w:sz w:val="24"/>
          <w:highlight w:val="none"/>
          <w:lang w:eastAsia="zh-CN"/>
        </w:rPr>
        <w:t>1</w:t>
      </w:r>
      <w:r>
        <w:rPr>
          <w:rFonts w:hint="eastAsia" w:ascii="仿宋" w:hAnsi="仿宋" w:eastAsia="仿宋" w:cs="仿宋"/>
          <w:b/>
          <w:bCs/>
          <w:color w:val="auto"/>
          <w:sz w:val="24"/>
          <w:highlight w:val="none"/>
          <w:lang w:val="en-US" w:eastAsia="zh-CN"/>
        </w:rPr>
        <w:t>7.4</w:t>
      </w:r>
      <w:r>
        <w:rPr>
          <w:rFonts w:hint="eastAsia" w:ascii="仿宋" w:hAnsi="仿宋" w:eastAsia="仿宋" w:cs="仿宋"/>
          <w:b/>
          <w:bCs/>
          <w:color w:val="auto"/>
          <w:sz w:val="24"/>
          <w:highlight w:val="none"/>
          <w:lang w:val="zh-CN"/>
        </w:rPr>
        <w:t>本合同</w:t>
      </w:r>
      <w:r>
        <w:rPr>
          <w:rFonts w:hint="eastAsia" w:ascii="仿宋" w:hAnsi="仿宋" w:eastAsia="仿宋" w:cs="仿宋"/>
          <w:b/>
          <w:bCs/>
          <w:color w:val="auto"/>
          <w:sz w:val="24"/>
          <w:highlight w:val="none"/>
        </w:rPr>
        <w:t>（□是  □</w:t>
      </w:r>
      <w:r>
        <w:rPr>
          <w:rFonts w:hint="eastAsia" w:ascii="仿宋" w:hAnsi="仿宋" w:eastAsia="仿宋" w:cs="仿宋"/>
          <w:b/>
          <w:bCs/>
          <w:color w:val="auto"/>
          <w:sz w:val="24"/>
          <w:highlight w:val="none"/>
          <w:lang w:val="zh-CN"/>
        </w:rPr>
        <w:t>否</w:t>
      </w:r>
      <w:r>
        <w:rPr>
          <w:rFonts w:hint="eastAsia" w:ascii="仿宋" w:hAnsi="仿宋" w:eastAsia="仿宋" w:cs="仿宋"/>
          <w:b/>
          <w:bCs/>
          <w:color w:val="auto"/>
          <w:sz w:val="24"/>
          <w:highlight w:val="none"/>
        </w:rPr>
        <w:t>）</w:t>
      </w:r>
      <w:r>
        <w:rPr>
          <w:rFonts w:hint="eastAsia" w:ascii="仿宋" w:hAnsi="仿宋" w:eastAsia="仿宋" w:cs="仿宋"/>
          <w:b/>
          <w:bCs/>
          <w:color w:val="auto"/>
          <w:sz w:val="24"/>
          <w:highlight w:val="none"/>
          <w:lang w:val="zh-CN"/>
        </w:rPr>
        <w:t>为可融资合同</w:t>
      </w:r>
      <w:r>
        <w:rPr>
          <w:rFonts w:hint="eastAsia" w:ascii="仿宋" w:hAnsi="仿宋" w:eastAsia="仿宋" w:cs="仿宋"/>
          <w:b/>
          <w:bCs/>
          <w:color w:val="auto"/>
          <w:sz w:val="24"/>
          <w:highlight w:val="none"/>
        </w:rPr>
        <w:t>，</w:t>
      </w:r>
      <w:r>
        <w:rPr>
          <w:rFonts w:hint="eastAsia" w:ascii="仿宋" w:hAnsi="仿宋" w:eastAsia="仿宋" w:cs="仿宋"/>
          <w:b/>
          <w:bCs/>
          <w:color w:val="auto"/>
          <w:sz w:val="24"/>
          <w:highlight w:val="none"/>
          <w:lang w:val="zh-CN"/>
        </w:rPr>
        <w:t>关于中小企业信用融资事项</w:t>
      </w:r>
      <w:r>
        <w:rPr>
          <w:rFonts w:hint="eastAsia" w:ascii="仿宋" w:hAnsi="仿宋" w:eastAsia="仿宋" w:cs="仿宋"/>
          <w:b/>
          <w:bCs/>
          <w:color w:val="auto"/>
          <w:sz w:val="24"/>
          <w:highlight w:val="none"/>
        </w:rPr>
        <w:t>详见《政府采购支持中小企业信用融资相关事项通知》，或登录杭州市政府采购网“中小企业信用融资”模块，查看信用融资政策文件及各相关银行服务方案。</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17.5</w:t>
      </w:r>
      <w:r>
        <w:rPr>
          <w:rFonts w:hint="eastAsia" w:ascii="仿宋" w:hAnsi="仿宋" w:eastAsia="仿宋" w:cs="仿宋"/>
          <w:color w:val="auto"/>
          <w:sz w:val="24"/>
          <w:highlight w:val="none"/>
        </w:rPr>
        <w:t>本合同未尽事宜，遵照《</w:t>
      </w:r>
      <w:r>
        <w:rPr>
          <w:rFonts w:hint="eastAsia" w:ascii="仿宋" w:hAnsi="仿宋" w:eastAsia="仿宋" w:cs="仿宋"/>
          <w:color w:val="auto"/>
          <w:sz w:val="24"/>
          <w:highlight w:val="none"/>
          <w:lang w:val="en-US" w:eastAsia="zh-CN"/>
        </w:rPr>
        <w:t>民法典</w:t>
      </w:r>
      <w:r>
        <w:rPr>
          <w:rFonts w:hint="eastAsia" w:ascii="仿宋" w:hAnsi="仿宋" w:eastAsia="仿宋" w:cs="仿宋"/>
          <w:color w:val="auto"/>
          <w:sz w:val="24"/>
          <w:highlight w:val="none"/>
        </w:rPr>
        <w:t>》有关条文执行。</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17.6</w:t>
      </w:r>
      <w:r>
        <w:rPr>
          <w:rFonts w:hint="eastAsia" w:ascii="仿宋" w:hAnsi="仿宋" w:eastAsia="仿宋" w:cs="仿宋"/>
          <w:color w:val="auto"/>
          <w:sz w:val="24"/>
          <w:highlight w:val="none"/>
        </w:rPr>
        <w:t xml:space="preserve">本合同一式多份，具有同等法律效力，甲乙双方、区财政局采购监管科、验收单位，各执一份。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甲方（盖章）：                         乙方（盖章）：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法定代表人：                          法定代表人：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或授权代表（签字）：                   或授权代表（签字）：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地址：                                地址：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邮编：                                邮编：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电话：                                电话：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传真：                                传真：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开户银行：                            开户银行：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帐号：                                帐号：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p>
    <w:p>
      <w:pPr>
        <w:adjustRightInd w:val="0"/>
        <w:snapToGrid/>
        <w:spacing w:line="360" w:lineRule="auto"/>
        <w:ind w:left="0" w:leftChars="0" w:right="0" w:firstLine="0" w:firstLineChars="0"/>
        <w:jc w:val="center"/>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签约时间：      年    月   日</w:t>
      </w:r>
    </w:p>
    <w:p>
      <w:pPr>
        <w:wordWrap/>
        <w:spacing w:line="360" w:lineRule="auto"/>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签约地点： </w:t>
      </w:r>
    </w:p>
    <w:p>
      <w:pPr>
        <w:wordWrap/>
        <w:spacing w:line="360" w:lineRule="auto"/>
        <w:jc w:val="both"/>
        <w:rPr>
          <w:rFonts w:hint="eastAsia" w:ascii="仿宋" w:hAnsi="仿宋" w:eastAsia="仿宋" w:cs="仿宋"/>
          <w:color w:val="auto"/>
          <w:sz w:val="24"/>
          <w:highlight w:val="none"/>
        </w:rPr>
      </w:pPr>
    </w:p>
    <w:p>
      <w:pPr>
        <w:wordWrap/>
        <w:spacing w:line="360" w:lineRule="auto"/>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b/>
          <w:bCs/>
          <w:color w:val="auto"/>
          <w:sz w:val="24"/>
          <w:highlight w:val="none"/>
        </w:rPr>
      </w:pPr>
      <w:bookmarkStart w:id="402" w:name="_Toc349721554"/>
      <w:bookmarkStart w:id="403" w:name="_Toc868"/>
      <w:bookmarkStart w:id="404" w:name="_Toc328381300"/>
      <w:bookmarkStart w:id="405" w:name="_Toc350327365"/>
      <w:bookmarkStart w:id="406" w:name="_Toc339872468"/>
      <w:bookmarkStart w:id="407" w:name="_Toc326765771"/>
      <w:r>
        <w:rPr>
          <w:rFonts w:hint="eastAsia" w:ascii="仿宋" w:hAnsi="仿宋" w:eastAsia="仿宋" w:cs="仿宋"/>
          <w:b/>
          <w:bCs/>
          <w:color w:val="auto"/>
          <w:sz w:val="24"/>
          <w:highlight w:val="none"/>
        </w:rPr>
        <w:t xml:space="preserve"> 此仅为合同书样本，中标单位需根据实际情况和采购人签订相应的合同！</w:t>
      </w:r>
      <w:bookmarkEnd w:id="402"/>
      <w:bookmarkEnd w:id="403"/>
      <w:bookmarkEnd w:id="404"/>
      <w:bookmarkEnd w:id="405"/>
      <w:bookmarkEnd w:id="406"/>
      <w:bookmarkEnd w:id="407"/>
    </w:p>
    <w:p>
      <w:pPr>
        <w:snapToGrid/>
        <w:spacing w:before="0" w:beforeLines="0" w:after="0" w:line="360" w:lineRule="auto"/>
        <w:rPr>
          <w:rFonts w:hint="eastAsia" w:ascii="仿宋" w:hAnsi="仿宋" w:eastAsia="仿宋" w:cs="仿宋"/>
          <w:b/>
          <w:bCs/>
          <w:color w:val="auto"/>
          <w:sz w:val="24"/>
          <w:highlight w:val="none"/>
        </w:rPr>
        <w:sectPr>
          <w:pgSz w:w="11906" w:h="16838"/>
          <w:pgMar w:top="1558" w:right="1531" w:bottom="468" w:left="1531" w:header="851" w:footer="851" w:gutter="0"/>
          <w:cols w:space="720" w:num="1"/>
          <w:titlePg/>
          <w:docGrid w:type="lines" w:linePitch="312" w:charSpace="0"/>
        </w:sectPr>
      </w:pPr>
      <w:bookmarkStart w:id="408" w:name="_Toc194217895"/>
    </w:p>
    <w:bookmarkEnd w:id="408"/>
    <w:p>
      <w:pPr>
        <w:pStyle w:val="5"/>
        <w:rPr>
          <w:rFonts w:hint="eastAsia" w:ascii="仿宋" w:hAnsi="仿宋" w:eastAsia="仿宋" w:cs="仿宋"/>
          <w:color w:val="auto"/>
          <w:highlight w:val="none"/>
        </w:rPr>
      </w:pPr>
    </w:p>
    <w:p>
      <w:pPr>
        <w:spacing w:line="360" w:lineRule="auto"/>
        <w:ind w:left="720" w:firstLine="723" w:firstLineChars="200"/>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第六部分</w:t>
      </w:r>
      <w:bookmarkEnd w:id="395"/>
      <w:r>
        <w:rPr>
          <w:rFonts w:hint="eastAsia" w:ascii="仿宋" w:hAnsi="仿宋" w:eastAsia="仿宋" w:cs="仿宋"/>
          <w:b/>
          <w:color w:val="auto"/>
          <w:sz w:val="36"/>
          <w:szCs w:val="20"/>
          <w:highlight w:val="none"/>
        </w:rPr>
        <w:t xml:space="preserve"> </w:t>
      </w:r>
      <w:bookmarkEnd w:id="396"/>
      <w:r>
        <w:rPr>
          <w:rFonts w:hint="eastAsia" w:ascii="仿宋" w:hAnsi="仿宋" w:eastAsia="仿宋" w:cs="仿宋"/>
          <w:b/>
          <w:color w:val="auto"/>
          <w:sz w:val="36"/>
          <w:szCs w:val="20"/>
          <w:highlight w:val="none"/>
        </w:rPr>
        <w:t>应提交的有关格式范例</w:t>
      </w:r>
    </w:p>
    <w:p>
      <w:pPr>
        <w:spacing w:line="360" w:lineRule="auto"/>
        <w:jc w:val="center"/>
        <w:outlineLvl w:val="0"/>
        <w:rPr>
          <w:rFonts w:hint="eastAsia" w:ascii="仿宋" w:hAnsi="仿宋" w:eastAsia="仿宋" w:cs="仿宋"/>
          <w:b/>
          <w:color w:val="auto"/>
          <w:kern w:val="0"/>
          <w:sz w:val="36"/>
          <w:szCs w:val="36"/>
          <w:highlight w:val="none"/>
        </w:r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资格文件部分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（1）符合参加政府采购活动应当具备的一般条件的承诺函……………（页码）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（2）落实政府采购政策需满足的资格要求………………………………（页码）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（3）本项目的特定资格要求………………………………………………（页码）</w:t>
      </w:r>
    </w:p>
    <w:p>
      <w:pPr>
        <w:snapToGrid w:val="0"/>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color w:val="auto"/>
          <w:kern w:val="0"/>
          <w:sz w:val="24"/>
          <w:highlight w:val="none"/>
        </w:rPr>
        <w:br w:type="page"/>
      </w:r>
      <w:r>
        <w:rPr>
          <w:rFonts w:hint="eastAsia" w:ascii="仿宋" w:hAnsi="仿宋" w:eastAsia="仿宋" w:cs="仿宋"/>
          <w:b/>
          <w:color w:val="auto"/>
          <w:kern w:val="0"/>
          <w:sz w:val="32"/>
          <w:szCs w:val="32"/>
          <w:highlight w:val="none"/>
        </w:rPr>
        <w:t xml:space="preserve">  一、 符合参加政府采购活动应当具备的一般条件的承诺函</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我方参与（项目名称）【</w:t>
      </w:r>
      <w:r>
        <w:rPr>
          <w:rFonts w:hint="eastAsia" w:ascii="仿宋" w:hAnsi="仿宋" w:eastAsia="仿宋" w:cs="仿宋"/>
          <w:color w:val="auto"/>
          <w:sz w:val="24"/>
          <w:highlight w:val="none"/>
          <w:lang w:val="en-US" w:eastAsia="zh-CN"/>
        </w:rPr>
        <w:t>项目编号</w:t>
      </w:r>
      <w:r>
        <w:rPr>
          <w:rFonts w:hint="eastAsia" w:ascii="仿宋" w:hAnsi="仿宋" w:eastAsia="仿宋" w:cs="仿宋"/>
          <w:color w:val="auto"/>
          <w:sz w:val="24"/>
          <w:highlight w:val="none"/>
        </w:rPr>
        <w:t>：</w:t>
      </w:r>
      <w:r>
        <w:rPr>
          <w:rFonts w:hint="eastAsia" w:ascii="仿宋" w:hAnsi="仿宋" w:eastAsia="仿宋" w:cs="仿宋"/>
          <w:b/>
          <w:bCs/>
          <w:color w:val="auto"/>
          <w:sz w:val="24"/>
          <w:szCs w:val="24"/>
          <w:highlight w:val="none"/>
          <w:lang w:val="en-US" w:eastAsia="zh-CN"/>
        </w:rPr>
        <w:t xml:space="preserve">          </w:t>
      </w:r>
      <w:r>
        <w:rPr>
          <w:rFonts w:hint="eastAsia" w:ascii="仿宋" w:hAnsi="仿宋" w:eastAsia="仿宋" w:cs="仿宋"/>
          <w:color w:val="auto"/>
          <w:sz w:val="24"/>
          <w:highlight w:val="none"/>
        </w:rPr>
        <w:t>】政府采购活动，郑重承诺：</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（一）</w:t>
      </w:r>
      <w:r>
        <w:rPr>
          <w:rFonts w:hint="eastAsia" w:ascii="仿宋" w:hAnsi="仿宋" w:eastAsia="仿宋" w:cs="仿宋"/>
          <w:color w:val="auto"/>
          <w:sz w:val="24"/>
          <w:szCs w:val="24"/>
          <w:highlight w:val="none"/>
        </w:rPr>
        <w:t>符合参与政府采购活动的资格条件并且没有税收缴纳、社会保障等方面的失信记录的承诺函</w:t>
      </w:r>
      <w:r>
        <w:rPr>
          <w:rFonts w:hint="eastAsia" w:ascii="仿宋" w:hAnsi="仿宋" w:eastAsia="仿宋" w:cs="仿宋"/>
          <w:color w:val="auto"/>
          <w:sz w:val="24"/>
          <w:szCs w:val="24"/>
          <w:highlight w:val="none"/>
          <w:lang w:val="en-US" w:eastAsia="zh-CN"/>
        </w:rPr>
        <w:t>;</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二</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（三）不存在以下情况：</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投标人名称(电子签名)：</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pStyle w:val="5"/>
        <w:rPr>
          <w:rFonts w:hint="eastAsia" w:ascii="仿宋" w:hAnsi="仿宋" w:eastAsia="仿宋" w:cs="仿宋"/>
          <w:b/>
          <w:color w:val="auto"/>
          <w:kern w:val="0"/>
          <w:sz w:val="32"/>
          <w:szCs w:val="32"/>
          <w:highlight w:val="none"/>
        </w:rPr>
      </w:pPr>
    </w:p>
    <w:p>
      <w:pPr>
        <w:rPr>
          <w:rFonts w:hint="eastAsia" w:ascii="仿宋" w:hAnsi="仿宋" w:eastAsia="仿宋" w:cs="仿宋"/>
          <w:b/>
          <w:color w:val="auto"/>
          <w:kern w:val="0"/>
          <w:sz w:val="32"/>
          <w:szCs w:val="32"/>
          <w:highlight w:val="none"/>
        </w:rPr>
      </w:pPr>
    </w:p>
    <w:p>
      <w:pPr>
        <w:pStyle w:val="5"/>
        <w:rPr>
          <w:rFonts w:hint="eastAsia" w:ascii="仿宋" w:hAnsi="仿宋" w:eastAsia="仿宋" w:cs="仿宋"/>
          <w:b/>
          <w:color w:val="auto"/>
          <w:kern w:val="0"/>
          <w:sz w:val="32"/>
          <w:szCs w:val="32"/>
          <w:highlight w:val="none"/>
        </w:rPr>
      </w:pPr>
    </w:p>
    <w:p>
      <w:pPr>
        <w:rPr>
          <w:rFonts w:hint="eastAsia" w:ascii="仿宋" w:hAnsi="仿宋" w:eastAsia="仿宋" w:cs="仿宋"/>
          <w:b/>
          <w:color w:val="auto"/>
          <w:kern w:val="0"/>
          <w:sz w:val="32"/>
          <w:szCs w:val="32"/>
          <w:highlight w:val="none"/>
        </w:rPr>
      </w:pPr>
    </w:p>
    <w:p>
      <w:pPr>
        <w:pStyle w:val="5"/>
        <w:rPr>
          <w:rFonts w:hint="eastAsia" w:ascii="仿宋" w:hAnsi="仿宋" w:eastAsia="仿宋" w:cs="仿宋"/>
          <w:color w:val="auto"/>
          <w:highlight w:val="none"/>
        </w:rPr>
      </w:pPr>
    </w:p>
    <w:p>
      <w:pP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二、落实政府采购政策需满足的资格要求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A</w:t>
      </w:r>
      <w:r>
        <w:rPr>
          <w:rFonts w:hint="eastAsia" w:ascii="仿宋" w:hAnsi="仿宋" w:eastAsia="仿宋" w:cs="仿宋"/>
          <w:color w:val="auto"/>
          <w:sz w:val="24"/>
          <w:highlight w:val="none"/>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hint="eastAsia" w:ascii="仿宋" w:hAnsi="仿宋" w:eastAsia="仿宋" w:cs="仿宋"/>
          <w:color w:val="auto"/>
          <w:sz w:val="24"/>
          <w:highlight w:val="none"/>
        </w:rPr>
      </w:pPr>
    </w:p>
    <w:p>
      <w:pPr>
        <w:widowControl/>
        <w:spacing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B.</w:t>
      </w:r>
      <w:r>
        <w:rPr>
          <w:rFonts w:hint="eastAsia" w:ascii="仿宋" w:hAnsi="仿宋" w:eastAsia="仿宋" w:cs="仿宋"/>
          <w:color w:val="auto"/>
          <w:sz w:val="24"/>
          <w:highlight w:val="none"/>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sz w:val="24"/>
          <w:highlight w:val="none"/>
        </w:rPr>
        <w:t xml:space="preserve">    </w:t>
      </w:r>
      <w:r>
        <w:rPr>
          <w:rFonts w:hint="eastAsia" w:ascii="仿宋" w:hAnsi="仿宋" w:eastAsia="仿宋" w:cs="仿宋"/>
          <w:b/>
          <w:color w:val="auto"/>
          <w:kern w:val="0"/>
          <w:sz w:val="32"/>
          <w:szCs w:val="32"/>
          <w:highlight w:val="none"/>
          <w:lang w:val="zh-CN"/>
        </w:rPr>
        <w:t>联合协议</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组成一个联合体，以一个投标人的身份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 xml:space="preserve">投标。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w:t>
      </w:r>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C、</w:t>
      </w:r>
      <w:r>
        <w:rPr>
          <w:rFonts w:hint="eastAsia" w:ascii="仿宋" w:hAnsi="仿宋" w:eastAsia="仿宋" w:cs="仿宋"/>
          <w:color w:val="auto"/>
          <w:sz w:val="24"/>
          <w:highlight w:val="none"/>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分包意向协议</w:t>
      </w:r>
    </w:p>
    <w:p>
      <w:pPr>
        <w:widowControl/>
        <w:spacing w:line="360" w:lineRule="auto"/>
        <w:ind w:firstLine="120" w:firstLineChars="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pStyle w:val="5"/>
        <w:ind w:left="664" w:leftChars="316" w:firstLine="229" w:firstLineChars="95"/>
        <w:rPr>
          <w:rFonts w:hint="eastAsia" w:ascii="仿宋" w:hAnsi="仿宋" w:eastAsia="仿宋" w:cs="仿宋"/>
          <w:color w:val="auto"/>
          <w:highlight w:val="none"/>
        </w:rPr>
      </w:pPr>
      <w:r>
        <w:rPr>
          <w:rFonts w:hint="eastAsia" w:ascii="仿宋" w:hAnsi="仿宋" w:eastAsia="仿宋" w:cs="仿宋"/>
          <w:color w:val="auto"/>
          <w:kern w:val="0"/>
          <w:sz w:val="24"/>
          <w:szCs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二、分包工作履行期限、地点、方式</w:t>
      </w:r>
    </w:p>
    <w:p>
      <w:pPr>
        <w:snapToGrid w:val="0"/>
        <w:spacing w:line="360" w:lineRule="auto"/>
        <w:ind w:firstLine="576"/>
        <w:rPr>
          <w:rFonts w:hint="eastAsia"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三、质量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四、价款或者报酬</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五、违约责任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六、争议解决的办法</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七、其他</w:t>
      </w:r>
    </w:p>
    <w:p>
      <w:pPr>
        <w:snapToGrid w:val="0"/>
        <w:spacing w:line="360" w:lineRule="auto"/>
        <w:ind w:left="5758" w:leftChars="342" w:hanging="5040" w:hangingChars="2100"/>
        <w:rPr>
          <w:rFonts w:hint="eastAsia" w:ascii="仿宋" w:hAnsi="仿宋" w:eastAsia="仿宋" w:cs="仿宋"/>
          <w:color w:val="auto"/>
          <w:kern w:val="0"/>
          <w:sz w:val="24"/>
          <w:highlight w:val="none"/>
          <w:lang w:val="zh-CN"/>
        </w:rPr>
      </w:pPr>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 xml:space="preserve">  。                                           投标人名称(电子签名)：</w:t>
      </w:r>
    </w:p>
    <w:p>
      <w:pPr>
        <w:snapToGrid w:val="0"/>
        <w:spacing w:line="360" w:lineRule="auto"/>
        <w:ind w:firstLine="5640" w:firstLineChars="235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widowControl/>
        <w:spacing w:line="360" w:lineRule="auto"/>
        <w:ind w:left="150"/>
        <w:jc w:val="center"/>
        <w:rPr>
          <w:rFonts w:hint="eastAsia" w:ascii="仿宋" w:hAnsi="仿宋" w:eastAsia="仿宋" w:cs="仿宋"/>
          <w:b/>
          <w:color w:val="auto"/>
          <w:kern w:val="0"/>
          <w:sz w:val="32"/>
          <w:szCs w:val="32"/>
          <w:highlight w:val="none"/>
        </w:rPr>
      </w:pPr>
    </w:p>
    <w:p>
      <w:pP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widowControl/>
        <w:spacing w:line="360" w:lineRule="auto"/>
        <w:ind w:left="15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三、本项目的特定资格要求</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（根据招标公告本项目的特定资格要求提供相应的材料；未要求的，无需提供）</w:t>
      </w:r>
    </w:p>
    <w:p>
      <w:pPr>
        <w:rPr>
          <w:rFonts w:hint="eastAsia" w:ascii="仿宋" w:hAnsi="仿宋" w:eastAsia="仿宋" w:cs="仿宋"/>
          <w:color w:val="auto"/>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br w:type="page"/>
      </w:r>
    </w:p>
    <w:p>
      <w:pPr>
        <w:pStyle w:val="5"/>
        <w:rPr>
          <w:rFonts w:hint="eastAsia" w:ascii="仿宋" w:hAnsi="仿宋" w:eastAsia="仿宋" w:cs="仿宋"/>
          <w:color w:val="auto"/>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商务技术文件部分</w:t>
      </w:r>
    </w:p>
    <w:p>
      <w:pPr>
        <w:spacing w:line="360" w:lineRule="auto"/>
        <w:jc w:val="center"/>
        <w:outlineLvl w:val="0"/>
        <w:rPr>
          <w:rFonts w:hint="eastAsia" w:ascii="仿宋" w:hAnsi="仿宋" w:eastAsia="仿宋" w:cs="仿宋"/>
          <w:b/>
          <w:color w:val="auto"/>
          <w:kern w:val="0"/>
          <w:sz w:val="24"/>
          <w:highlight w:val="none"/>
        </w:rPr>
      </w:pPr>
    </w:p>
    <w:p>
      <w:pPr>
        <w:spacing w:line="360" w:lineRule="auto"/>
        <w:jc w:val="center"/>
        <w:outlineLvl w:val="0"/>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目录</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（1）投标函</w:t>
      </w:r>
      <w:r>
        <w:rPr>
          <w:rFonts w:hint="eastAsia" w:ascii="仿宋" w:hAnsi="仿宋" w:eastAsia="仿宋" w:cs="仿宋"/>
          <w:color w:val="auto"/>
          <w:highlight w:val="none"/>
        </w:rPr>
        <w:t>…………………………………………………………………………………（页码）</w:t>
      </w:r>
      <w:r>
        <w:rPr>
          <w:rFonts w:hint="eastAsia" w:ascii="仿宋" w:hAnsi="仿宋" w:eastAsia="仿宋" w:cs="仿宋"/>
          <w:color w:val="auto"/>
          <w:sz w:val="24"/>
          <w:highlight w:val="none"/>
        </w:rPr>
        <w:t>（2）授权委托书或法定代表人（单位负责人、自然人本人）身份证明</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（3）联合协议</w:t>
      </w:r>
      <w:r>
        <w:rPr>
          <w:rFonts w:hint="eastAsia" w:ascii="仿宋" w:hAnsi="仿宋" w:eastAsia="仿宋" w:cs="仿宋"/>
          <w:color w:val="auto"/>
          <w:highlight w:val="none"/>
        </w:rPr>
        <w:t>………………………………………………………………………………（页码）</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（4）分包意向协议</w:t>
      </w:r>
      <w:r>
        <w:rPr>
          <w:rFonts w:hint="eastAsia" w:ascii="仿宋" w:hAnsi="仿宋" w:eastAsia="仿宋" w:cs="仿宋"/>
          <w:color w:val="auto"/>
          <w:highlight w:val="none"/>
        </w:rPr>
        <w:t>…………………………………………………………………………（页码）</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（5）符合性审查资料</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（6）评标标准相应的商务技术资料</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投标标的清单</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）商务技术偏离表</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lang w:val="zh-CN"/>
        </w:rPr>
        <w:t>）政府采购供应商廉洁自律承诺书</w:t>
      </w:r>
      <w:r>
        <w:rPr>
          <w:rFonts w:hint="eastAsia" w:ascii="仿宋" w:hAnsi="仿宋" w:eastAsia="仿宋" w:cs="仿宋"/>
          <w:color w:val="auto"/>
          <w:highlight w:val="none"/>
        </w:rPr>
        <w:t>…………………………………………………（页码）</w:t>
      </w:r>
    </w:p>
    <w:p>
      <w:pPr>
        <w:snapToGrid w:val="0"/>
        <w:spacing w:line="360" w:lineRule="auto"/>
        <w:jc w:val="both"/>
        <w:rPr>
          <w:rFonts w:hint="eastAsia" w:ascii="仿宋" w:hAnsi="仿宋" w:eastAsia="仿宋" w:cs="仿宋"/>
          <w:b/>
          <w:color w:val="auto"/>
          <w:kern w:val="0"/>
          <w:sz w:val="32"/>
          <w:szCs w:val="32"/>
          <w:highlight w:val="none"/>
          <w:lang w:val="zh-CN"/>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lang w:val="zh-CN" w:eastAsia="zh-CN"/>
        </w:rPr>
        <w:t>（</w:t>
      </w: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lang w:val="zh-CN" w:eastAsia="zh-CN"/>
        </w:rPr>
        <w:t>）</w:t>
      </w:r>
      <w:r>
        <w:rPr>
          <w:rFonts w:hint="eastAsia" w:ascii="仿宋" w:hAnsi="仿宋" w:eastAsia="仿宋" w:cs="仿宋"/>
          <w:color w:val="auto"/>
          <w:sz w:val="24"/>
          <w:szCs w:val="24"/>
          <w:highlight w:val="none"/>
          <w:lang w:val="zh-CN"/>
        </w:rPr>
        <w:t>投标</w:t>
      </w:r>
      <w:r>
        <w:rPr>
          <w:rFonts w:hint="eastAsia" w:ascii="仿宋" w:hAnsi="仿宋" w:eastAsia="仿宋" w:cs="仿宋"/>
          <w:color w:val="auto"/>
          <w:sz w:val="24"/>
          <w:szCs w:val="24"/>
          <w:highlight w:val="none"/>
          <w:lang w:val="en-US" w:eastAsia="zh-CN"/>
        </w:rPr>
        <w:t>人</w:t>
      </w:r>
      <w:r>
        <w:rPr>
          <w:rFonts w:hint="eastAsia" w:ascii="仿宋" w:hAnsi="仿宋" w:eastAsia="仿宋" w:cs="仿宋"/>
          <w:color w:val="auto"/>
          <w:sz w:val="24"/>
          <w:szCs w:val="24"/>
          <w:highlight w:val="none"/>
          <w:lang w:val="zh-CN"/>
        </w:rPr>
        <w:t>认为需要的其他文件资料</w:t>
      </w:r>
      <w:r>
        <w:rPr>
          <w:rFonts w:hint="eastAsia" w:ascii="仿宋" w:hAnsi="仿宋" w:eastAsia="仿宋" w:cs="仿宋"/>
          <w:color w:val="auto"/>
          <w:sz w:val="24"/>
          <w:szCs w:val="24"/>
          <w:highlight w:val="none"/>
          <w:lang w:val="zh-CN" w:eastAsia="zh-CN"/>
        </w:rPr>
        <w:t>（如有）</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（页码）</w:t>
      </w: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sz w:val="32"/>
          <w:szCs w:val="32"/>
          <w:highlight w:val="none"/>
        </w:rPr>
      </w:pPr>
      <w:r>
        <w:rPr>
          <w:rFonts w:hint="eastAsia" w:ascii="仿宋" w:hAnsi="仿宋" w:eastAsia="仿宋" w:cs="仿宋"/>
          <w:b/>
          <w:color w:val="auto"/>
          <w:kern w:val="0"/>
          <w:sz w:val="32"/>
          <w:szCs w:val="32"/>
          <w:highlight w:val="none"/>
        </w:rPr>
        <w:t>一、投标</w:t>
      </w:r>
      <w:r>
        <w:rPr>
          <w:rFonts w:hint="eastAsia" w:ascii="仿宋" w:hAnsi="仿宋" w:eastAsia="仿宋" w:cs="仿宋"/>
          <w:b/>
          <w:color w:val="auto"/>
          <w:sz w:val="32"/>
          <w:szCs w:val="32"/>
          <w:highlight w:val="none"/>
        </w:rPr>
        <w:t>函</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我方参加你方组织的（项目名称）【招标编号：（采购编号）】招标的有关活动，并对此项目进行投标。为此：</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1、我方承诺投标有效期从提交投标文件的截止之日起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天（不少于90天）</w:t>
      </w:r>
      <w:r>
        <w:rPr>
          <w:rFonts w:hint="eastAsia" w:ascii="仿宋" w:hAnsi="仿宋" w:eastAsia="仿宋" w:cs="仿宋"/>
          <w:color w:val="auto"/>
          <w:highlight w:val="none"/>
        </w:rPr>
        <w:t>，</w:t>
      </w:r>
      <w:r>
        <w:rPr>
          <w:rFonts w:hint="eastAsia" w:ascii="仿宋" w:hAnsi="仿宋" w:eastAsia="仿宋" w:cs="仿宋"/>
          <w:color w:val="auto"/>
          <w:sz w:val="24"/>
          <w:highlight w:val="none"/>
        </w:rPr>
        <w:t>本投标文件在投标有效期满之前均具有约束力。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2、我方的投标文件包括以下内容：</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2.1资格文件：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2.1.1承诺函；</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2.1.2落实政府采购政策需满足的资格要求（如果有）；</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2.1.3本项目的特定资格要求（如果有）。</w:t>
      </w:r>
    </w:p>
    <w:p>
      <w:pPr>
        <w:snapToGrid w:val="0"/>
        <w:spacing w:line="360" w:lineRule="auto"/>
        <w:ind w:left="210" w:leftChars="100"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2.2.1投标函；</w:t>
      </w:r>
      <w:r>
        <w:rPr>
          <w:rFonts w:hint="eastAsia" w:ascii="仿宋" w:hAnsi="仿宋" w:eastAsia="仿宋" w:cs="仿宋"/>
          <w:color w:val="auto"/>
          <w:sz w:val="24"/>
          <w:highlight w:val="none"/>
          <w:lang w:val="zh-CN"/>
        </w:rPr>
        <w:t xml:space="preserve"> </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2.2.2授权委托书或法定代表人（单位负责人）身份证明；</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2.2.3联合协议（如果有）；</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2.2.4分包意向协议（如果有）；</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2.2.5符合性审查资料；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2.2.6评标标准相应的商务技术资料；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2.2.7商务技术偏离表；</w:t>
      </w:r>
    </w:p>
    <w:p>
      <w:pPr>
        <w:snapToGrid w:val="0"/>
        <w:spacing w:line="360" w:lineRule="auto"/>
        <w:ind w:left="420" w:leftChars="200"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3报价文件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2.3.1开标一览表（报价表）；</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2.3.2中小企业声明函（如果有）。</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4、如我方中标，我方承诺：</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5、其他补充说明: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360" w:lineRule="auto"/>
        <w:ind w:firstLine="3600" w:firstLineChars="15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投标人名称（电子签名）：                          </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snapToGrid w:val="0"/>
        <w:spacing w:line="360" w:lineRule="auto"/>
        <w:ind w:left="420" w:leftChars="200" w:firstLine="4200" w:firstLineChars="1750"/>
        <w:rPr>
          <w:rFonts w:hint="eastAsia" w:ascii="仿宋" w:hAnsi="仿宋" w:eastAsia="仿宋" w:cs="仿宋"/>
          <w:color w:val="auto"/>
          <w:kern w:val="0"/>
          <w:sz w:val="24"/>
          <w:highlight w:val="none"/>
          <w:u w:val="singl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rPr>
          <w:rFonts w:hint="eastAsia" w:ascii="仿宋" w:hAnsi="仿宋" w:eastAsia="仿宋" w:cs="仿宋"/>
          <w:color w:val="auto"/>
          <w:sz w:val="24"/>
          <w:highlight w:val="none"/>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br w:type="page"/>
      </w:r>
    </w:p>
    <w:p>
      <w:pPr>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二、授权委托书或法定代表人（单位负责人、自然人本人）身份证明</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napToGrid w:val="0"/>
        <w:spacing w:line="360" w:lineRule="auto"/>
        <w:ind w:firstLine="2872" w:firstLineChars="894"/>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lang w:val="zh-CN"/>
        </w:rPr>
        <w:t>授权委托书（适用于非联合体投标）</w:t>
      </w:r>
      <w:r>
        <w:rPr>
          <w:rFonts w:hint="eastAsia" w:ascii="仿宋" w:hAnsi="仿宋" w:eastAsia="仿宋" w:cs="仿宋"/>
          <w:color w:val="auto"/>
          <w:highlight w:val="none"/>
        </w:rPr>
        <w:t xml:space="preserve">                               </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投标人名称(电子签名)：</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签发日期：  年  月   日</w:t>
      </w: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sz w:val="24"/>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zh-CN"/>
        </w:rPr>
        <w:t xml:space="preserve">      </w:t>
      </w:r>
      <w:r>
        <w:rPr>
          <w:rFonts w:hint="eastAsia" w:ascii="仿宋" w:hAnsi="仿宋" w:eastAsia="仿宋" w:cs="仿宋"/>
          <w:b/>
          <w:color w:val="auto"/>
          <w:kern w:val="0"/>
          <w:sz w:val="32"/>
          <w:szCs w:val="32"/>
          <w:highlight w:val="none"/>
        </w:rPr>
        <w:t xml:space="preserve"> </w:t>
      </w:r>
      <w:r>
        <w:rPr>
          <w:rFonts w:hint="eastAsia" w:ascii="仿宋" w:hAnsi="仿宋" w:eastAsia="仿宋" w:cs="仿宋"/>
          <w:b/>
          <w:color w:val="auto"/>
          <w:kern w:val="0"/>
          <w:sz w:val="32"/>
          <w:szCs w:val="32"/>
          <w:highlight w:val="none"/>
          <w:lang w:val="zh-CN"/>
        </w:rPr>
        <w:t>授权委托书（适用于联合体投标）</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br w:type="page"/>
      </w:r>
    </w:p>
    <w:p>
      <w:pPr>
        <w:autoSpaceDE w:val="0"/>
        <w:autoSpaceDN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kern w:val="0"/>
          <w:sz w:val="32"/>
          <w:szCs w:val="32"/>
          <w:highlight w:val="none"/>
          <w:lang w:val="zh-CN"/>
        </w:rPr>
        <w:t>法定代表人、单位负责人或自然人本人</w:t>
      </w:r>
      <w:r>
        <w:rPr>
          <w:rFonts w:hint="eastAsia" w:ascii="仿宋" w:hAnsi="仿宋" w:eastAsia="仿宋" w:cs="仿宋"/>
          <w:b/>
          <w:color w:val="auto"/>
          <w:sz w:val="30"/>
          <w:szCs w:val="30"/>
          <w:highlight w:val="none"/>
        </w:rPr>
        <w:t>的身份证明（适用于法定代表人、单位负责人或者自然人本人代表投标人参加投标）</w:t>
      </w:r>
    </w:p>
    <w:p>
      <w:pPr>
        <w:pStyle w:val="89"/>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89"/>
              <w:adjustRightInd w:val="0"/>
              <w:spacing w:before="0" w:beforeAutospacing="0" w:after="0" w:afterAutospacing="0" w:line="360" w:lineRule="auto"/>
              <w:ind w:left="0" w:right="0"/>
              <w:rPr>
                <w:rFonts w:hint="eastAsia" w:ascii="仿宋" w:hAnsi="仿宋" w:eastAsia="仿宋" w:cs="仿宋"/>
                <w:bCs/>
                <w:color w:val="auto"/>
                <w:sz w:val="24"/>
                <w:szCs w:val="20"/>
                <w:highlight w:val="none"/>
              </w:rPr>
            </w:pPr>
            <w:r>
              <w:rPr>
                <w:rFonts w:hint="eastAsia" w:ascii="仿宋" w:hAnsi="仿宋" w:eastAsia="仿宋" w:cs="仿宋"/>
                <w:bCs/>
                <w:color w:val="auto"/>
                <w:sz w:val="24"/>
                <w:szCs w:val="20"/>
                <w:highlight w:val="none"/>
              </w:rPr>
              <w:t>正面：                                 反面：</w:t>
            </w:r>
          </w:p>
          <w:p>
            <w:pPr>
              <w:pStyle w:val="89"/>
              <w:adjustRightInd w:val="0"/>
              <w:spacing w:before="0" w:beforeAutospacing="0" w:after="0" w:afterAutospacing="0" w:line="360" w:lineRule="auto"/>
              <w:ind w:left="0" w:right="0"/>
              <w:rPr>
                <w:rFonts w:hint="eastAsia" w:ascii="仿宋" w:hAnsi="仿宋" w:eastAsia="仿宋" w:cs="仿宋"/>
                <w:bCs/>
                <w:color w:val="auto"/>
                <w:sz w:val="24"/>
                <w:szCs w:val="20"/>
                <w:highlight w:val="none"/>
              </w:rPr>
            </w:pPr>
          </w:p>
        </w:tc>
      </w:tr>
    </w:tbl>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                              </w:t>
      </w:r>
    </w:p>
    <w:p>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pStyle w:val="5"/>
        <w:rPr>
          <w:rFonts w:hint="eastAsia" w:ascii="仿宋" w:hAnsi="仿宋" w:eastAsia="仿宋" w:cs="仿宋"/>
          <w:color w:val="auto"/>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rPr>
        <w:t>三、</w:t>
      </w:r>
      <w:r>
        <w:rPr>
          <w:rFonts w:hint="eastAsia" w:ascii="仿宋" w:hAnsi="仿宋" w:eastAsia="仿宋" w:cs="仿宋"/>
          <w:b/>
          <w:color w:val="auto"/>
          <w:kern w:val="0"/>
          <w:sz w:val="32"/>
          <w:szCs w:val="32"/>
          <w:highlight w:val="none"/>
          <w:lang w:val="zh-CN"/>
        </w:rPr>
        <w:t>联合协议</w:t>
      </w:r>
    </w:p>
    <w:p>
      <w:pPr>
        <w:widowControl/>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组成一个联合体，以一个投标人的身份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 xml:space="preserve">投标。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四、</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rPr>
        <w:t>提供的全部货物由小微企业制造，其合同份额占到合同总金额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w:t>
      </w:r>
      <w:r>
        <w:rPr>
          <w:rFonts w:hint="eastAsia" w:ascii="仿宋" w:hAnsi="仿宋" w:eastAsia="仿宋" w:cs="仿宋"/>
          <w:b/>
          <w:color w:val="auto"/>
          <w:kern w:val="0"/>
          <w:sz w:val="24"/>
          <w:highlight w:val="none"/>
          <w:lang w:val="en-US" w:eastAsia="zh-CN"/>
        </w:rPr>
        <w:t>6</w:t>
      </w:r>
      <w:r>
        <w:rPr>
          <w:rFonts w:hint="eastAsia" w:ascii="仿宋" w:hAnsi="仿宋" w:eastAsia="仿宋" w:cs="仿宋"/>
          <w:b/>
          <w:color w:val="auto"/>
          <w:kern w:val="0"/>
          <w:sz w:val="24"/>
          <w:highlight w:val="none"/>
          <w:lang w:val="zh-CN"/>
        </w:rPr>
        <w:t>%的扣除）</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napToGrid w:val="0"/>
        <w:spacing w:line="360" w:lineRule="auto"/>
        <w:ind w:right="480"/>
        <w:rPr>
          <w:rFonts w:hint="eastAsia" w:ascii="仿宋" w:hAnsi="仿宋" w:eastAsia="仿宋" w:cs="仿宋"/>
          <w:b/>
          <w:color w:val="auto"/>
          <w:kern w:val="0"/>
          <w:sz w:val="32"/>
          <w:szCs w:val="32"/>
          <w:highlight w:val="none"/>
          <w:lang w:val="zh-CN"/>
        </w:rPr>
        <w:sectPr>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四、分包意向协议</w:t>
      </w:r>
    </w:p>
    <w:p>
      <w:pPr>
        <w:widowControl/>
        <w:spacing w:line="360" w:lineRule="auto"/>
        <w:ind w:firstLine="120" w:firstLineChars="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pStyle w:val="5"/>
        <w:ind w:left="664" w:leftChars="316" w:firstLine="229" w:firstLineChars="95"/>
        <w:rPr>
          <w:rFonts w:hint="eastAsia" w:ascii="仿宋" w:hAnsi="仿宋" w:eastAsia="仿宋" w:cs="仿宋"/>
          <w:color w:val="auto"/>
          <w:highlight w:val="none"/>
        </w:rPr>
      </w:pPr>
      <w:r>
        <w:rPr>
          <w:rFonts w:hint="eastAsia" w:ascii="仿宋" w:hAnsi="仿宋" w:eastAsia="仿宋" w:cs="仿宋"/>
          <w:color w:val="auto"/>
          <w:kern w:val="0"/>
          <w:sz w:val="24"/>
          <w:szCs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二、分包工作履行期限、地点、方式</w:t>
      </w:r>
    </w:p>
    <w:p>
      <w:pPr>
        <w:snapToGrid w:val="0"/>
        <w:spacing w:line="360" w:lineRule="auto"/>
        <w:ind w:firstLine="576"/>
        <w:rPr>
          <w:rFonts w:hint="eastAsia"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三、质量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四、价款或者报酬</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五、违约责任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六、争议解决的办法</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七、其他</w:t>
      </w:r>
    </w:p>
    <w:p>
      <w:pPr>
        <w:snapToGrid w:val="0"/>
        <w:spacing w:line="360" w:lineRule="auto"/>
        <w:ind w:firstLine="576"/>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u w:val="single"/>
        </w:rPr>
        <w:t>（分包供应商名称）提供的货物全部由小微企业制造，</w:t>
      </w:r>
      <w:r>
        <w:rPr>
          <w:rFonts w:hint="eastAsia" w:ascii="仿宋" w:hAnsi="仿宋" w:eastAsia="仿宋" w:cs="仿宋"/>
          <w:color w:val="auto"/>
          <w:kern w:val="0"/>
          <w:sz w:val="24"/>
          <w:highlight w:val="none"/>
        </w:rPr>
        <w:t>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highlight w:val="none"/>
        </w:rPr>
        <w:t>。</w:t>
      </w:r>
      <w:r>
        <w:rPr>
          <w:rFonts w:hint="eastAsia" w:ascii="仿宋" w:hAnsi="仿宋" w:eastAsia="仿宋" w:cs="仿宋"/>
          <w:b/>
          <w:color w:val="auto"/>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w:t>
      </w:r>
      <w:r>
        <w:rPr>
          <w:rFonts w:hint="eastAsia" w:ascii="仿宋" w:hAnsi="仿宋" w:eastAsia="仿宋" w:cs="仿宋"/>
          <w:b/>
          <w:color w:val="auto"/>
          <w:kern w:val="0"/>
          <w:sz w:val="24"/>
          <w:highlight w:val="none"/>
          <w:lang w:val="en-US" w:eastAsia="zh-CN"/>
        </w:rPr>
        <w:t>6</w:t>
      </w:r>
      <w:r>
        <w:rPr>
          <w:rFonts w:hint="eastAsia" w:ascii="仿宋" w:hAnsi="仿宋" w:eastAsia="仿宋" w:cs="仿宋"/>
          <w:b/>
          <w:color w:val="auto"/>
          <w:kern w:val="0"/>
          <w:sz w:val="24"/>
          <w:highlight w:val="none"/>
          <w:lang w:val="zh-CN"/>
        </w:rPr>
        <w:t>%的扣除）</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w:t>
      </w:r>
    </w:p>
    <w:p>
      <w:pPr>
        <w:snapToGrid w:val="0"/>
        <w:spacing w:line="360" w:lineRule="auto"/>
        <w:ind w:firstLine="5640" w:firstLineChars="235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五、符合性审查资料</w:t>
      </w:r>
    </w:p>
    <w:p>
      <w:pPr>
        <w:jc w:val="center"/>
        <w:rPr>
          <w:rFonts w:hint="eastAsia" w:ascii="仿宋" w:hAnsi="仿宋" w:eastAsia="仿宋" w:cs="仿宋"/>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before="0" w:beforeAutospacing="0" w:after="0" w:afterAutospacing="0" w:line="240" w:lineRule="atLeast"/>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序号</w:t>
            </w:r>
          </w:p>
        </w:tc>
        <w:tc>
          <w:tcPr>
            <w:tcW w:w="4991" w:type="dxa"/>
            <w:vAlign w:val="center"/>
          </w:tcPr>
          <w:p>
            <w:pPr>
              <w:snapToGrid w:val="0"/>
              <w:spacing w:before="0" w:beforeAutospacing="0" w:after="0" w:afterAutospacing="0" w:line="240" w:lineRule="atLeast"/>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实质性要求</w:t>
            </w:r>
          </w:p>
        </w:tc>
        <w:tc>
          <w:tcPr>
            <w:tcW w:w="2551" w:type="dxa"/>
            <w:vAlign w:val="center"/>
          </w:tcPr>
          <w:p>
            <w:pPr>
              <w:snapToGrid w:val="0"/>
              <w:spacing w:before="0" w:beforeAutospacing="0" w:after="0" w:afterAutospacing="0" w:line="240" w:lineRule="atLeast"/>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需要提供的符合性审查资料</w:t>
            </w:r>
          </w:p>
        </w:tc>
        <w:tc>
          <w:tcPr>
            <w:tcW w:w="1418" w:type="dxa"/>
            <w:vAlign w:val="center"/>
          </w:tcPr>
          <w:p>
            <w:pPr>
              <w:snapToGrid w:val="0"/>
              <w:spacing w:before="0" w:beforeAutospacing="0" w:after="0" w:afterAutospacing="0" w:line="240" w:lineRule="atLeast"/>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投标文件中的</w:t>
            </w:r>
          </w:p>
          <w:p>
            <w:pPr>
              <w:snapToGrid w:val="0"/>
              <w:spacing w:before="0" w:beforeAutospacing="0" w:after="0" w:afterAutospacing="0" w:line="240" w:lineRule="atLeast"/>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1</w:t>
            </w:r>
          </w:p>
        </w:tc>
        <w:tc>
          <w:tcPr>
            <w:tcW w:w="4991" w:type="dxa"/>
            <w:vAlign w:val="top"/>
          </w:tcPr>
          <w:p>
            <w:pPr>
              <w:spacing w:before="0" w:beforeAutospacing="0" w:after="0" w:afterAutospacing="0" w:line="360" w:lineRule="auto"/>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投标文件按照招标文件要求签署、盖章。</w:t>
            </w:r>
          </w:p>
        </w:tc>
        <w:tc>
          <w:tcPr>
            <w:tcW w:w="2551" w:type="dxa"/>
            <w:vAlign w:val="center"/>
          </w:tcPr>
          <w:p>
            <w:pPr>
              <w:spacing w:before="0" w:beforeAutospacing="0" w:after="0" w:afterAutospacing="0"/>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需要使用电子签名或者签字盖章的投标文件的组成部分</w:t>
            </w:r>
          </w:p>
        </w:tc>
        <w:tc>
          <w:tcPr>
            <w:tcW w:w="1418" w:type="dxa"/>
            <w:vAlign w:val="top"/>
          </w:tcPr>
          <w:p>
            <w:pPr>
              <w:spacing w:before="0" w:beforeAutospacing="0" w:after="0" w:afterAutospacing="0"/>
              <w:ind w:left="0" w:right="0"/>
              <w:rPr>
                <w:rFonts w:hint="eastAsia" w:ascii="仿宋" w:hAnsi="仿宋" w:eastAsia="仿宋" w:cs="仿宋"/>
                <w:color w:val="auto"/>
                <w:sz w:val="24"/>
                <w:szCs w:val="20"/>
                <w:highlight w:val="none"/>
              </w:rPr>
            </w:pPr>
          </w:p>
          <w:p>
            <w:pPr>
              <w:spacing w:before="0" w:beforeAutospacing="0" w:after="0" w:afterAutospacing="0"/>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见投标文件</w:t>
            </w:r>
          </w:p>
          <w:p>
            <w:pPr>
              <w:spacing w:before="0" w:beforeAutospacing="0" w:after="0" w:afterAutospacing="0"/>
              <w:ind w:left="0" w:right="0"/>
              <w:rPr>
                <w:rFonts w:hint="eastAsia" w:ascii="仿宋" w:hAnsi="仿宋" w:eastAsia="仿宋" w:cs="仿宋"/>
                <w:color w:val="auto"/>
                <w:sz w:val="20"/>
                <w:szCs w:val="20"/>
                <w:highlight w:val="none"/>
              </w:rPr>
            </w:pPr>
            <w:r>
              <w:rPr>
                <w:rFonts w:hint="eastAsia" w:ascii="仿宋" w:hAnsi="仿宋" w:eastAsia="仿宋" w:cs="仿宋"/>
                <w:color w:val="auto"/>
                <w:sz w:val="24"/>
                <w:szCs w:val="20"/>
                <w:highlight w:val="none"/>
              </w:rPr>
              <w:t>第</w:t>
            </w:r>
            <w:r>
              <w:rPr>
                <w:rFonts w:hint="eastAsia" w:ascii="仿宋" w:hAnsi="仿宋" w:eastAsia="仿宋" w:cs="仿宋"/>
                <w:color w:val="auto"/>
                <w:sz w:val="24"/>
                <w:szCs w:val="20"/>
                <w:highlight w:val="none"/>
                <w:u w:val="single"/>
              </w:rPr>
              <w:t xml:space="preserve">  </w:t>
            </w:r>
            <w:r>
              <w:rPr>
                <w:rFonts w:hint="eastAsia" w:ascii="仿宋" w:hAnsi="仿宋" w:eastAsia="仿宋" w:cs="仿宋"/>
                <w:color w:val="auto"/>
                <w:sz w:val="24"/>
                <w:szCs w:val="20"/>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line="360" w:lineRule="auto"/>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2</w:t>
            </w:r>
          </w:p>
        </w:tc>
        <w:tc>
          <w:tcPr>
            <w:tcW w:w="4991" w:type="dxa"/>
            <w:vAlign w:val="top"/>
          </w:tcPr>
          <w:p>
            <w:pPr>
              <w:spacing w:before="0" w:beforeAutospacing="0" w:after="0" w:afterAutospacing="0" w:line="360" w:lineRule="auto"/>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spacing w:before="0" w:beforeAutospacing="0" w:after="0" w:afterAutospacing="0"/>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节能产品认证证书（本项目拟采购的产品不属于政府强制采购的节能产品品目清单范围的，无需提供）</w:t>
            </w:r>
          </w:p>
        </w:tc>
        <w:tc>
          <w:tcPr>
            <w:tcW w:w="1418" w:type="dxa"/>
            <w:vAlign w:val="top"/>
          </w:tcPr>
          <w:p>
            <w:pPr>
              <w:spacing w:before="0" w:beforeAutospacing="0" w:after="0" w:afterAutospacing="0"/>
              <w:ind w:left="0" w:right="0"/>
              <w:rPr>
                <w:rFonts w:hint="eastAsia" w:ascii="仿宋" w:hAnsi="仿宋" w:eastAsia="仿宋" w:cs="仿宋"/>
                <w:color w:val="auto"/>
                <w:sz w:val="24"/>
                <w:szCs w:val="20"/>
                <w:highlight w:val="none"/>
              </w:rPr>
            </w:pPr>
          </w:p>
          <w:p>
            <w:pPr>
              <w:spacing w:before="0" w:beforeAutospacing="0" w:after="0" w:afterAutospacing="0"/>
              <w:ind w:left="0" w:right="0"/>
              <w:rPr>
                <w:rFonts w:hint="eastAsia" w:ascii="仿宋" w:hAnsi="仿宋" w:eastAsia="仿宋" w:cs="仿宋"/>
                <w:color w:val="auto"/>
                <w:sz w:val="24"/>
                <w:szCs w:val="20"/>
                <w:highlight w:val="none"/>
              </w:rPr>
            </w:pPr>
          </w:p>
          <w:p>
            <w:pPr>
              <w:spacing w:before="0" w:beforeAutospacing="0" w:after="0" w:afterAutospacing="0"/>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见投标文件</w:t>
            </w:r>
          </w:p>
          <w:p>
            <w:pPr>
              <w:pStyle w:val="5"/>
              <w:spacing w:before="0" w:beforeAutospacing="0" w:after="0" w:afterAutospacing="0"/>
              <w:ind w:right="0"/>
              <w:rPr>
                <w:rFonts w:hint="eastAsia" w:ascii="仿宋" w:hAnsi="仿宋" w:eastAsia="仿宋" w:cs="仿宋"/>
                <w:color w:val="auto"/>
                <w:sz w:val="20"/>
                <w:szCs w:val="20"/>
                <w:highlight w:val="none"/>
                <w:lang w:val="en-US"/>
              </w:rPr>
            </w:pPr>
            <w:r>
              <w:rPr>
                <w:rFonts w:hint="eastAsia" w:ascii="仿宋" w:hAnsi="仿宋" w:eastAsia="仿宋" w:cs="仿宋"/>
                <w:b w:val="0"/>
                <w:bCs w:val="0"/>
                <w:color w:val="auto"/>
                <w:sz w:val="24"/>
                <w:szCs w:val="24"/>
                <w:highlight w:val="none"/>
                <w:lang w:val="en-US"/>
              </w:rPr>
              <w:t>第</w:t>
            </w:r>
            <w:r>
              <w:rPr>
                <w:rFonts w:hint="eastAsia" w:ascii="仿宋" w:hAnsi="仿宋" w:eastAsia="仿宋" w:cs="仿宋"/>
                <w:b w:val="0"/>
                <w:bCs w:val="0"/>
                <w:color w:val="auto"/>
                <w:sz w:val="24"/>
                <w:szCs w:val="24"/>
                <w:highlight w:val="none"/>
                <w:u w:val="single"/>
                <w:lang w:val="en-US"/>
              </w:rPr>
              <w:t xml:space="preserve">  </w:t>
            </w:r>
            <w:r>
              <w:rPr>
                <w:rFonts w:hint="eastAsia" w:ascii="仿宋" w:hAnsi="仿宋" w:eastAsia="仿宋" w:cs="仿宋"/>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3</w:t>
            </w:r>
          </w:p>
        </w:tc>
        <w:tc>
          <w:tcPr>
            <w:tcW w:w="4991" w:type="dxa"/>
            <w:vAlign w:val="top"/>
          </w:tcPr>
          <w:p>
            <w:pPr>
              <w:spacing w:before="0" w:beforeAutospacing="0" w:after="0" w:afterAutospacing="0" w:line="360" w:lineRule="auto"/>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投标文件中承诺的投标有效期不少于招标文件中载明的投标有效期。</w:t>
            </w:r>
          </w:p>
        </w:tc>
        <w:tc>
          <w:tcPr>
            <w:tcW w:w="2551" w:type="dxa"/>
            <w:vAlign w:val="center"/>
          </w:tcPr>
          <w:p>
            <w:pPr>
              <w:spacing w:before="0" w:beforeAutospacing="0" w:after="0" w:afterAutospacing="0"/>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投标函</w:t>
            </w:r>
          </w:p>
        </w:tc>
        <w:tc>
          <w:tcPr>
            <w:tcW w:w="1418" w:type="dxa"/>
            <w:vAlign w:val="top"/>
          </w:tcPr>
          <w:p>
            <w:pPr>
              <w:spacing w:before="0" w:beforeAutospacing="0" w:after="0" w:afterAutospacing="0"/>
              <w:ind w:left="0" w:right="0"/>
              <w:rPr>
                <w:rFonts w:hint="eastAsia" w:ascii="仿宋" w:hAnsi="仿宋" w:eastAsia="仿宋" w:cs="仿宋"/>
                <w:color w:val="auto"/>
                <w:sz w:val="20"/>
                <w:szCs w:val="20"/>
                <w:highlight w:val="none"/>
              </w:rPr>
            </w:pPr>
            <w:r>
              <w:rPr>
                <w:rFonts w:hint="eastAsia" w:ascii="仿宋" w:hAnsi="仿宋" w:eastAsia="仿宋" w:cs="仿宋"/>
                <w:color w:val="auto"/>
                <w:sz w:val="24"/>
                <w:szCs w:val="20"/>
                <w:highlight w:val="none"/>
              </w:rPr>
              <w:t>见投标文件第</w:t>
            </w:r>
            <w:r>
              <w:rPr>
                <w:rFonts w:hint="eastAsia" w:ascii="仿宋" w:hAnsi="仿宋" w:eastAsia="仿宋" w:cs="仿宋"/>
                <w:color w:val="auto"/>
                <w:sz w:val="24"/>
                <w:szCs w:val="20"/>
                <w:highlight w:val="none"/>
                <w:u w:val="single"/>
              </w:rPr>
              <w:t xml:space="preserve">  </w:t>
            </w:r>
            <w:r>
              <w:rPr>
                <w:rFonts w:hint="eastAsia" w:ascii="仿宋" w:hAnsi="仿宋" w:eastAsia="仿宋" w:cs="仿宋"/>
                <w:color w:val="auto"/>
                <w:sz w:val="24"/>
                <w:szCs w:val="20"/>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4</w:t>
            </w:r>
          </w:p>
        </w:tc>
        <w:tc>
          <w:tcPr>
            <w:tcW w:w="4991" w:type="dxa"/>
            <w:vAlign w:val="top"/>
          </w:tcPr>
          <w:p>
            <w:pPr>
              <w:spacing w:before="0" w:beforeAutospacing="0" w:after="0" w:afterAutospacing="0" w:line="360" w:lineRule="auto"/>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投标文件满足招标文件的其它实质性要求。</w:t>
            </w:r>
          </w:p>
        </w:tc>
        <w:tc>
          <w:tcPr>
            <w:tcW w:w="2551" w:type="dxa"/>
            <w:vAlign w:val="center"/>
          </w:tcPr>
          <w:p>
            <w:pPr>
              <w:spacing w:before="0" w:beforeAutospacing="0" w:after="0" w:afterAutospacing="0"/>
              <w:ind w:left="0" w:right="0"/>
              <w:rPr>
                <w:rFonts w:hint="eastAsia" w:ascii="仿宋" w:hAnsi="仿宋" w:eastAsia="仿宋" w:cs="仿宋"/>
                <w:color w:val="auto"/>
                <w:sz w:val="24"/>
                <w:szCs w:val="20"/>
                <w:highlight w:val="none"/>
              </w:rPr>
            </w:pPr>
            <w:r>
              <w:rPr>
                <w:rFonts w:hint="eastAsia" w:ascii="仿宋" w:hAnsi="仿宋" w:eastAsia="仿宋" w:cs="仿宋"/>
                <w:color w:val="auto"/>
                <w:kern w:val="0"/>
                <w:sz w:val="24"/>
                <w:szCs w:val="20"/>
                <w:highlight w:val="none"/>
              </w:rPr>
              <w:t>招标文件其它实质性要求相应的材料（“▲” 系指实质性要求条款，招标文件无其它实质性要求的，无需提供）</w:t>
            </w:r>
          </w:p>
        </w:tc>
        <w:tc>
          <w:tcPr>
            <w:tcW w:w="1418" w:type="dxa"/>
            <w:vAlign w:val="top"/>
          </w:tcPr>
          <w:p>
            <w:pPr>
              <w:spacing w:before="0" w:beforeAutospacing="0" w:after="0" w:afterAutospacing="0"/>
              <w:ind w:left="0" w:right="0"/>
              <w:rPr>
                <w:rFonts w:hint="eastAsia" w:ascii="仿宋" w:hAnsi="仿宋" w:eastAsia="仿宋" w:cs="仿宋"/>
                <w:color w:val="auto"/>
                <w:sz w:val="20"/>
                <w:szCs w:val="20"/>
                <w:highlight w:val="none"/>
              </w:rPr>
            </w:pPr>
            <w:r>
              <w:rPr>
                <w:rFonts w:hint="eastAsia" w:ascii="仿宋" w:hAnsi="仿宋" w:eastAsia="仿宋" w:cs="仿宋"/>
                <w:color w:val="auto"/>
                <w:sz w:val="24"/>
                <w:szCs w:val="20"/>
                <w:highlight w:val="none"/>
              </w:rPr>
              <w:t>见投标文件第</w:t>
            </w:r>
            <w:r>
              <w:rPr>
                <w:rFonts w:hint="eastAsia" w:ascii="仿宋" w:hAnsi="仿宋" w:eastAsia="仿宋" w:cs="仿宋"/>
                <w:color w:val="auto"/>
                <w:sz w:val="24"/>
                <w:szCs w:val="20"/>
                <w:highlight w:val="none"/>
                <w:u w:val="single"/>
              </w:rPr>
              <w:t xml:space="preserve">  </w:t>
            </w:r>
            <w:r>
              <w:rPr>
                <w:rFonts w:hint="eastAsia" w:ascii="仿宋" w:hAnsi="仿宋" w:eastAsia="仿宋" w:cs="仿宋"/>
                <w:color w:val="auto"/>
                <w:sz w:val="24"/>
                <w:szCs w:val="20"/>
                <w:highlight w:val="none"/>
              </w:rPr>
              <w:t>页</w:t>
            </w:r>
          </w:p>
        </w:tc>
      </w:tr>
    </w:tbl>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 xml:space="preserve">            </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pStyle w:val="27"/>
        <w:rPr>
          <w:rFonts w:hint="eastAsia" w:ascii="仿宋" w:hAnsi="仿宋" w:eastAsia="仿宋" w:cs="仿宋"/>
          <w:color w:val="auto"/>
          <w:highlight w:val="none"/>
        </w:rPr>
      </w:pPr>
    </w:p>
    <w:p>
      <w:pPr>
        <w:jc w:val="center"/>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rPr>
        <w:t>六、评标标准相应的商务技术资料</w:t>
      </w:r>
    </w:p>
    <w:p>
      <w:pPr>
        <w:snapToGrid w:val="0"/>
        <w:spacing w:line="360" w:lineRule="auto"/>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（按招标文件第四部分评标办法前附表中“投标文件中评标标准相应的商务技术资料目录”提供资料）</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en-US" w:eastAsia="zh-CN"/>
        </w:rPr>
        <w:t>七</w:t>
      </w:r>
      <w:r>
        <w:rPr>
          <w:rFonts w:hint="eastAsia" w:ascii="仿宋" w:hAnsi="仿宋" w:eastAsia="仿宋" w:cs="仿宋"/>
          <w:b/>
          <w:color w:val="auto"/>
          <w:kern w:val="0"/>
          <w:sz w:val="32"/>
          <w:szCs w:val="32"/>
          <w:highlight w:val="none"/>
        </w:rPr>
        <w:t>、投标标的清单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名称</w:t>
            </w:r>
          </w:p>
        </w:tc>
        <w:tc>
          <w:tcPr>
            <w:tcW w:w="111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备注（如果有）</w:t>
            </w:r>
          </w:p>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r>
    </w:tbl>
    <w:p>
      <w:pPr>
        <w:pStyle w:val="5"/>
        <w:rPr>
          <w:rFonts w:hint="eastAsia" w:ascii="仿宋" w:hAnsi="仿宋" w:eastAsia="仿宋" w:cs="仿宋"/>
          <w:b/>
          <w:color w:val="auto"/>
          <w:kern w:val="0"/>
          <w:sz w:val="32"/>
          <w:szCs w:val="32"/>
          <w:highlight w:val="none"/>
        </w:rPr>
      </w:pPr>
    </w:p>
    <w:p>
      <w:pPr>
        <w:rPr>
          <w:rFonts w:hint="eastAsia" w:ascii="仿宋" w:hAnsi="仿宋" w:eastAsia="仿宋" w:cs="仿宋"/>
          <w:b/>
          <w:color w:val="auto"/>
          <w:kern w:val="0"/>
          <w:sz w:val="32"/>
          <w:szCs w:val="32"/>
          <w:highlight w:val="none"/>
        </w:rPr>
      </w:pPr>
    </w:p>
    <w:p>
      <w:pPr>
        <w:pStyle w:val="5"/>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en-US" w:eastAsia="zh-CN"/>
        </w:rPr>
        <w:t>八</w:t>
      </w:r>
      <w:r>
        <w:rPr>
          <w:rFonts w:hint="eastAsia" w:ascii="仿宋" w:hAnsi="仿宋" w:eastAsia="仿宋" w:cs="仿宋"/>
          <w:b/>
          <w:color w:val="auto"/>
          <w:kern w:val="0"/>
          <w:sz w:val="32"/>
          <w:szCs w:val="32"/>
          <w:highlight w:val="none"/>
        </w:rPr>
        <w:t>、商务技术偏离表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3683" w:type="dxa"/>
            <w:vAlign w:val="top"/>
          </w:tcPr>
          <w:p>
            <w:pPr>
              <w:spacing w:before="0" w:beforeAutospacing="0" w:after="0" w:afterAutospacing="0"/>
              <w:ind w:left="0" w:right="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招标文件章节及具体内容</w:t>
            </w:r>
          </w:p>
        </w:tc>
        <w:tc>
          <w:tcPr>
            <w:tcW w:w="3546" w:type="dxa"/>
            <w:vAlign w:val="top"/>
          </w:tcPr>
          <w:p>
            <w:pPr>
              <w:spacing w:before="0" w:beforeAutospacing="0" w:after="0" w:afterAutospacing="0"/>
              <w:ind w:left="0" w:right="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投标文件章节及具体内容</w:t>
            </w:r>
          </w:p>
        </w:tc>
        <w:tc>
          <w:tcPr>
            <w:tcW w:w="1276" w:type="dxa"/>
            <w:vAlign w:val="top"/>
          </w:tcPr>
          <w:p>
            <w:pPr>
              <w:spacing w:before="0" w:beforeAutospacing="0" w:after="0" w:afterAutospacing="0"/>
              <w:ind w:left="0" w:right="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3683" w:type="dxa"/>
            <w:vAlign w:val="top"/>
          </w:tcPr>
          <w:p>
            <w:pPr>
              <w:spacing w:before="0" w:beforeAutospacing="0" w:after="0" w:afterAutospacing="0"/>
              <w:ind w:left="0" w:right="0"/>
              <w:jc w:val="center"/>
              <w:rPr>
                <w:rFonts w:hint="eastAsia" w:ascii="仿宋" w:hAnsi="仿宋" w:eastAsia="仿宋" w:cs="仿宋"/>
                <w:b/>
                <w:color w:val="auto"/>
                <w:kern w:val="0"/>
                <w:sz w:val="32"/>
                <w:szCs w:val="32"/>
                <w:highlight w:val="none"/>
              </w:rPr>
            </w:pPr>
          </w:p>
        </w:tc>
        <w:tc>
          <w:tcPr>
            <w:tcW w:w="3546" w:type="dxa"/>
            <w:vAlign w:val="top"/>
          </w:tcPr>
          <w:p>
            <w:pPr>
              <w:spacing w:before="0" w:beforeAutospacing="0" w:after="0" w:afterAutospacing="0"/>
              <w:ind w:left="0" w:right="0"/>
              <w:jc w:val="center"/>
              <w:rPr>
                <w:rFonts w:hint="eastAsia" w:ascii="仿宋" w:hAnsi="仿宋" w:eastAsia="仿宋" w:cs="仿宋"/>
                <w:b/>
                <w:color w:val="auto"/>
                <w:kern w:val="0"/>
                <w:sz w:val="32"/>
                <w:szCs w:val="32"/>
                <w:highlight w:val="none"/>
              </w:rPr>
            </w:pPr>
          </w:p>
        </w:tc>
        <w:tc>
          <w:tcPr>
            <w:tcW w:w="1276" w:type="dxa"/>
            <w:vAlign w:val="top"/>
          </w:tcPr>
          <w:p>
            <w:pPr>
              <w:spacing w:before="0" w:beforeAutospacing="0" w:after="0" w:afterAutospacing="0"/>
              <w:ind w:left="0" w:right="0"/>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3683" w:type="dxa"/>
            <w:vAlign w:val="top"/>
          </w:tcPr>
          <w:p>
            <w:pPr>
              <w:spacing w:before="0" w:beforeAutospacing="0" w:after="0" w:afterAutospacing="0"/>
              <w:ind w:left="0" w:right="0"/>
              <w:jc w:val="center"/>
              <w:rPr>
                <w:rFonts w:hint="eastAsia" w:ascii="仿宋" w:hAnsi="仿宋" w:eastAsia="仿宋" w:cs="仿宋"/>
                <w:b/>
                <w:color w:val="auto"/>
                <w:kern w:val="0"/>
                <w:sz w:val="32"/>
                <w:szCs w:val="32"/>
                <w:highlight w:val="none"/>
              </w:rPr>
            </w:pPr>
          </w:p>
        </w:tc>
        <w:tc>
          <w:tcPr>
            <w:tcW w:w="3546" w:type="dxa"/>
            <w:vAlign w:val="top"/>
          </w:tcPr>
          <w:p>
            <w:pPr>
              <w:spacing w:before="0" w:beforeAutospacing="0" w:after="0" w:afterAutospacing="0"/>
              <w:ind w:left="0" w:right="0"/>
              <w:jc w:val="center"/>
              <w:rPr>
                <w:rFonts w:hint="eastAsia" w:ascii="仿宋" w:hAnsi="仿宋" w:eastAsia="仿宋" w:cs="仿宋"/>
                <w:b/>
                <w:color w:val="auto"/>
                <w:kern w:val="0"/>
                <w:sz w:val="32"/>
                <w:szCs w:val="32"/>
                <w:highlight w:val="none"/>
              </w:rPr>
            </w:pPr>
          </w:p>
        </w:tc>
        <w:tc>
          <w:tcPr>
            <w:tcW w:w="1276" w:type="dxa"/>
            <w:vAlign w:val="top"/>
          </w:tcPr>
          <w:p>
            <w:pPr>
              <w:spacing w:before="0" w:beforeAutospacing="0" w:after="0" w:afterAutospacing="0"/>
              <w:ind w:left="0" w:right="0"/>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3683" w:type="dxa"/>
            <w:vAlign w:val="top"/>
          </w:tcPr>
          <w:p>
            <w:pPr>
              <w:spacing w:before="0" w:beforeAutospacing="0" w:after="0" w:afterAutospacing="0"/>
              <w:ind w:left="0" w:right="0"/>
              <w:jc w:val="center"/>
              <w:rPr>
                <w:rFonts w:hint="eastAsia" w:ascii="仿宋" w:hAnsi="仿宋" w:eastAsia="仿宋" w:cs="仿宋"/>
                <w:b/>
                <w:color w:val="auto"/>
                <w:kern w:val="0"/>
                <w:sz w:val="32"/>
                <w:szCs w:val="32"/>
                <w:highlight w:val="none"/>
              </w:rPr>
            </w:pPr>
          </w:p>
        </w:tc>
        <w:tc>
          <w:tcPr>
            <w:tcW w:w="3546" w:type="dxa"/>
            <w:vAlign w:val="top"/>
          </w:tcPr>
          <w:p>
            <w:pPr>
              <w:spacing w:before="0" w:beforeAutospacing="0" w:after="0" w:afterAutospacing="0"/>
              <w:ind w:left="0" w:right="0"/>
              <w:jc w:val="center"/>
              <w:rPr>
                <w:rFonts w:hint="eastAsia" w:ascii="仿宋" w:hAnsi="仿宋" w:eastAsia="仿宋" w:cs="仿宋"/>
                <w:b/>
                <w:color w:val="auto"/>
                <w:kern w:val="0"/>
                <w:sz w:val="32"/>
                <w:szCs w:val="32"/>
                <w:highlight w:val="none"/>
              </w:rPr>
            </w:pPr>
          </w:p>
        </w:tc>
        <w:tc>
          <w:tcPr>
            <w:tcW w:w="1276" w:type="dxa"/>
            <w:vAlign w:val="top"/>
          </w:tcPr>
          <w:p>
            <w:pPr>
              <w:spacing w:before="0" w:beforeAutospacing="0" w:after="0" w:afterAutospacing="0"/>
              <w:ind w:left="0" w:right="0"/>
              <w:jc w:val="center"/>
              <w:rPr>
                <w:rFonts w:hint="eastAsia" w:ascii="仿宋" w:hAnsi="仿宋" w:eastAsia="仿宋" w:cs="仿宋"/>
                <w:b/>
                <w:color w:val="auto"/>
                <w:kern w:val="0"/>
                <w:sz w:val="32"/>
                <w:szCs w:val="32"/>
                <w:highlight w:val="none"/>
              </w:rPr>
            </w:pPr>
          </w:p>
        </w:tc>
      </w:tr>
    </w:tbl>
    <w:p>
      <w:pPr>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投标人保证：除商务技术偏离表列出的偏离外，投标人响应招标文件的全部要求</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pStyle w:val="81"/>
        <w:rPr>
          <w:rFonts w:hint="eastAsia" w:ascii="仿宋" w:hAnsi="仿宋" w:eastAsia="仿宋" w:cs="仿宋"/>
          <w:b/>
          <w:color w:val="auto"/>
          <w:kern w:val="0"/>
          <w:sz w:val="32"/>
          <w:szCs w:val="32"/>
          <w:highlight w:val="none"/>
        </w:rPr>
      </w:pPr>
    </w:p>
    <w:p>
      <w:pPr>
        <w:ind w:firstLine="1911" w:firstLineChars="595"/>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en-US" w:eastAsia="zh-CN"/>
        </w:rPr>
        <w:t>九</w:t>
      </w:r>
      <w:r>
        <w:rPr>
          <w:rFonts w:hint="eastAsia" w:ascii="仿宋" w:hAnsi="仿宋" w:eastAsia="仿宋" w:cs="仿宋"/>
          <w:b/>
          <w:color w:val="auto"/>
          <w:kern w:val="0"/>
          <w:sz w:val="32"/>
          <w:szCs w:val="32"/>
          <w:highlight w:val="none"/>
        </w:rPr>
        <w:t>、</w:t>
      </w:r>
      <w:r>
        <w:rPr>
          <w:rFonts w:hint="eastAsia" w:ascii="仿宋" w:hAnsi="仿宋" w:eastAsia="仿宋" w:cs="仿宋"/>
          <w:b/>
          <w:color w:val="auto"/>
          <w:kern w:val="0"/>
          <w:sz w:val="32"/>
          <w:szCs w:val="32"/>
          <w:highlight w:val="none"/>
          <w:lang w:val="zh-CN"/>
        </w:rPr>
        <w:t>政府采购供应商廉洁自律承诺书</w:t>
      </w: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我单位响应你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好处；</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六、严格遵守《</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政府采购法》《</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招标投标</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法》</w:t>
      </w:r>
      <w:r>
        <w:rPr>
          <w:rFonts w:hint="eastAsia" w:ascii="仿宋" w:hAnsi="仿宋" w:eastAsia="仿宋" w:cs="仿宋"/>
          <w:color w:val="auto"/>
          <w:sz w:val="24"/>
          <w:highlight w:val="none"/>
          <w:lang w:val="zh-CN"/>
        </w:rPr>
        <w:t>《中华人民共和国民法典》</w:t>
      </w:r>
      <w:r>
        <w:rPr>
          <w:rFonts w:hint="eastAsia" w:ascii="仿宋" w:hAnsi="仿宋" w:eastAsia="仿宋" w:cs="仿宋"/>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如违反上述承诺，你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有权立即取消我单位投标、中标或在建项目的建设资格，有权拒绝我单位在一定时期内进入你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投标人名称（</w:t>
      </w:r>
      <w:r>
        <w:rPr>
          <w:rFonts w:hint="eastAsia" w:ascii="仿宋" w:hAnsi="仿宋" w:eastAsia="仿宋" w:cs="仿宋"/>
          <w:color w:val="auto"/>
          <w:sz w:val="24"/>
          <w:highlight w:val="none"/>
        </w:rPr>
        <w:t>电子签名</w:t>
      </w:r>
      <w:r>
        <w:rPr>
          <w:rFonts w:hint="eastAsia" w:ascii="仿宋" w:hAnsi="仿宋" w:eastAsia="仿宋" w:cs="仿宋"/>
          <w:color w:val="auto"/>
          <w:kern w:val="0"/>
          <w:sz w:val="24"/>
          <w:highlight w:val="none"/>
          <w:lang w:val="zh-CN"/>
        </w:rPr>
        <w:t xml:space="preserve">）：                                                                                                                                                                                                               </w:t>
      </w:r>
    </w:p>
    <w:p>
      <w:pPr>
        <w:spacing w:line="360" w:lineRule="auto"/>
        <w:ind w:left="4620" w:leftChars="2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 xml:space="preserve">   年   月   日</w:t>
      </w:r>
    </w:p>
    <w:p>
      <w:pPr>
        <w:spacing w:line="360" w:lineRule="auto"/>
        <w:jc w:val="center"/>
        <w:rPr>
          <w:rFonts w:hint="eastAsia" w:ascii="仿宋" w:hAnsi="仿宋" w:eastAsia="仿宋" w:cs="仿宋"/>
          <w:b/>
          <w:bCs/>
          <w:color w:val="auto"/>
          <w:sz w:val="24"/>
          <w:highlight w:val="none"/>
        </w:rPr>
      </w:pPr>
    </w:p>
    <w:p>
      <w:pPr>
        <w:spacing w:line="360" w:lineRule="auto"/>
        <w:jc w:val="center"/>
        <w:rPr>
          <w:rFonts w:hint="eastAsia" w:ascii="仿宋" w:hAnsi="仿宋" w:eastAsia="仿宋" w:cs="仿宋"/>
          <w:b/>
          <w:bCs/>
          <w:color w:val="auto"/>
          <w:sz w:val="24"/>
          <w:highlight w:val="none"/>
        </w:rPr>
        <w:sectPr>
          <w:headerReference r:id="rId11" w:type="first"/>
          <w:footerReference r:id="rId13" w:type="first"/>
          <w:headerReference r:id="rId10" w:type="default"/>
          <w:footerReference r:id="rId12"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报价文件部分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（1）开标一览表（报价表）……………………………………………………（页码）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（2）中小企业声明函……………………………………………………………（页码）</w:t>
      </w:r>
    </w:p>
    <w:p>
      <w:pPr>
        <w:snapToGrid w:val="0"/>
        <w:spacing w:line="360" w:lineRule="auto"/>
        <w:ind w:right="480"/>
        <w:jc w:val="both"/>
        <w:rPr>
          <w:rFonts w:hint="eastAsia" w:ascii="仿宋" w:hAnsi="仿宋" w:eastAsia="仿宋" w:cs="仿宋"/>
          <w:b/>
          <w:color w:val="auto"/>
          <w:kern w:val="0"/>
          <w:sz w:val="32"/>
          <w:szCs w:val="32"/>
          <w:highlight w:val="none"/>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投标人针对报价需要说明的其他文件和说明</w:t>
      </w:r>
      <w:r>
        <w:rPr>
          <w:rFonts w:hint="eastAsia" w:ascii="仿宋" w:hAnsi="仿宋" w:eastAsia="仿宋" w:cs="仿宋"/>
          <w:color w:val="auto"/>
          <w:sz w:val="24"/>
          <w:highlight w:val="none"/>
          <w:lang w:eastAsia="zh-CN"/>
        </w:rPr>
        <w:t>（如有）</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（页码）</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pStyle w:val="378"/>
        <w:tabs>
          <w:tab w:val="clear" w:pos="720"/>
        </w:tabs>
        <w:snapToGrid w:val="0"/>
        <w:spacing w:before="120" w:after="120"/>
        <w:ind w:firstLine="643"/>
        <w:outlineLvl w:val="9"/>
        <w:rPr>
          <w:rFonts w:hint="eastAsia" w:ascii="仿宋" w:hAnsi="仿宋" w:eastAsia="仿宋" w:cs="仿宋"/>
          <w:color w:val="auto"/>
          <w:kern w:val="2"/>
          <w:sz w:val="32"/>
          <w:szCs w:val="32"/>
          <w:highlight w:val="none"/>
        </w:rPr>
        <w:sectPr>
          <w:headerReference r:id="rId15" w:type="first"/>
          <w:footerReference r:id="rId17" w:type="first"/>
          <w:headerReference r:id="rId14" w:type="default"/>
          <w:footerReference r:id="rId16" w:type="default"/>
          <w:pgSz w:w="11906" w:h="16838"/>
          <w:pgMar w:top="1276" w:right="1418" w:bottom="1247" w:left="1418" w:header="851" w:footer="992" w:gutter="0"/>
          <w:cols w:space="720" w:num="1"/>
          <w:titlePg/>
          <w:docGrid w:linePitch="312" w:charSpace="0"/>
        </w:sectPr>
      </w:pPr>
    </w:p>
    <w:p>
      <w:pPr>
        <w:pStyle w:val="378"/>
        <w:tabs>
          <w:tab w:val="clear" w:pos="720"/>
        </w:tabs>
        <w:snapToGrid w:val="0"/>
        <w:spacing w:before="120" w:after="120"/>
        <w:ind w:firstLine="643"/>
        <w:outlineLvl w:val="9"/>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一、开标一览表（报价表）</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482"/>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sz w:val="24"/>
          <w:highlight w:val="none"/>
        </w:rPr>
        <w:t>（项目名称）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lang w:val="en-US" w:eastAsia="zh-CN"/>
        </w:rPr>
        <w:t>项目编号</w:t>
      </w:r>
      <w:r>
        <w:rPr>
          <w:rFonts w:hint="eastAsia" w:ascii="仿宋" w:hAnsi="仿宋" w:eastAsia="仿宋" w:cs="仿宋"/>
          <w:color w:val="auto"/>
          <w:kern w:val="0"/>
          <w:sz w:val="24"/>
          <w:highlight w:val="none"/>
          <w:lang w:val="zh-CN"/>
        </w:rPr>
        <w:t>：</w:t>
      </w:r>
      <w:r>
        <w:rPr>
          <w:rFonts w:hint="eastAsia" w:ascii="仿宋" w:hAnsi="仿宋" w:eastAsia="仿宋" w:cs="仿宋"/>
          <w:color w:val="auto"/>
          <w:sz w:val="24"/>
          <w:highlight w:val="none"/>
        </w:rPr>
        <w:t>（采购编号）】的实施</w:t>
      </w:r>
      <w:r>
        <w:rPr>
          <w:rFonts w:hint="eastAsia" w:ascii="仿宋" w:hAnsi="仿宋" w:eastAsia="仿宋" w:cs="仿宋"/>
          <w:color w:val="auto"/>
          <w:kern w:val="0"/>
          <w:sz w:val="24"/>
          <w:highlight w:val="none"/>
          <w:lang w:val="zh-CN"/>
        </w:rPr>
        <w:t>。</w:t>
      </w:r>
    </w:p>
    <w:p>
      <w:pPr>
        <w:spacing w:line="360" w:lineRule="auto"/>
        <w:jc w:val="center"/>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序号</w:t>
            </w:r>
          </w:p>
        </w:tc>
        <w:tc>
          <w:tcPr>
            <w:tcW w:w="992" w:type="dxa"/>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名称</w:t>
            </w:r>
          </w:p>
        </w:tc>
        <w:tc>
          <w:tcPr>
            <w:tcW w:w="2268" w:type="dxa"/>
            <w:vAlign w:val="top"/>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服务范围</w:t>
            </w:r>
          </w:p>
        </w:tc>
        <w:tc>
          <w:tcPr>
            <w:tcW w:w="2410" w:type="dxa"/>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服务要求</w:t>
            </w:r>
          </w:p>
        </w:tc>
        <w:tc>
          <w:tcPr>
            <w:tcW w:w="2268" w:type="dxa"/>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服务时间</w:t>
            </w:r>
          </w:p>
        </w:tc>
        <w:tc>
          <w:tcPr>
            <w:tcW w:w="2126" w:type="dxa"/>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服务标准</w:t>
            </w:r>
          </w:p>
        </w:tc>
        <w:tc>
          <w:tcPr>
            <w:tcW w:w="2127" w:type="dxa"/>
            <w:vAlign w:val="top"/>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服务人数</w:t>
            </w:r>
          </w:p>
        </w:tc>
        <w:tc>
          <w:tcPr>
            <w:tcW w:w="2126" w:type="dxa"/>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备注（如果有）</w:t>
            </w:r>
          </w:p>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1</w:t>
            </w:r>
          </w:p>
        </w:tc>
        <w:tc>
          <w:tcPr>
            <w:tcW w:w="992"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XX</w:t>
            </w:r>
          </w:p>
        </w:tc>
        <w:tc>
          <w:tcPr>
            <w:tcW w:w="2268"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410"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127" w:type="dxa"/>
            <w:vAlign w:val="top"/>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2</w:t>
            </w:r>
          </w:p>
        </w:tc>
        <w:tc>
          <w:tcPr>
            <w:tcW w:w="992"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XX</w:t>
            </w:r>
          </w:p>
        </w:tc>
        <w:tc>
          <w:tcPr>
            <w:tcW w:w="2268"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410"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127" w:type="dxa"/>
            <w:vAlign w:val="top"/>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w:t>
            </w:r>
          </w:p>
        </w:tc>
        <w:tc>
          <w:tcPr>
            <w:tcW w:w="992"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410"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127" w:type="dxa"/>
            <w:vAlign w:val="top"/>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992"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410"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127" w:type="dxa"/>
            <w:vAlign w:val="top"/>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992"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410"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127" w:type="dxa"/>
            <w:vAlign w:val="top"/>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投标报价（小写）</w:t>
            </w:r>
          </w:p>
        </w:tc>
        <w:tc>
          <w:tcPr>
            <w:tcW w:w="8647" w:type="dxa"/>
            <w:gridSpan w:val="4"/>
            <w:vAlign w:val="top"/>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投标报价（大写）</w:t>
            </w:r>
          </w:p>
        </w:tc>
        <w:tc>
          <w:tcPr>
            <w:tcW w:w="8647" w:type="dxa"/>
            <w:gridSpan w:val="4"/>
            <w:vAlign w:val="top"/>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r>
    </w:tbl>
    <w:p>
      <w:pPr>
        <w:pStyle w:val="5"/>
        <w:rPr>
          <w:rFonts w:hint="eastAsia" w:ascii="仿宋" w:hAnsi="仿宋" w:eastAsia="仿宋" w:cs="仿宋"/>
          <w:color w:val="auto"/>
          <w:highlight w:val="none"/>
          <w:lang w:val="zh-CN"/>
        </w:rPr>
      </w:pPr>
    </w:p>
    <w:p>
      <w:pPr>
        <w:snapToGrid w:val="0"/>
        <w:spacing w:line="360" w:lineRule="auto"/>
        <w:ind w:left="480"/>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注：</w:t>
      </w:r>
    </w:p>
    <w:p>
      <w:pPr>
        <w:spacing w:line="360" w:lineRule="auto"/>
        <w:ind w:left="-2" w:firstLine="480" w:firstLineChars="200"/>
        <w:rPr>
          <w:rFonts w:hint="eastAsia" w:ascii="仿宋" w:hAnsi="仿宋" w:eastAsia="仿宋" w:cs="仿宋"/>
          <w:color w:val="auto"/>
          <w:highlight w:val="none"/>
          <w:lang w:val="zh-CN"/>
        </w:rPr>
      </w:pPr>
      <w:r>
        <w:rPr>
          <w:rFonts w:hint="eastAsia" w:ascii="仿宋" w:hAnsi="仿宋" w:eastAsia="仿宋" w:cs="仿宋"/>
          <w:color w:val="auto"/>
          <w:kern w:val="0"/>
          <w:sz w:val="24"/>
          <w:highlight w:val="none"/>
          <w:lang w:val="zh-CN"/>
        </w:rPr>
        <w:t>1、投标人需按本表格式填写</w:t>
      </w:r>
      <w:r>
        <w:rPr>
          <w:rFonts w:hint="eastAsia" w:ascii="仿宋" w:hAnsi="仿宋" w:eastAsia="仿宋" w:cs="仿宋"/>
          <w:b/>
          <w:color w:val="auto"/>
          <w:kern w:val="0"/>
          <w:sz w:val="24"/>
          <w:highlight w:val="none"/>
          <w:lang w:val="zh-CN"/>
        </w:rPr>
        <w:t>，</w:t>
      </w:r>
      <w:r>
        <w:rPr>
          <w:rFonts w:hint="eastAsia" w:ascii="仿宋" w:hAnsi="仿宋" w:eastAsia="仿宋" w:cs="仿宋"/>
          <w:b/>
          <w:color w:val="auto"/>
          <w:kern w:val="0"/>
          <w:sz w:val="24"/>
          <w:highlight w:val="none"/>
        </w:rPr>
        <w:t>否则视为</w:t>
      </w:r>
      <w:r>
        <w:rPr>
          <w:rFonts w:hint="eastAsia" w:ascii="仿宋" w:hAnsi="仿宋" w:eastAsia="仿宋" w:cs="仿宋"/>
          <w:b/>
          <w:color w:val="auto"/>
          <w:sz w:val="24"/>
          <w:highlight w:val="none"/>
        </w:rPr>
        <w:t>投标文件含有采购人不能接受的附加条件，投标无效</w:t>
      </w:r>
      <w:r>
        <w:rPr>
          <w:rFonts w:hint="eastAsia" w:ascii="仿宋" w:hAnsi="仿宋" w:eastAsia="仿宋" w:cs="仿宋"/>
          <w:color w:val="auto"/>
          <w:kern w:val="0"/>
          <w:sz w:val="24"/>
          <w:highlight w:val="none"/>
          <w:lang w:val="zh-CN"/>
        </w:rPr>
        <w:t>。</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2</w:t>
      </w:r>
      <w:r>
        <w:rPr>
          <w:rFonts w:hint="eastAsia" w:ascii="仿宋" w:hAnsi="仿宋" w:eastAsia="仿宋" w:cs="仿宋"/>
          <w:color w:val="auto"/>
          <w:kern w:val="0"/>
          <w:sz w:val="24"/>
          <w:highlight w:val="none"/>
          <w:lang w:val="zh-CN"/>
        </w:rPr>
        <w:t>、有关本项目实施所涉及的一切费用均计入报价。</w:t>
      </w:r>
      <w:r>
        <w:rPr>
          <w:rFonts w:hint="eastAsia" w:ascii="仿宋" w:hAnsi="仿宋" w:eastAsia="仿宋" w:cs="仿宋"/>
          <w:b/>
          <w:color w:val="auto"/>
          <w:kern w:val="0"/>
          <w:sz w:val="24"/>
          <w:highlight w:val="none"/>
          <w:lang w:val="zh-CN"/>
        </w:rPr>
        <w:t>采购人将以合同形式有偿取得货物或服务，不接受投标人给予的赠品、回扣或者与采购无关的其他商品、服务</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不得出现“0元”“免费赠送”等形式的无偿报价，</w:t>
      </w:r>
      <w:r>
        <w:rPr>
          <w:rFonts w:hint="eastAsia" w:ascii="仿宋" w:hAnsi="仿宋" w:eastAsia="仿宋" w:cs="仿宋"/>
          <w:b/>
          <w:color w:val="auto"/>
          <w:kern w:val="0"/>
          <w:sz w:val="24"/>
          <w:highlight w:val="none"/>
        </w:rPr>
        <w:t>否则视为</w:t>
      </w:r>
      <w:r>
        <w:rPr>
          <w:rFonts w:hint="eastAsia" w:ascii="仿宋" w:hAnsi="仿宋" w:eastAsia="仿宋" w:cs="仿宋"/>
          <w:b/>
          <w:color w:val="auto"/>
          <w:sz w:val="24"/>
          <w:highlight w:val="none"/>
        </w:rPr>
        <w:t>投标文件含有采购人不能接受的附加条件的，投标无效</w:t>
      </w:r>
      <w:r>
        <w:rPr>
          <w:rFonts w:hint="eastAsia" w:ascii="仿宋" w:hAnsi="仿宋" w:eastAsia="仿宋" w:cs="仿宋"/>
          <w:b/>
          <w:color w:val="auto"/>
          <w:kern w:val="0"/>
          <w:sz w:val="24"/>
          <w:highlight w:val="none"/>
          <w:lang w:val="zh-CN"/>
        </w:rPr>
        <w:t>；采购内容未包含在《开标一览表（报价表）》名称栏中，投标人不能作出合理解释的，视为投标文件含有采购人不能接受的附加条件的，投标无效。</w:t>
      </w:r>
    </w:p>
    <w:p>
      <w:pPr>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szCs w:val="22"/>
          <w:highlight w:val="none"/>
          <w:lang w:val="en-US" w:eastAsia="zh-CN"/>
        </w:rPr>
        <w:t>3</w:t>
      </w:r>
      <w:r>
        <w:rPr>
          <w:rFonts w:hint="eastAsia" w:ascii="仿宋" w:hAnsi="仿宋" w:eastAsia="仿宋" w:cs="仿宋"/>
          <w:color w:val="auto"/>
          <w:kern w:val="0"/>
          <w:sz w:val="24"/>
          <w:szCs w:val="22"/>
          <w:highlight w:val="none"/>
          <w:lang w:val="zh-CN"/>
        </w:rPr>
        <w:t>、</w:t>
      </w:r>
      <w:r>
        <w:rPr>
          <w:rFonts w:hint="eastAsia" w:ascii="仿宋" w:hAnsi="仿宋" w:eastAsia="仿宋" w:cs="仿宋"/>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5"/>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 xml:space="preserve">    </w:t>
      </w:r>
    </w:p>
    <w:p>
      <w:pP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en-US" w:eastAsia="zh-CN"/>
        </w:rPr>
        <w:t xml:space="preserve">   4</w:t>
      </w:r>
      <w:r>
        <w:rPr>
          <w:rFonts w:hint="eastAsia" w:ascii="仿宋" w:hAnsi="仿宋" w:eastAsia="仿宋" w:cs="仿宋"/>
          <w:color w:val="auto"/>
          <w:kern w:val="0"/>
          <w:sz w:val="24"/>
          <w:highlight w:val="none"/>
          <w:lang w:val="zh-CN"/>
        </w:rPr>
        <w:t>、特别提示：采购机构将对项目名称和项目编号，中标供应商名称、地址和中标金额，主要中标标的名称、服务范围、服务要求、服务时间、服务标准等予以公示。</w:t>
      </w:r>
    </w:p>
    <w:p>
      <w:pPr>
        <w:pStyle w:val="5"/>
        <w:rPr>
          <w:rFonts w:hint="eastAsia" w:ascii="仿宋" w:hAnsi="仿宋" w:eastAsia="仿宋" w:cs="仿宋"/>
          <w:color w:val="auto"/>
          <w:highlight w:val="none"/>
          <w:lang w:val="en-US" w:eastAsia="zh-CN"/>
        </w:rPr>
      </w:pPr>
    </w:p>
    <w:p>
      <w:pPr>
        <w:rPr>
          <w:rFonts w:hint="eastAsia" w:ascii="仿宋" w:hAnsi="仿宋" w:eastAsia="仿宋" w:cs="仿宋"/>
          <w:color w:val="auto"/>
          <w:kern w:val="0"/>
          <w:sz w:val="24"/>
          <w:highlight w:val="none"/>
          <w:lang w:val="zh-CN"/>
        </w:rPr>
      </w:pPr>
    </w:p>
    <w:p>
      <w:pPr>
        <w:pStyle w:val="5"/>
        <w:rPr>
          <w:rFonts w:hint="eastAsia" w:ascii="仿宋" w:hAnsi="仿宋" w:eastAsia="仿宋" w:cs="仿宋"/>
          <w:color w:val="auto"/>
          <w:highlight w:val="none"/>
        </w:rPr>
        <w:sectPr>
          <w:pgSz w:w="16838" w:h="11906" w:orient="landscape"/>
          <w:pgMar w:top="1418" w:right="1247" w:bottom="1418" w:left="1276" w:header="851" w:footer="992" w:gutter="0"/>
          <w:cols w:space="720" w:num="1"/>
          <w:titlePg/>
          <w:docGrid w:linePitch="312" w:charSpace="0"/>
        </w:sectPr>
      </w:pPr>
    </w:p>
    <w:p>
      <w:pPr>
        <w:pStyle w:val="378"/>
        <w:tabs>
          <w:tab w:val="clear" w:pos="720"/>
        </w:tabs>
        <w:snapToGrid w:val="0"/>
        <w:spacing w:before="120" w:after="120"/>
        <w:ind w:firstLine="643"/>
        <w:outlineLvl w:val="9"/>
        <w:rPr>
          <w:rFonts w:hint="eastAsia" w:ascii="仿宋" w:hAnsi="仿宋" w:eastAsia="仿宋" w:cs="仿宋"/>
          <w:color w:val="auto"/>
          <w:sz w:val="32"/>
          <w:szCs w:val="32"/>
          <w:highlight w:val="none"/>
        </w:rPr>
      </w:pPr>
      <w:r>
        <w:rPr>
          <w:rFonts w:hint="eastAsia" w:ascii="仿宋" w:hAnsi="仿宋" w:eastAsia="仿宋" w:cs="仿宋"/>
          <w:color w:val="auto"/>
          <w:kern w:val="2"/>
          <w:sz w:val="32"/>
          <w:szCs w:val="32"/>
          <w:highlight w:val="none"/>
        </w:rPr>
        <w:t>二、</w:t>
      </w:r>
      <w:r>
        <w:rPr>
          <w:rFonts w:hint="eastAsia" w:ascii="仿宋" w:hAnsi="仿宋" w:eastAsia="仿宋" w:cs="仿宋"/>
          <w:color w:val="auto"/>
          <w:sz w:val="32"/>
          <w:szCs w:val="32"/>
          <w:highlight w:val="none"/>
        </w:rPr>
        <w:t>中小企业声明函</w:t>
      </w:r>
    </w:p>
    <w:p>
      <w:pPr>
        <w:widowControl/>
        <w:spacing w:line="360" w:lineRule="auto"/>
        <w:ind w:firstLine="120" w:firstLineChars="5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tabs>
          <w:tab w:val="left" w:pos="8085"/>
        </w:tabs>
        <w:spacing w:line="360" w:lineRule="auto"/>
        <w:ind w:firstLine="1285" w:firstLineChars="400"/>
        <w:jc w:val="left"/>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br w:type="page"/>
      </w:r>
    </w:p>
    <w:p>
      <w:pPr>
        <w:tabs>
          <w:tab w:val="left" w:pos="8085"/>
        </w:tabs>
        <w:spacing w:line="360" w:lineRule="auto"/>
        <w:ind w:firstLine="1285" w:firstLineChars="400"/>
        <w:jc w:val="left"/>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政府采购支持中小企业信用融资相关事项通知</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一、适用对象</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二、相关信息获取方式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三、　政府采购信用融资操作流程：</w:t>
      </w:r>
    </w:p>
    <w:p>
      <w:pPr>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（一）线上融资模式：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1.供应商根据合作银行提供的方案，自行选择金融产品，并办理开户等手续；</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2.供应商中标后，可通过杭州市政府采购网或“浙里办”测算授信额度；</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3.采购合同签订后，供应商在杭州市政府采购网或“浙里办”向合作银行发出融资申请；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4.审批通过后，在线办理放贷手续。</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（二）线下融资模式：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1.供应商根据合作银行提供的方案，自行选择金融产品，向合作银行提出信用资格预审，并办理开户等手续；</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2.采购合同签订后，供应商在杭州市政府采购网或“浙里办”向合作银行发出融资申请；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4.审批通过后，合作银行应按照合作备忘录中约定的审批放款期限和优惠利率及时予以放款。</w:t>
      </w:r>
    </w:p>
    <w:p>
      <w:pPr>
        <w:pStyle w:val="5"/>
        <w:numPr>
          <w:ilvl w:val="0"/>
          <w:numId w:val="0"/>
        </w:numPr>
        <w:ind w:firstLine="960" w:firstLineChars="400"/>
        <w:rPr>
          <w:rFonts w:hint="eastAsia" w:ascii="仿宋" w:hAnsi="仿宋" w:eastAsia="仿宋" w:cs="仿宋"/>
          <w:b w:val="0"/>
          <w:bCs w:val="0"/>
          <w:color w:val="auto"/>
          <w:sz w:val="24"/>
          <w:szCs w:val="24"/>
          <w:highlight w:val="none"/>
          <w:lang w:val="en-US"/>
        </w:rPr>
      </w:pPr>
      <w:r>
        <w:rPr>
          <w:rFonts w:hint="eastAsia" w:ascii="仿宋" w:hAnsi="仿宋" w:eastAsia="仿宋" w:cs="仿宋"/>
          <w:b w:val="0"/>
          <w:bCs w:val="0"/>
          <w:color w:val="auto"/>
          <w:sz w:val="24"/>
          <w:szCs w:val="24"/>
          <w:highlight w:val="none"/>
          <w:lang w:val="en-US"/>
        </w:rPr>
        <w:t>（三）杭州e融平台申请融资</w:t>
      </w:r>
    </w:p>
    <w:p>
      <w:pPr>
        <w:pStyle w:val="5"/>
        <w:numPr>
          <w:ilvl w:val="0"/>
          <w:numId w:val="0"/>
        </w:numPr>
        <w:ind w:firstLine="960" w:firstLineChars="400"/>
        <w:rPr>
          <w:rFonts w:hint="eastAsia" w:ascii="仿宋" w:hAnsi="仿宋" w:eastAsia="仿宋" w:cs="仿宋"/>
          <w:b w:val="0"/>
          <w:bCs w:val="0"/>
          <w:color w:val="auto"/>
          <w:sz w:val="24"/>
          <w:szCs w:val="24"/>
          <w:highlight w:val="none"/>
          <w:lang w:val="en-US"/>
        </w:rPr>
      </w:pPr>
      <w:r>
        <w:rPr>
          <w:rFonts w:hint="eastAsia" w:ascii="仿宋" w:hAnsi="仿宋" w:eastAsia="仿宋" w:cs="仿宋"/>
          <w:b w:val="0"/>
          <w:bCs w:val="0"/>
          <w:color w:val="auto"/>
          <w:sz w:val="24"/>
          <w:szCs w:val="24"/>
          <w:highlight w:val="none"/>
          <w:lang w:val="en-US"/>
        </w:rPr>
        <w:t>供应商通过杭州e融平台政采贷专区，自行选择金融产品，按规定手续办理贷款流程。</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四、注意事项</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仿宋" w:hAnsi="仿宋" w:eastAsia="仿宋" w:cs="仿宋"/>
          <w:b/>
          <w:bCs/>
          <w:color w:val="auto"/>
          <w:kern w:val="0"/>
          <w:sz w:val="24"/>
          <w:highlight w:val="none"/>
        </w:rPr>
      </w:pPr>
    </w:p>
    <w:p>
      <w:pPr>
        <w:pStyle w:val="4"/>
        <w:pageBreakBefore/>
        <w:widowControl/>
        <w:spacing w:before="100" w:beforeAutospacing="1" w:after="100" w:afterAutospacing="1" w:line="360" w:lineRule="auto"/>
        <w:ind w:left="1290" w:firstLine="3092" w:firstLineChars="700"/>
        <w:rPr>
          <w:rFonts w:hint="eastAsia" w:ascii="仿宋" w:hAnsi="仿宋" w:eastAsia="仿宋" w:cs="仿宋"/>
          <w:color w:val="auto"/>
          <w:highlight w:val="none"/>
        </w:rPr>
      </w:pPr>
      <w:bookmarkStart w:id="409" w:name="_Toc465665161"/>
      <w:r>
        <w:rPr>
          <w:rFonts w:hint="eastAsia" w:ascii="仿宋" w:hAnsi="仿宋" w:eastAsia="仿宋" w:cs="仿宋"/>
          <w:color w:val="auto"/>
          <w:highlight w:val="none"/>
        </w:rPr>
        <w:t>附件</w:t>
      </w:r>
      <w:bookmarkEnd w:id="409"/>
    </w:p>
    <w:p>
      <w:pPr>
        <w:spacing w:line="360" w:lineRule="auto"/>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附件1：</w:t>
      </w:r>
    </w:p>
    <w:p>
      <w:pPr>
        <w:spacing w:line="360" w:lineRule="auto"/>
        <w:jc w:val="center"/>
        <w:rPr>
          <w:rFonts w:hint="eastAsia" w:ascii="仿宋" w:hAnsi="仿宋" w:eastAsia="仿宋" w:cs="仿宋"/>
          <w:b/>
          <w:color w:val="auto"/>
          <w:spacing w:val="6"/>
          <w:sz w:val="32"/>
          <w:szCs w:val="32"/>
          <w:highlight w:val="none"/>
        </w:rPr>
      </w:pPr>
      <w:bookmarkStart w:id="410" w:name="OLE_LINK14"/>
      <w:bookmarkStart w:id="411" w:name="OLE_LINK13"/>
      <w:r>
        <w:rPr>
          <w:rFonts w:hint="eastAsia" w:ascii="仿宋" w:hAnsi="仿宋" w:eastAsia="仿宋" w:cs="仿宋"/>
          <w:b/>
          <w:color w:val="auto"/>
          <w:spacing w:val="6"/>
          <w:sz w:val="32"/>
          <w:szCs w:val="32"/>
          <w:highlight w:val="none"/>
        </w:rPr>
        <w:t>残疾人福利性单位声明函</w:t>
      </w:r>
    </w:p>
    <w:bookmarkEnd w:id="410"/>
    <w:bookmarkEnd w:id="411"/>
    <w:p>
      <w:pPr>
        <w:spacing w:line="360" w:lineRule="auto"/>
        <w:rPr>
          <w:rFonts w:hint="eastAsia" w:ascii="仿宋" w:hAnsi="仿宋" w:eastAsia="仿宋" w:cs="仿宋"/>
          <w:b/>
          <w:color w:val="auto"/>
          <w:spacing w:val="6"/>
          <w:sz w:val="30"/>
          <w:szCs w:val="30"/>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kern w:val="0"/>
          <w:sz w:val="24"/>
          <w:highlight w:val="none"/>
          <w:lang w:val="zh-CN"/>
        </w:rPr>
        <w:t>投标人名称（电子签名）</w:t>
      </w:r>
      <w:r>
        <w:rPr>
          <w:rFonts w:hint="eastAsia" w:ascii="仿宋" w:hAnsi="仿宋" w:eastAsia="仿宋" w:cs="仿宋"/>
          <w:color w:val="auto"/>
          <w:sz w:val="24"/>
          <w:highlight w:val="none"/>
        </w:rPr>
        <w:t>：</w:t>
      </w: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  期：</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附件2：质疑函范本及制作说明</w:t>
      </w: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质疑函范本</w:t>
      </w:r>
    </w:p>
    <w:p>
      <w:pPr>
        <w:snapToGrid w:val="0"/>
        <w:spacing w:before="240" w:beforeLines="100"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地址： </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采购文件获取日期：</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质疑事项1：</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质疑事项2</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jc w:val="center"/>
        <w:rPr>
          <w:rFonts w:hint="eastAsia" w:ascii="仿宋" w:hAnsi="仿宋" w:eastAsia="仿宋" w:cs="仿宋"/>
          <w:b/>
          <w:bCs/>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质疑函制作说明：</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1.供应商提出质疑时，应提交质疑函和必要的证明材料。</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2.质疑供应商若委托代理人进行质疑的，质疑函应按要求列明“授权代表”的有关内容，并在附件中提交由质疑</w:t>
      </w:r>
      <w:r>
        <w:rPr>
          <w:rFonts w:hint="eastAsia" w:ascii="仿宋" w:hAnsi="仿宋" w:eastAsia="仿宋" w:cs="仿宋"/>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5.质疑函的质疑请求应与质疑事项相关。</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color w:val="auto"/>
          <w:sz w:val="30"/>
          <w:szCs w:val="30"/>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5"/>
        <w:rPr>
          <w:rFonts w:hint="eastAsia" w:ascii="仿宋" w:hAnsi="仿宋" w:eastAsia="仿宋" w:cs="仿宋"/>
          <w:color w:val="auto"/>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附件3：投诉书范本及制作说明</w:t>
      </w:r>
    </w:p>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投诉书范本</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一、投诉相关主体基本情况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tabs>
          <w:tab w:val="left" w:pos="6510"/>
        </w:tabs>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法定代表人/主要负责人：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tabs>
          <w:tab w:val="left" w:pos="6510"/>
        </w:tabs>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被投诉人1：</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被投诉人2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相关供应商：</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二、投诉项目基本情况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采购项目名称：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采购项目编号：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代理机构名称：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采购文件公告: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采购结果公告: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三、质疑基本情况</w:t>
      </w:r>
    </w:p>
    <w:p>
      <w:pPr>
        <w:spacing w:line="360" w:lineRule="auto"/>
        <w:ind w:firstLine="480" w:firstLineChars="200"/>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日,向</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提出质疑，质疑事项为：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采购人/代理机构</w:t>
      </w:r>
      <w:r>
        <w:rPr>
          <w:rFonts w:hint="eastAsia" w:ascii="仿宋" w:hAnsi="仿宋" w:eastAsia="仿宋" w:cs="仿宋"/>
          <w:color w:val="auto"/>
          <w:sz w:val="24"/>
          <w:highlight w:val="none"/>
        </w:rPr>
        <w:t>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日,就质疑事项作出了答复/没有在法定期限内作出答复。</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四、投诉事项具体内容</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投诉事项 1：</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投诉事项2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五、与投诉事项相关的投诉请求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投诉书制作说明：</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2.投诉人若委托代理人进行投诉的，投诉书应按照要求列明“授权代表”的有关内容，并在附件中提交由</w:t>
      </w:r>
      <w:r>
        <w:rPr>
          <w:rFonts w:hint="eastAsia" w:ascii="仿宋" w:hAnsi="仿宋" w:eastAsia="仿宋" w:cs="仿宋"/>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6.投诉书的投诉请求应与投诉事项相关。</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color w:val="auto"/>
          <w:sz w:val="24"/>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附件4：</w:t>
      </w:r>
      <w:r>
        <w:rPr>
          <w:rFonts w:hint="eastAsia" w:ascii="仿宋" w:hAnsi="仿宋" w:eastAsia="仿宋" w:cs="仿宋"/>
          <w:b/>
          <w:bCs/>
          <w:color w:val="auto"/>
          <w:sz w:val="32"/>
          <w:szCs w:val="32"/>
          <w:highlight w:val="none"/>
        </w:rPr>
        <w:t>业务专用章使用说明函</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（采购人）、（采购代理机构）</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我方</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sz w:val="24"/>
          <w:highlight w:val="none"/>
        </w:rPr>
        <w:t>(投标人全称)是中华人民共和国依法登记注册的合法企业，</w:t>
      </w:r>
      <w:r>
        <w:rPr>
          <w:rFonts w:hint="eastAsia" w:ascii="仿宋" w:hAnsi="仿宋" w:eastAsia="仿宋" w:cs="仿宋"/>
          <w:bCs/>
          <w:color w:val="auto"/>
          <w:sz w:val="24"/>
          <w:highlight w:val="none"/>
        </w:rPr>
        <w:t>在参加</w:t>
      </w:r>
      <w:r>
        <w:rPr>
          <w:rFonts w:hint="eastAsia" w:ascii="仿宋" w:hAnsi="仿宋" w:eastAsia="仿宋" w:cs="仿宋"/>
          <w:color w:val="auto"/>
          <w:sz w:val="24"/>
          <w:highlight w:val="none"/>
        </w:rPr>
        <w:t>你方组织的（项目名称）项目【招标编号：（采购编号）】</w:t>
      </w:r>
      <w:r>
        <w:rPr>
          <w:rFonts w:hint="eastAsia" w:ascii="仿宋" w:hAnsi="仿宋" w:eastAsia="仿宋" w:cs="仿宋"/>
          <w:bCs/>
          <w:color w:val="auto"/>
          <w:sz w:val="24"/>
          <w:highlight w:val="none"/>
        </w:rPr>
        <w:t>投标活动中作如下说明：</w:t>
      </w:r>
      <w:r>
        <w:rPr>
          <w:rFonts w:hint="eastAsia" w:ascii="仿宋" w:hAnsi="仿宋" w:eastAsia="仿宋" w:cs="仿宋"/>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特此说明。</w:t>
      </w: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right="480" w:firstLine="4080" w:firstLineChars="170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投标单位（法定名称章）：</w:t>
      </w:r>
    </w:p>
    <w:p>
      <w:pPr>
        <w:ind w:right="1440" w:firstLine="494"/>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附：</w:t>
      </w:r>
    </w:p>
    <w:p>
      <w:pPr>
        <w:spacing w:line="360" w:lineRule="auto"/>
        <w:rPr>
          <w:rFonts w:hint="eastAsia" w:ascii="仿宋" w:hAnsi="仿宋" w:eastAsia="仿宋" w:cs="仿宋"/>
          <w:bCs/>
          <w:color w:val="auto"/>
          <w:sz w:val="24"/>
          <w:highlight w:val="none"/>
        </w:rPr>
      </w:pPr>
      <w:r>
        <w:rPr>
          <w:rFonts w:hint="eastAsia" w:ascii="仿宋" w:hAnsi="仿宋" w:eastAsia="仿宋" w:cs="仿宋"/>
          <w:b/>
          <w:bCs/>
          <w:color w:val="auto"/>
          <w:kern w:val="2"/>
          <w:sz w:val="24"/>
          <w:szCs w:val="24"/>
          <w:highlight w:val="none"/>
          <w:lang w:val="en-US" w:eastAsia="zh-CN" w:bidi="ar-SA"/>
        </w:rPr>
        <w:pict>
          <v:rect id="Rectangle 17" o:spid="_x0000_s1026" o:spt="1" style="position:absolute;left:0pt;margin-left:238.9pt;margin-top:28.05pt;height:177.45pt;width:212.95pt;z-index:-25165721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仿宋" w:hAnsi="仿宋" w:eastAsia="仿宋" w:cs="仿宋"/>
          <w:b/>
          <w:bCs/>
          <w:color w:val="auto"/>
          <w:kern w:val="2"/>
          <w:sz w:val="24"/>
          <w:szCs w:val="24"/>
          <w:highlight w:val="none"/>
          <w:lang w:val="en-US" w:eastAsia="zh-CN" w:bidi="ar-SA"/>
        </w:rPr>
        <w:pict>
          <v:rect id="Rectangle 16" o:spid="_x0000_s1027" o:spt="1" style="position:absolute;left:0pt;margin-left:-7.2pt;margin-top:30.3pt;height:177.45pt;width:208.5pt;z-index:-25165619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仿宋" w:hAnsi="仿宋" w:eastAsia="仿宋" w:cs="仿宋"/>
          <w:color w:val="auto"/>
          <w:sz w:val="24"/>
          <w:highlight w:val="none"/>
        </w:rPr>
        <w:t>投标单位法定名称章（印模）                投标单位“XX专用章”（印模）</w:t>
      </w: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br w:type="page"/>
      </w:r>
    </w:p>
    <w:p>
      <w:pPr>
        <w:autoSpaceDE w:val="0"/>
        <w:autoSpaceDN w:val="0"/>
        <w:jc w:val="center"/>
        <w:rPr>
          <w:rFonts w:hint="eastAsia"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附件5：</w:t>
      </w:r>
      <w:r>
        <w:rPr>
          <w:rFonts w:hint="eastAsia" w:ascii="仿宋" w:hAnsi="仿宋" w:eastAsia="仿宋" w:cs="仿宋"/>
          <w:b/>
          <w:color w:val="auto"/>
          <w:sz w:val="32"/>
          <w:szCs w:val="32"/>
          <w:highlight w:val="none"/>
        </w:rPr>
        <w:t>中小企业声明函</w:t>
      </w:r>
    </w:p>
    <w:p>
      <w:pPr>
        <w:spacing w:line="360" w:lineRule="auto"/>
        <w:jc w:val="center"/>
        <w:rPr>
          <w:rFonts w:hint="eastAsia" w:ascii="仿宋" w:hAnsi="仿宋" w:eastAsia="仿宋" w:cs="仿宋"/>
          <w:color w:val="auto"/>
          <w:sz w:val="24"/>
          <w:highlight w:val="none"/>
          <w:u w:val="single"/>
        </w:rPr>
      </w:pP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中小企业声明函（货物）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 ，属于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行业 ；制造商为</w:t>
      </w:r>
      <w:r>
        <w:rPr>
          <w:rFonts w:hint="eastAsia" w:ascii="仿宋" w:hAnsi="仿宋" w:eastAsia="仿宋" w:cs="仿宋"/>
          <w:color w:val="auto"/>
          <w:sz w:val="24"/>
          <w:highlight w:val="none"/>
          <w:u w:val="single"/>
        </w:rPr>
        <w:t xml:space="preserve"> （企业名称）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w:t>
      </w:r>
      <w:r>
        <w:rPr>
          <w:rFonts w:hint="eastAsia" w:ascii="仿宋" w:hAnsi="仿宋" w:eastAsia="仿宋" w:cs="仿宋"/>
          <w:color w:val="auto"/>
          <w:sz w:val="24"/>
          <w:highlight w:val="non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 ，属于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行业 ；制造商为</w:t>
      </w:r>
      <w:r>
        <w:rPr>
          <w:rFonts w:hint="eastAsia" w:ascii="仿宋" w:hAnsi="仿宋" w:eastAsia="仿宋" w:cs="仿宋"/>
          <w:color w:val="auto"/>
          <w:sz w:val="24"/>
          <w:highlight w:val="none"/>
          <w:u w:val="single"/>
        </w:rPr>
        <w:t xml:space="preserve"> （企业名称）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w:t>
      </w:r>
      <w:r>
        <w:rPr>
          <w:rFonts w:hint="eastAsia" w:ascii="仿宋" w:hAnsi="仿宋" w:eastAsia="仿宋" w:cs="仿宋"/>
          <w:color w:val="auto"/>
          <w:sz w:val="24"/>
          <w:highlight w:val="non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napToGrid w:val="0"/>
        <w:spacing w:line="360" w:lineRule="auto"/>
        <w:ind w:firstLine="5160" w:firstLineChars="215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投标人名称(电子签名)：</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spacing w:line="360" w:lineRule="auto"/>
        <w:jc w:val="left"/>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br w:type="page"/>
      </w: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小企业声明函（工程、服务）</w:t>
      </w:r>
    </w:p>
    <w:p>
      <w:pPr>
        <w:spacing w:line="360" w:lineRule="auto"/>
        <w:rPr>
          <w:rFonts w:hint="eastAsia" w:ascii="仿宋" w:hAnsi="仿宋" w:eastAsia="仿宋" w:cs="仿宋"/>
          <w:color w:val="auto"/>
          <w:highlight w:val="none"/>
        </w:rPr>
      </w:pPr>
    </w:p>
    <w:p>
      <w:pPr>
        <w:spacing w:line="360" w:lineRule="auto"/>
        <w:ind w:firstLine="360" w:firstLineChars="1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pacing w:line="360" w:lineRule="auto"/>
        <w:ind w:right="176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投标人名称（电子签名）：</w:t>
      </w:r>
    </w:p>
    <w:p>
      <w:pPr>
        <w:spacing w:line="360" w:lineRule="auto"/>
        <w:ind w:right="1120" w:firstLine="4680" w:firstLineChars="195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p>
      <w:pPr>
        <w:spacing w:line="360" w:lineRule="auto"/>
        <w:ind w:firstLine="310" w:firstLineChars="147"/>
        <w:jc w:val="left"/>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从业人员、营业收入、资产总额填报上一年度数据，无上一年度数据的新成立企业可不填报。</w:t>
      </w:r>
    </w:p>
    <w:p>
      <w:pPr>
        <w:spacing w:line="360" w:lineRule="auto"/>
        <w:ind w:right="420"/>
        <w:rPr>
          <w:rFonts w:hint="eastAsia" w:ascii="仿宋" w:hAnsi="仿宋" w:eastAsia="仿宋" w:cs="仿宋"/>
          <w:color w:val="auto"/>
          <w:sz w:val="24"/>
          <w:highlight w:val="non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5"/>
        <w:rPr>
          <w:rFonts w:hint="eastAsia" w:ascii="仿宋" w:hAnsi="仿宋" w:eastAsia="仿宋" w:cs="仿宋"/>
          <w:color w:val="auto"/>
          <w:highlight w:val="none"/>
          <w:lang w:val="en-US"/>
        </w:rPr>
      </w:pPr>
    </w:p>
    <w:p>
      <w:pPr>
        <w:spacing w:line="360" w:lineRule="auto"/>
        <w:ind w:right="420"/>
        <w:rPr>
          <w:rFonts w:hint="eastAsia" w:ascii="仿宋" w:hAnsi="仿宋" w:eastAsia="仿宋" w:cs="仿宋"/>
          <w:color w:val="auto"/>
          <w:highlight w:val="none"/>
        </w:rPr>
      </w:pPr>
    </w:p>
    <w:p>
      <w:pPr>
        <w:spacing w:line="360" w:lineRule="auto"/>
        <w:rPr>
          <w:rFonts w:hint="eastAsia" w:ascii="仿宋" w:hAnsi="仿宋" w:eastAsia="仿宋" w:cs="仿宋"/>
          <w:bCs/>
          <w:color w:val="auto"/>
          <w:sz w:val="24"/>
          <w:highlight w:val="none"/>
        </w:rPr>
      </w:pPr>
    </w:p>
    <w:sectPr>
      <w:headerReference r:id="rId19" w:type="first"/>
      <w:footerReference r:id="rId22" w:type="first"/>
      <w:headerReference r:id="rId18" w:type="default"/>
      <w:footerReference r:id="rId20" w:type="default"/>
      <w:footerReference r:id="rId21"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panose1 w:val="0201050906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Lucida Sans">
    <w:panose1 w:val="020B0602030504020204"/>
    <w:charset w:val="00"/>
    <w:family w:val="auto"/>
    <w:pitch w:val="default"/>
    <w:sig w:usb0="00000003" w:usb1="00000000" w:usb2="00000000" w:usb3="00000000" w:csb0="20000001" w:csb1="00000000"/>
  </w:font>
  <w:font w:name="Verdana">
    <w:panose1 w:val="020B0604030504040204"/>
    <w:charset w:val="00"/>
    <w:family w:val="auto"/>
    <w:pitch w:val="default"/>
    <w:sig w:usb0="A0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separate"/>
    </w:r>
    <w:r>
      <w:rPr>
        <w:rStyle w:val="73"/>
      </w:rPr>
      <w:t>8</w:t>
    </w:r>
    <w:r>
      <w:fldChar w:fldCharType="end"/>
    </w:r>
  </w:p>
  <w:p>
    <w:pPr>
      <w:pStyle w:val="40"/>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412" w:name="_Toc131845147"/>
    <w:bookmarkStart w:id="413" w:name="_Toc164085800"/>
    <w:bookmarkStart w:id="414" w:name="_Toc91899912"/>
    <w:bookmarkStart w:id="415" w:name="_Toc36110187"/>
    <w:r>
      <w:rPr>
        <w:rFonts w:hint="eastAsia" w:ascii="仿宋_GB2312" w:eastAsia="仿宋_GB2312"/>
        <w:kern w:val="0"/>
        <w:szCs w:val="21"/>
      </w:rPr>
      <w:t xml:space="preserve"> 页</w:t>
    </w:r>
    <w:bookmarkEnd w:id="412"/>
    <w:bookmarkEnd w:id="413"/>
    <w:bookmarkEnd w:id="414"/>
    <w:bookmarkEnd w:id="41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center" w:y="2"/>
      <w:rPr>
        <w:rStyle w:val="73"/>
      </w:rPr>
    </w:pPr>
    <w:r>
      <w:rPr>
        <w:sz w:val="24"/>
        <w:szCs w:val="24"/>
      </w:rPr>
      <w:fldChar w:fldCharType="begin"/>
    </w:r>
    <w:r>
      <w:rPr>
        <w:rStyle w:val="73"/>
        <w:sz w:val="24"/>
        <w:szCs w:val="24"/>
      </w:rPr>
      <w:instrText xml:space="preserve">PAGE  </w:instrText>
    </w:r>
    <w:r>
      <w:rPr>
        <w:sz w:val="24"/>
        <w:szCs w:val="24"/>
      </w:rPr>
      <w:fldChar w:fldCharType="separate"/>
    </w:r>
    <w:r>
      <w:rPr>
        <w:rStyle w:val="73"/>
        <w:sz w:val="24"/>
        <w:szCs w:val="24"/>
      </w:rPr>
      <w:t>- 34 -</w:t>
    </w:r>
    <w:r>
      <w:rPr>
        <w:sz w:val="24"/>
        <w:szCs w:val="24"/>
      </w:rPr>
      <w:fldChar w:fldCharType="end"/>
    </w:r>
  </w:p>
  <w:p>
    <w:pPr>
      <w:pStyle w:val="4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rPr>
        <w:rFonts w:hint="eastAsia"/>
        <w:lang w:val="en-US" w:eastAsia="zh-CN"/>
      </w:rPr>
      <w:t>临平区</w:t>
    </w:r>
    <w:r>
      <w:t>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en-US" w:eastAsia="zh-CN"/>
      </w:rPr>
      <w:t>临平区</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3B3F35"/>
    <w:multiLevelType w:val="singleLevel"/>
    <w:tmpl w:val="D23B3F35"/>
    <w:lvl w:ilvl="0" w:tentative="0">
      <w:start w:val="3"/>
      <w:numFmt w:val="chineseCounting"/>
      <w:suff w:val="space"/>
      <w:lvlText w:val="第%1部分"/>
      <w:lvlJc w:val="left"/>
      <w:rPr>
        <w:rFonts w:hint="eastAsia"/>
      </w:rPr>
    </w:lvl>
  </w:abstractNum>
  <w:abstractNum w:abstractNumId="1">
    <w:nsid w:val="DA55EE15"/>
    <w:multiLevelType w:val="singleLevel"/>
    <w:tmpl w:val="DA55EE15"/>
    <w:lvl w:ilvl="0" w:tentative="0">
      <w:start w:val="1"/>
      <w:numFmt w:val="decimal"/>
      <w:suff w:val="nothing"/>
      <w:lvlText w:val="（%1）"/>
      <w:lvlJc w:val="left"/>
    </w:lvl>
  </w:abstractNum>
  <w:abstractNum w:abstractNumId="2">
    <w:nsid w:val="1EBE2729"/>
    <w:multiLevelType w:val="multilevel"/>
    <w:tmpl w:val="1EBE2729"/>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29D9D1F"/>
    <w:multiLevelType w:val="singleLevel"/>
    <w:tmpl w:val="629D9D1F"/>
    <w:lvl w:ilvl="0" w:tentative="0">
      <w:start w:val="6"/>
      <w:numFmt w:val="chineseCounting"/>
      <w:suff w:val="nothing"/>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NjhjOThjYTFkN2FhMzdjNjRkMzRmN2FjYTFiMDZmN2U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530"/>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827F58"/>
    <w:rsid w:val="02DC4B10"/>
    <w:rsid w:val="02DD76CE"/>
    <w:rsid w:val="02F36323"/>
    <w:rsid w:val="02F5619C"/>
    <w:rsid w:val="0326446A"/>
    <w:rsid w:val="032D5555"/>
    <w:rsid w:val="035D4591"/>
    <w:rsid w:val="036634D2"/>
    <w:rsid w:val="03DD35E4"/>
    <w:rsid w:val="04076900"/>
    <w:rsid w:val="041A5A3B"/>
    <w:rsid w:val="042311BA"/>
    <w:rsid w:val="042B157A"/>
    <w:rsid w:val="046E4E16"/>
    <w:rsid w:val="048F763B"/>
    <w:rsid w:val="049F330E"/>
    <w:rsid w:val="04AA775C"/>
    <w:rsid w:val="04AF1889"/>
    <w:rsid w:val="04F66F48"/>
    <w:rsid w:val="05251E14"/>
    <w:rsid w:val="05A16594"/>
    <w:rsid w:val="05A7762D"/>
    <w:rsid w:val="060E5941"/>
    <w:rsid w:val="06110FAF"/>
    <w:rsid w:val="063F5B0F"/>
    <w:rsid w:val="06493CA7"/>
    <w:rsid w:val="065A6178"/>
    <w:rsid w:val="06667154"/>
    <w:rsid w:val="066F1CF3"/>
    <w:rsid w:val="06930BB8"/>
    <w:rsid w:val="07245D42"/>
    <w:rsid w:val="07264C62"/>
    <w:rsid w:val="072A2FCD"/>
    <w:rsid w:val="0779354C"/>
    <w:rsid w:val="07C231CA"/>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AC42132"/>
    <w:rsid w:val="0AEE5A69"/>
    <w:rsid w:val="0B30404E"/>
    <w:rsid w:val="0B4C6C14"/>
    <w:rsid w:val="0B631A88"/>
    <w:rsid w:val="0B683D45"/>
    <w:rsid w:val="0B7F3F11"/>
    <w:rsid w:val="0B7F7E88"/>
    <w:rsid w:val="0B884417"/>
    <w:rsid w:val="0BF6188C"/>
    <w:rsid w:val="0BF73C91"/>
    <w:rsid w:val="0C170175"/>
    <w:rsid w:val="0C571A41"/>
    <w:rsid w:val="0C5C1171"/>
    <w:rsid w:val="0C5C1BCC"/>
    <w:rsid w:val="0C5E1CBC"/>
    <w:rsid w:val="0C615B50"/>
    <w:rsid w:val="0C8445DA"/>
    <w:rsid w:val="0C87121B"/>
    <w:rsid w:val="0CC007F7"/>
    <w:rsid w:val="0CFE707A"/>
    <w:rsid w:val="0D063BDA"/>
    <w:rsid w:val="0D08375F"/>
    <w:rsid w:val="0D0B2C6C"/>
    <w:rsid w:val="0D184CFB"/>
    <w:rsid w:val="0D4A7419"/>
    <w:rsid w:val="0D827401"/>
    <w:rsid w:val="0D84094E"/>
    <w:rsid w:val="0D8A00E9"/>
    <w:rsid w:val="0D8D589E"/>
    <w:rsid w:val="0D985DA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DE1EC5"/>
    <w:rsid w:val="10F26336"/>
    <w:rsid w:val="10F33360"/>
    <w:rsid w:val="10FC16EA"/>
    <w:rsid w:val="110F1D40"/>
    <w:rsid w:val="11266F33"/>
    <w:rsid w:val="118963A1"/>
    <w:rsid w:val="11C6522A"/>
    <w:rsid w:val="11E104CC"/>
    <w:rsid w:val="11E20309"/>
    <w:rsid w:val="11FE0013"/>
    <w:rsid w:val="12255233"/>
    <w:rsid w:val="12530213"/>
    <w:rsid w:val="127723A9"/>
    <w:rsid w:val="12862074"/>
    <w:rsid w:val="12883966"/>
    <w:rsid w:val="129E45B4"/>
    <w:rsid w:val="12BB25D2"/>
    <w:rsid w:val="12D81596"/>
    <w:rsid w:val="13072A44"/>
    <w:rsid w:val="132E76CD"/>
    <w:rsid w:val="135F4BE2"/>
    <w:rsid w:val="137A4BC0"/>
    <w:rsid w:val="139B1A0A"/>
    <w:rsid w:val="139D25C7"/>
    <w:rsid w:val="13BF3CE4"/>
    <w:rsid w:val="141008D8"/>
    <w:rsid w:val="14125FE6"/>
    <w:rsid w:val="146D271E"/>
    <w:rsid w:val="14982588"/>
    <w:rsid w:val="149A5AD9"/>
    <w:rsid w:val="14A7619D"/>
    <w:rsid w:val="14BB7B9C"/>
    <w:rsid w:val="150536C3"/>
    <w:rsid w:val="150C1963"/>
    <w:rsid w:val="151447A0"/>
    <w:rsid w:val="154A6454"/>
    <w:rsid w:val="15762120"/>
    <w:rsid w:val="16A8729C"/>
    <w:rsid w:val="16B33777"/>
    <w:rsid w:val="16BC70A7"/>
    <w:rsid w:val="16C6339E"/>
    <w:rsid w:val="172F2D79"/>
    <w:rsid w:val="17557BEF"/>
    <w:rsid w:val="175F3F5B"/>
    <w:rsid w:val="17D349C1"/>
    <w:rsid w:val="1830729E"/>
    <w:rsid w:val="18444BC5"/>
    <w:rsid w:val="1870062C"/>
    <w:rsid w:val="18817102"/>
    <w:rsid w:val="18830A15"/>
    <w:rsid w:val="18852B28"/>
    <w:rsid w:val="188B5321"/>
    <w:rsid w:val="196453DF"/>
    <w:rsid w:val="19932372"/>
    <w:rsid w:val="19A20DD5"/>
    <w:rsid w:val="19AE03F1"/>
    <w:rsid w:val="1A071A03"/>
    <w:rsid w:val="1A1F16AE"/>
    <w:rsid w:val="1A3B5C77"/>
    <w:rsid w:val="1A65423B"/>
    <w:rsid w:val="1A984BAD"/>
    <w:rsid w:val="1AB8220E"/>
    <w:rsid w:val="1AE4166C"/>
    <w:rsid w:val="1AF06CFB"/>
    <w:rsid w:val="1AF11B8D"/>
    <w:rsid w:val="1AF85A85"/>
    <w:rsid w:val="1B11359C"/>
    <w:rsid w:val="1B2A271F"/>
    <w:rsid w:val="1B46204F"/>
    <w:rsid w:val="1B530544"/>
    <w:rsid w:val="1B713184"/>
    <w:rsid w:val="1B741675"/>
    <w:rsid w:val="1BA209CF"/>
    <w:rsid w:val="1BB4777D"/>
    <w:rsid w:val="1BC258DA"/>
    <w:rsid w:val="1BD75AB8"/>
    <w:rsid w:val="1C0459C2"/>
    <w:rsid w:val="1C1B3B4A"/>
    <w:rsid w:val="1C767BD0"/>
    <w:rsid w:val="1C88086E"/>
    <w:rsid w:val="1D266CE1"/>
    <w:rsid w:val="1D3963AF"/>
    <w:rsid w:val="1D6A673C"/>
    <w:rsid w:val="1D9247AE"/>
    <w:rsid w:val="1DB567EC"/>
    <w:rsid w:val="1DC74626"/>
    <w:rsid w:val="1DE54FD0"/>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8A67B8"/>
    <w:rsid w:val="20973DEB"/>
    <w:rsid w:val="20AE688A"/>
    <w:rsid w:val="20B26522"/>
    <w:rsid w:val="20B44310"/>
    <w:rsid w:val="20D91C32"/>
    <w:rsid w:val="211116EB"/>
    <w:rsid w:val="2133151A"/>
    <w:rsid w:val="216133FC"/>
    <w:rsid w:val="21D56769"/>
    <w:rsid w:val="21E52EF3"/>
    <w:rsid w:val="21FB5D7B"/>
    <w:rsid w:val="220B1C3D"/>
    <w:rsid w:val="221D1D20"/>
    <w:rsid w:val="22334A87"/>
    <w:rsid w:val="22681CF7"/>
    <w:rsid w:val="22BE6801"/>
    <w:rsid w:val="233500BF"/>
    <w:rsid w:val="23377FF7"/>
    <w:rsid w:val="236B425F"/>
    <w:rsid w:val="23836192"/>
    <w:rsid w:val="23901F29"/>
    <w:rsid w:val="239C0061"/>
    <w:rsid w:val="23B908A4"/>
    <w:rsid w:val="23D46191"/>
    <w:rsid w:val="23E95BEF"/>
    <w:rsid w:val="23F23D7D"/>
    <w:rsid w:val="23FD0064"/>
    <w:rsid w:val="245375B0"/>
    <w:rsid w:val="24642C0A"/>
    <w:rsid w:val="24B22173"/>
    <w:rsid w:val="24B95AD9"/>
    <w:rsid w:val="24BE24DA"/>
    <w:rsid w:val="24CF5825"/>
    <w:rsid w:val="24D663E6"/>
    <w:rsid w:val="24D77F2B"/>
    <w:rsid w:val="253E1FB4"/>
    <w:rsid w:val="258B00E2"/>
    <w:rsid w:val="25A917A6"/>
    <w:rsid w:val="25BE27CC"/>
    <w:rsid w:val="25F654BC"/>
    <w:rsid w:val="25F74A5C"/>
    <w:rsid w:val="2628662C"/>
    <w:rsid w:val="262D45DE"/>
    <w:rsid w:val="26A02F87"/>
    <w:rsid w:val="26A53EF9"/>
    <w:rsid w:val="26A94201"/>
    <w:rsid w:val="26AC274F"/>
    <w:rsid w:val="27044A29"/>
    <w:rsid w:val="27106BE8"/>
    <w:rsid w:val="271D34C8"/>
    <w:rsid w:val="276142BF"/>
    <w:rsid w:val="276C516A"/>
    <w:rsid w:val="27783712"/>
    <w:rsid w:val="278B3C24"/>
    <w:rsid w:val="27907362"/>
    <w:rsid w:val="28084A26"/>
    <w:rsid w:val="280F5343"/>
    <w:rsid w:val="28333E1D"/>
    <w:rsid w:val="28454BD6"/>
    <w:rsid w:val="28455253"/>
    <w:rsid w:val="28551971"/>
    <w:rsid w:val="285B1C53"/>
    <w:rsid w:val="289F7086"/>
    <w:rsid w:val="28C32028"/>
    <w:rsid w:val="28CC490F"/>
    <w:rsid w:val="28DB58F7"/>
    <w:rsid w:val="28DE40AA"/>
    <w:rsid w:val="29345E77"/>
    <w:rsid w:val="294C65AD"/>
    <w:rsid w:val="29806583"/>
    <w:rsid w:val="298B3C4C"/>
    <w:rsid w:val="29F26D24"/>
    <w:rsid w:val="2A15033F"/>
    <w:rsid w:val="2A1662C1"/>
    <w:rsid w:val="2A1C7367"/>
    <w:rsid w:val="2A2815FA"/>
    <w:rsid w:val="2A5A0714"/>
    <w:rsid w:val="2A6D6092"/>
    <w:rsid w:val="2A7D76B4"/>
    <w:rsid w:val="2B437463"/>
    <w:rsid w:val="2B7807EE"/>
    <w:rsid w:val="2BBF00EC"/>
    <w:rsid w:val="2BC33EED"/>
    <w:rsid w:val="2BC37CFD"/>
    <w:rsid w:val="2BD5237F"/>
    <w:rsid w:val="2BE536CE"/>
    <w:rsid w:val="2BE758D9"/>
    <w:rsid w:val="2C09049E"/>
    <w:rsid w:val="2C0A653C"/>
    <w:rsid w:val="2C191F85"/>
    <w:rsid w:val="2C4E7785"/>
    <w:rsid w:val="2CE40F12"/>
    <w:rsid w:val="2CE82D6F"/>
    <w:rsid w:val="2CF24727"/>
    <w:rsid w:val="2D343236"/>
    <w:rsid w:val="2D491B1B"/>
    <w:rsid w:val="2DD15014"/>
    <w:rsid w:val="2DF72DE4"/>
    <w:rsid w:val="2E0220AF"/>
    <w:rsid w:val="2E1A1307"/>
    <w:rsid w:val="2E4B082A"/>
    <w:rsid w:val="2E5D4E86"/>
    <w:rsid w:val="2E5D790B"/>
    <w:rsid w:val="2E984B00"/>
    <w:rsid w:val="2E9A3C18"/>
    <w:rsid w:val="2EBB0FEE"/>
    <w:rsid w:val="2EC63002"/>
    <w:rsid w:val="2F0A6B38"/>
    <w:rsid w:val="2F142608"/>
    <w:rsid w:val="2F946CCB"/>
    <w:rsid w:val="2FA914A7"/>
    <w:rsid w:val="2FD25781"/>
    <w:rsid w:val="2FDA4648"/>
    <w:rsid w:val="2FFD7934"/>
    <w:rsid w:val="30733ACD"/>
    <w:rsid w:val="308C3862"/>
    <w:rsid w:val="309379D8"/>
    <w:rsid w:val="30A270F7"/>
    <w:rsid w:val="30DF1478"/>
    <w:rsid w:val="30EC586F"/>
    <w:rsid w:val="319C6071"/>
    <w:rsid w:val="31AC537E"/>
    <w:rsid w:val="31E3679B"/>
    <w:rsid w:val="31E732FD"/>
    <w:rsid w:val="32517576"/>
    <w:rsid w:val="32BE5C2C"/>
    <w:rsid w:val="32FB6478"/>
    <w:rsid w:val="33196747"/>
    <w:rsid w:val="33263B3F"/>
    <w:rsid w:val="336963EB"/>
    <w:rsid w:val="33757D46"/>
    <w:rsid w:val="33816EEB"/>
    <w:rsid w:val="33EB55CD"/>
    <w:rsid w:val="33EC4C02"/>
    <w:rsid w:val="340D2360"/>
    <w:rsid w:val="3410665D"/>
    <w:rsid w:val="34211214"/>
    <w:rsid w:val="342E63AB"/>
    <w:rsid w:val="34950E68"/>
    <w:rsid w:val="34986E94"/>
    <w:rsid w:val="34A064BE"/>
    <w:rsid w:val="34AF62C9"/>
    <w:rsid w:val="34CB4388"/>
    <w:rsid w:val="34FA6E12"/>
    <w:rsid w:val="354C0726"/>
    <w:rsid w:val="358D5588"/>
    <w:rsid w:val="35CF3520"/>
    <w:rsid w:val="362D7FF8"/>
    <w:rsid w:val="363A3B40"/>
    <w:rsid w:val="365302AE"/>
    <w:rsid w:val="36607A0A"/>
    <w:rsid w:val="366E227C"/>
    <w:rsid w:val="366F2E0D"/>
    <w:rsid w:val="367B6A5C"/>
    <w:rsid w:val="36A74ADA"/>
    <w:rsid w:val="36AD60D5"/>
    <w:rsid w:val="36B224F9"/>
    <w:rsid w:val="36EC0CC9"/>
    <w:rsid w:val="373F410B"/>
    <w:rsid w:val="37EE7094"/>
    <w:rsid w:val="38120769"/>
    <w:rsid w:val="38296C89"/>
    <w:rsid w:val="383002EB"/>
    <w:rsid w:val="38586797"/>
    <w:rsid w:val="38BC0149"/>
    <w:rsid w:val="38BC34BF"/>
    <w:rsid w:val="38D87D1C"/>
    <w:rsid w:val="38EC33C3"/>
    <w:rsid w:val="39636459"/>
    <w:rsid w:val="396B7F6C"/>
    <w:rsid w:val="398A029A"/>
    <w:rsid w:val="39B417A9"/>
    <w:rsid w:val="39FC5695"/>
    <w:rsid w:val="3A006D8E"/>
    <w:rsid w:val="3A23749D"/>
    <w:rsid w:val="3A3651E5"/>
    <w:rsid w:val="3A744481"/>
    <w:rsid w:val="3A8C7BEF"/>
    <w:rsid w:val="3A906246"/>
    <w:rsid w:val="3B2349B7"/>
    <w:rsid w:val="3B3D2948"/>
    <w:rsid w:val="3B616CFF"/>
    <w:rsid w:val="3B6259F6"/>
    <w:rsid w:val="3B976654"/>
    <w:rsid w:val="3BC01EFC"/>
    <w:rsid w:val="3BCA786A"/>
    <w:rsid w:val="3BD31E2F"/>
    <w:rsid w:val="3BF15831"/>
    <w:rsid w:val="3C105946"/>
    <w:rsid w:val="3C471448"/>
    <w:rsid w:val="3C5230D6"/>
    <w:rsid w:val="3C5F759A"/>
    <w:rsid w:val="3C6C525A"/>
    <w:rsid w:val="3CCE23CB"/>
    <w:rsid w:val="3CD17D17"/>
    <w:rsid w:val="3D3C7F39"/>
    <w:rsid w:val="3D440F09"/>
    <w:rsid w:val="3D4504A0"/>
    <w:rsid w:val="3D8734BB"/>
    <w:rsid w:val="3D9A11D4"/>
    <w:rsid w:val="3DA16D89"/>
    <w:rsid w:val="3DA364BE"/>
    <w:rsid w:val="3DE041CB"/>
    <w:rsid w:val="3DFC7826"/>
    <w:rsid w:val="3E0D48F6"/>
    <w:rsid w:val="3E1868B4"/>
    <w:rsid w:val="3E2F7C16"/>
    <w:rsid w:val="3E377251"/>
    <w:rsid w:val="3E42664B"/>
    <w:rsid w:val="3E5A7334"/>
    <w:rsid w:val="3E7B5D6B"/>
    <w:rsid w:val="3E843E66"/>
    <w:rsid w:val="3E8F51FE"/>
    <w:rsid w:val="3E926F87"/>
    <w:rsid w:val="3E9A59DE"/>
    <w:rsid w:val="3EAF4836"/>
    <w:rsid w:val="3EC33DFA"/>
    <w:rsid w:val="3F060E16"/>
    <w:rsid w:val="3F1D1096"/>
    <w:rsid w:val="3F2F0234"/>
    <w:rsid w:val="3F35117A"/>
    <w:rsid w:val="3F5F7ACE"/>
    <w:rsid w:val="3F6363FE"/>
    <w:rsid w:val="3F756B8F"/>
    <w:rsid w:val="3F95482B"/>
    <w:rsid w:val="4019356B"/>
    <w:rsid w:val="40592157"/>
    <w:rsid w:val="406E1CAE"/>
    <w:rsid w:val="40A0133A"/>
    <w:rsid w:val="40C31A53"/>
    <w:rsid w:val="40FF545D"/>
    <w:rsid w:val="410067C8"/>
    <w:rsid w:val="413876DD"/>
    <w:rsid w:val="41586BC4"/>
    <w:rsid w:val="418F0D2A"/>
    <w:rsid w:val="41D01505"/>
    <w:rsid w:val="42474939"/>
    <w:rsid w:val="424C3C57"/>
    <w:rsid w:val="42562163"/>
    <w:rsid w:val="42613FF3"/>
    <w:rsid w:val="42660D96"/>
    <w:rsid w:val="428667D2"/>
    <w:rsid w:val="42CD1CE0"/>
    <w:rsid w:val="42E1381E"/>
    <w:rsid w:val="42EA34EA"/>
    <w:rsid w:val="42ED6459"/>
    <w:rsid w:val="42FE58DD"/>
    <w:rsid w:val="43036A81"/>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6F6CFB"/>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604A49"/>
    <w:rsid w:val="4D905305"/>
    <w:rsid w:val="4D964A72"/>
    <w:rsid w:val="4D9C1254"/>
    <w:rsid w:val="4E793892"/>
    <w:rsid w:val="4E800872"/>
    <w:rsid w:val="4EC569ED"/>
    <w:rsid w:val="4ED50EA1"/>
    <w:rsid w:val="4EEC050C"/>
    <w:rsid w:val="4F104EC3"/>
    <w:rsid w:val="4F47354A"/>
    <w:rsid w:val="4F911C54"/>
    <w:rsid w:val="4FE625E0"/>
    <w:rsid w:val="4FE65BDF"/>
    <w:rsid w:val="5021480F"/>
    <w:rsid w:val="50962ECB"/>
    <w:rsid w:val="50A42E38"/>
    <w:rsid w:val="50A4577F"/>
    <w:rsid w:val="50B73D1F"/>
    <w:rsid w:val="50BD5BC9"/>
    <w:rsid w:val="50C11EEE"/>
    <w:rsid w:val="50E97CFC"/>
    <w:rsid w:val="50FA4028"/>
    <w:rsid w:val="510D65B7"/>
    <w:rsid w:val="511157AB"/>
    <w:rsid w:val="512E428A"/>
    <w:rsid w:val="5142540C"/>
    <w:rsid w:val="518832C8"/>
    <w:rsid w:val="518F5CC6"/>
    <w:rsid w:val="51A0432A"/>
    <w:rsid w:val="51A86090"/>
    <w:rsid w:val="51B7396D"/>
    <w:rsid w:val="522E4CC3"/>
    <w:rsid w:val="5244713B"/>
    <w:rsid w:val="52615633"/>
    <w:rsid w:val="52977FD4"/>
    <w:rsid w:val="529C5AA0"/>
    <w:rsid w:val="52A25790"/>
    <w:rsid w:val="52A96B6F"/>
    <w:rsid w:val="52B45975"/>
    <w:rsid w:val="52D94AA4"/>
    <w:rsid w:val="52EA3A62"/>
    <w:rsid w:val="52F50BB8"/>
    <w:rsid w:val="53097272"/>
    <w:rsid w:val="53436A31"/>
    <w:rsid w:val="53544462"/>
    <w:rsid w:val="536A5F90"/>
    <w:rsid w:val="5397158E"/>
    <w:rsid w:val="54013861"/>
    <w:rsid w:val="54487265"/>
    <w:rsid w:val="544D6070"/>
    <w:rsid w:val="54605E1E"/>
    <w:rsid w:val="54B3506A"/>
    <w:rsid w:val="54CA0D16"/>
    <w:rsid w:val="54DD4057"/>
    <w:rsid w:val="54E7490F"/>
    <w:rsid w:val="550764A4"/>
    <w:rsid w:val="550B2BF6"/>
    <w:rsid w:val="55214EB5"/>
    <w:rsid w:val="553406B2"/>
    <w:rsid w:val="55364EFD"/>
    <w:rsid w:val="555D4828"/>
    <w:rsid w:val="557A4C8B"/>
    <w:rsid w:val="558931E1"/>
    <w:rsid w:val="55923347"/>
    <w:rsid w:val="55925180"/>
    <w:rsid w:val="55983B1B"/>
    <w:rsid w:val="55A8376B"/>
    <w:rsid w:val="55DC29B6"/>
    <w:rsid w:val="55DD4241"/>
    <w:rsid w:val="566B6D1E"/>
    <w:rsid w:val="568D608C"/>
    <w:rsid w:val="56A64417"/>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3A6DC9"/>
    <w:rsid w:val="58917D2F"/>
    <w:rsid w:val="5894085C"/>
    <w:rsid w:val="58AE4F0C"/>
    <w:rsid w:val="58B85899"/>
    <w:rsid w:val="58E363A9"/>
    <w:rsid w:val="58F87A10"/>
    <w:rsid w:val="59120131"/>
    <w:rsid w:val="595E1678"/>
    <w:rsid w:val="59686533"/>
    <w:rsid w:val="596D5BD4"/>
    <w:rsid w:val="597E3DD8"/>
    <w:rsid w:val="59F80043"/>
    <w:rsid w:val="5A09252F"/>
    <w:rsid w:val="5A0B2778"/>
    <w:rsid w:val="5A2A7C7B"/>
    <w:rsid w:val="5A3C0E89"/>
    <w:rsid w:val="5A3E2560"/>
    <w:rsid w:val="5A5D3B6E"/>
    <w:rsid w:val="5A637A76"/>
    <w:rsid w:val="5A6D33BA"/>
    <w:rsid w:val="5A7449E7"/>
    <w:rsid w:val="5A792B1F"/>
    <w:rsid w:val="5A874767"/>
    <w:rsid w:val="5AAD6F28"/>
    <w:rsid w:val="5AD63A24"/>
    <w:rsid w:val="5B024457"/>
    <w:rsid w:val="5B091AC4"/>
    <w:rsid w:val="5B2E1A1D"/>
    <w:rsid w:val="5B6819CE"/>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3D0242"/>
    <w:rsid w:val="5F6277C6"/>
    <w:rsid w:val="5F6D0B1D"/>
    <w:rsid w:val="5F8D0B82"/>
    <w:rsid w:val="5F9A3F78"/>
    <w:rsid w:val="5FCC5339"/>
    <w:rsid w:val="5FE34A5B"/>
    <w:rsid w:val="5FFE1E36"/>
    <w:rsid w:val="60232584"/>
    <w:rsid w:val="603354CB"/>
    <w:rsid w:val="607330CE"/>
    <w:rsid w:val="60825176"/>
    <w:rsid w:val="609F2AC4"/>
    <w:rsid w:val="60FA2EE8"/>
    <w:rsid w:val="61054A27"/>
    <w:rsid w:val="610A52BC"/>
    <w:rsid w:val="611D2366"/>
    <w:rsid w:val="61421856"/>
    <w:rsid w:val="615227C4"/>
    <w:rsid w:val="61654E3F"/>
    <w:rsid w:val="6182292A"/>
    <w:rsid w:val="619145DE"/>
    <w:rsid w:val="619F7F92"/>
    <w:rsid w:val="61B51E9A"/>
    <w:rsid w:val="61E3027B"/>
    <w:rsid w:val="61F94C26"/>
    <w:rsid w:val="62000E56"/>
    <w:rsid w:val="624F3E49"/>
    <w:rsid w:val="62557CB5"/>
    <w:rsid w:val="62632286"/>
    <w:rsid w:val="626671FB"/>
    <w:rsid w:val="62885958"/>
    <w:rsid w:val="629058F8"/>
    <w:rsid w:val="62F40B65"/>
    <w:rsid w:val="62FC2CFE"/>
    <w:rsid w:val="63024505"/>
    <w:rsid w:val="6330768C"/>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5A038D1"/>
    <w:rsid w:val="66125E6A"/>
    <w:rsid w:val="66195831"/>
    <w:rsid w:val="662E75B1"/>
    <w:rsid w:val="66342C2E"/>
    <w:rsid w:val="663E784C"/>
    <w:rsid w:val="668B6A45"/>
    <w:rsid w:val="66EB7F76"/>
    <w:rsid w:val="672F3F24"/>
    <w:rsid w:val="673E055F"/>
    <w:rsid w:val="67430B21"/>
    <w:rsid w:val="67551CE3"/>
    <w:rsid w:val="67A22552"/>
    <w:rsid w:val="67B22DCC"/>
    <w:rsid w:val="67BE71AA"/>
    <w:rsid w:val="67D90273"/>
    <w:rsid w:val="67DE5875"/>
    <w:rsid w:val="67E55852"/>
    <w:rsid w:val="67EB1AB4"/>
    <w:rsid w:val="67FA1285"/>
    <w:rsid w:val="68551F4F"/>
    <w:rsid w:val="686F02F5"/>
    <w:rsid w:val="687C10C9"/>
    <w:rsid w:val="68840C16"/>
    <w:rsid w:val="68876EFB"/>
    <w:rsid w:val="68884654"/>
    <w:rsid w:val="689F444F"/>
    <w:rsid w:val="68B96DBB"/>
    <w:rsid w:val="68CA2805"/>
    <w:rsid w:val="68E937A3"/>
    <w:rsid w:val="693E15D3"/>
    <w:rsid w:val="69627681"/>
    <w:rsid w:val="6977531D"/>
    <w:rsid w:val="69A2559F"/>
    <w:rsid w:val="69CC2BFF"/>
    <w:rsid w:val="69EC2FA3"/>
    <w:rsid w:val="69FD55B8"/>
    <w:rsid w:val="6A0B1C62"/>
    <w:rsid w:val="6A2406C8"/>
    <w:rsid w:val="6ADE0BD1"/>
    <w:rsid w:val="6AE96859"/>
    <w:rsid w:val="6B147746"/>
    <w:rsid w:val="6B24787C"/>
    <w:rsid w:val="6B573233"/>
    <w:rsid w:val="6B5B6274"/>
    <w:rsid w:val="6B5D51D7"/>
    <w:rsid w:val="6B795CEF"/>
    <w:rsid w:val="6B8E6844"/>
    <w:rsid w:val="6B935D53"/>
    <w:rsid w:val="6B9E6661"/>
    <w:rsid w:val="6BDD1037"/>
    <w:rsid w:val="6BE96690"/>
    <w:rsid w:val="6C196F71"/>
    <w:rsid w:val="6C226FCB"/>
    <w:rsid w:val="6C31226F"/>
    <w:rsid w:val="6C406744"/>
    <w:rsid w:val="6C552F0B"/>
    <w:rsid w:val="6C5F420E"/>
    <w:rsid w:val="6C8C67B7"/>
    <w:rsid w:val="6C9D744C"/>
    <w:rsid w:val="6D167928"/>
    <w:rsid w:val="6D26299B"/>
    <w:rsid w:val="6D4772EC"/>
    <w:rsid w:val="6D9078AF"/>
    <w:rsid w:val="6D956F05"/>
    <w:rsid w:val="6DAA3FEF"/>
    <w:rsid w:val="6DC0172B"/>
    <w:rsid w:val="6DCB690C"/>
    <w:rsid w:val="6DD41A5B"/>
    <w:rsid w:val="6DF43C2E"/>
    <w:rsid w:val="6DF51CA3"/>
    <w:rsid w:val="6E111CC9"/>
    <w:rsid w:val="6E8335BD"/>
    <w:rsid w:val="6E8E12EF"/>
    <w:rsid w:val="6E972936"/>
    <w:rsid w:val="6ED446C5"/>
    <w:rsid w:val="6EFA5469"/>
    <w:rsid w:val="6F2A7D94"/>
    <w:rsid w:val="6F8331F1"/>
    <w:rsid w:val="6FAE1A09"/>
    <w:rsid w:val="6FD75BF8"/>
    <w:rsid w:val="707723D0"/>
    <w:rsid w:val="70F5661B"/>
    <w:rsid w:val="71360107"/>
    <w:rsid w:val="713B688E"/>
    <w:rsid w:val="71565065"/>
    <w:rsid w:val="71D43752"/>
    <w:rsid w:val="71F1796A"/>
    <w:rsid w:val="72154626"/>
    <w:rsid w:val="72262B5D"/>
    <w:rsid w:val="72283FF7"/>
    <w:rsid w:val="722E7212"/>
    <w:rsid w:val="723A0474"/>
    <w:rsid w:val="725923E4"/>
    <w:rsid w:val="72864BF7"/>
    <w:rsid w:val="729023FC"/>
    <w:rsid w:val="72CA3BBF"/>
    <w:rsid w:val="73C0646E"/>
    <w:rsid w:val="742222F5"/>
    <w:rsid w:val="74476126"/>
    <w:rsid w:val="74706664"/>
    <w:rsid w:val="747F3682"/>
    <w:rsid w:val="749C4185"/>
    <w:rsid w:val="75067759"/>
    <w:rsid w:val="752E6DCD"/>
    <w:rsid w:val="75342268"/>
    <w:rsid w:val="754A11EA"/>
    <w:rsid w:val="7551380D"/>
    <w:rsid w:val="755B0EFF"/>
    <w:rsid w:val="75600BE5"/>
    <w:rsid w:val="7564475C"/>
    <w:rsid w:val="7583797F"/>
    <w:rsid w:val="75D20F1D"/>
    <w:rsid w:val="75DA2C18"/>
    <w:rsid w:val="75F54412"/>
    <w:rsid w:val="761D08E0"/>
    <w:rsid w:val="7640414F"/>
    <w:rsid w:val="765D347C"/>
    <w:rsid w:val="76826699"/>
    <w:rsid w:val="76C87133"/>
    <w:rsid w:val="76CD08D5"/>
    <w:rsid w:val="76DB4B92"/>
    <w:rsid w:val="77052AA4"/>
    <w:rsid w:val="77136511"/>
    <w:rsid w:val="77340A39"/>
    <w:rsid w:val="77351FD0"/>
    <w:rsid w:val="77472422"/>
    <w:rsid w:val="777F31F2"/>
    <w:rsid w:val="77D1700D"/>
    <w:rsid w:val="77EC04CC"/>
    <w:rsid w:val="78510AC5"/>
    <w:rsid w:val="78590B7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90271"/>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91CC8"/>
    <w:rsid w:val="7E1E5218"/>
    <w:rsid w:val="7E9A4E1F"/>
    <w:rsid w:val="7EA7723A"/>
    <w:rsid w:val="7EF56FBB"/>
    <w:rsid w:val="7F0768EB"/>
    <w:rsid w:val="7F143BEC"/>
    <w:rsid w:val="7F712CCC"/>
    <w:rsid w:val="7F715AF2"/>
    <w:rsid w:val="7F886E6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799"/>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839"/>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809"/>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678"/>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821"/>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86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70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link w:val="70"/>
    <w:unhideWhenUsed/>
    <w:qFormat/>
    <w:uiPriority w:val="1"/>
    <w:rPr>
      <w:rFonts w:ascii="仿宋_GB2312" w:eastAsia="仿宋_GB2312"/>
      <w:b/>
      <w:sz w:val="32"/>
      <w:szCs w:val="32"/>
    </w:rPr>
  </w:style>
  <w:style w:type="table" w:default="1" w:styleId="62">
    <w:name w:val="Normal Table"/>
    <w:unhideWhenUsed/>
    <w:qFormat/>
    <w:uiPriority w:val="99"/>
    <w:pPr>
      <w:widowControl/>
      <w:spacing w:before="0" w:beforeAutospacing="0" w:after="0" w:afterAutospacing="0"/>
      <w:ind w:left="0" w:right="0"/>
    </w:pPr>
    <w:rPr>
      <w:rFonts w:hint="eastAsia"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3"/>
    <w:link w:val="931"/>
    <w:qFormat/>
    <w:uiPriority w:val="0"/>
    <w:pPr>
      <w:autoSpaceDE w:val="0"/>
      <w:autoSpaceDN w:val="0"/>
      <w:spacing w:line="360" w:lineRule="auto"/>
    </w:pPr>
    <w:rPr>
      <w:rFonts w:ascii="宋体" w:hAnsi="Arial" w:cs="Arial"/>
      <w:snapToGrid w:val="0"/>
      <w:sz w:val="24"/>
      <w:szCs w:val="21"/>
      <w:lang w:val="zh-CN"/>
    </w:rPr>
  </w:style>
  <w:style w:type="paragraph" w:styleId="3">
    <w:name w:val="Body Text First Indent"/>
    <w:basedOn w:val="2"/>
    <w:link w:val="833"/>
    <w:qFormat/>
    <w:uiPriority w:val="0"/>
    <w:pPr>
      <w:ind w:firstLine="420"/>
    </w:pPr>
    <w:rPr>
      <w:rFonts w:hAnsi="Calibri" w:cs="Times New Roman"/>
      <w:szCs w:val="20"/>
    </w:rPr>
  </w:style>
  <w:style w:type="paragraph" w:styleId="7">
    <w:name w:val="Normal Indent"/>
    <w:basedOn w:val="1"/>
    <w:next w:val="1"/>
    <w:link w:val="719"/>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751"/>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726"/>
    <w:qFormat/>
    <w:uiPriority w:val="0"/>
    <w:pPr>
      <w:shd w:val="clear" w:color="auto" w:fill="000080"/>
    </w:pPr>
  </w:style>
  <w:style w:type="paragraph" w:styleId="21">
    <w:name w:val="annotation text"/>
    <w:basedOn w:val="1"/>
    <w:link w:val="854"/>
    <w:qFormat/>
    <w:uiPriority w:val="99"/>
    <w:pPr>
      <w:widowControl w:val="0"/>
      <w:spacing w:before="0" w:beforeAutospacing="0" w:after="0" w:afterAutospacing="0"/>
      <w:ind w:left="0" w:right="0"/>
      <w:jc w:val="left"/>
    </w:pPr>
    <w:rPr>
      <w:rFonts w:hint="eastAsia" w:ascii="Times New Roman" w:hAnsi="Times New Roman" w:eastAsia="宋体" w:cs="Times New Roman"/>
      <w:kern w:val="2"/>
      <w:sz w:val="21"/>
      <w:szCs w:val="24"/>
      <w:lang w:val="en-US" w:eastAsia="zh-CN" w:bidi="ar-SA"/>
    </w:rPr>
  </w:style>
  <w:style w:type="paragraph" w:styleId="22">
    <w:name w:val="Salutation"/>
    <w:basedOn w:val="1"/>
    <w:next w:val="1"/>
    <w:link w:val="814"/>
    <w:qFormat/>
    <w:uiPriority w:val="0"/>
    <w:rPr>
      <w:rFonts w:ascii="仿宋_GB2312" w:eastAsia="仿宋_GB2312"/>
      <w:sz w:val="28"/>
      <w:szCs w:val="20"/>
    </w:rPr>
  </w:style>
  <w:style w:type="paragraph" w:styleId="23">
    <w:name w:val="Body Text 3"/>
    <w:basedOn w:val="1"/>
    <w:link w:val="842"/>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Indent"/>
    <w:basedOn w:val="1"/>
    <w:link w:val="782"/>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743"/>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658"/>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708"/>
    <w:qFormat/>
    <w:uiPriority w:val="0"/>
    <w:pPr>
      <w:ind w:left="100" w:leftChars="2500"/>
    </w:pPr>
    <w:rPr>
      <w:rFonts w:ascii="宋体"/>
      <w:sz w:val="24"/>
      <w:szCs w:val="21"/>
      <w:lang w:val="zh-CN"/>
    </w:rPr>
  </w:style>
  <w:style w:type="paragraph" w:styleId="37">
    <w:name w:val="Body Text Indent 2"/>
    <w:basedOn w:val="1"/>
    <w:link w:val="822"/>
    <w:qFormat/>
    <w:uiPriority w:val="0"/>
    <w:pPr>
      <w:spacing w:line="360" w:lineRule="auto"/>
      <w:ind w:firstLine="601"/>
      <w:textAlignment w:val="baseline"/>
    </w:pPr>
    <w:rPr>
      <w:rFonts w:ascii="宋体"/>
      <w:kern w:val="0"/>
      <w:sz w:val="28"/>
      <w:szCs w:val="20"/>
    </w:rPr>
  </w:style>
  <w:style w:type="paragraph" w:styleId="38">
    <w:name w:val="endnote text"/>
    <w:basedOn w:val="1"/>
    <w:link w:val="939"/>
    <w:qFormat/>
    <w:uiPriority w:val="0"/>
    <w:rPr>
      <w:lang w:val="zh-CN"/>
    </w:rPr>
  </w:style>
  <w:style w:type="paragraph" w:styleId="39">
    <w:name w:val="Balloon Text"/>
    <w:basedOn w:val="1"/>
    <w:link w:val="715"/>
    <w:qFormat/>
    <w:uiPriority w:val="0"/>
    <w:rPr>
      <w:sz w:val="18"/>
      <w:szCs w:val="18"/>
    </w:rPr>
  </w:style>
  <w:style w:type="paragraph" w:styleId="40">
    <w:name w:val="footer"/>
    <w:basedOn w:val="1"/>
    <w:link w:val="890"/>
    <w:qFormat/>
    <w:uiPriority w:val="99"/>
    <w:pPr>
      <w:tabs>
        <w:tab w:val="center" w:pos="4153"/>
        <w:tab w:val="right" w:pos="8306"/>
      </w:tabs>
      <w:snapToGrid w:val="0"/>
      <w:jc w:val="left"/>
    </w:pPr>
    <w:rPr>
      <w:sz w:val="18"/>
      <w:szCs w:val="18"/>
    </w:rPr>
  </w:style>
  <w:style w:type="paragraph" w:styleId="41">
    <w:name w:val="header"/>
    <w:basedOn w:val="1"/>
    <w:link w:val="898"/>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855"/>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665"/>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7"/>
    <w:link w:val="824"/>
    <w:qFormat/>
    <w:uiPriority w:val="0"/>
    <w:pPr>
      <w:adjustRightInd/>
      <w:snapToGrid/>
      <w:spacing w:before="60" w:after="60" w:line="300" w:lineRule="exact"/>
      <w:ind w:firstLine="0"/>
    </w:pPr>
    <w:rPr>
      <w:rFonts w:ascii="Calibri"/>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883"/>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818"/>
    <w:qFormat/>
    <w:uiPriority w:val="0"/>
    <w:pPr>
      <w:spacing w:after="120" w:line="480" w:lineRule="auto"/>
    </w:pPr>
  </w:style>
  <w:style w:type="paragraph" w:styleId="57">
    <w:name w:val="HTML Preformatted"/>
    <w:basedOn w:val="1"/>
    <w:link w:val="81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next w:val="1"/>
    <w:link w:val="802"/>
    <w:qFormat/>
    <w:uiPriority w:val="10"/>
    <w:pPr>
      <w:widowControl/>
      <w:overflowPunct w:val="0"/>
      <w:autoSpaceDE w:val="0"/>
      <w:autoSpaceDN w:val="0"/>
      <w:jc w:val="center"/>
      <w:textAlignment w:val="baseline"/>
    </w:pPr>
    <w:rPr>
      <w:b/>
      <w:kern w:val="0"/>
      <w:sz w:val="24"/>
      <w:szCs w:val="20"/>
    </w:rPr>
  </w:style>
  <w:style w:type="paragraph" w:styleId="60">
    <w:name w:val="annotation subject"/>
    <w:basedOn w:val="21"/>
    <w:next w:val="21"/>
    <w:link w:val="631"/>
    <w:qFormat/>
    <w:uiPriority w:val="0"/>
    <w:rPr>
      <w:b/>
      <w:bCs/>
    </w:rPr>
  </w:style>
  <w:style w:type="paragraph" w:styleId="61">
    <w:name w:val="Body Text First Indent 2"/>
    <w:basedOn w:val="25"/>
    <w:link w:val="654"/>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paragraph" w:customStyle="1" w:styleId="70">
    <w:name w:val="Char Char Char Char Char Char Char Char Char Char Char Char Char"/>
    <w:basedOn w:val="1"/>
    <w:link w:val="69"/>
    <w:qFormat/>
    <w:uiPriority w:val="0"/>
    <w:rPr>
      <w:rFonts w:ascii="仿宋_GB2312" w:eastAsia="仿宋_GB2312"/>
      <w:b/>
      <w:sz w:val="32"/>
      <w:szCs w:val="32"/>
    </w:r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69"/>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69"/>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正文1"/>
    <w:basedOn w:val="32"/>
    <w:next w:val="1"/>
    <w:qFormat/>
    <w:uiPriority w:val="0"/>
    <w:pPr>
      <w:ind w:left="0" w:leftChars="0" w:firstLine="480" w:firstLineChars="200"/>
    </w:pPr>
    <w:rPr>
      <w:rFonts w:ascii="仿宋_GB2312" w:hAnsi="Courier New" w:eastAsia="仿宋_GB2312"/>
      <w:kern w:val="28"/>
      <w:sz w:val="24"/>
    </w:rPr>
  </w:style>
  <w:style w:type="paragraph" w:customStyle="1" w:styleId="81">
    <w:name w:val="正文 "/>
    <w:qFormat/>
    <w:uiPriority w:val="0"/>
    <w:pPr>
      <w:widowControl w:val="0"/>
      <w:adjustRightInd w:val="0"/>
      <w:spacing w:line="318" w:lineRule="atLeast"/>
      <w:ind w:left="369" w:firstLine="369"/>
      <w:jc w:val="both"/>
      <w:textAlignment w:val="baseline"/>
    </w:pPr>
    <w:rPr>
      <w:rFonts w:ascii="宋体" w:hAnsi="Times New Roman" w:eastAsia="宋体" w:cs="Calibri"/>
      <w:kern w:val="2"/>
      <w:sz w:val="21"/>
      <w:lang w:val="en-US" w:eastAsia="zh-CN" w:bidi="ar-SA"/>
    </w:rPr>
  </w:style>
  <w:style w:type="paragraph" w:customStyle="1" w:styleId="82">
    <w:name w:val="表格非标题文字"/>
    <w:link w:val="620"/>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3">
    <w:name w:val="*正文"/>
    <w:basedOn w:val="1"/>
    <w:link w:val="621"/>
    <w:qFormat/>
    <w:uiPriority w:val="0"/>
    <w:pPr>
      <w:snapToGrid w:val="0"/>
      <w:spacing w:line="360" w:lineRule="auto"/>
      <w:ind w:firstLine="482"/>
      <w:jc w:val="left"/>
    </w:pPr>
    <w:rPr>
      <w:rFonts w:ascii="宋体" w:hAnsi="宋体"/>
      <w:kern w:val="0"/>
      <w:sz w:val="24"/>
      <w:szCs w:val="20"/>
    </w:rPr>
  </w:style>
  <w:style w:type="paragraph" w:customStyle="1" w:styleId="84">
    <w:name w:val="U_正文"/>
    <w:basedOn w:val="1"/>
    <w:link w:val="629"/>
    <w:qFormat/>
    <w:uiPriority w:val="0"/>
    <w:pPr>
      <w:adjustRightInd/>
      <w:spacing w:beforeLines="20" w:afterLines="20" w:line="300" w:lineRule="auto"/>
      <w:ind w:firstLine="200" w:firstLineChars="200"/>
    </w:pPr>
    <w:rPr>
      <w:kern w:val="0"/>
      <w:sz w:val="24"/>
    </w:rPr>
  </w:style>
  <w:style w:type="paragraph" w:customStyle="1" w:styleId="85">
    <w:name w:val="哈哈正文"/>
    <w:basedOn w:val="1"/>
    <w:link w:val="636"/>
    <w:qFormat/>
    <w:uiPriority w:val="0"/>
    <w:pPr>
      <w:adjustRightInd/>
      <w:spacing w:line="360" w:lineRule="auto"/>
      <w:ind w:firstLine="200" w:firstLineChars="200"/>
    </w:pPr>
    <w:rPr>
      <w:rFonts w:ascii="宋体" w:hAnsi="宋体"/>
      <w:sz w:val="24"/>
      <w:szCs w:val="20"/>
    </w:rPr>
  </w:style>
  <w:style w:type="paragraph" w:customStyle="1" w:styleId="86">
    <w:name w:val="5正文"/>
    <w:basedOn w:val="1"/>
    <w:link w:val="649"/>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7">
    <w:name w:val="正文2"/>
    <w:basedOn w:val="1"/>
    <w:link w:val="663"/>
    <w:qFormat/>
    <w:uiPriority w:val="0"/>
    <w:pPr>
      <w:spacing w:before="156" w:line="360" w:lineRule="auto"/>
      <w:ind w:firstLine="510" w:firstLineChars="200"/>
    </w:pPr>
    <w:rPr>
      <w:sz w:val="24"/>
      <w:szCs w:val="20"/>
    </w:rPr>
  </w:style>
  <w:style w:type="paragraph" w:customStyle="1" w:styleId="88">
    <w:name w:val="无间隔1"/>
    <w:link w:val="671"/>
    <w:qFormat/>
    <w:uiPriority w:val="1"/>
    <w:rPr>
      <w:rFonts w:ascii="Times New Roman" w:hAnsi="Times New Roman" w:eastAsia="宋体" w:cs="Times New Roman"/>
      <w:sz w:val="22"/>
      <w:szCs w:val="22"/>
      <w:lang w:val="en-US" w:eastAsia="zh-CN" w:bidi="ar-SA"/>
    </w:rPr>
  </w:style>
  <w:style w:type="paragraph" w:customStyle="1" w:styleId="89">
    <w:name w:val="纯文本_0_0"/>
    <w:basedOn w:val="90"/>
    <w:link w:val="679"/>
    <w:qFormat/>
    <w:uiPriority w:val="0"/>
    <w:rPr>
      <w:rFonts w:ascii="宋体" w:hAnsi="Courier New"/>
      <w:szCs w:val="21"/>
    </w:rPr>
  </w:style>
  <w:style w:type="paragraph" w:customStyle="1" w:styleId="9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
    <w:name w:val="正文（绿盟科技）"/>
    <w:link w:val="689"/>
    <w:qFormat/>
    <w:uiPriority w:val="0"/>
    <w:pPr>
      <w:spacing w:line="300" w:lineRule="auto"/>
    </w:pPr>
    <w:rPr>
      <w:rFonts w:ascii="Arial" w:hAnsi="Arial" w:eastAsia="宋体" w:cs="Times New Roman"/>
      <w:sz w:val="21"/>
      <w:szCs w:val="21"/>
      <w:lang w:val="en-US" w:eastAsia="zh-CN" w:bidi="ar-SA"/>
    </w:rPr>
  </w:style>
  <w:style w:type="paragraph" w:customStyle="1" w:styleId="92">
    <w:name w:val="表格名称"/>
    <w:basedOn w:val="5"/>
    <w:link w:val="698"/>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3">
    <w:name w:val="my正文"/>
    <w:basedOn w:val="1"/>
    <w:link w:val="718"/>
    <w:qFormat/>
    <w:uiPriority w:val="0"/>
    <w:pPr>
      <w:adjustRightInd/>
      <w:spacing w:line="360" w:lineRule="auto"/>
      <w:ind w:firstLine="480" w:firstLineChars="200"/>
    </w:pPr>
    <w:rPr>
      <w:rFonts w:ascii="Tahoma" w:hAnsi="Tahoma"/>
      <w:kern w:val="0"/>
      <w:sz w:val="24"/>
    </w:rPr>
  </w:style>
  <w:style w:type="paragraph" w:customStyle="1" w:styleId="94">
    <w:name w:val="3级"/>
    <w:basedOn w:val="95"/>
    <w:link w:val="724"/>
    <w:qFormat/>
    <w:uiPriority w:val="0"/>
    <w:pPr>
      <w:ind w:left="0" w:right="466" w:firstLine="288"/>
    </w:pPr>
    <w:rPr>
      <w:rFonts w:hAnsi="宋体"/>
    </w:rPr>
  </w:style>
  <w:style w:type="paragraph" w:customStyle="1" w:styleId="95">
    <w:name w:val="样式 标题 3h33rd level3BOD 0H3l3CTHeading 3 - oldLevel 3 He..."/>
    <w:basedOn w:val="6"/>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6">
    <w:name w:val="标题4-dyf"/>
    <w:basedOn w:val="8"/>
    <w:link w:val="746"/>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7">
    <w:name w:val="冯"/>
    <w:basedOn w:val="1"/>
    <w:link w:val="748"/>
    <w:qFormat/>
    <w:uiPriority w:val="0"/>
    <w:pPr>
      <w:widowControl/>
      <w:adjustRightInd/>
      <w:spacing w:line="360" w:lineRule="auto"/>
      <w:ind w:firstLine="480" w:firstLineChars="200"/>
    </w:pPr>
    <w:rPr>
      <w:rFonts w:ascii="宋体" w:hAnsi="宋体"/>
      <w:color w:val="000000"/>
      <w:kern w:val="0"/>
      <w:sz w:val="24"/>
    </w:rPr>
  </w:style>
  <w:style w:type="paragraph" w:customStyle="1" w:styleId="98">
    <w:name w:val="Default"/>
    <w:link w:val="756"/>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9">
    <w:name w:val="正文样式"/>
    <w:basedOn w:val="1"/>
    <w:link w:val="766"/>
    <w:qFormat/>
    <w:uiPriority w:val="0"/>
    <w:pPr>
      <w:adjustRightInd/>
      <w:spacing w:line="360" w:lineRule="auto"/>
      <w:ind w:firstLine="480" w:firstLineChars="200"/>
    </w:pPr>
    <w:rPr>
      <w:kern w:val="0"/>
      <w:sz w:val="24"/>
    </w:rPr>
  </w:style>
  <w:style w:type="paragraph" w:customStyle="1" w:styleId="100">
    <w:name w:val="gf正文1"/>
    <w:basedOn w:val="1"/>
    <w:link w:val="772"/>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1">
    <w:name w:val="列表1"/>
    <w:basedOn w:val="1"/>
    <w:next w:val="102"/>
    <w:link w:val="775"/>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2">
    <w:name w:val="List Paragraph"/>
    <w:basedOn w:val="1"/>
    <w:qFormat/>
    <w:uiPriority w:val="34"/>
    <w:pPr>
      <w:spacing w:line="360" w:lineRule="auto"/>
      <w:ind w:firstLine="200" w:firstLineChars="200"/>
    </w:pPr>
    <w:rPr>
      <w:rFonts w:eastAsia="楷体_GB2312" w:cs="Lucida Sans"/>
      <w:sz w:val="24"/>
    </w:rPr>
  </w:style>
  <w:style w:type="paragraph" w:customStyle="1" w:styleId="103">
    <w:name w:val="此正文"/>
    <w:basedOn w:val="1"/>
    <w:link w:val="797"/>
    <w:qFormat/>
    <w:uiPriority w:val="0"/>
    <w:pPr>
      <w:adjustRightInd/>
      <w:spacing w:line="360" w:lineRule="auto"/>
      <w:ind w:firstLine="200" w:firstLineChars="200"/>
    </w:pPr>
    <w:rPr>
      <w:sz w:val="24"/>
    </w:rPr>
  </w:style>
  <w:style w:type="paragraph" w:customStyle="1" w:styleId="104">
    <w:name w:val="样式 样式 标题 4h4H4Fab-4T5Ref Heading 1rh1Heading sqlsect 1.2.3.... +..."/>
    <w:basedOn w:val="105"/>
    <w:link w:val="819"/>
    <w:qFormat/>
    <w:uiPriority w:val="0"/>
    <w:pPr>
      <w:tabs>
        <w:tab w:val="left" w:pos="2356"/>
      </w:tabs>
    </w:pPr>
  </w:style>
  <w:style w:type="paragraph" w:customStyle="1" w:styleId="105">
    <w:name w:val="样式 标题 4h4H4Fab-4T5Ref Heading 1rh1Heading sqlsect 1.2.3...."/>
    <w:basedOn w:val="8"/>
    <w:link w:val="916"/>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6">
    <w:name w:val="Item List"/>
    <w:link w:val="830"/>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7">
    <w:name w:val="纯文本1"/>
    <w:basedOn w:val="1"/>
    <w:link w:val="832"/>
    <w:qFormat/>
    <w:uiPriority w:val="0"/>
    <w:pPr>
      <w:adjustRightInd/>
    </w:pPr>
    <w:rPr>
      <w:rFonts w:ascii="宋体" w:hAnsi="Courier New"/>
      <w:kern w:val="0"/>
      <w:sz w:val="20"/>
      <w:szCs w:val="20"/>
    </w:rPr>
  </w:style>
  <w:style w:type="paragraph" w:customStyle="1" w:styleId="108">
    <w:name w:val="正文说明"/>
    <w:basedOn w:val="1"/>
    <w:link w:val="844"/>
    <w:qFormat/>
    <w:uiPriority w:val="0"/>
    <w:pPr>
      <w:adjustRightInd/>
      <w:spacing w:line="360" w:lineRule="auto"/>
    </w:pPr>
    <w:rPr>
      <w:kern w:val="0"/>
      <w:sz w:val="24"/>
    </w:rPr>
  </w:style>
  <w:style w:type="paragraph" w:customStyle="1" w:styleId="109">
    <w:name w:val="Table Text"/>
    <w:basedOn w:val="1"/>
    <w:link w:val="850"/>
    <w:qFormat/>
    <w:uiPriority w:val="0"/>
    <w:pPr>
      <w:widowControl/>
      <w:spacing w:before="60" w:after="60"/>
      <w:jc w:val="left"/>
    </w:pPr>
    <w:rPr>
      <w:kern w:val="0"/>
      <w:sz w:val="24"/>
    </w:rPr>
  </w:style>
  <w:style w:type="paragraph" w:customStyle="1" w:styleId="110">
    <w:name w:val="公文正文"/>
    <w:basedOn w:val="1"/>
    <w:link w:val="862"/>
    <w:qFormat/>
    <w:uiPriority w:val="0"/>
    <w:pPr>
      <w:adjustRightInd/>
      <w:spacing w:before="156" w:line="360" w:lineRule="auto"/>
      <w:ind w:firstLine="360" w:firstLineChars="200"/>
    </w:pPr>
    <w:rPr>
      <w:rFonts w:ascii="仿宋_GB2312" w:eastAsia="仿宋_GB2312"/>
      <w:sz w:val="24"/>
    </w:rPr>
  </w:style>
  <w:style w:type="paragraph" w:customStyle="1" w:styleId="111">
    <w:name w:val="正文（缩进2汉字）"/>
    <w:basedOn w:val="1"/>
    <w:link w:val="86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2">
    <w:name w:val="b11_01b"/>
    <w:basedOn w:val="1"/>
    <w:next w:val="1"/>
    <w:link w:val="88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3">
    <w:name w:val="段落"/>
    <w:basedOn w:val="1"/>
    <w:link w:val="895"/>
    <w:qFormat/>
    <w:uiPriority w:val="0"/>
    <w:pPr>
      <w:adjustRightInd/>
      <w:spacing w:line="360" w:lineRule="auto"/>
      <w:ind w:firstLine="480" w:firstLineChars="200"/>
    </w:pPr>
    <w:rPr>
      <w:rFonts w:ascii="宋体" w:hAnsi="宋体"/>
      <w:kern w:val="0"/>
      <w:sz w:val="24"/>
      <w:szCs w:val="20"/>
    </w:rPr>
  </w:style>
  <w:style w:type="paragraph" w:customStyle="1" w:styleId="114">
    <w:name w:val="正文段"/>
    <w:basedOn w:val="1"/>
    <w:link w:val="902"/>
    <w:qFormat/>
    <w:uiPriority w:val="0"/>
    <w:pPr>
      <w:widowControl/>
      <w:snapToGrid w:val="0"/>
      <w:spacing w:after="156" w:afterLines="50"/>
      <w:ind w:firstLine="200" w:firstLineChars="200"/>
    </w:pPr>
    <w:rPr>
      <w:kern w:val="0"/>
      <w:sz w:val="24"/>
      <w:szCs w:val="20"/>
    </w:rPr>
  </w:style>
  <w:style w:type="paragraph" w:customStyle="1" w:styleId="115">
    <w:name w:val="冯广丽"/>
    <w:basedOn w:val="1"/>
    <w:link w:val="905"/>
    <w:qFormat/>
    <w:uiPriority w:val="0"/>
    <w:pPr>
      <w:adjustRightInd/>
      <w:spacing w:line="360" w:lineRule="auto"/>
      <w:ind w:firstLine="480" w:firstLineChars="200"/>
    </w:pPr>
    <w:rPr>
      <w:rFonts w:ascii="宋体" w:hAnsi="宋体"/>
      <w:sz w:val="24"/>
      <w:szCs w:val="22"/>
    </w:rPr>
  </w:style>
  <w:style w:type="paragraph" w:customStyle="1" w:styleId="116">
    <w:name w:val="编号，小四"/>
    <w:basedOn w:val="1"/>
    <w:link w:val="911"/>
    <w:qFormat/>
    <w:uiPriority w:val="0"/>
    <w:pPr>
      <w:tabs>
        <w:tab w:val="left" w:pos="432"/>
      </w:tabs>
      <w:adjustRightInd/>
      <w:spacing w:line="360" w:lineRule="auto"/>
      <w:ind w:left="432" w:hanging="432"/>
    </w:pPr>
    <w:rPr>
      <w:rFonts w:ascii="Arial" w:hAnsi="Arial"/>
      <w:kern w:val="0"/>
      <w:sz w:val="24"/>
      <w:szCs w:val="20"/>
    </w:rPr>
  </w:style>
  <w:style w:type="paragraph" w:customStyle="1" w:styleId="117">
    <w:name w:val="仿宋正文"/>
    <w:basedOn w:val="1"/>
    <w:link w:val="918"/>
    <w:qFormat/>
    <w:uiPriority w:val="0"/>
    <w:pPr>
      <w:adjustRightInd/>
      <w:spacing w:line="360" w:lineRule="auto"/>
      <w:ind w:firstLine="480" w:firstLineChars="200"/>
    </w:pPr>
    <w:rPr>
      <w:rFonts w:ascii="仿宋_GB2312" w:eastAsia="仿宋_GB2312"/>
      <w:sz w:val="24"/>
      <w:szCs w:val="20"/>
    </w:rPr>
  </w:style>
  <w:style w:type="paragraph" w:customStyle="1" w:styleId="118">
    <w:name w:val="样式 正文缩进 + 首行缩进:  2 字符"/>
    <w:basedOn w:val="7"/>
    <w:link w:val="930"/>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9">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0">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1">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2">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3">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4">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5">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6">
    <w:name w:val="标题4_自定义"/>
    <w:basedOn w:val="8"/>
    <w:qFormat/>
    <w:uiPriority w:val="0"/>
    <w:pPr>
      <w:adjustRightInd/>
      <w:spacing w:before="0" w:after="0" w:line="360" w:lineRule="auto"/>
    </w:pPr>
    <w:rPr>
      <w:rFonts w:ascii="Verdana" w:eastAsia="Verdana"/>
      <w:sz w:val="21"/>
      <w:lang w:val="en-US"/>
    </w:rPr>
  </w:style>
  <w:style w:type="paragraph" w:customStyle="1" w:styleId="127">
    <w:name w:val="正文 内标 序号标"/>
    <w:basedOn w:val="128"/>
    <w:qFormat/>
    <w:uiPriority w:val="0"/>
    <w:pPr>
      <w:tabs>
        <w:tab w:val="left" w:pos="0"/>
      </w:tabs>
      <w:adjustRightInd/>
      <w:spacing w:before="0"/>
      <w:ind w:firstLine="482"/>
    </w:pPr>
    <w:rPr>
      <w:rFonts w:ascii="微软雅黑" w:hAnsi="微软雅黑"/>
      <w:sz w:val="24"/>
      <w:szCs w:val="24"/>
    </w:rPr>
  </w:style>
  <w:style w:type="paragraph" w:customStyle="1" w:styleId="128">
    <w:name w:val="My正文"/>
    <w:basedOn w:val="1"/>
    <w:qFormat/>
    <w:uiPriority w:val="0"/>
    <w:pPr>
      <w:spacing w:before="120" w:line="360" w:lineRule="auto"/>
      <w:ind w:firstLine="567"/>
    </w:pPr>
    <w:rPr>
      <w:rFonts w:ascii="Arial" w:hAnsi="Arial"/>
      <w:sz w:val="20"/>
      <w:szCs w:val="20"/>
    </w:rPr>
  </w:style>
  <w:style w:type="paragraph" w:customStyle="1" w:styleId="129">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0">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1">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2">
    <w:name w:val="修订2"/>
    <w:qFormat/>
    <w:uiPriority w:val="0"/>
    <w:rPr>
      <w:rFonts w:ascii="Times New Roman" w:hAnsi="Times New Roman" w:eastAsia="宋体" w:cs="Times New Roman"/>
      <w:kern w:val="2"/>
      <w:sz w:val="21"/>
      <w:lang w:val="en-US" w:eastAsia="zh-CN" w:bidi="ar-SA"/>
    </w:rPr>
  </w:style>
  <w:style w:type="paragraph" w:customStyle="1" w:styleId="133">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4">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5">
    <w:name w:val="文章标题"/>
    <w:next w:val="136"/>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6">
    <w:name w:val="封面公司名"/>
    <w:qFormat/>
    <w:uiPriority w:val="0"/>
    <w:pPr>
      <w:jc w:val="center"/>
    </w:pPr>
    <w:rPr>
      <w:rFonts w:ascii="Arial" w:hAnsi="Arial" w:eastAsia="楷体_GB2312" w:cs="宋体"/>
      <w:bCs/>
      <w:kern w:val="2"/>
      <w:sz w:val="28"/>
      <w:lang w:val="en-US" w:eastAsia="zh-CN" w:bidi="ar-SA"/>
    </w:rPr>
  </w:style>
  <w:style w:type="paragraph" w:customStyle="1" w:styleId="137">
    <w:name w:val="Char1 Char Char Char5"/>
    <w:basedOn w:val="1"/>
    <w:qFormat/>
    <w:uiPriority w:val="0"/>
    <w:pPr>
      <w:adjustRightInd/>
      <w:ind w:firstLine="200" w:firstLineChars="200"/>
    </w:pPr>
    <w:rPr>
      <w:rFonts w:ascii="Tahoma" w:hAnsi="Tahoma"/>
      <w:sz w:val="24"/>
      <w:szCs w:val="20"/>
    </w:rPr>
  </w:style>
  <w:style w:type="paragraph" w:customStyle="1" w:styleId="138">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9">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0">
    <w:name w:val="Char Char Char Char Char Char Char Char"/>
    <w:basedOn w:val="1"/>
    <w:qFormat/>
    <w:uiPriority w:val="0"/>
    <w:pPr>
      <w:tabs>
        <w:tab w:val="left" w:pos="360"/>
      </w:tabs>
    </w:pPr>
    <w:rPr>
      <w:sz w:val="24"/>
      <w:szCs w:val="20"/>
    </w:rPr>
  </w:style>
  <w:style w:type="paragraph" w:customStyle="1" w:styleId="141">
    <w:name w:val="Char Char11 Char Char Char"/>
    <w:basedOn w:val="1"/>
    <w:qFormat/>
    <w:uiPriority w:val="0"/>
    <w:pPr>
      <w:spacing w:line="360" w:lineRule="auto"/>
    </w:pPr>
    <w:rPr>
      <w:szCs w:val="20"/>
    </w:rPr>
  </w:style>
  <w:style w:type="paragraph" w:customStyle="1" w:styleId="142">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3">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4">
    <w:name w:val="样式3"/>
    <w:basedOn w:val="145"/>
    <w:qFormat/>
    <w:uiPriority w:val="0"/>
    <w:pPr>
      <w:tabs>
        <w:tab w:val="left" w:pos="2790"/>
        <w:tab w:val="left" w:pos="4230"/>
      </w:tabs>
      <w:spacing w:before="312" w:beforeLines="100"/>
      <w:jc w:val="left"/>
    </w:pPr>
  </w:style>
  <w:style w:type="paragraph" w:customStyle="1" w:styleId="145">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6">
    <w:name w:val="Char Char1 Char Char1 Char Char1"/>
    <w:basedOn w:val="1"/>
    <w:qFormat/>
    <w:uiPriority w:val="0"/>
    <w:pPr>
      <w:tabs>
        <w:tab w:val="left" w:pos="840"/>
      </w:tabs>
      <w:ind w:left="840" w:hanging="420"/>
    </w:pPr>
    <w:rPr>
      <w:rFonts w:ascii="Tahoma" w:hAnsi="Tahoma"/>
      <w:sz w:val="24"/>
    </w:rPr>
  </w:style>
  <w:style w:type="paragraph" w:customStyle="1" w:styleId="147">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8">
    <w:name w:val="标书标题2"/>
    <w:basedOn w:val="5"/>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9">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0">
    <w:name w:val="正文21"/>
    <w:basedOn w:val="1"/>
    <w:qFormat/>
    <w:uiPriority w:val="0"/>
    <w:pPr>
      <w:adjustRightInd/>
      <w:spacing w:before="156" w:line="360" w:lineRule="auto"/>
      <w:ind w:firstLine="510" w:firstLineChars="200"/>
    </w:pPr>
    <w:rPr>
      <w:sz w:val="24"/>
      <w:szCs w:val="20"/>
    </w:rPr>
  </w:style>
  <w:style w:type="paragraph" w:customStyle="1" w:styleId="151">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2">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3">
    <w:name w:val="Char1"/>
    <w:basedOn w:val="1"/>
    <w:qFormat/>
    <w:uiPriority w:val="0"/>
    <w:rPr>
      <w:rFonts w:ascii="仿宋_GB2312" w:eastAsia="仿宋_GB2312"/>
      <w:b/>
      <w:sz w:val="32"/>
      <w:szCs w:val="32"/>
    </w:rPr>
  </w:style>
  <w:style w:type="paragraph" w:customStyle="1" w:styleId="154">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5">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6">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7">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8">
    <w:name w:val="6级标题"/>
    <w:basedOn w:val="159"/>
    <w:qFormat/>
    <w:uiPriority w:val="0"/>
    <w:pPr>
      <w:keepNext/>
      <w:tabs>
        <w:tab w:val="left" w:pos="360"/>
      </w:tabs>
      <w:spacing w:before="0" w:after="0"/>
      <w:outlineLvl w:val="5"/>
    </w:pPr>
  </w:style>
  <w:style w:type="paragraph" w:customStyle="1" w:styleId="159">
    <w:name w:val="5级标题"/>
    <w:basedOn w:val="160"/>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0">
    <w:name w:val="4级标题"/>
    <w:basedOn w:val="102"/>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1">
    <w:name w:val="样式 正文文本缩进 + 段前: 2 字符"/>
    <w:basedOn w:val="1"/>
    <w:qFormat/>
    <w:uiPriority w:val="0"/>
    <w:pPr>
      <w:adjustRightInd/>
      <w:ind w:left="420" w:leftChars="200"/>
      <w:jc w:val="left"/>
    </w:pPr>
    <w:rPr>
      <w:sz w:val="28"/>
      <w:szCs w:val="20"/>
      <w:lang w:eastAsia="zh-TW"/>
    </w:rPr>
  </w:style>
  <w:style w:type="paragraph" w:customStyle="1" w:styleId="162">
    <w:name w:val="Char2 Char Char"/>
    <w:basedOn w:val="1"/>
    <w:qFormat/>
    <w:uiPriority w:val="0"/>
    <w:pPr>
      <w:adjustRightInd/>
    </w:pPr>
    <w:rPr>
      <w:rFonts w:ascii="Tahoma" w:hAnsi="Tahoma"/>
      <w:sz w:val="24"/>
      <w:szCs w:val="20"/>
    </w:rPr>
  </w:style>
  <w:style w:type="paragraph" w:customStyle="1" w:styleId="163">
    <w:name w:val="_Style 11"/>
    <w:basedOn w:val="1"/>
    <w:qFormat/>
    <w:uiPriority w:val="34"/>
    <w:pPr>
      <w:adjustRightInd/>
      <w:ind w:firstLine="420" w:firstLineChars="200"/>
    </w:pPr>
    <w:rPr>
      <w:rFonts w:eastAsia="仿宋_GB2312"/>
      <w:sz w:val="28"/>
    </w:rPr>
  </w:style>
  <w:style w:type="paragraph" w:customStyle="1" w:styleId="164">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5">
    <w:name w:val="Char Char Char"/>
    <w:basedOn w:val="1"/>
    <w:qFormat/>
    <w:uiPriority w:val="0"/>
    <w:rPr>
      <w:rFonts w:ascii="Tahoma" w:hAnsi="Tahoma"/>
      <w:sz w:val="24"/>
      <w:szCs w:val="20"/>
    </w:rPr>
  </w:style>
  <w:style w:type="paragraph" w:customStyle="1" w:styleId="166">
    <w:name w:val="数字标题6"/>
    <w:basedOn w:val="10"/>
    <w:next w:val="1"/>
    <w:qFormat/>
    <w:uiPriority w:val="0"/>
    <w:pPr>
      <w:tabs>
        <w:tab w:val="left" w:pos="1080"/>
        <w:tab w:val="clear" w:pos="1152"/>
      </w:tabs>
      <w:ind w:left="1080" w:hanging="1080"/>
    </w:pPr>
    <w:rPr>
      <w:rFonts w:ascii="Times New Roman" w:hAnsi="Times New Roman" w:eastAsia="宋体"/>
      <w:i/>
    </w:rPr>
  </w:style>
  <w:style w:type="paragraph" w:customStyle="1" w:styleId="167">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8">
    <w:name w:val="No Spacing"/>
    <w:basedOn w:val="1"/>
    <w:link w:val="940"/>
    <w:qFormat/>
    <w:uiPriority w:val="99"/>
    <w:rPr>
      <w:szCs w:val="22"/>
    </w:rPr>
  </w:style>
  <w:style w:type="paragraph" w:customStyle="1" w:styleId="169">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0">
    <w:name w:val="Char Char Char Char Char Char Char Char Char Char Char Char1 Char1"/>
    <w:basedOn w:val="1"/>
    <w:qFormat/>
    <w:uiPriority w:val="6"/>
    <w:rPr>
      <w:rFonts w:ascii="Tahoma" w:hAnsi="Tahoma" w:cs="仿宋_GB2312"/>
      <w:sz w:val="24"/>
      <w:szCs w:val="20"/>
    </w:rPr>
  </w:style>
  <w:style w:type="paragraph" w:customStyle="1" w:styleId="171">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2">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3">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4">
    <w:name w:val="MM Topic 2"/>
    <w:basedOn w:val="5"/>
    <w:qFormat/>
    <w:uiPriority w:val="0"/>
    <w:pPr>
      <w:tabs>
        <w:tab w:val="left" w:pos="1260"/>
        <w:tab w:val="clear" w:pos="432"/>
      </w:tabs>
      <w:ind w:left="1260" w:hanging="420"/>
    </w:pPr>
    <w:rPr>
      <w:rFonts w:ascii="Arial" w:hAnsi="Arial" w:eastAsia="黑体"/>
      <w:lang w:val="en-US"/>
    </w:rPr>
  </w:style>
  <w:style w:type="paragraph" w:customStyle="1" w:styleId="175">
    <w:name w:val="五级无标题条"/>
    <w:basedOn w:val="1"/>
    <w:qFormat/>
    <w:uiPriority w:val="0"/>
    <w:pPr>
      <w:adjustRightInd/>
    </w:pPr>
  </w:style>
  <w:style w:type="paragraph" w:customStyle="1" w:styleId="176">
    <w:name w:val="Char5"/>
    <w:basedOn w:val="1"/>
    <w:qFormat/>
    <w:uiPriority w:val="0"/>
    <w:rPr>
      <w:rFonts w:ascii="仿宋_GB2312" w:eastAsia="仿宋_GB2312"/>
      <w:b/>
      <w:sz w:val="32"/>
      <w:szCs w:val="32"/>
    </w:rPr>
  </w:style>
  <w:style w:type="paragraph" w:customStyle="1" w:styleId="177">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8">
    <w:name w:val="彩色列表 - 强调文字颜色 12"/>
    <w:basedOn w:val="1"/>
    <w:qFormat/>
    <w:uiPriority w:val="0"/>
    <w:pPr>
      <w:adjustRightInd/>
      <w:ind w:firstLine="420" w:firstLineChars="200"/>
    </w:pPr>
    <w:rPr>
      <w:rFonts w:ascii="Calibri" w:hAnsi="Calibri"/>
      <w:szCs w:val="22"/>
    </w:rPr>
  </w:style>
  <w:style w:type="paragraph" w:customStyle="1" w:styleId="179">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0">
    <w:name w:val="Char2"/>
    <w:basedOn w:val="1"/>
    <w:qFormat/>
    <w:uiPriority w:val="0"/>
    <w:rPr>
      <w:rFonts w:ascii="仿宋_GB2312" w:eastAsia="仿宋_GB2312"/>
      <w:b/>
      <w:sz w:val="32"/>
      <w:szCs w:val="32"/>
    </w:rPr>
  </w:style>
  <w:style w:type="paragraph" w:customStyle="1" w:styleId="181">
    <w:name w:val="数字标题3"/>
    <w:basedOn w:val="6"/>
    <w:next w:val="1"/>
    <w:qFormat/>
    <w:uiPriority w:val="0"/>
    <w:pPr>
      <w:spacing w:line="240" w:lineRule="auto"/>
    </w:pPr>
    <w:rPr>
      <w:sz w:val="28"/>
      <w:szCs w:val="28"/>
    </w:rPr>
  </w:style>
  <w:style w:type="paragraph" w:customStyle="1" w:styleId="182">
    <w:name w:val="FA正文"/>
    <w:basedOn w:val="1"/>
    <w:qFormat/>
    <w:uiPriority w:val="0"/>
    <w:pPr>
      <w:spacing w:line="360" w:lineRule="auto"/>
      <w:ind w:firstLine="480" w:firstLineChars="200"/>
    </w:pPr>
    <w:rPr>
      <w:rFonts w:hAnsi="宋体"/>
      <w:sz w:val="24"/>
      <w:szCs w:val="20"/>
    </w:rPr>
  </w:style>
  <w:style w:type="paragraph" w:customStyle="1" w:styleId="183">
    <w:name w:val="MM Topic 5"/>
    <w:basedOn w:val="9"/>
    <w:qFormat/>
    <w:uiPriority w:val="0"/>
    <w:pPr>
      <w:tabs>
        <w:tab w:val="left" w:pos="2520"/>
        <w:tab w:val="clear" w:pos="1008"/>
      </w:tabs>
      <w:adjustRightInd/>
      <w:ind w:left="2520" w:hanging="420"/>
    </w:pPr>
  </w:style>
  <w:style w:type="paragraph" w:customStyle="1" w:styleId="184">
    <w:name w:val="Char Char Char Char Char Char Char Char Char Char1"/>
    <w:basedOn w:val="1"/>
    <w:qFormat/>
    <w:uiPriority w:val="0"/>
    <w:rPr>
      <w:rFonts w:ascii="仿宋_GB2312" w:eastAsia="仿宋_GB2312"/>
      <w:b/>
      <w:sz w:val="32"/>
      <w:szCs w:val="32"/>
    </w:rPr>
  </w:style>
  <w:style w:type="paragraph" w:customStyle="1" w:styleId="185">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6">
    <w:name w:val="修订1"/>
    <w:qFormat/>
    <w:uiPriority w:val="3"/>
    <w:rPr>
      <w:rFonts w:ascii="Times New Roman" w:hAnsi="Times New Roman" w:eastAsia="宋体" w:cs="Times New Roman"/>
      <w:color w:val="000000"/>
      <w:kern w:val="1"/>
      <w:sz w:val="21"/>
      <w:lang w:val="en-US" w:eastAsia="zh-CN" w:bidi="ar-SA"/>
    </w:rPr>
  </w:style>
  <w:style w:type="paragraph" w:customStyle="1" w:styleId="187">
    <w:name w:val="Char2 Char Char Char"/>
    <w:basedOn w:val="1"/>
    <w:qFormat/>
    <w:uiPriority w:val="0"/>
    <w:rPr>
      <w:rFonts w:ascii="仿宋_GB2312" w:eastAsia="仿宋_GB2312"/>
      <w:b/>
      <w:sz w:val="32"/>
      <w:szCs w:val="32"/>
    </w:rPr>
  </w:style>
  <w:style w:type="paragraph" w:customStyle="1" w:styleId="188">
    <w:name w:val="Char2 Char Char Char1"/>
    <w:basedOn w:val="1"/>
    <w:qFormat/>
    <w:uiPriority w:val="6"/>
    <w:rPr>
      <w:rFonts w:ascii="仿宋_GB2312" w:eastAsia="仿宋_GB2312"/>
      <w:b/>
      <w:sz w:val="32"/>
      <w:szCs w:val="32"/>
    </w:rPr>
  </w:style>
  <w:style w:type="paragraph" w:customStyle="1" w:styleId="189">
    <w:name w:val="默认段落样式"/>
    <w:basedOn w:val="87"/>
    <w:qFormat/>
    <w:uiPriority w:val="0"/>
    <w:pPr>
      <w:spacing w:before="0"/>
      <w:ind w:firstLine="480"/>
      <w:outlineLvl w:val="2"/>
    </w:pPr>
    <w:rPr>
      <w:rFonts w:ascii="仿宋_GB2312" w:hAnsi="宋体" w:eastAsia="仿宋_GB2312"/>
      <w:color w:val="000000"/>
      <w:szCs w:val="24"/>
    </w:rPr>
  </w:style>
  <w:style w:type="paragraph" w:customStyle="1" w:styleId="190">
    <w:name w:val="图中文字"/>
    <w:basedOn w:val="1"/>
    <w:qFormat/>
    <w:uiPriority w:val="0"/>
    <w:pPr>
      <w:snapToGrid w:val="0"/>
      <w:spacing w:line="0" w:lineRule="atLeast"/>
      <w:ind w:firstLine="200" w:firstLineChars="200"/>
      <w:jc w:val="center"/>
    </w:pPr>
    <w:rPr>
      <w:sz w:val="24"/>
      <w:szCs w:val="20"/>
    </w:rPr>
  </w:style>
  <w:style w:type="paragraph" w:customStyle="1" w:styleId="191">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2">
    <w:name w:val="MM Topic 3"/>
    <w:basedOn w:val="6"/>
    <w:qFormat/>
    <w:uiPriority w:val="0"/>
    <w:pPr>
      <w:tabs>
        <w:tab w:val="left" w:pos="1680"/>
        <w:tab w:val="clear" w:pos="900"/>
      </w:tabs>
      <w:adjustRightInd/>
      <w:ind w:left="1680" w:hanging="420"/>
    </w:pPr>
  </w:style>
  <w:style w:type="paragraph" w:customStyle="1" w:styleId="193">
    <w:name w:val="标准小四"/>
    <w:basedOn w:val="1"/>
    <w:qFormat/>
    <w:uiPriority w:val="0"/>
    <w:pPr>
      <w:spacing w:line="360" w:lineRule="auto"/>
      <w:ind w:firstLine="480" w:firstLineChars="200"/>
    </w:pPr>
    <w:rPr>
      <w:rFonts w:ascii="Arial" w:hAnsi="Arial"/>
      <w:sz w:val="24"/>
      <w:szCs w:val="21"/>
    </w:rPr>
  </w:style>
  <w:style w:type="paragraph" w:customStyle="1" w:styleId="194">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195">
    <w:name w:val="表格（小）"/>
    <w:basedOn w:val="1"/>
    <w:qFormat/>
    <w:uiPriority w:val="0"/>
    <w:pPr>
      <w:adjustRightInd/>
      <w:snapToGrid w:val="0"/>
      <w:spacing w:line="300" w:lineRule="auto"/>
    </w:pPr>
    <w:rPr>
      <w:rFonts w:eastAsia="仿宋"/>
      <w:szCs w:val="21"/>
    </w:rPr>
  </w:style>
  <w:style w:type="paragraph" w:customStyle="1" w:styleId="196">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7">
    <w:name w:val="Char2 Char Char1"/>
    <w:basedOn w:val="1"/>
    <w:qFormat/>
    <w:uiPriority w:val="6"/>
    <w:pPr>
      <w:adjustRightInd/>
    </w:pPr>
    <w:rPr>
      <w:rFonts w:ascii="Tahoma" w:hAnsi="Tahoma"/>
      <w:sz w:val="24"/>
      <w:szCs w:val="20"/>
    </w:rPr>
  </w:style>
  <w:style w:type="paragraph" w:customStyle="1" w:styleId="198">
    <w:name w:val="列出段落5"/>
    <w:basedOn w:val="1"/>
    <w:qFormat/>
    <w:uiPriority w:val="0"/>
    <w:pPr>
      <w:spacing w:line="360" w:lineRule="auto"/>
      <w:ind w:firstLine="200" w:firstLineChars="200"/>
    </w:pPr>
    <w:rPr>
      <w:rFonts w:eastAsia="楷体_GB2312" w:cs="Lucida Sans"/>
      <w:sz w:val="24"/>
    </w:rPr>
  </w:style>
  <w:style w:type="paragraph" w:customStyle="1" w:styleId="199">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0">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201">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2">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3">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4">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5">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6">
    <w:name w:val="_Style 3"/>
    <w:basedOn w:val="1"/>
    <w:qFormat/>
    <w:uiPriority w:val="0"/>
    <w:pPr>
      <w:adjustRightInd/>
      <w:ind w:firstLine="420" w:firstLineChars="200"/>
    </w:pPr>
    <w:rPr>
      <w:rFonts w:eastAsia="仿宋_GB2312"/>
      <w:sz w:val="28"/>
    </w:rPr>
  </w:style>
  <w:style w:type="paragraph" w:customStyle="1" w:styleId="207">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8">
    <w:name w:val="Bulleting First Indent 1"/>
    <w:basedOn w:val="3"/>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9">
    <w:name w:val="左对齐表格文字"/>
    <w:basedOn w:val="1"/>
    <w:qFormat/>
    <w:uiPriority w:val="0"/>
    <w:pPr>
      <w:adjustRightInd/>
      <w:ind w:firstLine="200" w:firstLineChars="200"/>
      <w:jc w:val="right"/>
    </w:pPr>
  </w:style>
  <w:style w:type="paragraph" w:customStyle="1" w:styleId="210">
    <w:name w:val="Char Char11 Char Char Char Char Char Char Char Char Char"/>
    <w:basedOn w:val="1"/>
    <w:qFormat/>
    <w:uiPriority w:val="0"/>
    <w:pPr>
      <w:spacing w:line="360" w:lineRule="auto"/>
    </w:pPr>
    <w:rPr>
      <w:szCs w:val="20"/>
    </w:rPr>
  </w:style>
  <w:style w:type="paragraph" w:customStyle="1" w:styleId="211">
    <w:name w:val="正文1.25"/>
    <w:basedOn w:val="1"/>
    <w:qFormat/>
    <w:uiPriority w:val="0"/>
    <w:pPr>
      <w:adjustRightInd/>
      <w:spacing w:line="300" w:lineRule="auto"/>
      <w:ind w:firstLine="480" w:firstLineChars="200"/>
    </w:pPr>
    <w:rPr>
      <w:sz w:val="24"/>
      <w:szCs w:val="20"/>
    </w:rPr>
  </w:style>
  <w:style w:type="paragraph" w:customStyle="1" w:styleId="212">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3">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4">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5">
    <w:name w:val="Char Char1 Char Char Char1"/>
    <w:basedOn w:val="1"/>
    <w:qFormat/>
    <w:uiPriority w:val="6"/>
    <w:rPr>
      <w:rFonts w:ascii="仿宋_GB2312" w:eastAsia="仿宋_GB2312"/>
      <w:b/>
      <w:sz w:val="32"/>
      <w:szCs w:val="20"/>
    </w:rPr>
  </w:style>
  <w:style w:type="paragraph" w:customStyle="1" w:styleId="216">
    <w:name w:val="列出段落2"/>
    <w:basedOn w:val="1"/>
    <w:qFormat/>
    <w:uiPriority w:val="0"/>
    <w:pPr>
      <w:adjustRightInd/>
      <w:ind w:firstLine="420" w:firstLineChars="200"/>
    </w:pPr>
    <w:rPr>
      <w:rFonts w:ascii="宋体" w:hAnsi="宋体"/>
      <w:sz w:val="24"/>
    </w:rPr>
  </w:style>
  <w:style w:type="paragraph" w:customStyle="1" w:styleId="217">
    <w:name w:val="默认段落字体 Para Char Char Char Char Char Char Char"/>
    <w:basedOn w:val="1"/>
    <w:qFormat/>
    <w:uiPriority w:val="0"/>
    <w:rPr>
      <w:rFonts w:eastAsia="仿宋_GB2312"/>
      <w:sz w:val="28"/>
      <w:szCs w:val="20"/>
    </w:rPr>
  </w:style>
  <w:style w:type="paragraph" w:customStyle="1" w:styleId="218">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9">
    <w:name w:val="样式 标题 4PIM 4H4h4bulletblbbH41H42H43H44H45H46H47H48...1"/>
    <w:basedOn w:val="8"/>
    <w:qFormat/>
    <w:uiPriority w:val="0"/>
    <w:pPr>
      <w:widowControl/>
      <w:jc w:val="left"/>
    </w:pPr>
    <w:rPr>
      <w:rFonts w:cs="宋体"/>
      <w:sz w:val="24"/>
      <w:szCs w:val="20"/>
    </w:rPr>
  </w:style>
  <w:style w:type="paragraph" w:customStyle="1" w:styleId="220">
    <w:name w:val="彩色列表 - 强调文字颜色 11"/>
    <w:basedOn w:val="1"/>
    <w:qFormat/>
    <w:uiPriority w:val="0"/>
    <w:pPr>
      <w:adjustRightInd/>
      <w:ind w:firstLine="420" w:firstLineChars="200"/>
    </w:pPr>
    <w:rPr>
      <w:rFonts w:ascii="Calibri" w:hAnsi="Calibri"/>
      <w:szCs w:val="22"/>
    </w:rPr>
  </w:style>
  <w:style w:type="paragraph" w:customStyle="1" w:styleId="221">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2">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3">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4">
    <w:name w:val="Char Char Char1 Char1"/>
    <w:basedOn w:val="1"/>
    <w:qFormat/>
    <w:uiPriority w:val="6"/>
    <w:rPr>
      <w:szCs w:val="20"/>
    </w:rPr>
  </w:style>
  <w:style w:type="paragraph" w:customStyle="1" w:styleId="225">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6">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7">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8">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9">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0">
    <w:name w:val="CM14"/>
    <w:basedOn w:val="98"/>
    <w:next w:val="98"/>
    <w:qFormat/>
    <w:uiPriority w:val="0"/>
    <w:pPr>
      <w:spacing w:after="68"/>
    </w:pPr>
    <w:rPr>
      <w:rFonts w:ascii="FHLHE E+ Futura Bk" w:eastAsia="FHLHE E+ Futura Bk" w:cs="Times New Roman"/>
      <w:color w:val="auto"/>
    </w:rPr>
  </w:style>
  <w:style w:type="paragraph" w:customStyle="1" w:styleId="231">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2">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3">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4">
    <w:name w:val="正文文字 2"/>
    <w:basedOn w:val="98"/>
    <w:next w:val="98"/>
    <w:qFormat/>
    <w:uiPriority w:val="0"/>
    <w:rPr>
      <w:rFonts w:ascii="宋体" w:eastAsia="宋体" w:cs="Times New Roman"/>
      <w:color w:val="auto"/>
    </w:rPr>
  </w:style>
  <w:style w:type="paragraph" w:customStyle="1" w:styleId="235">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6">
    <w:name w:val="Char Char1 Char"/>
    <w:basedOn w:val="1"/>
    <w:qFormat/>
    <w:uiPriority w:val="0"/>
    <w:rPr>
      <w:rFonts w:ascii="仿宋_GB2312" w:eastAsia="仿宋_GB2312"/>
      <w:b/>
      <w:sz w:val="32"/>
      <w:szCs w:val="32"/>
    </w:rPr>
  </w:style>
  <w:style w:type="paragraph" w:customStyle="1" w:styleId="237">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8">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9">
    <w:name w:val="Char Char111"/>
    <w:basedOn w:val="1"/>
    <w:qFormat/>
    <w:uiPriority w:val="0"/>
    <w:pPr>
      <w:spacing w:line="360" w:lineRule="auto"/>
    </w:pPr>
    <w:rPr>
      <w:szCs w:val="20"/>
    </w:rPr>
  </w:style>
  <w:style w:type="paragraph" w:customStyle="1" w:styleId="240">
    <w:name w:val="Char"/>
    <w:basedOn w:val="1"/>
    <w:qFormat/>
    <w:uiPriority w:val="0"/>
    <w:rPr>
      <w:rFonts w:ascii="仿宋_GB2312" w:eastAsia="仿宋_GB2312"/>
      <w:b/>
      <w:sz w:val="32"/>
      <w:szCs w:val="32"/>
    </w:rPr>
  </w:style>
  <w:style w:type="paragraph" w:customStyle="1" w:styleId="241">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2">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3">
    <w:name w:val="Char Char Char1 Char"/>
    <w:basedOn w:val="1"/>
    <w:qFormat/>
    <w:uiPriority w:val="0"/>
    <w:rPr>
      <w:szCs w:val="20"/>
    </w:rPr>
  </w:style>
  <w:style w:type="paragraph" w:customStyle="1" w:styleId="244">
    <w:name w:val="正文标准"/>
    <w:basedOn w:val="1"/>
    <w:qFormat/>
    <w:uiPriority w:val="0"/>
    <w:pPr>
      <w:adjustRightInd/>
      <w:spacing w:line="360" w:lineRule="auto"/>
      <w:ind w:firstLine="200" w:firstLineChars="200"/>
    </w:pPr>
    <w:rPr>
      <w:rFonts w:ascii="宋体" w:hAnsi="Calibri"/>
      <w:sz w:val="24"/>
    </w:rPr>
  </w:style>
  <w:style w:type="paragraph" w:customStyle="1" w:styleId="245">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6">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7">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8">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9">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0">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1">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2">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3">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4">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5">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6">
    <w:name w:val="标准有序列表（L1）"/>
    <w:basedOn w:val="7"/>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7">
    <w:name w:val="Char Char Char Char Char Char Char Char Char Char"/>
    <w:basedOn w:val="1"/>
    <w:qFormat/>
    <w:uiPriority w:val="0"/>
    <w:rPr>
      <w:rFonts w:ascii="仿宋_GB2312" w:eastAsia="仿宋_GB2312"/>
      <w:b/>
      <w:sz w:val="32"/>
      <w:szCs w:val="32"/>
    </w:rPr>
  </w:style>
  <w:style w:type="paragraph" w:customStyle="1" w:styleId="258">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9">
    <w:name w:val="_正文段落"/>
    <w:basedOn w:val="1"/>
    <w:qFormat/>
    <w:uiPriority w:val="0"/>
    <w:pPr>
      <w:adjustRightInd/>
      <w:ind w:firstLine="560"/>
    </w:pPr>
    <w:rPr>
      <w:rFonts w:ascii="仿宋_GB2312" w:hAnsi="仿宋" w:eastAsia="仿宋_GB2312"/>
      <w:kern w:val="0"/>
      <w:sz w:val="28"/>
      <w:szCs w:val="28"/>
    </w:rPr>
  </w:style>
  <w:style w:type="paragraph" w:customStyle="1" w:styleId="260">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1">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2">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3">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4">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5">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6">
    <w:name w:val="Char Char Char1 Char2"/>
    <w:basedOn w:val="1"/>
    <w:qFormat/>
    <w:uiPriority w:val="0"/>
    <w:rPr>
      <w:szCs w:val="20"/>
    </w:rPr>
  </w:style>
  <w:style w:type="paragraph" w:customStyle="1" w:styleId="267">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8">
    <w:name w:val="默认段落字体 Para Char"/>
    <w:basedOn w:val="1"/>
    <w:qFormat/>
    <w:uiPriority w:val="0"/>
    <w:rPr>
      <w:rFonts w:ascii="Tahoma" w:hAnsi="Tahoma"/>
      <w:sz w:val="24"/>
      <w:szCs w:val="20"/>
    </w:rPr>
  </w:style>
  <w:style w:type="paragraph" w:customStyle="1" w:styleId="269">
    <w:name w:val="标题五"/>
    <w:basedOn w:val="1"/>
    <w:qFormat/>
    <w:uiPriority w:val="0"/>
    <w:pPr>
      <w:adjustRightInd/>
      <w:spacing w:before="156" w:beforeLines="50" w:line="360" w:lineRule="auto"/>
    </w:pPr>
    <w:rPr>
      <w:b/>
      <w:sz w:val="24"/>
    </w:rPr>
  </w:style>
  <w:style w:type="paragraph" w:customStyle="1" w:styleId="270">
    <w:name w:val="Char Char1101"/>
    <w:basedOn w:val="1"/>
    <w:qFormat/>
    <w:uiPriority w:val="0"/>
    <w:pPr>
      <w:spacing w:line="360" w:lineRule="auto"/>
    </w:pPr>
    <w:rPr>
      <w:rFonts w:ascii="Tahoma" w:hAnsi="Tahoma"/>
      <w:sz w:val="24"/>
      <w:szCs w:val="20"/>
    </w:rPr>
  </w:style>
  <w:style w:type="paragraph" w:customStyle="1" w:styleId="271">
    <w:name w:val="Char Char Char Char Char Char Char Char1"/>
    <w:basedOn w:val="1"/>
    <w:qFormat/>
    <w:uiPriority w:val="0"/>
    <w:pPr>
      <w:tabs>
        <w:tab w:val="left" w:pos="360"/>
      </w:tabs>
    </w:pPr>
    <w:rPr>
      <w:sz w:val="24"/>
      <w:szCs w:val="20"/>
    </w:rPr>
  </w:style>
  <w:style w:type="paragraph" w:customStyle="1" w:styleId="272">
    <w:name w:val="Char Char Char 字元 字元"/>
    <w:basedOn w:val="1"/>
    <w:qFormat/>
    <w:uiPriority w:val="0"/>
    <w:pPr>
      <w:adjustRightInd/>
      <w:spacing w:line="360" w:lineRule="auto"/>
      <w:ind w:firstLine="200" w:firstLineChars="200"/>
    </w:pPr>
    <w:rPr>
      <w:szCs w:val="20"/>
    </w:rPr>
  </w:style>
  <w:style w:type="paragraph" w:customStyle="1" w:styleId="273">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4">
    <w:name w:val="Char Char Char Char Char Char Char"/>
    <w:basedOn w:val="1"/>
    <w:qFormat/>
    <w:uiPriority w:val="0"/>
    <w:rPr>
      <w:rFonts w:ascii="仿宋_GB2312" w:eastAsia="仿宋_GB2312"/>
      <w:b/>
      <w:sz w:val="32"/>
      <w:szCs w:val="32"/>
    </w:rPr>
  </w:style>
  <w:style w:type="paragraph" w:customStyle="1" w:styleId="275">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6">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7">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8">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279">
    <w:name w:val="批注框文本 Char Char"/>
    <w:basedOn w:val="1"/>
    <w:qFormat/>
    <w:uiPriority w:val="0"/>
    <w:pPr>
      <w:adjustRightInd/>
    </w:pPr>
    <w:rPr>
      <w:sz w:val="18"/>
      <w:szCs w:val="20"/>
    </w:rPr>
  </w:style>
  <w:style w:type="paragraph" w:customStyle="1" w:styleId="280">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1">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2">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3">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4">
    <w:name w:val="索引 11"/>
    <w:basedOn w:val="1"/>
    <w:next w:val="1"/>
    <w:qFormat/>
    <w:uiPriority w:val="99"/>
    <w:pPr>
      <w:adjustRightInd/>
      <w:spacing w:line="360" w:lineRule="auto"/>
    </w:pPr>
    <w:rPr>
      <w:rFonts w:ascii="仿宋_GB2312" w:eastAsia="仿宋_GB2312"/>
      <w:sz w:val="24"/>
      <w:szCs w:val="20"/>
    </w:rPr>
  </w:style>
  <w:style w:type="paragraph" w:customStyle="1" w:styleId="285">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6">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7">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8">
    <w:name w:val="文档正文"/>
    <w:basedOn w:val="1"/>
    <w:qFormat/>
    <w:uiPriority w:val="0"/>
    <w:pPr>
      <w:spacing w:line="480" w:lineRule="atLeast"/>
      <w:ind w:firstLine="567"/>
      <w:textAlignment w:val="baseline"/>
    </w:pPr>
    <w:rPr>
      <w:kern w:val="0"/>
      <w:sz w:val="24"/>
      <w:szCs w:val="20"/>
    </w:rPr>
  </w:style>
  <w:style w:type="paragraph" w:customStyle="1" w:styleId="289">
    <w:name w:val="正文文字表格居中"/>
    <w:basedOn w:val="1"/>
    <w:next w:val="56"/>
    <w:qFormat/>
    <w:uiPriority w:val="0"/>
    <w:pPr>
      <w:snapToGrid w:val="0"/>
      <w:spacing w:line="360" w:lineRule="auto"/>
    </w:pPr>
    <w:rPr>
      <w:rFonts w:ascii="宋体"/>
      <w:b/>
      <w:sz w:val="24"/>
      <w:szCs w:val="20"/>
    </w:rPr>
  </w:style>
  <w:style w:type="paragraph" w:customStyle="1" w:styleId="290">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1">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2">
    <w:name w:val="Plain Text1"/>
    <w:basedOn w:val="1"/>
    <w:qFormat/>
    <w:uiPriority w:val="7"/>
    <w:pPr>
      <w:adjustRightInd/>
    </w:pPr>
    <w:rPr>
      <w:rFonts w:ascii="宋体" w:hAnsi="Courier New"/>
    </w:rPr>
  </w:style>
  <w:style w:type="paragraph" w:customStyle="1" w:styleId="293">
    <w:name w:val="Char3"/>
    <w:basedOn w:val="1"/>
    <w:qFormat/>
    <w:uiPriority w:val="0"/>
    <w:pPr>
      <w:adjustRightInd/>
    </w:pPr>
    <w:rPr>
      <w:rFonts w:ascii="仿宋_GB2312" w:eastAsia="仿宋_GB2312"/>
      <w:b/>
      <w:sz w:val="32"/>
      <w:szCs w:val="32"/>
    </w:rPr>
  </w:style>
  <w:style w:type="paragraph" w:customStyle="1" w:styleId="294">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5">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6">
    <w:name w:val="标题2"/>
    <w:basedOn w:val="5"/>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7">
    <w:name w:val="List Paragraph1"/>
    <w:basedOn w:val="1"/>
    <w:qFormat/>
    <w:uiPriority w:val="0"/>
    <w:pPr>
      <w:spacing w:line="360" w:lineRule="auto"/>
      <w:ind w:firstLine="200" w:firstLineChars="200"/>
    </w:pPr>
    <w:rPr>
      <w:rFonts w:eastAsia="楷体_GB2312" w:cs="Lucida Sans"/>
      <w:sz w:val="24"/>
    </w:rPr>
  </w:style>
  <w:style w:type="paragraph" w:customStyle="1" w:styleId="298">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9">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0">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1">
    <w:name w:val="Char3 Char Char Char"/>
    <w:basedOn w:val="1"/>
    <w:qFormat/>
    <w:uiPriority w:val="0"/>
    <w:pPr>
      <w:widowControl/>
      <w:adjustRightInd/>
      <w:spacing w:after="160" w:line="240" w:lineRule="exact"/>
      <w:jc w:val="left"/>
    </w:pPr>
    <w:rPr>
      <w:szCs w:val="20"/>
    </w:rPr>
  </w:style>
  <w:style w:type="paragraph" w:customStyle="1" w:styleId="302">
    <w:name w:val="表格标题2"/>
    <w:basedOn w:val="303"/>
    <w:qFormat/>
    <w:uiPriority w:val="0"/>
    <w:rPr>
      <w:b/>
    </w:rPr>
  </w:style>
  <w:style w:type="paragraph" w:customStyle="1" w:styleId="303">
    <w:name w:val="表格内文"/>
    <w:basedOn w:val="1"/>
    <w:qFormat/>
    <w:uiPriority w:val="0"/>
    <w:pPr>
      <w:adjustRightInd/>
      <w:spacing w:line="360" w:lineRule="auto"/>
    </w:pPr>
    <w:rPr>
      <w:rFonts w:ascii="宋体" w:hAnsi="宋体" w:cs="宋体"/>
      <w:color w:val="000000"/>
      <w:szCs w:val="20"/>
    </w:rPr>
  </w:style>
  <w:style w:type="paragraph" w:customStyle="1" w:styleId="304">
    <w:name w:val="Char Char Char Char Char Char Char Char Char Char2"/>
    <w:basedOn w:val="1"/>
    <w:qFormat/>
    <w:uiPriority w:val="0"/>
    <w:rPr>
      <w:rFonts w:ascii="仿宋_GB2312" w:eastAsia="仿宋_GB2312"/>
      <w:b/>
      <w:sz w:val="32"/>
      <w:szCs w:val="32"/>
    </w:rPr>
  </w:style>
  <w:style w:type="paragraph" w:customStyle="1" w:styleId="305">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6">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7">
    <w:name w:val="Char Char11 Char Char Char Char Char Char Char Char Char11"/>
    <w:basedOn w:val="1"/>
    <w:qFormat/>
    <w:uiPriority w:val="0"/>
    <w:pPr>
      <w:spacing w:line="360" w:lineRule="auto"/>
    </w:pPr>
    <w:rPr>
      <w:szCs w:val="20"/>
    </w:rPr>
  </w:style>
  <w:style w:type="paragraph" w:customStyle="1" w:styleId="308">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9">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0">
    <w:name w:val="MM Topic 1"/>
    <w:basedOn w:val="4"/>
    <w:qFormat/>
    <w:uiPriority w:val="0"/>
    <w:pPr>
      <w:tabs>
        <w:tab w:val="left" w:pos="840"/>
        <w:tab w:val="clear" w:pos="432"/>
      </w:tabs>
      <w:adjustRightInd/>
      <w:ind w:left="840" w:hanging="420"/>
    </w:pPr>
  </w:style>
  <w:style w:type="paragraph" w:customStyle="1" w:styleId="311">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312">
    <w:name w:val="文本正文 Char"/>
    <w:basedOn w:val="1"/>
    <w:qFormat/>
    <w:uiPriority w:val="0"/>
    <w:pPr>
      <w:spacing w:line="360" w:lineRule="auto"/>
      <w:ind w:firstLine="200" w:firstLineChars="200"/>
    </w:pPr>
    <w:rPr>
      <w:kern w:val="0"/>
      <w:sz w:val="24"/>
      <w:szCs w:val="20"/>
    </w:rPr>
  </w:style>
  <w:style w:type="paragraph" w:customStyle="1" w:styleId="313">
    <w:name w:val="表格"/>
    <w:basedOn w:val="1"/>
    <w:qFormat/>
    <w:uiPriority w:val="0"/>
    <w:pPr>
      <w:snapToGrid w:val="0"/>
      <w:ind w:firstLine="42" w:firstLineChars="21"/>
    </w:pPr>
    <w:rPr>
      <w:rFonts w:ascii="宋体" w:hAnsi="宋体"/>
      <w:kern w:val="0"/>
      <w:sz w:val="20"/>
      <w:szCs w:val="20"/>
    </w:rPr>
  </w:style>
  <w:style w:type="paragraph" w:customStyle="1" w:styleId="314">
    <w:name w:val="标书标题4"/>
    <w:basedOn w:val="8"/>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5">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6">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7">
    <w:name w:val="表格项目符号 2"/>
    <w:basedOn w:val="29"/>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8">
    <w:name w:val="EB_表格"/>
    <w:basedOn w:val="1"/>
    <w:qFormat/>
    <w:uiPriority w:val="0"/>
    <w:pPr>
      <w:adjustRightInd/>
      <w:spacing w:line="300" w:lineRule="auto"/>
      <w:jc w:val="center"/>
    </w:pPr>
  </w:style>
  <w:style w:type="paragraph" w:customStyle="1" w:styleId="319">
    <w:name w:val="_Style 6"/>
    <w:basedOn w:val="1"/>
    <w:qFormat/>
    <w:uiPriority w:val="34"/>
    <w:pPr>
      <w:adjustRightInd/>
      <w:ind w:firstLine="420" w:firstLineChars="200"/>
    </w:pPr>
    <w:rPr>
      <w:rFonts w:eastAsia="仿宋_GB2312"/>
      <w:sz w:val="28"/>
    </w:rPr>
  </w:style>
  <w:style w:type="paragraph" w:customStyle="1" w:styleId="320">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1">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2">
    <w:name w:val="!大节"/>
    <w:basedOn w:val="5"/>
    <w:qFormat/>
    <w:uiPriority w:val="0"/>
    <w:pPr>
      <w:spacing w:before="260" w:after="260" w:line="415" w:lineRule="auto"/>
      <w:ind w:left="420" w:hanging="420"/>
    </w:pPr>
    <w:rPr>
      <w:rFonts w:ascii="Arial" w:hAnsi="Arial" w:eastAsia="微软雅黑"/>
      <w:lang w:val="en-US"/>
    </w:rPr>
  </w:style>
  <w:style w:type="paragraph" w:customStyle="1" w:styleId="323">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4">
    <w:name w:val="正文表标题"/>
    <w:next w:val="325"/>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6">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7">
    <w:name w:val="trademark"/>
    <w:qFormat/>
    <w:uiPriority w:val="0"/>
    <w:pPr>
      <w:spacing w:after="60"/>
    </w:pPr>
    <w:rPr>
      <w:rFonts w:ascii="Futura Bk" w:hAnsi="Futura Bk" w:eastAsia="宋体" w:cs="Times New Roman"/>
      <w:sz w:val="15"/>
      <w:lang w:val="en-US" w:eastAsia="en-US" w:bidi="ar-SA"/>
    </w:rPr>
  </w:style>
  <w:style w:type="paragraph" w:customStyle="1" w:styleId="328">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9">
    <w:name w:val="Char Char1 Char Char Char Char Char Char1"/>
    <w:basedOn w:val="1"/>
    <w:qFormat/>
    <w:uiPriority w:val="0"/>
    <w:rPr>
      <w:rFonts w:ascii="仿宋_GB2312" w:eastAsia="仿宋_GB2312"/>
      <w:b/>
      <w:sz w:val="32"/>
      <w:szCs w:val="20"/>
    </w:rPr>
  </w:style>
  <w:style w:type="paragraph" w:customStyle="1" w:styleId="330">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1">
    <w:name w:val="Char1 Char Char Char1"/>
    <w:basedOn w:val="1"/>
    <w:qFormat/>
    <w:uiPriority w:val="0"/>
    <w:pPr>
      <w:adjustRightInd/>
      <w:ind w:firstLine="200" w:firstLineChars="200"/>
    </w:pPr>
    <w:rPr>
      <w:rFonts w:ascii="Tahoma" w:hAnsi="Tahoma"/>
      <w:sz w:val="24"/>
      <w:szCs w:val="20"/>
    </w:rPr>
  </w:style>
  <w:style w:type="paragraph" w:customStyle="1" w:styleId="332">
    <w:name w:val="a1"/>
    <w:basedOn w:val="1"/>
    <w:qFormat/>
    <w:uiPriority w:val="0"/>
    <w:pPr>
      <w:widowControl/>
      <w:spacing w:line="300" w:lineRule="atLeast"/>
      <w:jc w:val="left"/>
    </w:pPr>
    <w:rPr>
      <w:rFonts w:ascii="宋体" w:hAnsi="宋体"/>
      <w:kern w:val="0"/>
      <w:sz w:val="18"/>
      <w:szCs w:val="20"/>
    </w:rPr>
  </w:style>
  <w:style w:type="paragraph" w:customStyle="1" w:styleId="333">
    <w:name w:val="样式7"/>
    <w:basedOn w:val="334"/>
    <w:next w:val="1"/>
    <w:qFormat/>
    <w:uiPriority w:val="0"/>
    <w:pPr>
      <w:spacing w:after="156" w:afterLines="50"/>
      <w:jc w:val="left"/>
      <w:outlineLvl w:val="3"/>
    </w:pPr>
    <w:rPr>
      <w:sz w:val="24"/>
      <w:szCs w:val="24"/>
    </w:rPr>
  </w:style>
  <w:style w:type="paragraph" w:customStyle="1" w:styleId="334">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5">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6">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7">
    <w:name w:val="样式 样式2 + 左侧:  1 字符 右侧:  1 字符"/>
    <w:basedOn w:val="145"/>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8">
    <w:name w:val="Char2 Char Char2"/>
    <w:basedOn w:val="1"/>
    <w:qFormat/>
    <w:uiPriority w:val="0"/>
    <w:pPr>
      <w:adjustRightInd/>
    </w:pPr>
    <w:rPr>
      <w:rFonts w:ascii="Tahoma" w:hAnsi="Tahoma"/>
      <w:sz w:val="24"/>
      <w:szCs w:val="20"/>
    </w:rPr>
  </w:style>
  <w:style w:type="paragraph" w:customStyle="1" w:styleId="339">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0">
    <w:name w:val="三级条标题"/>
    <w:basedOn w:val="341"/>
    <w:next w:val="325"/>
    <w:qFormat/>
    <w:uiPriority w:val="0"/>
    <w:pPr>
      <w:tabs>
        <w:tab w:val="left" w:pos="1260"/>
        <w:tab w:val="left" w:pos="1680"/>
        <w:tab w:val="left" w:pos="2100"/>
        <w:tab w:val="left" w:pos="2520"/>
      </w:tabs>
      <w:ind w:left="2520"/>
      <w:outlineLvl w:val="4"/>
    </w:pPr>
  </w:style>
  <w:style w:type="paragraph" w:customStyle="1" w:styleId="341">
    <w:name w:val="二级条标题"/>
    <w:basedOn w:val="342"/>
    <w:next w:val="325"/>
    <w:qFormat/>
    <w:uiPriority w:val="0"/>
    <w:pPr>
      <w:tabs>
        <w:tab w:val="left" w:pos="1260"/>
        <w:tab w:val="left" w:pos="1680"/>
        <w:tab w:val="left" w:pos="2100"/>
      </w:tabs>
      <w:ind w:left="0"/>
      <w:outlineLvl w:val="3"/>
    </w:pPr>
  </w:style>
  <w:style w:type="paragraph" w:customStyle="1" w:styleId="342">
    <w:name w:val="一级条标题"/>
    <w:basedOn w:val="343"/>
    <w:next w:val="325"/>
    <w:qFormat/>
    <w:uiPriority w:val="0"/>
    <w:pPr>
      <w:tabs>
        <w:tab w:val="left" w:pos="1260"/>
        <w:tab w:val="left" w:pos="1680"/>
      </w:tabs>
      <w:spacing w:before="0" w:beforeLines="0" w:after="0" w:afterLines="0"/>
      <w:ind w:left="1680"/>
      <w:outlineLvl w:val="2"/>
    </w:pPr>
  </w:style>
  <w:style w:type="paragraph" w:customStyle="1" w:styleId="343">
    <w:name w:val="章标题"/>
    <w:next w:val="325"/>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4">
    <w:name w:val="数字标题2"/>
    <w:basedOn w:val="5"/>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5">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6">
    <w:name w:val="样式 标题 1Level 1 HeadPIM 1Section Headh1l11Heading 0Datash..."/>
    <w:basedOn w:val="4"/>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7">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8">
    <w:name w:val="样式 标题 1章节第一层h1H"/>
    <w:basedOn w:val="4"/>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9">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0">
    <w:name w:val="正文 项目2"/>
    <w:basedOn w:val="351"/>
    <w:qFormat/>
    <w:uiPriority w:val="0"/>
    <w:pPr>
      <w:tabs>
        <w:tab w:val="left" w:pos="840"/>
      </w:tabs>
      <w:spacing w:after="0"/>
      <w:ind w:left="900"/>
    </w:pPr>
  </w:style>
  <w:style w:type="paragraph" w:customStyle="1" w:styleId="351">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2">
    <w:name w:val="Body Text 2*"/>
    <w:basedOn w:val="1"/>
    <w:qFormat/>
    <w:uiPriority w:val="6"/>
    <w:pPr>
      <w:widowControl/>
      <w:adjustRightInd/>
      <w:ind w:left="720" w:hanging="720"/>
    </w:pPr>
    <w:rPr>
      <w:color w:val="000000"/>
      <w:kern w:val="0"/>
      <w:sz w:val="24"/>
      <w:szCs w:val="20"/>
    </w:rPr>
  </w:style>
  <w:style w:type="paragraph" w:customStyle="1" w:styleId="353">
    <w:name w:val="表1"/>
    <w:basedOn w:val="1"/>
    <w:qFormat/>
    <w:uiPriority w:val="0"/>
    <w:pPr>
      <w:tabs>
        <w:tab w:val="left" w:pos="703"/>
      </w:tabs>
      <w:adjustRightInd/>
      <w:spacing w:line="360" w:lineRule="auto"/>
      <w:ind w:left="703"/>
      <w:jc w:val="center"/>
    </w:pPr>
  </w:style>
  <w:style w:type="paragraph" w:customStyle="1" w:styleId="354">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5">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6">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7">
    <w:name w:val="2级标题"/>
    <w:basedOn w:val="358"/>
    <w:qFormat/>
    <w:uiPriority w:val="0"/>
    <w:pPr>
      <w:jc w:val="left"/>
      <w:outlineLvl w:val="1"/>
    </w:pPr>
    <w:rPr>
      <w:rFonts w:ascii="Times New Roman" w:hAnsi="Times New Roman" w:eastAsia="仿宋"/>
      <w:sz w:val="30"/>
    </w:rPr>
  </w:style>
  <w:style w:type="paragraph" w:customStyle="1" w:styleId="358">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9">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0">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1">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2">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3">
    <w:name w:val="bullet"/>
    <w:basedOn w:val="1"/>
    <w:qFormat/>
    <w:uiPriority w:val="0"/>
    <w:pPr>
      <w:tabs>
        <w:tab w:val="left" w:pos="840"/>
      </w:tabs>
      <w:adjustRightInd/>
      <w:ind w:left="840" w:hanging="420"/>
    </w:pPr>
  </w:style>
  <w:style w:type="paragraph" w:customStyle="1" w:styleId="364">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5">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6">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7">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8">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9">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0">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1">
    <w:name w:val="MM Topic 4"/>
    <w:basedOn w:val="8"/>
    <w:qFormat/>
    <w:uiPriority w:val="0"/>
    <w:pPr>
      <w:tabs>
        <w:tab w:val="left" w:pos="2100"/>
        <w:tab w:val="clear" w:pos="864"/>
      </w:tabs>
      <w:adjustRightInd/>
      <w:ind w:left="2100" w:hanging="420"/>
    </w:pPr>
    <w:rPr>
      <w:lang w:val="en-US"/>
    </w:rPr>
  </w:style>
  <w:style w:type="paragraph" w:customStyle="1" w:styleId="372">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3">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4">
    <w:name w:val="Char Char11 Char Char Char Char Char Char Char Char Char1"/>
    <w:basedOn w:val="1"/>
    <w:qFormat/>
    <w:uiPriority w:val="6"/>
    <w:pPr>
      <w:spacing w:line="360" w:lineRule="auto"/>
    </w:pPr>
    <w:rPr>
      <w:szCs w:val="20"/>
    </w:rPr>
  </w:style>
  <w:style w:type="paragraph" w:customStyle="1" w:styleId="375">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6">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7">
    <w:name w:val="body text bold"/>
    <w:basedOn w:val="2"/>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8">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9">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0">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1">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2">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3">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4">
    <w:name w:val="单元格居中"/>
    <w:basedOn w:val="1"/>
    <w:qFormat/>
    <w:uiPriority w:val="0"/>
    <w:pPr>
      <w:adjustRightInd/>
      <w:spacing w:line="360" w:lineRule="auto"/>
      <w:jc w:val="center"/>
    </w:pPr>
    <w:rPr>
      <w:sz w:val="24"/>
    </w:rPr>
  </w:style>
  <w:style w:type="paragraph" w:customStyle="1" w:styleId="385">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6">
    <w:name w:val="Char Char Char Char Char Char Char1"/>
    <w:basedOn w:val="1"/>
    <w:qFormat/>
    <w:uiPriority w:val="6"/>
    <w:rPr>
      <w:rFonts w:ascii="仿宋_GB2312" w:eastAsia="仿宋_GB2312"/>
      <w:b/>
      <w:sz w:val="32"/>
      <w:szCs w:val="32"/>
    </w:rPr>
  </w:style>
  <w:style w:type="paragraph" w:customStyle="1" w:styleId="387">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8">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9">
    <w:name w:val="Char3 Char Char Char11"/>
    <w:basedOn w:val="1"/>
    <w:qFormat/>
    <w:uiPriority w:val="0"/>
    <w:pPr>
      <w:widowControl/>
      <w:adjustRightInd/>
      <w:spacing w:after="160" w:line="240" w:lineRule="exact"/>
      <w:jc w:val="left"/>
    </w:pPr>
    <w:rPr>
      <w:szCs w:val="20"/>
    </w:rPr>
  </w:style>
  <w:style w:type="paragraph" w:customStyle="1" w:styleId="390">
    <w:name w:val="Char Char1121"/>
    <w:basedOn w:val="1"/>
    <w:qFormat/>
    <w:uiPriority w:val="0"/>
    <w:pPr>
      <w:spacing w:line="360" w:lineRule="auto"/>
    </w:pPr>
    <w:rPr>
      <w:szCs w:val="20"/>
    </w:rPr>
  </w:style>
  <w:style w:type="paragraph" w:customStyle="1" w:styleId="391">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2">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3">
    <w:name w:val="Normal0"/>
    <w:qFormat/>
    <w:uiPriority w:val="0"/>
    <w:rPr>
      <w:rFonts w:ascii="Times New Roman" w:hAnsi="Times New Roman" w:eastAsia="宋体" w:cs="Times New Roman"/>
      <w:lang w:val="en-US" w:eastAsia="en-US" w:bidi="ar-SA"/>
    </w:rPr>
  </w:style>
  <w:style w:type="paragraph" w:customStyle="1" w:styleId="394">
    <w:name w:val="带编号样式"/>
    <w:basedOn w:val="312"/>
    <w:qFormat/>
    <w:uiPriority w:val="0"/>
    <w:pPr>
      <w:tabs>
        <w:tab w:val="left" w:pos="840"/>
      </w:tabs>
      <w:snapToGrid w:val="0"/>
      <w:ind w:left="840" w:hanging="420" w:firstLineChars="0"/>
    </w:pPr>
    <w:rPr>
      <w:rFonts w:ascii="仿宋_GB2312" w:eastAsia="仿宋_GB2312"/>
      <w:color w:val="000000"/>
    </w:rPr>
  </w:style>
  <w:style w:type="paragraph" w:customStyle="1" w:styleId="395">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6">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7">
    <w:name w:val="封面"/>
    <w:basedOn w:val="1"/>
    <w:qFormat/>
    <w:uiPriority w:val="0"/>
    <w:pPr>
      <w:spacing w:line="360" w:lineRule="atLeast"/>
      <w:jc w:val="right"/>
      <w:textAlignment w:val="baseline"/>
    </w:pPr>
    <w:rPr>
      <w:rFonts w:ascii="Symbol" w:hAnsi="Symbol"/>
      <w:kern w:val="0"/>
      <w:szCs w:val="20"/>
    </w:rPr>
  </w:style>
  <w:style w:type="paragraph" w:customStyle="1" w:styleId="398">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9">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0">
    <w:name w:val="默认段落字体 Para Char Char Char1 Char"/>
    <w:basedOn w:val="1"/>
    <w:qFormat/>
    <w:uiPriority w:val="0"/>
    <w:pPr>
      <w:spacing w:line="240" w:lineRule="atLeast"/>
      <w:ind w:left="420" w:firstLine="420"/>
    </w:pPr>
    <w:rPr>
      <w:sz w:val="24"/>
    </w:rPr>
  </w:style>
  <w:style w:type="paragraph" w:customStyle="1" w:styleId="401">
    <w:name w:val="WW-正文文字缩进 2"/>
    <w:basedOn w:val="1"/>
    <w:qFormat/>
    <w:uiPriority w:val="0"/>
    <w:pPr>
      <w:suppressAutoHyphens/>
      <w:adjustRightInd/>
      <w:ind w:firstLine="420"/>
    </w:pPr>
    <w:rPr>
      <w:kern w:val="1"/>
      <w:szCs w:val="20"/>
    </w:rPr>
  </w:style>
  <w:style w:type="paragraph" w:customStyle="1" w:styleId="402">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3">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404">
    <w:name w:val="有符号正文"/>
    <w:basedOn w:val="1"/>
    <w:qFormat/>
    <w:uiPriority w:val="0"/>
    <w:pPr>
      <w:adjustRightInd/>
      <w:spacing w:line="400" w:lineRule="exact"/>
      <w:ind w:firstLine="200" w:firstLineChars="200"/>
    </w:pPr>
    <w:rPr>
      <w:rFonts w:ascii="Arial" w:hAnsi="Arial"/>
    </w:rPr>
  </w:style>
  <w:style w:type="paragraph" w:customStyle="1" w:styleId="405">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6">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7">
    <w:name w:val="4"/>
    <w:basedOn w:val="1"/>
    <w:next w:val="37"/>
    <w:qFormat/>
    <w:uiPriority w:val="0"/>
    <w:pPr>
      <w:spacing w:after="120" w:line="480" w:lineRule="auto"/>
      <w:ind w:left="420" w:leftChars="200"/>
    </w:pPr>
    <w:rPr>
      <w:sz w:val="24"/>
      <w:szCs w:val="20"/>
    </w:rPr>
  </w:style>
  <w:style w:type="paragraph" w:customStyle="1" w:styleId="408">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9">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0">
    <w:name w:val="样式 标题 3H3 + 两端对齐"/>
    <w:basedOn w:val="6"/>
    <w:qFormat/>
    <w:uiPriority w:val="0"/>
    <w:pPr>
      <w:spacing w:before="0" w:after="0" w:line="240" w:lineRule="auto"/>
      <w:jc w:val="left"/>
    </w:pPr>
    <w:rPr>
      <w:rFonts w:cs="宋体"/>
      <w:sz w:val="21"/>
      <w:szCs w:val="20"/>
    </w:rPr>
  </w:style>
  <w:style w:type="paragraph" w:customStyle="1" w:styleId="411">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2">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3">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4">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5">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6">
    <w:name w:val="Char Char1 Char Char Char"/>
    <w:basedOn w:val="1"/>
    <w:qFormat/>
    <w:uiPriority w:val="0"/>
    <w:rPr>
      <w:rFonts w:ascii="仿宋_GB2312" w:eastAsia="仿宋_GB2312"/>
      <w:b/>
      <w:sz w:val="32"/>
      <w:szCs w:val="20"/>
    </w:rPr>
  </w:style>
  <w:style w:type="paragraph" w:customStyle="1" w:styleId="417">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8">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9">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0">
    <w:name w:val="Char Char1 Char Char Char2"/>
    <w:basedOn w:val="1"/>
    <w:qFormat/>
    <w:uiPriority w:val="0"/>
    <w:rPr>
      <w:rFonts w:ascii="仿宋_GB2312" w:eastAsia="仿宋_GB2312"/>
      <w:b/>
      <w:sz w:val="32"/>
      <w:szCs w:val="32"/>
    </w:rPr>
  </w:style>
  <w:style w:type="paragraph" w:customStyle="1" w:styleId="421">
    <w:name w:val="Char3 Char Char Char1"/>
    <w:basedOn w:val="1"/>
    <w:qFormat/>
    <w:uiPriority w:val="6"/>
    <w:pPr>
      <w:widowControl/>
      <w:adjustRightInd/>
      <w:spacing w:after="160" w:line="240" w:lineRule="exact"/>
      <w:jc w:val="left"/>
    </w:pPr>
    <w:rPr>
      <w:szCs w:val="20"/>
    </w:rPr>
  </w:style>
  <w:style w:type="paragraph" w:customStyle="1" w:styleId="422">
    <w:name w:val="Char1 Char Char Char21"/>
    <w:basedOn w:val="1"/>
    <w:qFormat/>
    <w:uiPriority w:val="0"/>
    <w:rPr>
      <w:rFonts w:ascii="Tahoma" w:hAnsi="Tahoma"/>
      <w:sz w:val="24"/>
      <w:szCs w:val="20"/>
    </w:rPr>
  </w:style>
  <w:style w:type="paragraph" w:customStyle="1" w:styleId="423">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4">
    <w:name w:val="正文（标题三）"/>
    <w:basedOn w:val="1"/>
    <w:qFormat/>
    <w:uiPriority w:val="0"/>
    <w:pPr>
      <w:spacing w:line="360" w:lineRule="auto"/>
      <w:ind w:firstLine="200" w:firstLineChars="200"/>
    </w:pPr>
    <w:rPr>
      <w:sz w:val="24"/>
    </w:rPr>
  </w:style>
  <w:style w:type="paragraph" w:customStyle="1" w:styleId="425">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6">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7">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8">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9">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0">
    <w:name w:val="Char1 Char Char Char4"/>
    <w:basedOn w:val="1"/>
    <w:qFormat/>
    <w:uiPriority w:val="0"/>
    <w:pPr>
      <w:adjustRightInd/>
      <w:ind w:firstLine="200" w:firstLineChars="200"/>
    </w:pPr>
    <w:rPr>
      <w:rFonts w:ascii="Tahoma" w:hAnsi="Tahoma"/>
      <w:sz w:val="24"/>
      <w:szCs w:val="20"/>
    </w:rPr>
  </w:style>
  <w:style w:type="paragraph" w:customStyle="1" w:styleId="431">
    <w:name w:val="_标题2"/>
    <w:basedOn w:val="398"/>
    <w:next w:val="398"/>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2">
    <w:name w:val="样式1 + (中宋体"/>
    <w:basedOn w:val="409"/>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3">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4">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5">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6">
    <w:name w:val="四号　首行缩进"/>
    <w:basedOn w:val="1"/>
    <w:qFormat/>
    <w:uiPriority w:val="0"/>
    <w:pPr>
      <w:adjustRightInd/>
      <w:spacing w:line="360" w:lineRule="auto"/>
    </w:pPr>
    <w:rPr>
      <w:rFonts w:ascii="宋体" w:hAnsi="宋体"/>
      <w:szCs w:val="20"/>
    </w:rPr>
  </w:style>
  <w:style w:type="paragraph" w:customStyle="1" w:styleId="437">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8">
    <w:name w:val="Char Char Char Char Char Char Char Char Char Char Char1 Char"/>
    <w:basedOn w:val="1"/>
    <w:qFormat/>
    <w:uiPriority w:val="0"/>
    <w:pPr>
      <w:adjustRightInd/>
    </w:pPr>
    <w:rPr>
      <w:rFonts w:ascii="Tahoma" w:hAnsi="Tahoma"/>
      <w:sz w:val="24"/>
    </w:rPr>
  </w:style>
  <w:style w:type="paragraph" w:customStyle="1" w:styleId="439">
    <w:name w:val="Char Char Char Char11"/>
    <w:basedOn w:val="1"/>
    <w:qFormat/>
    <w:uiPriority w:val="0"/>
    <w:rPr>
      <w:rFonts w:ascii="Tahoma" w:hAnsi="Tahoma"/>
      <w:sz w:val="24"/>
      <w:szCs w:val="20"/>
    </w:rPr>
  </w:style>
  <w:style w:type="paragraph" w:customStyle="1" w:styleId="440">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1">
    <w:name w:val="Char Char Char Char"/>
    <w:basedOn w:val="1"/>
    <w:qFormat/>
    <w:uiPriority w:val="0"/>
    <w:rPr>
      <w:rFonts w:ascii="Tahoma" w:hAnsi="Tahoma"/>
      <w:sz w:val="24"/>
      <w:szCs w:val="20"/>
    </w:rPr>
  </w:style>
  <w:style w:type="paragraph" w:customStyle="1" w:styleId="442">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3">
    <w:name w:val="Char19"/>
    <w:basedOn w:val="1"/>
    <w:qFormat/>
    <w:uiPriority w:val="0"/>
    <w:pPr>
      <w:adjustRightInd/>
    </w:pPr>
    <w:rPr>
      <w:szCs w:val="20"/>
    </w:rPr>
  </w:style>
  <w:style w:type="paragraph" w:customStyle="1" w:styleId="444">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5">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6">
    <w:name w:val="_Style 5"/>
    <w:basedOn w:val="1"/>
    <w:qFormat/>
    <w:uiPriority w:val="34"/>
    <w:pPr>
      <w:adjustRightInd/>
      <w:ind w:firstLine="420" w:firstLineChars="200"/>
    </w:pPr>
    <w:rPr>
      <w:rFonts w:eastAsia="仿宋_GB2312"/>
      <w:sz w:val="28"/>
    </w:rPr>
  </w:style>
  <w:style w:type="paragraph" w:customStyle="1" w:styleId="447">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8">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9">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0">
    <w:name w:val="标书表格字体格式"/>
    <w:next w:val="444"/>
    <w:qFormat/>
    <w:uiPriority w:val="0"/>
    <w:rPr>
      <w:rFonts w:ascii="Times New Roman" w:hAnsi="Times New Roman" w:eastAsia="宋体" w:cs="Times New Roman"/>
      <w:kern w:val="2"/>
      <w:sz w:val="21"/>
      <w:szCs w:val="24"/>
      <w:lang w:val="en-US" w:eastAsia="zh-CN" w:bidi="ar-SA"/>
    </w:rPr>
  </w:style>
  <w:style w:type="paragraph" w:customStyle="1" w:styleId="451">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2">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3">
    <w:name w:val="修订3"/>
    <w:qFormat/>
    <w:uiPriority w:val="0"/>
    <w:rPr>
      <w:rFonts w:ascii="Times New Roman" w:hAnsi="Times New Roman" w:eastAsia="宋体" w:cs="Times New Roman"/>
      <w:kern w:val="2"/>
      <w:sz w:val="21"/>
      <w:lang w:val="en-US" w:eastAsia="zh-CN" w:bidi="ar-SA"/>
    </w:rPr>
  </w:style>
  <w:style w:type="paragraph" w:customStyle="1" w:styleId="454">
    <w:name w:val="CSS1级正文 Char"/>
    <w:basedOn w:val="2"/>
    <w:qFormat/>
    <w:uiPriority w:val="0"/>
    <w:pPr>
      <w:snapToGrid w:val="0"/>
      <w:ind w:firstLine="480" w:firstLineChars="200"/>
    </w:pPr>
    <w:rPr>
      <w:rFonts w:ascii="Times New Roman"/>
      <w:szCs w:val="24"/>
      <w:lang w:val="en-US"/>
    </w:rPr>
  </w:style>
  <w:style w:type="paragraph" w:customStyle="1" w:styleId="455">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6">
    <w:name w:val="表文字"/>
    <w:qFormat/>
    <w:uiPriority w:val="0"/>
    <w:rPr>
      <w:rFonts w:ascii="宋体" w:hAnsi="Times New Roman" w:eastAsia="宋体" w:cs="Times New Roman"/>
      <w:kern w:val="2"/>
      <w:lang w:val="en-US" w:eastAsia="zh-CN" w:bidi="ar-SA"/>
    </w:rPr>
  </w:style>
  <w:style w:type="paragraph" w:customStyle="1" w:styleId="457">
    <w:name w:val="MM Title"/>
    <w:basedOn w:val="59"/>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8">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9">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0">
    <w:name w:val="Char Char Char Char Char Char Char Char2"/>
    <w:basedOn w:val="1"/>
    <w:qFormat/>
    <w:uiPriority w:val="0"/>
    <w:pPr>
      <w:tabs>
        <w:tab w:val="left" w:pos="360"/>
      </w:tabs>
    </w:pPr>
    <w:rPr>
      <w:sz w:val="24"/>
      <w:szCs w:val="20"/>
    </w:rPr>
  </w:style>
  <w:style w:type="paragraph" w:customStyle="1" w:styleId="461">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2">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3">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4">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6">
    <w:name w:val="正文－恩普"/>
    <w:basedOn w:val="7"/>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7">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8">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9">
    <w:name w:val="p0"/>
    <w:basedOn w:val="1"/>
    <w:qFormat/>
    <w:uiPriority w:val="0"/>
    <w:pPr>
      <w:widowControl/>
      <w:adjustRightInd/>
    </w:pPr>
    <w:rPr>
      <w:kern w:val="0"/>
      <w:szCs w:val="21"/>
    </w:rPr>
  </w:style>
  <w:style w:type="paragraph" w:customStyle="1" w:styleId="470">
    <w:name w:val="Char6"/>
    <w:basedOn w:val="1"/>
    <w:qFormat/>
    <w:uiPriority w:val="0"/>
    <w:rPr>
      <w:rFonts w:ascii="仿宋_GB2312" w:eastAsia="仿宋_GB2312"/>
      <w:b/>
      <w:sz w:val="32"/>
      <w:szCs w:val="32"/>
    </w:rPr>
  </w:style>
  <w:style w:type="paragraph" w:customStyle="1" w:styleId="471">
    <w:name w:val="Char111"/>
    <w:basedOn w:val="1"/>
    <w:qFormat/>
    <w:uiPriority w:val="0"/>
    <w:rPr>
      <w:rFonts w:ascii="仿宋_GB2312" w:eastAsia="仿宋_GB2312"/>
      <w:b/>
      <w:sz w:val="32"/>
      <w:szCs w:val="32"/>
    </w:rPr>
  </w:style>
  <w:style w:type="paragraph" w:customStyle="1" w:styleId="472">
    <w:name w:val="标题3"/>
    <w:basedOn w:val="6"/>
    <w:next w:val="53"/>
    <w:qFormat/>
    <w:uiPriority w:val="0"/>
    <w:pPr>
      <w:tabs>
        <w:tab w:val="clear" w:pos="900"/>
      </w:tabs>
      <w:spacing w:after="0" w:line="360" w:lineRule="auto"/>
    </w:pPr>
    <w:rPr>
      <w:rFonts w:ascii="仿宋" w:hAnsi="仿宋" w:eastAsia="仿宋" w:cs="仿宋"/>
    </w:rPr>
  </w:style>
  <w:style w:type="paragraph" w:customStyle="1" w:styleId="473">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4">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5">
    <w:name w:val="Char1 Char Char Char2"/>
    <w:basedOn w:val="1"/>
    <w:qFormat/>
    <w:uiPriority w:val="0"/>
    <w:pPr>
      <w:adjustRightInd/>
      <w:ind w:firstLine="200" w:firstLineChars="200"/>
    </w:pPr>
    <w:rPr>
      <w:rFonts w:ascii="Tahoma" w:hAnsi="Tahoma"/>
      <w:sz w:val="24"/>
      <w:szCs w:val="20"/>
    </w:rPr>
  </w:style>
  <w:style w:type="paragraph" w:customStyle="1" w:styleId="476">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7">
    <w:name w:val="样式 标题 1 + 黑色 段前: 0.5 行 段后: 0.5 行1"/>
    <w:basedOn w:val="4"/>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8">
    <w:name w:val="Char Char Char Char Char Char Char2"/>
    <w:basedOn w:val="1"/>
    <w:qFormat/>
    <w:uiPriority w:val="0"/>
    <w:rPr>
      <w:rFonts w:ascii="仿宋_GB2312" w:eastAsia="仿宋_GB2312"/>
      <w:b/>
      <w:sz w:val="32"/>
      <w:szCs w:val="32"/>
    </w:rPr>
  </w:style>
  <w:style w:type="paragraph" w:customStyle="1" w:styleId="479">
    <w:name w:val="五级条标题"/>
    <w:basedOn w:val="480"/>
    <w:next w:val="325"/>
    <w:qFormat/>
    <w:uiPriority w:val="0"/>
    <w:pPr>
      <w:tabs>
        <w:tab w:val="left" w:pos="1260"/>
        <w:tab w:val="left" w:pos="1680"/>
        <w:tab w:val="left" w:pos="2100"/>
        <w:tab w:val="left" w:pos="2940"/>
        <w:tab w:val="left" w:pos="3360"/>
      </w:tabs>
      <w:ind w:left="3360"/>
      <w:outlineLvl w:val="6"/>
    </w:pPr>
  </w:style>
  <w:style w:type="paragraph" w:customStyle="1" w:styleId="480">
    <w:name w:val="四级条标题"/>
    <w:basedOn w:val="340"/>
    <w:next w:val="325"/>
    <w:qFormat/>
    <w:uiPriority w:val="0"/>
    <w:pPr>
      <w:tabs>
        <w:tab w:val="left" w:pos="2940"/>
        <w:tab w:val="clear" w:pos="2520"/>
      </w:tabs>
      <w:ind w:left="2940"/>
      <w:outlineLvl w:val="5"/>
    </w:pPr>
  </w:style>
  <w:style w:type="paragraph" w:customStyle="1" w:styleId="481">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2">
    <w:name w:val="Char23"/>
    <w:basedOn w:val="1"/>
    <w:qFormat/>
    <w:uiPriority w:val="0"/>
    <w:rPr>
      <w:rFonts w:ascii="仿宋_GB2312" w:eastAsia="仿宋_GB2312"/>
      <w:b/>
      <w:sz w:val="32"/>
      <w:szCs w:val="32"/>
    </w:rPr>
  </w:style>
  <w:style w:type="paragraph" w:customStyle="1" w:styleId="483">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4">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5">
    <w:name w:val="首行缩进"/>
    <w:basedOn w:val="1"/>
    <w:qFormat/>
    <w:uiPriority w:val="0"/>
    <w:pPr>
      <w:spacing w:line="360" w:lineRule="auto"/>
      <w:ind w:firstLine="480" w:firstLineChars="200"/>
    </w:pPr>
    <w:rPr>
      <w:rFonts w:ascii="宋体"/>
      <w:sz w:val="24"/>
      <w:szCs w:val="20"/>
    </w:rPr>
  </w:style>
  <w:style w:type="paragraph" w:customStyle="1" w:styleId="486">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7">
    <w:name w:val="单元格左对齐"/>
    <w:basedOn w:val="1"/>
    <w:qFormat/>
    <w:uiPriority w:val="0"/>
    <w:pPr>
      <w:adjustRightInd/>
      <w:spacing w:line="360" w:lineRule="auto"/>
    </w:pPr>
    <w:rPr>
      <w:sz w:val="24"/>
    </w:rPr>
  </w:style>
  <w:style w:type="paragraph" w:customStyle="1" w:styleId="488">
    <w:name w:val="正文主体"/>
    <w:basedOn w:val="309"/>
    <w:qFormat/>
    <w:uiPriority w:val="0"/>
  </w:style>
  <w:style w:type="paragraph" w:customStyle="1" w:styleId="489">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0">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1">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2">
    <w:name w:val="正文（首行缩进2字符）"/>
    <w:basedOn w:val="1"/>
    <w:qFormat/>
    <w:uiPriority w:val="0"/>
    <w:pPr>
      <w:adjustRightInd/>
      <w:spacing w:line="360" w:lineRule="auto"/>
      <w:ind w:firstLine="480" w:firstLineChars="200"/>
    </w:pPr>
    <w:rPr>
      <w:sz w:val="24"/>
      <w:szCs w:val="20"/>
    </w:rPr>
  </w:style>
  <w:style w:type="paragraph" w:customStyle="1" w:styleId="493">
    <w:name w:val="P1"/>
    <w:basedOn w:val="1"/>
    <w:qFormat/>
    <w:uiPriority w:val="0"/>
    <w:pPr>
      <w:adjustRightInd/>
      <w:spacing w:line="288" w:lineRule="auto"/>
      <w:ind w:firstLine="425" w:firstLineChars="200"/>
    </w:pPr>
  </w:style>
  <w:style w:type="paragraph" w:customStyle="1" w:styleId="494">
    <w:name w:val="列表内容"/>
    <w:basedOn w:val="1"/>
    <w:next w:val="1"/>
    <w:qFormat/>
    <w:uiPriority w:val="0"/>
    <w:pPr>
      <w:widowControl/>
      <w:tabs>
        <w:tab w:val="left" w:pos="840"/>
      </w:tabs>
      <w:ind w:left="840" w:hanging="420"/>
      <w:jc w:val="left"/>
    </w:pPr>
    <w:rPr>
      <w:kern w:val="0"/>
      <w:sz w:val="18"/>
    </w:rPr>
  </w:style>
  <w:style w:type="paragraph" w:customStyle="1" w:styleId="495">
    <w:name w:val="Char Char11 Char Char Char1"/>
    <w:basedOn w:val="1"/>
    <w:qFormat/>
    <w:uiPriority w:val="6"/>
    <w:pPr>
      <w:spacing w:line="360" w:lineRule="auto"/>
    </w:pPr>
    <w:rPr>
      <w:szCs w:val="20"/>
    </w:rPr>
  </w:style>
  <w:style w:type="paragraph" w:customStyle="1" w:styleId="496">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7">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8">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9">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0">
    <w:name w:val="正文文字缩进2字"/>
    <w:basedOn w:val="2"/>
    <w:qFormat/>
    <w:uiPriority w:val="0"/>
    <w:pPr>
      <w:adjustRightInd/>
      <w:spacing w:before="60" w:after="60"/>
      <w:ind w:firstLine="200" w:firstLineChars="200"/>
    </w:pPr>
    <w:rPr>
      <w:rFonts w:ascii="Times New Roman"/>
      <w:szCs w:val="20"/>
      <w:lang w:val="en-US"/>
    </w:rPr>
  </w:style>
  <w:style w:type="paragraph" w:customStyle="1" w:styleId="501">
    <w:name w:val="默认段落字体 Para Char Char Char Char"/>
    <w:basedOn w:val="1"/>
    <w:qFormat/>
    <w:uiPriority w:val="0"/>
    <w:pPr>
      <w:spacing w:line="360" w:lineRule="auto"/>
    </w:pPr>
    <w:rPr>
      <w:szCs w:val="20"/>
    </w:rPr>
  </w:style>
  <w:style w:type="paragraph" w:customStyle="1" w:styleId="502">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3">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4">
    <w:name w:val="Char2 Char Char Char2"/>
    <w:basedOn w:val="1"/>
    <w:qFormat/>
    <w:uiPriority w:val="0"/>
    <w:rPr>
      <w:rFonts w:ascii="仿宋_GB2312" w:eastAsia="仿宋_GB2312"/>
      <w:b/>
      <w:sz w:val="32"/>
      <w:szCs w:val="32"/>
    </w:rPr>
  </w:style>
  <w:style w:type="paragraph" w:customStyle="1" w:styleId="505">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6">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7">
    <w:name w:val="正文 首行缩进:  2 字符 Char"/>
    <w:basedOn w:val="1"/>
    <w:qFormat/>
    <w:uiPriority w:val="0"/>
    <w:pPr>
      <w:adjustRightInd/>
      <w:spacing w:line="360" w:lineRule="auto"/>
      <w:ind w:firstLine="480"/>
    </w:pPr>
    <w:rPr>
      <w:rFonts w:cs="宋体"/>
      <w:sz w:val="24"/>
      <w:szCs w:val="20"/>
    </w:rPr>
  </w:style>
  <w:style w:type="paragraph" w:customStyle="1" w:styleId="508">
    <w:name w:val="Char Char4 Char Char"/>
    <w:basedOn w:val="1"/>
    <w:qFormat/>
    <w:uiPriority w:val="0"/>
    <w:pPr>
      <w:widowControl/>
      <w:adjustRightInd/>
      <w:spacing w:after="160" w:line="240" w:lineRule="exact"/>
      <w:jc w:val="left"/>
    </w:pPr>
  </w:style>
  <w:style w:type="paragraph" w:customStyle="1" w:styleId="509">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0">
    <w:name w:val="Char Char11 Char Char Char2"/>
    <w:basedOn w:val="1"/>
    <w:qFormat/>
    <w:uiPriority w:val="0"/>
    <w:pPr>
      <w:spacing w:line="360" w:lineRule="auto"/>
    </w:pPr>
    <w:rPr>
      <w:szCs w:val="20"/>
    </w:rPr>
  </w:style>
  <w:style w:type="paragraph" w:customStyle="1" w:styleId="511">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2">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3">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4">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5">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6">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7">
    <w:name w:val="Char311"/>
    <w:basedOn w:val="1"/>
    <w:qFormat/>
    <w:uiPriority w:val="0"/>
    <w:pPr>
      <w:adjustRightInd/>
      <w:ind w:firstLine="200" w:firstLineChars="200"/>
    </w:pPr>
    <w:rPr>
      <w:rFonts w:ascii="Tahoma" w:hAnsi="Tahoma"/>
      <w:sz w:val="24"/>
      <w:szCs w:val="20"/>
    </w:rPr>
  </w:style>
  <w:style w:type="paragraph" w:customStyle="1" w:styleId="518">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9">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0">
    <w:name w:val="正文 内标"/>
    <w:basedOn w:val="435"/>
    <w:qFormat/>
    <w:uiPriority w:val="0"/>
    <w:pPr>
      <w:tabs>
        <w:tab w:val="left" w:pos="0"/>
      </w:tabs>
      <w:ind w:left="900" w:firstLine="0" w:firstLineChars="0"/>
    </w:pPr>
  </w:style>
  <w:style w:type="paragraph" w:customStyle="1" w:styleId="521">
    <w:name w:val="Bulleted List"/>
    <w:basedOn w:val="1"/>
    <w:qFormat/>
    <w:uiPriority w:val="0"/>
    <w:pPr>
      <w:tabs>
        <w:tab w:val="left" w:pos="1260"/>
      </w:tabs>
      <w:adjustRightInd/>
      <w:ind w:left="1260" w:hanging="420"/>
    </w:pPr>
  </w:style>
  <w:style w:type="paragraph" w:customStyle="1" w:styleId="522">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523">
    <w:name w:val="样式 左侧:  0.85 厘米"/>
    <w:basedOn w:val="1"/>
    <w:qFormat/>
    <w:uiPriority w:val="2"/>
    <w:pPr>
      <w:adjustRightInd/>
      <w:spacing w:line="360" w:lineRule="auto"/>
    </w:pPr>
    <w:rPr>
      <w:rFonts w:cs="宋体"/>
      <w:sz w:val="24"/>
      <w:szCs w:val="20"/>
    </w:rPr>
  </w:style>
  <w:style w:type="paragraph" w:customStyle="1" w:styleId="524">
    <w:name w:val="Char Char Char Char Char Char Char Char Char Char Char Char1 Char"/>
    <w:basedOn w:val="1"/>
    <w:qFormat/>
    <w:uiPriority w:val="0"/>
    <w:rPr>
      <w:rFonts w:ascii="Tahoma" w:hAnsi="Tahoma" w:cs="仿宋_GB2312"/>
      <w:sz w:val="24"/>
      <w:szCs w:val="20"/>
    </w:rPr>
  </w:style>
  <w:style w:type="paragraph" w:customStyle="1" w:styleId="525">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6">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8">
    <w:name w:val="Char Char1 Char Char Char Char Char Char"/>
    <w:basedOn w:val="1"/>
    <w:qFormat/>
    <w:uiPriority w:val="0"/>
    <w:rPr>
      <w:rFonts w:ascii="仿宋_GB2312" w:eastAsia="仿宋_GB2312"/>
      <w:b/>
      <w:sz w:val="32"/>
      <w:szCs w:val="20"/>
    </w:rPr>
  </w:style>
  <w:style w:type="paragraph" w:customStyle="1" w:styleId="529">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0">
    <w:name w:val="Char Char1 Char Char Char Char Char Char2"/>
    <w:basedOn w:val="1"/>
    <w:qFormat/>
    <w:uiPriority w:val="0"/>
    <w:rPr>
      <w:rFonts w:ascii="仿宋_GB2312" w:eastAsia="仿宋_GB2312"/>
      <w:b/>
      <w:sz w:val="32"/>
      <w:szCs w:val="20"/>
    </w:rPr>
  </w:style>
  <w:style w:type="paragraph" w:customStyle="1" w:styleId="531">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2">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3">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4">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5">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6">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7">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8">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9">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0">
    <w:name w:val="Char31"/>
    <w:basedOn w:val="1"/>
    <w:qFormat/>
    <w:uiPriority w:val="0"/>
    <w:pPr>
      <w:adjustRightInd/>
    </w:pPr>
    <w:rPr>
      <w:rFonts w:ascii="仿宋_GB2312" w:eastAsia="仿宋_GB2312"/>
      <w:b/>
      <w:sz w:val="32"/>
      <w:szCs w:val="32"/>
    </w:rPr>
  </w:style>
  <w:style w:type="paragraph" w:customStyle="1" w:styleId="541">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542">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3">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4">
    <w:name w:val="Char Char1"/>
    <w:basedOn w:val="1"/>
    <w:qFormat/>
    <w:uiPriority w:val="0"/>
    <w:pPr>
      <w:widowControl/>
      <w:spacing w:after="160" w:line="240" w:lineRule="exact"/>
      <w:jc w:val="left"/>
    </w:pPr>
    <w:rPr>
      <w:rFonts w:eastAsia="仿宋_GB2312"/>
      <w:sz w:val="28"/>
    </w:rPr>
  </w:style>
  <w:style w:type="paragraph" w:customStyle="1" w:styleId="545">
    <w:name w:val="Char21"/>
    <w:basedOn w:val="1"/>
    <w:qFormat/>
    <w:uiPriority w:val="0"/>
    <w:pPr>
      <w:adjustRightInd/>
      <w:ind w:firstLine="200" w:firstLineChars="200"/>
    </w:pPr>
    <w:rPr>
      <w:rFonts w:ascii="仿宋_GB2312" w:eastAsia="仿宋_GB2312"/>
      <w:b/>
      <w:sz w:val="32"/>
      <w:szCs w:val="32"/>
    </w:rPr>
  </w:style>
  <w:style w:type="paragraph" w:customStyle="1" w:styleId="546">
    <w:name w:val="列表段落1"/>
    <w:basedOn w:val="1"/>
    <w:qFormat/>
    <w:uiPriority w:val="34"/>
    <w:pPr>
      <w:adjustRightInd/>
      <w:ind w:right="238" w:firstLine="420"/>
    </w:pPr>
    <w:rPr>
      <w:rFonts w:ascii="Calibri" w:hAnsi="Calibri"/>
      <w:sz w:val="24"/>
    </w:rPr>
  </w:style>
  <w:style w:type="paragraph" w:customStyle="1" w:styleId="547">
    <w:name w:val="Char Char110"/>
    <w:basedOn w:val="1"/>
    <w:qFormat/>
    <w:uiPriority w:val="6"/>
    <w:pPr>
      <w:spacing w:line="360" w:lineRule="auto"/>
    </w:pPr>
    <w:rPr>
      <w:rFonts w:ascii="Tahoma" w:hAnsi="Tahoma"/>
      <w:sz w:val="24"/>
      <w:szCs w:val="20"/>
    </w:rPr>
  </w:style>
  <w:style w:type="paragraph" w:customStyle="1" w:styleId="548">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9">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0">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1">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2">
    <w:name w:val="Char Char Char Char Char Char Char Char Char Char Char Char1 Char2"/>
    <w:basedOn w:val="1"/>
    <w:qFormat/>
    <w:uiPriority w:val="0"/>
    <w:rPr>
      <w:rFonts w:ascii="Tahoma" w:hAnsi="Tahoma" w:cs="仿宋_GB2312"/>
      <w:sz w:val="24"/>
      <w:szCs w:val="20"/>
    </w:rPr>
  </w:style>
  <w:style w:type="paragraph" w:customStyle="1" w:styleId="553">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4">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5">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556">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7">
    <w:name w:val="_Style 12"/>
    <w:basedOn w:val="20"/>
    <w:qFormat/>
    <w:uiPriority w:val="0"/>
    <w:pPr>
      <w:snapToGrid w:val="0"/>
      <w:spacing w:line="360" w:lineRule="auto"/>
    </w:pPr>
  </w:style>
  <w:style w:type="paragraph" w:customStyle="1" w:styleId="558">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9">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0">
    <w:name w:val="_Style 94"/>
    <w:basedOn w:val="1"/>
    <w:next w:val="102"/>
    <w:qFormat/>
    <w:uiPriority w:val="34"/>
    <w:pPr>
      <w:adjustRightInd/>
      <w:spacing w:line="360" w:lineRule="auto"/>
      <w:ind w:firstLine="200" w:firstLineChars="200"/>
    </w:pPr>
    <w:rPr>
      <w:rFonts w:ascii="Calibri" w:hAnsi="Calibri"/>
      <w:sz w:val="28"/>
      <w:szCs w:val="20"/>
    </w:rPr>
  </w:style>
  <w:style w:type="paragraph" w:customStyle="1" w:styleId="561">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2">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3">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4">
    <w:name w:val="3级标题"/>
    <w:basedOn w:val="357"/>
    <w:qFormat/>
    <w:uiPriority w:val="0"/>
    <w:pPr>
      <w:outlineLvl w:val="2"/>
    </w:pPr>
  </w:style>
  <w:style w:type="paragraph" w:customStyle="1" w:styleId="565">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6">
    <w:name w:val="Char1 Char Char Char3"/>
    <w:basedOn w:val="1"/>
    <w:qFormat/>
    <w:uiPriority w:val="0"/>
    <w:pPr>
      <w:adjustRightInd/>
      <w:ind w:firstLine="200" w:firstLineChars="200"/>
    </w:pPr>
    <w:rPr>
      <w:rFonts w:ascii="Tahoma" w:hAnsi="Tahoma"/>
      <w:sz w:val="24"/>
      <w:szCs w:val="20"/>
    </w:rPr>
  </w:style>
  <w:style w:type="paragraph" w:customStyle="1" w:styleId="567">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8">
    <w:name w:val="MM Empty"/>
    <w:basedOn w:val="1"/>
    <w:qFormat/>
    <w:uiPriority w:val="0"/>
    <w:pPr>
      <w:adjustRightInd/>
    </w:pPr>
  </w:style>
  <w:style w:type="paragraph" w:customStyle="1" w:styleId="569">
    <w:name w:val="Char24"/>
    <w:basedOn w:val="1"/>
    <w:qFormat/>
    <w:uiPriority w:val="0"/>
    <w:rPr>
      <w:rFonts w:ascii="仿宋_GB2312" w:eastAsia="仿宋_GB2312"/>
      <w:b/>
      <w:sz w:val="32"/>
      <w:szCs w:val="32"/>
    </w:rPr>
  </w:style>
  <w:style w:type="paragraph" w:customStyle="1" w:styleId="570">
    <w:name w:val="正文箭头"/>
    <w:basedOn w:val="223"/>
    <w:qFormat/>
    <w:uiPriority w:val="0"/>
  </w:style>
  <w:style w:type="paragraph" w:customStyle="1" w:styleId="571">
    <w:name w:val="U_编号2"/>
    <w:basedOn w:val="1"/>
    <w:qFormat/>
    <w:uiPriority w:val="0"/>
    <w:pPr>
      <w:tabs>
        <w:tab w:val="left" w:pos="785"/>
      </w:tabs>
      <w:adjustRightInd/>
      <w:spacing w:beforeLines="10" w:afterLines="10" w:line="300" w:lineRule="auto"/>
    </w:pPr>
    <w:rPr>
      <w:sz w:val="24"/>
    </w:rPr>
  </w:style>
  <w:style w:type="paragraph" w:customStyle="1" w:styleId="572">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3">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4">
    <w:name w:val="标书标题3"/>
    <w:basedOn w:val="6"/>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5">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6">
    <w:name w:val="_Style 1"/>
    <w:basedOn w:val="1"/>
    <w:qFormat/>
    <w:uiPriority w:val="34"/>
    <w:pPr>
      <w:adjustRightInd/>
      <w:ind w:firstLine="420" w:firstLineChars="200"/>
    </w:pPr>
    <w:rPr>
      <w:rFonts w:eastAsia="仿宋_GB2312"/>
      <w:sz w:val="28"/>
    </w:rPr>
  </w:style>
  <w:style w:type="paragraph" w:customStyle="1" w:styleId="577">
    <w:name w:val="表格 内容"/>
    <w:basedOn w:val="414"/>
    <w:qFormat/>
    <w:uiPriority w:val="0"/>
    <w:rPr>
      <w:b w:val="0"/>
      <w:sz w:val="20"/>
    </w:rPr>
  </w:style>
  <w:style w:type="paragraph" w:customStyle="1" w:styleId="578">
    <w:name w:val="正文首行缩进1"/>
    <w:basedOn w:val="2"/>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9">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0">
    <w:name w:val="数字标题5"/>
    <w:basedOn w:val="9"/>
    <w:next w:val="1"/>
    <w:qFormat/>
    <w:uiPriority w:val="0"/>
    <w:pPr>
      <w:tabs>
        <w:tab w:val="left" w:pos="1080"/>
        <w:tab w:val="clear" w:pos="1008"/>
      </w:tabs>
      <w:ind w:left="1080" w:hanging="1080"/>
    </w:pPr>
  </w:style>
  <w:style w:type="paragraph" w:customStyle="1" w:styleId="581">
    <w:name w:val="数字标题1"/>
    <w:basedOn w:val="4"/>
    <w:next w:val="1"/>
    <w:qFormat/>
    <w:uiPriority w:val="0"/>
    <w:pPr>
      <w:tabs>
        <w:tab w:val="left" w:pos="480"/>
        <w:tab w:val="clear" w:pos="432"/>
      </w:tabs>
      <w:ind w:left="480" w:hanging="480"/>
    </w:pPr>
  </w:style>
  <w:style w:type="paragraph" w:customStyle="1" w:styleId="582">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3">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4">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5">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6">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7">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8">
    <w:name w:val="0"/>
    <w:basedOn w:val="1"/>
    <w:qFormat/>
    <w:uiPriority w:val="0"/>
    <w:pPr>
      <w:widowControl/>
    </w:pPr>
    <w:rPr>
      <w:kern w:val="0"/>
      <w:sz w:val="24"/>
      <w:szCs w:val="20"/>
    </w:rPr>
  </w:style>
  <w:style w:type="paragraph" w:customStyle="1" w:styleId="589">
    <w:name w:val="Char Char113"/>
    <w:basedOn w:val="1"/>
    <w:qFormat/>
    <w:uiPriority w:val="0"/>
    <w:pPr>
      <w:widowControl/>
      <w:spacing w:after="160" w:line="240" w:lineRule="exact"/>
      <w:jc w:val="left"/>
    </w:pPr>
    <w:rPr>
      <w:rFonts w:eastAsia="仿宋_GB2312"/>
      <w:sz w:val="28"/>
    </w:rPr>
  </w:style>
  <w:style w:type="paragraph" w:customStyle="1" w:styleId="590">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1">
    <w:name w:val="_Style 8"/>
    <w:basedOn w:val="1"/>
    <w:qFormat/>
    <w:uiPriority w:val="34"/>
    <w:pPr>
      <w:adjustRightInd/>
      <w:ind w:firstLine="420" w:firstLineChars="200"/>
    </w:pPr>
    <w:rPr>
      <w:rFonts w:eastAsia="仿宋_GB2312"/>
      <w:sz w:val="28"/>
    </w:rPr>
  </w:style>
  <w:style w:type="paragraph" w:customStyle="1" w:styleId="592">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3">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4">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6">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7">
    <w:name w:val="Char Char112"/>
    <w:basedOn w:val="1"/>
    <w:qFormat/>
    <w:uiPriority w:val="6"/>
    <w:pPr>
      <w:widowControl/>
      <w:spacing w:after="160" w:line="240" w:lineRule="exact"/>
      <w:jc w:val="left"/>
    </w:pPr>
    <w:rPr>
      <w:rFonts w:eastAsia="仿宋_GB2312"/>
      <w:sz w:val="28"/>
    </w:rPr>
  </w:style>
  <w:style w:type="paragraph" w:customStyle="1" w:styleId="598">
    <w:name w:val="正文 图"/>
    <w:basedOn w:val="128"/>
    <w:qFormat/>
    <w:uiPriority w:val="0"/>
    <w:pPr>
      <w:adjustRightInd/>
      <w:spacing w:before="0"/>
      <w:ind w:firstLine="0"/>
      <w:jc w:val="center"/>
    </w:pPr>
    <w:rPr>
      <w:rFonts w:ascii="微软雅黑" w:hAnsi="微软雅黑"/>
    </w:rPr>
  </w:style>
  <w:style w:type="paragraph" w:customStyle="1" w:styleId="599">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0">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1">
    <w:name w:val="Thf"/>
    <w:basedOn w:val="247"/>
    <w:qFormat/>
    <w:uiPriority w:val="0"/>
    <w:pPr>
      <w:ind w:left="0"/>
    </w:pPr>
  </w:style>
  <w:style w:type="paragraph" w:customStyle="1" w:styleId="602">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3">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4">
    <w:name w:val="注释"/>
    <w:basedOn w:val="1"/>
    <w:qFormat/>
    <w:uiPriority w:val="0"/>
    <w:pPr>
      <w:adjustRightInd/>
      <w:spacing w:line="360" w:lineRule="auto"/>
      <w:ind w:firstLine="480"/>
    </w:pPr>
    <w:rPr>
      <w:sz w:val="24"/>
    </w:rPr>
  </w:style>
  <w:style w:type="paragraph" w:customStyle="1" w:styleId="605">
    <w:name w:val="列出段落111"/>
    <w:basedOn w:val="1"/>
    <w:qFormat/>
    <w:uiPriority w:val="34"/>
    <w:pPr>
      <w:ind w:firstLine="420" w:firstLineChars="200"/>
    </w:pPr>
  </w:style>
  <w:style w:type="paragraph" w:customStyle="1" w:styleId="606">
    <w:name w:val="标准文本"/>
    <w:basedOn w:val="1"/>
    <w:link w:val="941"/>
    <w:qFormat/>
    <w:uiPriority w:val="0"/>
    <w:pPr>
      <w:adjustRightInd/>
      <w:spacing w:line="360" w:lineRule="auto"/>
      <w:ind w:firstLine="480" w:firstLineChars="200"/>
    </w:pPr>
    <w:rPr>
      <w:rFonts w:cs="宋体"/>
      <w:sz w:val="24"/>
      <w:szCs w:val="20"/>
    </w:rPr>
  </w:style>
  <w:style w:type="paragraph" w:customStyle="1" w:styleId="607">
    <w:name w:val="_Style 947"/>
    <w:basedOn w:val="1"/>
    <w:next w:val="102"/>
    <w:qFormat/>
    <w:uiPriority w:val="34"/>
    <w:pPr>
      <w:adjustRightInd/>
      <w:ind w:firstLine="420" w:firstLineChars="200"/>
    </w:pPr>
  </w:style>
  <w:style w:type="paragraph" w:customStyle="1" w:styleId="60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9">
    <w:name w:val="纯文本2"/>
    <w:basedOn w:val="1"/>
    <w:qFormat/>
    <w:uiPriority w:val="0"/>
    <w:pPr>
      <w:adjustRightInd/>
      <w:snapToGrid w:val="0"/>
      <w:jc w:val="left"/>
    </w:pPr>
    <w:rPr>
      <w:rFonts w:ascii="Century Gothic" w:hAnsi="楷体_GB2312" w:eastAsia="Century Gothic"/>
      <w:szCs w:val="20"/>
    </w:rPr>
  </w:style>
  <w:style w:type="paragraph" w:customStyle="1" w:styleId="61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2">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3">
    <w:name w:val="Blockquote"/>
    <w:basedOn w:val="1"/>
    <w:qFormat/>
    <w:uiPriority w:val="0"/>
    <w:pPr>
      <w:autoSpaceDE w:val="0"/>
      <w:autoSpaceDN w:val="0"/>
      <w:spacing w:before="100" w:after="100"/>
      <w:ind w:left="360" w:right="360"/>
      <w:jc w:val="left"/>
    </w:pPr>
    <w:rPr>
      <w:kern w:val="0"/>
      <w:sz w:val="24"/>
      <w:szCs w:val="20"/>
    </w:rPr>
  </w:style>
  <w:style w:type="paragraph" w:customStyle="1" w:styleId="614">
    <w:name w:val="p1"/>
    <w:basedOn w:val="1"/>
    <w:qFormat/>
    <w:uiPriority w:val="0"/>
    <w:pPr>
      <w:widowControl/>
      <w:adjustRightInd/>
      <w:jc w:val="left"/>
    </w:pPr>
    <w:rPr>
      <w:rFonts w:ascii=".PingFang SC" w:eastAsia=".PingFang SC"/>
      <w:color w:val="454545"/>
      <w:kern w:val="0"/>
      <w:sz w:val="18"/>
      <w:szCs w:val="18"/>
    </w:rPr>
  </w:style>
  <w:style w:type="paragraph" w:customStyle="1" w:styleId="615">
    <w:name w:val="Table Paragraph"/>
    <w:basedOn w:val="1"/>
    <w:qFormat/>
    <w:uiPriority w:val="0"/>
    <w:pPr>
      <w:adjustRightInd/>
      <w:jc w:val="left"/>
    </w:pPr>
    <w:rPr>
      <w:rFonts w:ascii="Calibri" w:hAnsi="Calibri"/>
      <w:kern w:val="0"/>
      <w:sz w:val="22"/>
      <w:szCs w:val="22"/>
      <w:lang w:eastAsia="en-US"/>
    </w:rPr>
  </w:style>
  <w:style w:type="paragraph" w:customStyle="1" w:styleId="61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9">
    <w:name w:val="招标正文"/>
    <w:basedOn w:val="1"/>
    <w:qFormat/>
    <w:uiPriority w:val="0"/>
    <w:pPr>
      <w:adjustRightInd w:val="0"/>
      <w:snapToGrid w:val="0"/>
      <w:spacing w:line="360" w:lineRule="auto"/>
      <w:ind w:firstLine="480" w:firstLineChars="200"/>
    </w:pPr>
    <w:rPr>
      <w:rFonts w:ascii="宋体" w:hAnsi="宋体"/>
      <w:color w:val="000000"/>
      <w:kern w:val="0"/>
      <w:sz w:val="24"/>
      <w:szCs w:val="21"/>
    </w:rPr>
  </w:style>
  <w:style w:type="character" w:customStyle="1" w:styleId="620">
    <w:name w:val="表格非标题文字 Char"/>
    <w:link w:val="82"/>
    <w:qFormat/>
    <w:uiPriority w:val="0"/>
    <w:rPr>
      <w:rFonts w:ascii="Futura Bk" w:hAnsi="Futura Bk"/>
      <w:kern w:val="2"/>
      <w:sz w:val="18"/>
      <w:szCs w:val="21"/>
      <w:lang w:val="en-US" w:eastAsia="zh-CN" w:bidi="ar-SA"/>
    </w:rPr>
  </w:style>
  <w:style w:type="character" w:customStyle="1" w:styleId="621">
    <w:name w:val="*正文 Char"/>
    <w:link w:val="83"/>
    <w:qFormat/>
    <w:locked/>
    <w:uiPriority w:val="0"/>
    <w:rPr>
      <w:rFonts w:ascii="宋体" w:hAnsi="宋体"/>
      <w:sz w:val="24"/>
    </w:rPr>
  </w:style>
  <w:style w:type="character" w:customStyle="1" w:styleId="622">
    <w:name w:val="Char Char71"/>
    <w:semiHidden/>
    <w:qFormat/>
    <w:uiPriority w:val="0"/>
    <w:rPr>
      <w:rFonts w:eastAsia="宋体"/>
      <w:kern w:val="2"/>
      <w:sz w:val="21"/>
      <w:szCs w:val="24"/>
      <w:lang w:val="en-US" w:eastAsia="zh-CN" w:bidi="ar-SA"/>
    </w:rPr>
  </w:style>
  <w:style w:type="character" w:customStyle="1" w:styleId="623">
    <w:name w:val="Char Char6"/>
    <w:qFormat/>
    <w:uiPriority w:val="0"/>
    <w:rPr>
      <w:rFonts w:eastAsia="宋体"/>
      <w:kern w:val="2"/>
      <w:sz w:val="21"/>
      <w:szCs w:val="24"/>
      <w:lang w:val="en-US" w:eastAsia="zh-CN" w:bidi="ar-SA"/>
    </w:rPr>
  </w:style>
  <w:style w:type="character" w:customStyle="1" w:styleId="624">
    <w:name w:val="正文缩进 Char"/>
    <w:qFormat/>
    <w:uiPriority w:val="0"/>
    <w:rPr>
      <w:rFonts w:eastAsia="宋体"/>
      <w:kern w:val="2"/>
      <w:sz w:val="21"/>
      <w:lang w:val="en-US" w:eastAsia="zh-CN"/>
    </w:rPr>
  </w:style>
  <w:style w:type="character" w:customStyle="1" w:styleId="625">
    <w:name w:val="正文首行缩进 Char1"/>
    <w:qFormat/>
    <w:uiPriority w:val="0"/>
    <w:rPr>
      <w:rFonts w:ascii="宋体" w:hAnsi="Times New Roman" w:eastAsia="宋体" w:cs="Times New Roman"/>
      <w:snapToGrid w:val="0"/>
      <w:kern w:val="2"/>
      <w:sz w:val="24"/>
      <w:szCs w:val="21"/>
      <w:lang w:val="zh-CN"/>
    </w:rPr>
  </w:style>
  <w:style w:type="character" w:customStyle="1" w:styleId="626">
    <w:name w:val="Char Char28"/>
    <w:qFormat/>
    <w:uiPriority w:val="6"/>
    <w:rPr>
      <w:rFonts w:ascii="仿宋_GB2312" w:hAnsi="仿宋_GB2312" w:eastAsia="仿宋_GB2312"/>
      <w:kern w:val="1"/>
      <w:sz w:val="28"/>
    </w:rPr>
  </w:style>
  <w:style w:type="character" w:customStyle="1" w:styleId="627">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8">
    <w:name w:val="Heading 1 Char"/>
    <w:qFormat/>
    <w:uiPriority w:val="6"/>
    <w:rPr>
      <w:rFonts w:ascii="Times New Roman" w:hAnsi="Times New Roman" w:eastAsia="黑体" w:cs="Times New Roman"/>
      <w:b/>
      <w:kern w:val="0"/>
      <w:sz w:val="24"/>
      <w:szCs w:val="24"/>
    </w:rPr>
  </w:style>
  <w:style w:type="character" w:customStyle="1" w:styleId="629">
    <w:name w:val="U_正文 Char"/>
    <w:link w:val="84"/>
    <w:qFormat/>
    <w:uiPriority w:val="0"/>
    <w:rPr>
      <w:sz w:val="24"/>
      <w:szCs w:val="24"/>
    </w:rPr>
  </w:style>
  <w:style w:type="character" w:customStyle="1" w:styleId="630">
    <w:name w:val="HTML 地址 Char1"/>
    <w:qFormat/>
    <w:uiPriority w:val="0"/>
    <w:rPr>
      <w:rFonts w:ascii="Times New Roman" w:hAnsi="Times New Roman" w:eastAsia="宋体" w:cs="Times New Roman"/>
      <w:i/>
      <w:iCs/>
      <w:szCs w:val="24"/>
    </w:rPr>
  </w:style>
  <w:style w:type="character" w:customStyle="1" w:styleId="631">
    <w:name w:val="批注主题 Char1"/>
    <w:link w:val="60"/>
    <w:qFormat/>
    <w:uiPriority w:val="0"/>
    <w:rPr>
      <w:b/>
      <w:bCs/>
      <w:kern w:val="2"/>
      <w:sz w:val="21"/>
      <w:szCs w:val="24"/>
    </w:rPr>
  </w:style>
  <w:style w:type="character" w:customStyle="1" w:styleId="632">
    <w:name w:val="Char Char51"/>
    <w:qFormat/>
    <w:uiPriority w:val="0"/>
    <w:rPr>
      <w:rFonts w:ascii="宋体" w:hAnsi="Courier New" w:eastAsia="宋体"/>
      <w:kern w:val="2"/>
      <w:sz w:val="21"/>
      <w:lang w:val="en-US" w:eastAsia="zh-CN"/>
    </w:rPr>
  </w:style>
  <w:style w:type="character" w:customStyle="1" w:styleId="633">
    <w:name w:val="表正文 Char"/>
    <w:qFormat/>
    <w:uiPriority w:val="0"/>
    <w:rPr>
      <w:rFonts w:ascii="宋体" w:eastAsia="宋体"/>
      <w:snapToGrid w:val="0"/>
      <w:color w:val="000000"/>
      <w:kern w:val="28"/>
      <w:sz w:val="28"/>
      <w:lang w:val="en-US" w:eastAsia="zh-CN" w:bidi="ar-SA"/>
    </w:rPr>
  </w:style>
  <w:style w:type="character" w:customStyle="1" w:styleId="634">
    <w:name w:val="Char Char34"/>
    <w:qFormat/>
    <w:uiPriority w:val="6"/>
    <w:rPr>
      <w:b/>
      <w:kern w:val="1"/>
      <w:sz w:val="28"/>
      <w:szCs w:val="28"/>
    </w:rPr>
  </w:style>
  <w:style w:type="character" w:customStyle="1" w:styleId="635">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6">
    <w:name w:val="哈哈正文 Char"/>
    <w:link w:val="85"/>
    <w:qFormat/>
    <w:uiPriority w:val="0"/>
    <w:rPr>
      <w:rFonts w:ascii="宋体" w:hAnsi="宋体" w:eastAsia="宋体"/>
      <w:kern w:val="2"/>
      <w:sz w:val="24"/>
      <w:lang w:bidi="ar-SA"/>
    </w:rPr>
  </w:style>
  <w:style w:type="character" w:customStyle="1" w:styleId="637">
    <w:name w:val="未处理的提及1"/>
    <w:qFormat/>
    <w:uiPriority w:val="0"/>
    <w:rPr>
      <w:color w:val="808080"/>
      <w:shd w:val="clear" w:color="auto" w:fill="E6E6E6"/>
    </w:rPr>
  </w:style>
  <w:style w:type="character" w:customStyle="1" w:styleId="638">
    <w:name w:val="txt"/>
    <w:qFormat/>
    <w:uiPriority w:val="0"/>
    <w:rPr>
      <w:rFonts w:ascii="仿宋_GB2312" w:eastAsia="微软雅黑"/>
      <w:b/>
      <w:kern w:val="2"/>
      <w:sz w:val="32"/>
      <w:szCs w:val="32"/>
      <w:lang w:val="en-US" w:eastAsia="zh-CN" w:bidi="ar-SA"/>
    </w:rPr>
  </w:style>
  <w:style w:type="character" w:customStyle="1" w:styleId="639">
    <w:name w:val="二级标题 Char Char"/>
    <w:qFormat/>
    <w:uiPriority w:val="0"/>
    <w:rPr>
      <w:rFonts w:ascii="宋体" w:hAnsi="宋体" w:eastAsia="宋体"/>
      <w:b/>
      <w:snapToGrid w:val="0"/>
      <w:kern w:val="2"/>
      <w:sz w:val="24"/>
      <w:szCs w:val="24"/>
      <w:lang w:val="en-US" w:eastAsia="zh-CN" w:bidi="ar-SA"/>
    </w:rPr>
  </w:style>
  <w:style w:type="character" w:customStyle="1" w:styleId="640">
    <w:name w:val="Char Char32"/>
    <w:qFormat/>
    <w:uiPriority w:val="6"/>
    <w:rPr>
      <w:b/>
      <w:kern w:val="1"/>
      <w:sz w:val="24"/>
      <w:szCs w:val="24"/>
    </w:rPr>
  </w:style>
  <w:style w:type="character" w:customStyle="1" w:styleId="641">
    <w:name w:val="PI Char1"/>
    <w:qFormat/>
    <w:uiPriority w:val="0"/>
    <w:rPr>
      <w:rFonts w:ascii="宋体" w:hAnsi="宋体"/>
      <w:kern w:val="2"/>
      <w:sz w:val="24"/>
      <w:szCs w:val="24"/>
    </w:rPr>
  </w:style>
  <w:style w:type="character" w:customStyle="1" w:styleId="642">
    <w:name w:val="tw4winTerm"/>
    <w:qFormat/>
    <w:uiPriority w:val="0"/>
    <w:rPr>
      <w:color w:val="0000FF"/>
    </w:rPr>
  </w:style>
  <w:style w:type="character" w:customStyle="1" w:styleId="643">
    <w:name w:val="Footer Char"/>
    <w:qFormat/>
    <w:locked/>
    <w:uiPriority w:val="0"/>
    <w:rPr>
      <w:rFonts w:eastAsia="宋体"/>
      <w:kern w:val="2"/>
      <w:sz w:val="18"/>
      <w:lang w:val="en-US" w:eastAsia="zh-CN" w:bidi="ar-SA"/>
    </w:rPr>
  </w:style>
  <w:style w:type="character" w:customStyle="1" w:styleId="644">
    <w:name w:val="普通文字 Char Char1"/>
    <w:qFormat/>
    <w:uiPriority w:val="0"/>
    <w:rPr>
      <w:rFonts w:ascii="宋体" w:hAnsi="Courier New"/>
      <w:kern w:val="2"/>
      <w:sz w:val="21"/>
    </w:rPr>
  </w:style>
  <w:style w:type="character" w:customStyle="1" w:styleId="645">
    <w:name w:val="Char Char101"/>
    <w:qFormat/>
    <w:uiPriority w:val="6"/>
    <w:rPr>
      <w:rFonts w:ascii="宋体" w:hAnsi="宋体"/>
      <w:kern w:val="2"/>
      <w:sz w:val="21"/>
      <w:szCs w:val="24"/>
      <w:lang w:val="en-US" w:eastAsia="zh-CN"/>
    </w:rPr>
  </w:style>
  <w:style w:type="character" w:customStyle="1" w:styleId="646">
    <w:name w:val="标题 4 Char"/>
    <w:qFormat/>
    <w:uiPriority w:val="0"/>
    <w:rPr>
      <w:rFonts w:ascii="Arial" w:hAnsi="Arial" w:eastAsia="黑体"/>
      <w:b/>
      <w:kern w:val="2"/>
      <w:sz w:val="28"/>
    </w:rPr>
  </w:style>
  <w:style w:type="character" w:customStyle="1" w:styleId="647">
    <w:name w:val="链接"/>
    <w:qFormat/>
    <w:uiPriority w:val="0"/>
    <w:rPr>
      <w:color w:val="0000FF"/>
      <w:sz w:val="21"/>
      <w:szCs w:val="21"/>
      <w:u w:val="single"/>
    </w:rPr>
  </w:style>
  <w:style w:type="character" w:customStyle="1" w:styleId="648">
    <w:name w:val="h4 Char"/>
    <w:qFormat/>
    <w:uiPriority w:val="0"/>
    <w:rPr>
      <w:rFonts w:ascii="Arial" w:hAnsi="Arial" w:eastAsia="黑体"/>
      <w:b/>
      <w:bCs/>
      <w:kern w:val="2"/>
      <w:sz w:val="28"/>
      <w:szCs w:val="28"/>
      <w:lang w:val="zh-CN" w:eastAsia="zh-CN" w:bidi="ar-SA"/>
    </w:rPr>
  </w:style>
  <w:style w:type="character" w:customStyle="1" w:styleId="649">
    <w:name w:val="5正文 Char"/>
    <w:link w:val="86"/>
    <w:qFormat/>
    <w:uiPriority w:val="0"/>
    <w:rPr>
      <w:rFonts w:ascii="仿宋_GB2312" w:hAnsi="微软雅黑" w:eastAsia="仿宋_GB2312"/>
      <w:sz w:val="28"/>
      <w:szCs w:val="21"/>
    </w:rPr>
  </w:style>
  <w:style w:type="character" w:customStyle="1" w:styleId="650">
    <w:name w:val="标题 3 字符"/>
    <w:qFormat/>
    <w:uiPriority w:val="9"/>
    <w:rPr>
      <w:b/>
      <w:bCs/>
      <w:kern w:val="2"/>
      <w:sz w:val="32"/>
      <w:szCs w:val="32"/>
    </w:rPr>
  </w:style>
  <w:style w:type="character" w:customStyle="1" w:styleId="651">
    <w:name w:val="样式6 Char"/>
    <w:qFormat/>
    <w:uiPriority w:val="0"/>
    <w:rPr>
      <w:rFonts w:ascii="仿宋_GB2312" w:hAnsi="宋体" w:eastAsia="仿宋_GB2312"/>
      <w:b/>
      <w:bCs/>
      <w:kern w:val="2"/>
      <w:sz w:val="24"/>
      <w:szCs w:val="24"/>
      <w:lang w:val="en-US" w:eastAsia="zh-CN" w:bidi="ar-SA"/>
    </w:rPr>
  </w:style>
  <w:style w:type="character" w:customStyle="1" w:styleId="652">
    <w:name w:val="Char Char14"/>
    <w:qFormat/>
    <w:uiPriority w:val="6"/>
    <w:rPr>
      <w:rFonts w:ascii="黑体" w:hAnsi="黑体" w:eastAsia="黑体"/>
    </w:rPr>
  </w:style>
  <w:style w:type="character" w:customStyle="1" w:styleId="653">
    <w:name w:val="Heading 2 Hidden Char"/>
    <w:qFormat/>
    <w:uiPriority w:val="0"/>
    <w:rPr>
      <w:rFonts w:ascii="仿宋_GB2312" w:eastAsia="仿宋_GB2312"/>
      <w:b/>
      <w:bCs/>
      <w:kern w:val="2"/>
      <w:sz w:val="24"/>
      <w:szCs w:val="24"/>
      <w:lang w:val="zh-CN" w:eastAsia="zh-CN" w:bidi="ar-SA"/>
    </w:rPr>
  </w:style>
  <w:style w:type="character" w:customStyle="1" w:styleId="654">
    <w:name w:val="正文首行缩进 2 Char"/>
    <w:link w:val="61"/>
    <w:qFormat/>
    <w:uiPriority w:val="0"/>
    <w:rPr>
      <w:rFonts w:ascii="宋体" w:hAnsi="宋体"/>
      <w:kern w:val="2"/>
      <w:sz w:val="21"/>
      <w:szCs w:val="24"/>
    </w:rPr>
  </w:style>
  <w:style w:type="character" w:customStyle="1" w:styleId="655">
    <w:name w:val="font11"/>
    <w:qFormat/>
    <w:uiPriority w:val="0"/>
    <w:rPr>
      <w:rFonts w:hint="default" w:ascii="Times New Roman" w:hAnsi="Times New Roman" w:cs="Times New Roman"/>
      <w:color w:val="000000"/>
      <w:sz w:val="22"/>
      <w:szCs w:val="22"/>
      <w:u w:val="none"/>
    </w:rPr>
  </w:style>
  <w:style w:type="character" w:customStyle="1" w:styleId="656">
    <w:name w:val="表正文 Char1"/>
    <w:qFormat/>
    <w:uiPriority w:val="0"/>
    <w:rPr>
      <w:rFonts w:ascii="宋体" w:eastAsia="宋体"/>
      <w:snapToGrid w:val="0"/>
      <w:color w:val="000000"/>
      <w:kern w:val="28"/>
      <w:sz w:val="28"/>
    </w:rPr>
  </w:style>
  <w:style w:type="character" w:customStyle="1" w:styleId="657">
    <w:name w:val="blue1"/>
    <w:basedOn w:val="69"/>
    <w:qFormat/>
    <w:uiPriority w:val="0"/>
    <w:rPr>
      <w:rFonts w:ascii="Arial" w:hAnsi="Arial" w:eastAsia="黑体" w:cs="Arial"/>
      <w:snapToGrid w:val="0"/>
      <w:kern w:val="0"/>
      <w:szCs w:val="21"/>
    </w:rPr>
  </w:style>
  <w:style w:type="character" w:customStyle="1" w:styleId="658">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659">
    <w:name w:val="标书1 Char"/>
    <w:qFormat/>
    <w:uiPriority w:val="0"/>
    <w:rPr>
      <w:rFonts w:eastAsia="宋体"/>
      <w:b/>
      <w:bCs/>
      <w:kern w:val="44"/>
      <w:sz w:val="44"/>
      <w:szCs w:val="44"/>
      <w:lang w:val="en-US" w:eastAsia="zh-CN" w:bidi="ar-SA"/>
    </w:rPr>
  </w:style>
  <w:style w:type="character" w:customStyle="1" w:styleId="660">
    <w:name w:val="样式5 Char"/>
    <w:qFormat/>
    <w:uiPriority w:val="0"/>
    <w:rPr>
      <w:rFonts w:ascii="仿宋_GB2312" w:hAnsi="仿宋" w:eastAsia="仿宋_GB2312"/>
      <w:kern w:val="2"/>
      <w:sz w:val="24"/>
      <w:szCs w:val="24"/>
    </w:rPr>
  </w:style>
  <w:style w:type="character" w:customStyle="1" w:styleId="661">
    <w:name w:val="样式4 Char"/>
    <w:qFormat/>
    <w:uiPriority w:val="0"/>
    <w:rPr>
      <w:rFonts w:ascii="仿宋_GB2312" w:hAnsi="仿宋" w:eastAsia="仿宋_GB2312"/>
      <w:b/>
      <w:kern w:val="2"/>
      <w:sz w:val="32"/>
      <w:szCs w:val="32"/>
      <w:lang w:bidi="ar-SA"/>
    </w:rPr>
  </w:style>
  <w:style w:type="character" w:customStyle="1" w:styleId="662">
    <w:name w:val="插图说明 Char"/>
    <w:qFormat/>
    <w:uiPriority w:val="0"/>
    <w:rPr>
      <w:rFonts w:eastAsia="黑体"/>
      <w:sz w:val="24"/>
      <w:lang w:val="en-US" w:eastAsia="zh-CN"/>
    </w:rPr>
  </w:style>
  <w:style w:type="character" w:customStyle="1" w:styleId="663">
    <w:name w:val="正文2 Char Char"/>
    <w:link w:val="87"/>
    <w:qFormat/>
    <w:uiPriority w:val="0"/>
    <w:rPr>
      <w:rFonts w:eastAsia="宋体"/>
      <w:kern w:val="2"/>
      <w:sz w:val="24"/>
      <w:lang w:val="en-US" w:eastAsia="zh-CN" w:bidi="ar-SA"/>
    </w:rPr>
  </w:style>
  <w:style w:type="character" w:customStyle="1" w:styleId="664">
    <w:name w:val="Char Char24"/>
    <w:qFormat/>
    <w:uiPriority w:val="6"/>
    <w:rPr>
      <w:kern w:val="1"/>
      <w:sz w:val="21"/>
    </w:rPr>
  </w:style>
  <w:style w:type="character" w:customStyle="1" w:styleId="665">
    <w:name w:val="副标题 Char"/>
    <w:link w:val="47"/>
    <w:qFormat/>
    <w:uiPriority w:val="0"/>
    <w:rPr>
      <w:rFonts w:ascii="Arial" w:hAnsi="Arial" w:eastAsia="隶书"/>
      <w:b/>
      <w:bCs/>
      <w:kern w:val="28"/>
      <w:sz w:val="44"/>
      <w:szCs w:val="32"/>
      <w:lang w:val="en-US" w:eastAsia="zh-CN" w:bidi="ar-SA"/>
    </w:rPr>
  </w:style>
  <w:style w:type="character" w:customStyle="1" w:styleId="666">
    <w:name w:val="普通文字 Char1 Char"/>
    <w:qFormat/>
    <w:uiPriority w:val="0"/>
    <w:rPr>
      <w:rFonts w:ascii="宋体" w:hAnsi="Courier New" w:eastAsia="宋体"/>
      <w:kern w:val="2"/>
      <w:sz w:val="21"/>
      <w:szCs w:val="24"/>
      <w:lang w:val="en-US" w:eastAsia="zh-CN" w:bidi="ar-SA"/>
    </w:rPr>
  </w:style>
  <w:style w:type="character" w:customStyle="1" w:styleId="667">
    <w:name w:val="h3 Char1"/>
    <w:qFormat/>
    <w:uiPriority w:val="0"/>
    <w:rPr>
      <w:rFonts w:eastAsia="宋体"/>
      <w:b/>
      <w:bCs/>
      <w:kern w:val="2"/>
      <w:sz w:val="32"/>
      <w:szCs w:val="32"/>
      <w:lang w:bidi="ar-SA"/>
    </w:rPr>
  </w:style>
  <w:style w:type="character" w:customStyle="1" w:styleId="668">
    <w:name w:val="标题 Char1"/>
    <w:qFormat/>
    <w:uiPriority w:val="0"/>
    <w:rPr>
      <w:rFonts w:ascii="Cambria" w:hAnsi="Cambria" w:eastAsia="宋体" w:cs="Times New Roman"/>
      <w:b/>
      <w:bCs/>
      <w:sz w:val="32"/>
      <w:szCs w:val="32"/>
      <w:lang w:bidi="ar-SA"/>
    </w:rPr>
  </w:style>
  <w:style w:type="character" w:customStyle="1" w:styleId="669">
    <w:name w:val="gf正文1 Char"/>
    <w:qFormat/>
    <w:uiPriority w:val="0"/>
    <w:rPr>
      <w:rFonts w:ascii="宋体" w:hAnsi="宋体" w:eastAsia="宋体" w:cs="宋体"/>
      <w:kern w:val="2"/>
      <w:sz w:val="24"/>
      <w:szCs w:val="24"/>
      <w:lang w:val="en-US" w:eastAsia="zh-CN" w:bidi="ar-SA"/>
    </w:rPr>
  </w:style>
  <w:style w:type="character" w:customStyle="1" w:styleId="670">
    <w:name w:val="正文文本缩进 Char1"/>
    <w:qFormat/>
    <w:uiPriority w:val="0"/>
    <w:rPr>
      <w:rFonts w:ascii="Calibri" w:hAnsi="Calibri"/>
      <w:sz w:val="28"/>
    </w:rPr>
  </w:style>
  <w:style w:type="character" w:customStyle="1" w:styleId="671">
    <w:name w:val="No Spacing Char"/>
    <w:link w:val="88"/>
    <w:qFormat/>
    <w:uiPriority w:val="1"/>
    <w:rPr>
      <w:sz w:val="22"/>
      <w:szCs w:val="22"/>
      <w:lang w:val="en-US" w:eastAsia="zh-CN" w:bidi="ar-SA"/>
    </w:rPr>
  </w:style>
  <w:style w:type="character" w:customStyle="1" w:styleId="672">
    <w:name w:val="样式7 Char"/>
    <w:qFormat/>
    <w:uiPriority w:val="0"/>
    <w:rPr>
      <w:rFonts w:ascii="仿宋_GB2312" w:hAnsi="仿宋" w:eastAsia="仿宋_GB2312"/>
      <w:b/>
      <w:kern w:val="2"/>
      <w:sz w:val="24"/>
      <w:szCs w:val="24"/>
    </w:rPr>
  </w:style>
  <w:style w:type="character" w:customStyle="1" w:styleId="673">
    <w:name w:val="font12gray1"/>
    <w:qFormat/>
    <w:uiPriority w:val="0"/>
    <w:rPr>
      <w:rFonts w:ascii="仿宋_GB2312" w:eastAsia="微软雅黑"/>
      <w:b/>
      <w:spacing w:val="300"/>
      <w:kern w:val="2"/>
      <w:sz w:val="18"/>
      <w:szCs w:val="18"/>
      <w:lang w:val="en-US" w:eastAsia="zh-CN" w:bidi="ar-SA"/>
    </w:rPr>
  </w:style>
  <w:style w:type="character" w:customStyle="1" w:styleId="674">
    <w:name w:val="Char Char7"/>
    <w:semiHidden/>
    <w:qFormat/>
    <w:uiPriority w:val="0"/>
    <w:rPr>
      <w:rFonts w:eastAsia="宋体"/>
      <w:kern w:val="2"/>
      <w:sz w:val="21"/>
      <w:szCs w:val="24"/>
      <w:lang w:val="en-US" w:eastAsia="zh-CN" w:bidi="ar-SA"/>
    </w:rPr>
  </w:style>
  <w:style w:type="character" w:customStyle="1" w:styleId="675">
    <w:name w:val="表名 Char"/>
    <w:qFormat/>
    <w:uiPriority w:val="0"/>
    <w:rPr>
      <w:rFonts w:eastAsia="宋体"/>
      <w:b/>
      <w:bCs/>
      <w:kern w:val="2"/>
      <w:sz w:val="24"/>
      <w:szCs w:val="24"/>
      <w:lang w:val="en-US" w:eastAsia="zh-CN" w:bidi="ar-SA"/>
    </w:rPr>
  </w:style>
  <w:style w:type="character" w:customStyle="1" w:styleId="676">
    <w:name w:val="Document Map Char"/>
    <w:qFormat/>
    <w:locked/>
    <w:uiPriority w:val="0"/>
    <w:rPr>
      <w:rFonts w:eastAsia="宋体"/>
      <w:kern w:val="2"/>
      <w:sz w:val="21"/>
      <w:szCs w:val="24"/>
      <w:lang w:val="en-US" w:eastAsia="zh-CN" w:bidi="ar-SA"/>
    </w:rPr>
  </w:style>
  <w:style w:type="character" w:customStyle="1" w:styleId="677">
    <w:name w:val="font41"/>
    <w:qFormat/>
    <w:uiPriority w:val="0"/>
    <w:rPr>
      <w:rFonts w:hint="eastAsia" w:ascii="仿宋_GB2312" w:eastAsia="仿宋_GB2312" w:cs="仿宋_GB2312"/>
      <w:color w:val="000000"/>
      <w:sz w:val="22"/>
      <w:szCs w:val="22"/>
      <w:u w:val="none"/>
    </w:rPr>
  </w:style>
  <w:style w:type="character" w:customStyle="1" w:styleId="678">
    <w:name w:val="标题 6 Char"/>
    <w:link w:val="10"/>
    <w:qFormat/>
    <w:uiPriority w:val="0"/>
    <w:rPr>
      <w:rFonts w:ascii="Arial" w:hAnsi="Arial" w:eastAsia="黑体"/>
      <w:b/>
      <w:bCs/>
      <w:kern w:val="2"/>
      <w:sz w:val="24"/>
      <w:szCs w:val="24"/>
    </w:rPr>
  </w:style>
  <w:style w:type="character" w:customStyle="1" w:styleId="679">
    <w:name w:val="纯文本 Char_0"/>
    <w:link w:val="89"/>
    <w:qFormat/>
    <w:uiPriority w:val="0"/>
    <w:rPr>
      <w:rFonts w:ascii="宋体" w:hAnsi="Courier New"/>
      <w:kern w:val="2"/>
      <w:sz w:val="21"/>
      <w:szCs w:val="21"/>
      <w:lang w:val="en-US" w:eastAsia="zh-CN"/>
    </w:rPr>
  </w:style>
  <w:style w:type="character" w:customStyle="1" w:styleId="680">
    <w:name w:val="Balloon Text Char"/>
    <w:qFormat/>
    <w:locked/>
    <w:uiPriority w:val="0"/>
    <w:rPr>
      <w:rFonts w:eastAsia="宋体"/>
      <w:kern w:val="2"/>
      <w:sz w:val="18"/>
      <w:szCs w:val="18"/>
      <w:lang w:val="en-US" w:eastAsia="zh-CN" w:bidi="ar-SA"/>
    </w:rPr>
  </w:style>
  <w:style w:type="character" w:customStyle="1" w:styleId="681">
    <w:name w:val="正文 项目2 Char"/>
    <w:basedOn w:val="682"/>
    <w:qFormat/>
    <w:uiPriority w:val="0"/>
    <w:rPr>
      <w:rFonts w:ascii="仿宋_GB2312" w:hAnsi="仿宋_GB2312" w:eastAsia="仿宋_GB2312"/>
      <w:kern w:val="2"/>
      <w:sz w:val="24"/>
      <w:lang w:bidi="ar-SA"/>
    </w:rPr>
  </w:style>
  <w:style w:type="character" w:customStyle="1" w:styleId="682">
    <w:name w:val="正文 项目 Char"/>
    <w:qFormat/>
    <w:uiPriority w:val="0"/>
    <w:rPr>
      <w:rFonts w:ascii="仿宋_GB2312" w:hAnsi="仿宋_GB2312" w:eastAsia="仿宋_GB2312"/>
      <w:kern w:val="2"/>
      <w:sz w:val="24"/>
      <w:lang w:bidi="ar-SA"/>
    </w:rPr>
  </w:style>
  <w:style w:type="character" w:customStyle="1" w:styleId="683">
    <w:name w:val="h Char Char1"/>
    <w:qFormat/>
    <w:uiPriority w:val="0"/>
    <w:rPr>
      <w:rFonts w:eastAsia="宋体"/>
      <w:kern w:val="2"/>
      <w:sz w:val="18"/>
      <w:szCs w:val="18"/>
      <w:lang w:val="en-US" w:eastAsia="zh-CN" w:bidi="ar-SA"/>
    </w:rPr>
  </w:style>
  <w:style w:type="character" w:customStyle="1" w:styleId="684">
    <w:name w:val="Char Char27"/>
    <w:qFormat/>
    <w:uiPriority w:val="6"/>
    <w:rPr>
      <w:rFonts w:ascii="宋体" w:hAnsi="宋体" w:eastAsia="宋体"/>
      <w:color w:val="000000"/>
      <w:kern w:val="1"/>
      <w:sz w:val="28"/>
      <w:lang w:val="en-US" w:eastAsia="zh-CN" w:bidi="ar-SA"/>
    </w:rPr>
  </w:style>
  <w:style w:type="character" w:customStyle="1" w:styleId="685">
    <w:name w:val="px14"/>
    <w:qFormat/>
    <w:uiPriority w:val="0"/>
    <w:rPr>
      <w:rFonts w:ascii="仿宋_GB2312" w:eastAsia="微软雅黑" w:cs="Times New Roman"/>
      <w:b/>
      <w:kern w:val="2"/>
      <w:sz w:val="32"/>
      <w:szCs w:val="32"/>
      <w:lang w:val="en-US" w:eastAsia="zh-CN" w:bidi="ar-SA"/>
    </w:rPr>
  </w:style>
  <w:style w:type="character" w:customStyle="1" w:styleId="686">
    <w:name w:val="HTML 预设格式 Char1"/>
    <w:qFormat/>
    <w:uiPriority w:val="0"/>
    <w:rPr>
      <w:rFonts w:ascii="Courier New" w:hAnsi="Courier New" w:eastAsia="宋体" w:cs="Courier New"/>
      <w:sz w:val="20"/>
      <w:szCs w:val="20"/>
    </w:rPr>
  </w:style>
  <w:style w:type="character" w:customStyle="1" w:styleId="687">
    <w:name w:val="普通文字 Char1"/>
    <w:qFormat/>
    <w:uiPriority w:val="0"/>
    <w:rPr>
      <w:rFonts w:ascii="宋体" w:hAnsi="Courier New" w:eastAsia="宋体"/>
      <w:kern w:val="2"/>
      <w:sz w:val="21"/>
      <w:lang w:val="en-US" w:eastAsia="zh-CN"/>
    </w:rPr>
  </w:style>
  <w:style w:type="character" w:customStyle="1" w:styleId="688">
    <w:name w:val="hei16b1"/>
    <w:qFormat/>
    <w:uiPriority w:val="0"/>
    <w:rPr>
      <w:rFonts w:hint="default" w:ascii="Arial" w:hAnsi="Arial" w:cs="Arial"/>
      <w:b/>
      <w:bCs/>
      <w:color w:val="000000"/>
      <w:sz w:val="24"/>
      <w:szCs w:val="24"/>
    </w:rPr>
  </w:style>
  <w:style w:type="character" w:customStyle="1" w:styleId="689">
    <w:name w:val="正文（绿盟科技） Char"/>
    <w:link w:val="91"/>
    <w:qFormat/>
    <w:uiPriority w:val="0"/>
    <w:rPr>
      <w:rFonts w:ascii="Arial" w:hAnsi="Arial"/>
      <w:sz w:val="21"/>
      <w:szCs w:val="21"/>
    </w:rPr>
  </w:style>
  <w:style w:type="character" w:customStyle="1" w:styleId="690">
    <w:name w:val="Char Char19"/>
    <w:qFormat/>
    <w:uiPriority w:val="6"/>
    <w:rPr>
      <w:rFonts w:ascii="宋体" w:hAnsi="宋体"/>
      <w:i/>
      <w:sz w:val="24"/>
      <w:szCs w:val="24"/>
    </w:rPr>
  </w:style>
  <w:style w:type="character" w:customStyle="1" w:styleId="691">
    <w:name w:val="页脚 Char"/>
    <w:qFormat/>
    <w:uiPriority w:val="0"/>
    <w:rPr>
      <w:rFonts w:eastAsia="仿宋_GB2312"/>
      <w:kern w:val="2"/>
      <w:sz w:val="18"/>
      <w:lang w:val="en-US" w:eastAsia="zh-CN"/>
    </w:rPr>
  </w:style>
  <w:style w:type="character" w:customStyle="1" w:styleId="692">
    <w:name w:val="批注主题 Char"/>
    <w:qFormat/>
    <w:uiPriority w:val="0"/>
    <w:rPr>
      <w:rFonts w:eastAsia="宋体"/>
      <w:b/>
      <w:bCs/>
      <w:kern w:val="2"/>
      <w:sz w:val="21"/>
      <w:szCs w:val="24"/>
      <w:lang w:val="en-US" w:eastAsia="zh-CN" w:bidi="ar-SA"/>
    </w:rPr>
  </w:style>
  <w:style w:type="character" w:customStyle="1" w:styleId="693">
    <w:name w:val="Comment Text Char"/>
    <w:qFormat/>
    <w:locked/>
    <w:uiPriority w:val="0"/>
    <w:rPr>
      <w:rFonts w:ascii="宋体" w:hAnsi="宋体" w:eastAsia="宋体"/>
      <w:kern w:val="2"/>
      <w:sz w:val="24"/>
      <w:lang w:val="en-US" w:eastAsia="zh-CN" w:bidi="ar-SA"/>
    </w:rPr>
  </w:style>
  <w:style w:type="character" w:customStyle="1" w:styleId="694">
    <w:name w:val="标题 2 字符"/>
    <w:qFormat/>
    <w:uiPriority w:val="1"/>
    <w:rPr>
      <w:rFonts w:ascii="仿宋_GB2312" w:hAnsi="Times New Roman" w:eastAsia="仿宋_GB2312" w:cs="Times New Roman"/>
      <w:b/>
      <w:kern w:val="2"/>
      <w:sz w:val="24"/>
      <w:lang w:val="zh-CN"/>
    </w:rPr>
  </w:style>
  <w:style w:type="character" w:customStyle="1" w:styleId="695">
    <w:name w:val="Char Char72"/>
    <w:qFormat/>
    <w:uiPriority w:val="0"/>
    <w:rPr>
      <w:rFonts w:eastAsia="宋体"/>
      <w:kern w:val="2"/>
      <w:sz w:val="21"/>
      <w:szCs w:val="24"/>
      <w:lang w:val="en-US" w:eastAsia="zh-CN" w:bidi="ar-SA"/>
    </w:rPr>
  </w:style>
  <w:style w:type="character" w:customStyle="1" w:styleId="696">
    <w:name w:val="正文文本缩进 Char2"/>
    <w:qFormat/>
    <w:uiPriority w:val="0"/>
    <w:rPr>
      <w:rFonts w:ascii="Times New Roman" w:hAnsi="Times New Roman" w:eastAsia="宋体" w:cs="Times New Roman"/>
      <w:snapToGrid w:val="0"/>
      <w:kern w:val="0"/>
      <w:szCs w:val="24"/>
    </w:rPr>
  </w:style>
  <w:style w:type="character" w:customStyle="1" w:styleId="697">
    <w:name w:val="样式2 Char"/>
    <w:qFormat/>
    <w:uiPriority w:val="0"/>
    <w:rPr>
      <w:rFonts w:ascii="仿宋_GB2312" w:hAnsi="仿宋" w:eastAsia="仿宋_GB2312" w:cs="仿宋_GB2312"/>
      <w:b/>
      <w:bCs/>
      <w:sz w:val="32"/>
      <w:szCs w:val="30"/>
      <w:lang w:val="zh-CN"/>
    </w:rPr>
  </w:style>
  <w:style w:type="character" w:customStyle="1" w:styleId="698">
    <w:name w:val="表格名称[858D7CFB-ED40-4347-BF05-701D383B685F]"/>
    <w:link w:val="92"/>
    <w:qFormat/>
    <w:uiPriority w:val="0"/>
    <w:rPr>
      <w:sz w:val="32"/>
    </w:rPr>
  </w:style>
  <w:style w:type="character" w:customStyle="1" w:styleId="699">
    <w:name w:val="Char Char4"/>
    <w:qFormat/>
    <w:uiPriority w:val="0"/>
    <w:rPr>
      <w:rFonts w:eastAsia="宋体"/>
      <w:b/>
      <w:sz w:val="24"/>
      <w:lang w:eastAsia="zh-CN" w:bidi="ar-SA"/>
    </w:rPr>
  </w:style>
  <w:style w:type="character" w:customStyle="1" w:styleId="700">
    <w:name w:val="c7 style3"/>
    <w:qFormat/>
    <w:uiPriority w:val="0"/>
  </w:style>
  <w:style w:type="character" w:customStyle="1" w:styleId="701">
    <w:name w:val="正文文本 3 Char1"/>
    <w:semiHidden/>
    <w:qFormat/>
    <w:uiPriority w:val="99"/>
    <w:rPr>
      <w:rFonts w:ascii="Times New Roman" w:hAnsi="Times New Roman" w:eastAsia="宋体" w:cs="Times New Roman"/>
      <w:sz w:val="16"/>
      <w:szCs w:val="16"/>
    </w:rPr>
  </w:style>
  <w:style w:type="character" w:customStyle="1" w:styleId="702">
    <w:name w:val="tw4winInternal"/>
    <w:qFormat/>
    <w:uiPriority w:val="0"/>
    <w:rPr>
      <w:rFonts w:ascii="Courier New" w:hAnsi="Courier New" w:cs="Courier New"/>
      <w:color w:val="FF0000"/>
      <w:lang w:val="en-US" w:eastAsia="zh-CN"/>
    </w:rPr>
  </w:style>
  <w:style w:type="character" w:customStyle="1" w:styleId="703">
    <w:name w:val="Char Char10"/>
    <w:semiHidden/>
    <w:qFormat/>
    <w:uiPriority w:val="0"/>
    <w:rPr>
      <w:rFonts w:ascii="宋体" w:hAnsi="宋体"/>
      <w:kern w:val="2"/>
      <w:sz w:val="21"/>
      <w:szCs w:val="24"/>
      <w:lang w:val="en-US" w:eastAsia="zh-CN"/>
    </w:rPr>
  </w:style>
  <w:style w:type="character" w:customStyle="1" w:styleId="704">
    <w:name w:val="shadow11"/>
    <w:qFormat/>
    <w:uiPriority w:val="0"/>
    <w:rPr>
      <w:color w:val="000000"/>
      <w:sz w:val="21"/>
    </w:rPr>
  </w:style>
  <w:style w:type="character" w:customStyle="1" w:styleId="705">
    <w:name w:val="正文非缩进 Char3"/>
    <w:qFormat/>
    <w:uiPriority w:val="0"/>
    <w:rPr>
      <w:rFonts w:ascii="宋体" w:eastAsia="宋体"/>
      <w:snapToGrid w:val="0"/>
      <w:color w:val="000000"/>
      <w:kern w:val="28"/>
      <w:sz w:val="28"/>
      <w:lang w:val="en-US" w:eastAsia="zh-CN" w:bidi="ar-SA"/>
    </w:rPr>
  </w:style>
  <w:style w:type="character" w:customStyle="1" w:styleId="706">
    <w:name w:val="Char Char"/>
    <w:qFormat/>
    <w:uiPriority w:val="0"/>
    <w:rPr>
      <w:rFonts w:ascii="宋体" w:hAnsi="Courier New" w:eastAsia="宋体"/>
      <w:kern w:val="2"/>
      <w:sz w:val="21"/>
      <w:lang w:val="en-US" w:eastAsia="zh-CN" w:bidi="ar-SA"/>
    </w:rPr>
  </w:style>
  <w:style w:type="character" w:customStyle="1" w:styleId="707">
    <w:name w:val="签名 Char1"/>
    <w:qFormat/>
    <w:uiPriority w:val="0"/>
    <w:rPr>
      <w:rFonts w:ascii="Times New Roman" w:hAnsi="Times New Roman" w:eastAsia="宋体" w:cs="Times New Roman"/>
      <w:szCs w:val="24"/>
    </w:rPr>
  </w:style>
  <w:style w:type="character" w:customStyle="1" w:styleId="708">
    <w:name w:val="日期 Char"/>
    <w:link w:val="36"/>
    <w:qFormat/>
    <w:uiPriority w:val="0"/>
    <w:rPr>
      <w:rFonts w:ascii="宋体"/>
      <w:kern w:val="2"/>
      <w:sz w:val="24"/>
      <w:szCs w:val="21"/>
      <w:lang w:val="zh-CN"/>
    </w:rPr>
  </w:style>
  <w:style w:type="character" w:customStyle="1" w:styleId="709">
    <w:name w:val="标题 9 Char"/>
    <w:link w:val="13"/>
    <w:qFormat/>
    <w:uiPriority w:val="0"/>
    <w:rPr>
      <w:rFonts w:ascii="Arial" w:hAnsi="Arial" w:eastAsia="黑体"/>
      <w:kern w:val="2"/>
      <w:sz w:val="21"/>
      <w:szCs w:val="21"/>
    </w:rPr>
  </w:style>
  <w:style w:type="character" w:customStyle="1" w:styleId="710">
    <w:name w:val="Char Char18"/>
    <w:qFormat/>
    <w:uiPriority w:val="6"/>
    <w:rPr>
      <w:rFonts w:ascii="宋体" w:hAnsi="宋体"/>
      <w:sz w:val="28"/>
    </w:rPr>
  </w:style>
  <w:style w:type="character" w:customStyle="1" w:styleId="711">
    <w:name w:val="批注文字 Char"/>
    <w:qFormat/>
    <w:uiPriority w:val="99"/>
    <w:rPr>
      <w:kern w:val="2"/>
      <w:sz w:val="21"/>
      <w:szCs w:val="24"/>
    </w:rPr>
  </w:style>
  <w:style w:type="character" w:customStyle="1" w:styleId="712">
    <w:name w:val="Char Char22"/>
    <w:qFormat/>
    <w:uiPriority w:val="6"/>
    <w:rPr>
      <w:rFonts w:ascii="宋体" w:hAnsi="宋体"/>
      <w:kern w:val="1"/>
      <w:sz w:val="24"/>
      <w:szCs w:val="24"/>
    </w:rPr>
  </w:style>
  <w:style w:type="character" w:customStyle="1" w:styleId="713">
    <w:name w:val="pt141"/>
    <w:qFormat/>
    <w:uiPriority w:val="0"/>
    <w:rPr>
      <w:color w:val="330066"/>
      <w:sz w:val="22"/>
      <w:szCs w:val="22"/>
    </w:rPr>
  </w:style>
  <w:style w:type="character" w:customStyle="1" w:styleId="714">
    <w:name w:val="正文文本缩进 2 Char1"/>
    <w:semiHidden/>
    <w:qFormat/>
    <w:uiPriority w:val="99"/>
    <w:rPr>
      <w:rFonts w:ascii="Times New Roman" w:hAnsi="Times New Roman" w:eastAsia="宋体" w:cs="Times New Roman"/>
      <w:szCs w:val="24"/>
    </w:rPr>
  </w:style>
  <w:style w:type="character" w:customStyle="1" w:styleId="715">
    <w:name w:val="批注框文本 Char"/>
    <w:link w:val="39"/>
    <w:qFormat/>
    <w:uiPriority w:val="0"/>
    <w:rPr>
      <w:kern w:val="2"/>
      <w:sz w:val="18"/>
      <w:szCs w:val="18"/>
    </w:rPr>
  </w:style>
  <w:style w:type="character" w:customStyle="1" w:styleId="716">
    <w:name w:val="Char Char611"/>
    <w:qFormat/>
    <w:uiPriority w:val="0"/>
    <w:rPr>
      <w:rFonts w:eastAsia="宋体"/>
      <w:kern w:val="2"/>
      <w:sz w:val="21"/>
      <w:szCs w:val="24"/>
      <w:lang w:val="en-US" w:eastAsia="zh-CN" w:bidi="ar-SA"/>
    </w:rPr>
  </w:style>
  <w:style w:type="character" w:customStyle="1" w:styleId="717">
    <w:name w:val="highlight1"/>
    <w:qFormat/>
    <w:uiPriority w:val="0"/>
    <w:rPr>
      <w:rFonts w:ascii="仿宋_GB2312" w:eastAsia="微软雅黑"/>
      <w:b/>
      <w:kern w:val="2"/>
      <w:sz w:val="23"/>
      <w:szCs w:val="23"/>
      <w:lang w:val="en-US" w:eastAsia="zh-CN" w:bidi="ar-SA"/>
    </w:rPr>
  </w:style>
  <w:style w:type="character" w:customStyle="1" w:styleId="718">
    <w:name w:val="my正文 Char"/>
    <w:link w:val="93"/>
    <w:qFormat/>
    <w:locked/>
    <w:uiPriority w:val="0"/>
    <w:rPr>
      <w:rFonts w:ascii="Tahoma" w:hAnsi="Tahoma"/>
      <w:sz w:val="24"/>
      <w:szCs w:val="24"/>
    </w:rPr>
  </w:style>
  <w:style w:type="character" w:customStyle="1" w:styleId="719">
    <w:name w:val="正文缩进 Char2"/>
    <w:link w:val="7"/>
    <w:qFormat/>
    <w:uiPriority w:val="0"/>
    <w:rPr>
      <w:rFonts w:ascii="宋体" w:eastAsia="宋体"/>
      <w:snapToGrid w:val="0"/>
      <w:color w:val="000000"/>
      <w:kern w:val="28"/>
      <w:sz w:val="28"/>
      <w:lang w:val="en-US" w:eastAsia="zh-CN" w:bidi="ar-SA"/>
    </w:rPr>
  </w:style>
  <w:style w:type="character" w:customStyle="1" w:styleId="720">
    <w:name w:val="Used by Word for text of Help footnotes Char Char1"/>
    <w:qFormat/>
    <w:uiPriority w:val="0"/>
    <w:rPr>
      <w:color w:val="0000FF"/>
      <w:sz w:val="21"/>
    </w:rPr>
  </w:style>
  <w:style w:type="character" w:customStyle="1" w:styleId="721">
    <w:name w:val="页眉 Char"/>
    <w:qFormat/>
    <w:uiPriority w:val="0"/>
    <w:rPr>
      <w:rFonts w:eastAsia="仿宋_GB2312"/>
      <w:kern w:val="2"/>
      <w:sz w:val="18"/>
      <w:lang w:val="en-US" w:eastAsia="zh-CN"/>
    </w:rPr>
  </w:style>
  <w:style w:type="character" w:customStyle="1" w:styleId="722">
    <w:name w:val="FA正文 Char Char"/>
    <w:qFormat/>
    <w:uiPriority w:val="0"/>
    <w:rPr>
      <w:rFonts w:hAnsi="宋体"/>
      <w:kern w:val="2"/>
      <w:sz w:val="24"/>
      <w:lang w:bidi="ar-SA"/>
    </w:rPr>
  </w:style>
  <w:style w:type="character" w:customStyle="1" w:styleId="723">
    <w:name w:val="纯文本 字符"/>
    <w:qFormat/>
    <w:uiPriority w:val="0"/>
    <w:rPr>
      <w:rFonts w:ascii="宋体" w:hAnsi="Courier New" w:eastAsia="宋体" w:cs="Arial"/>
      <w:snapToGrid w:val="0"/>
      <w:kern w:val="2"/>
      <w:sz w:val="21"/>
      <w:szCs w:val="21"/>
      <w:lang w:val="en-US" w:eastAsia="zh-CN" w:bidi="ar-SA"/>
    </w:rPr>
  </w:style>
  <w:style w:type="character" w:customStyle="1" w:styleId="724">
    <w:name w:val="3级 Char"/>
    <w:link w:val="94"/>
    <w:qFormat/>
    <w:uiPriority w:val="0"/>
    <w:rPr>
      <w:rFonts w:ascii="宋体" w:hAnsi="宋体"/>
      <w:b/>
      <w:bCs/>
      <w:sz w:val="28"/>
    </w:rPr>
  </w:style>
  <w:style w:type="character" w:customStyle="1" w:styleId="725">
    <w:name w:val="myp11"/>
    <w:qFormat/>
    <w:uiPriority w:val="0"/>
    <w:rPr>
      <w:rFonts w:ascii="仿宋_GB2312" w:eastAsia="微软雅黑"/>
      <w:b/>
      <w:kern w:val="2"/>
      <w:sz w:val="32"/>
      <w:szCs w:val="32"/>
      <w:lang w:val="en-US" w:eastAsia="zh-CN" w:bidi="ar-SA"/>
    </w:rPr>
  </w:style>
  <w:style w:type="character" w:customStyle="1" w:styleId="726">
    <w:name w:val="文档结构图 Char1"/>
    <w:link w:val="20"/>
    <w:qFormat/>
    <w:uiPriority w:val="0"/>
    <w:rPr>
      <w:kern w:val="2"/>
      <w:sz w:val="21"/>
      <w:szCs w:val="24"/>
      <w:shd w:val="clear" w:color="auto" w:fill="000080"/>
    </w:rPr>
  </w:style>
  <w:style w:type="character" w:customStyle="1" w:styleId="727">
    <w:name w:val="H6 Char"/>
    <w:qFormat/>
    <w:uiPriority w:val="0"/>
    <w:rPr>
      <w:rFonts w:ascii="Arial" w:hAnsi="Arial" w:eastAsia="黑体"/>
      <w:b/>
      <w:bCs/>
      <w:kern w:val="2"/>
      <w:sz w:val="24"/>
      <w:szCs w:val="24"/>
    </w:rPr>
  </w:style>
  <w:style w:type="character" w:customStyle="1" w:styleId="728">
    <w:name w:val="Char Char91"/>
    <w:qFormat/>
    <w:uiPriority w:val="0"/>
    <w:rPr>
      <w:rFonts w:eastAsia="宋体"/>
      <w:kern w:val="2"/>
      <w:sz w:val="18"/>
      <w:szCs w:val="18"/>
      <w:lang w:val="en-US" w:eastAsia="zh-CN" w:bidi="ar-SA"/>
    </w:rPr>
  </w:style>
  <w:style w:type="character" w:customStyle="1" w:styleId="729">
    <w:name w:val="副标题 Char1"/>
    <w:qFormat/>
    <w:uiPriority w:val="0"/>
    <w:rPr>
      <w:rFonts w:ascii="Cambria" w:hAnsi="Cambria" w:eastAsia="宋体" w:cs="Times New Roman"/>
      <w:b/>
      <w:bCs/>
      <w:snapToGrid w:val="0"/>
      <w:kern w:val="28"/>
      <w:sz w:val="32"/>
      <w:szCs w:val="32"/>
    </w:rPr>
  </w:style>
  <w:style w:type="character" w:customStyle="1" w:styleId="730">
    <w:name w:val="font61"/>
    <w:qFormat/>
    <w:uiPriority w:val="0"/>
    <w:rPr>
      <w:rFonts w:hint="eastAsia" w:ascii="仿宋" w:hAnsi="仿宋" w:eastAsia="仿宋" w:cs="仿宋"/>
      <w:color w:val="000000"/>
      <w:sz w:val="20"/>
      <w:szCs w:val="20"/>
      <w:u w:val="none"/>
    </w:rPr>
  </w:style>
  <w:style w:type="character" w:customStyle="1" w:styleId="731">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2">
    <w:name w:val="Char Char211"/>
    <w:qFormat/>
    <w:uiPriority w:val="0"/>
    <w:rPr>
      <w:rFonts w:eastAsia="宋体"/>
      <w:b/>
      <w:bCs/>
      <w:kern w:val="2"/>
      <w:sz w:val="21"/>
      <w:szCs w:val="24"/>
      <w:lang w:val="en-US" w:eastAsia="zh-CN" w:bidi="ar-SA"/>
    </w:rPr>
  </w:style>
  <w:style w:type="character" w:customStyle="1" w:styleId="733">
    <w:name w:val="标题 2 Char"/>
    <w:qFormat/>
    <w:uiPriority w:val="0"/>
    <w:rPr>
      <w:rFonts w:ascii="Arial" w:hAnsi="Arial" w:eastAsia="黑体"/>
      <w:b/>
      <w:kern w:val="2"/>
      <w:sz w:val="32"/>
      <w:lang w:val="en-US" w:eastAsia="zh-CN"/>
    </w:rPr>
  </w:style>
  <w:style w:type="character" w:customStyle="1" w:styleId="734">
    <w:name w:val="maywed421"/>
    <w:qFormat/>
    <w:uiPriority w:val="0"/>
    <w:rPr>
      <w:color w:val="366FB6"/>
      <w:u w:val="none"/>
    </w:rPr>
  </w:style>
  <w:style w:type="character" w:customStyle="1" w:styleId="735">
    <w:name w:val="正文文本缩进 Char"/>
    <w:qFormat/>
    <w:uiPriority w:val="0"/>
    <w:rPr>
      <w:rFonts w:ascii="宋体" w:hAnsi="宋体"/>
      <w:kern w:val="2"/>
      <w:sz w:val="24"/>
      <w:szCs w:val="24"/>
    </w:rPr>
  </w:style>
  <w:style w:type="character" w:customStyle="1" w:styleId="736">
    <w:name w:val="Char Char102"/>
    <w:semiHidden/>
    <w:qFormat/>
    <w:uiPriority w:val="0"/>
    <w:rPr>
      <w:rFonts w:ascii="宋体" w:hAnsi="宋体"/>
      <w:kern w:val="2"/>
      <w:sz w:val="21"/>
      <w:szCs w:val="24"/>
      <w:lang w:val="en-US" w:eastAsia="zh-CN"/>
    </w:rPr>
  </w:style>
  <w:style w:type="character" w:customStyle="1" w:styleId="737">
    <w:name w:val="页眉 Char1"/>
    <w:qFormat/>
    <w:uiPriority w:val="0"/>
    <w:rPr>
      <w:rFonts w:eastAsia="宋体"/>
      <w:kern w:val="2"/>
      <w:sz w:val="18"/>
      <w:szCs w:val="18"/>
      <w:lang w:val="en-US" w:eastAsia="zh-CN" w:bidi="ar-SA"/>
    </w:rPr>
  </w:style>
  <w:style w:type="character" w:customStyle="1" w:styleId="738">
    <w:name w:val="md"/>
    <w:basedOn w:val="69"/>
    <w:qFormat/>
    <w:uiPriority w:val="0"/>
    <w:rPr>
      <w:rFonts w:ascii="Arial" w:hAnsi="Arial" w:eastAsia="黑体" w:cs="Arial"/>
      <w:snapToGrid w:val="0"/>
      <w:kern w:val="0"/>
      <w:szCs w:val="21"/>
    </w:rPr>
  </w:style>
  <w:style w:type="character" w:customStyle="1" w:styleId="739">
    <w:name w:val="big1"/>
    <w:qFormat/>
    <w:uiPriority w:val="0"/>
    <w:rPr>
      <w:rFonts w:hint="eastAsia" w:ascii="宋体" w:hAnsi="宋体" w:eastAsia="宋体"/>
      <w:color w:val="333333"/>
      <w:sz w:val="22"/>
      <w:szCs w:val="22"/>
    </w:rPr>
  </w:style>
  <w:style w:type="character" w:customStyle="1" w:styleId="740">
    <w:name w:val="Char Char311"/>
    <w:qFormat/>
    <w:uiPriority w:val="0"/>
    <w:rPr>
      <w:rFonts w:eastAsia="宋体"/>
      <w:kern w:val="2"/>
      <w:sz w:val="21"/>
      <w:szCs w:val="24"/>
      <w:lang w:val="en-US" w:eastAsia="zh-CN" w:bidi="ar-SA"/>
    </w:rPr>
  </w:style>
  <w:style w:type="character" w:customStyle="1" w:styleId="741">
    <w:name w:val="Char Char81"/>
    <w:qFormat/>
    <w:uiPriority w:val="6"/>
    <w:rPr>
      <w:rFonts w:eastAsia="宋体"/>
      <w:b/>
      <w:sz w:val="24"/>
      <w:lang w:eastAsia="zh-CN"/>
    </w:rPr>
  </w:style>
  <w:style w:type="character" w:customStyle="1" w:styleId="742">
    <w:name w:val="样式3 Char"/>
    <w:basedOn w:val="697"/>
    <w:qFormat/>
    <w:uiPriority w:val="0"/>
    <w:rPr>
      <w:rFonts w:ascii="仿宋_GB2312" w:hAnsi="仿宋" w:eastAsia="仿宋_GB2312" w:cs="仿宋_GB2312"/>
      <w:sz w:val="32"/>
      <w:szCs w:val="30"/>
      <w:lang w:val="zh-CN"/>
    </w:rPr>
  </w:style>
  <w:style w:type="character" w:customStyle="1" w:styleId="743">
    <w:name w:val="HTML 地址 Char"/>
    <w:link w:val="30"/>
    <w:qFormat/>
    <w:uiPriority w:val="0"/>
    <w:rPr>
      <w:rFonts w:ascii="宋体" w:hAnsi="宋体"/>
      <w:i/>
      <w:iCs/>
      <w:sz w:val="24"/>
      <w:szCs w:val="24"/>
    </w:rPr>
  </w:style>
  <w:style w:type="character" w:customStyle="1" w:styleId="744">
    <w:name w:val="正文首行缩进 2 Char1"/>
    <w:qFormat/>
    <w:uiPriority w:val="0"/>
    <w:rPr>
      <w:rFonts w:ascii="Times New Roman" w:hAnsi="Times New Roman" w:eastAsia="宋体" w:cs="Times New Roman"/>
      <w:kern w:val="2"/>
      <w:sz w:val="24"/>
      <w:szCs w:val="24"/>
    </w:rPr>
  </w:style>
  <w:style w:type="character" w:customStyle="1" w:styleId="745">
    <w:name w:val="副标题 Char2"/>
    <w:qFormat/>
    <w:uiPriority w:val="0"/>
    <w:rPr>
      <w:rFonts w:ascii="Cambria" w:hAnsi="Cambria" w:eastAsia="宋体" w:cs="Times New Roman"/>
      <w:b/>
      <w:bCs/>
      <w:snapToGrid w:val="0"/>
      <w:kern w:val="28"/>
      <w:sz w:val="32"/>
      <w:szCs w:val="32"/>
    </w:rPr>
  </w:style>
  <w:style w:type="character" w:customStyle="1" w:styleId="746">
    <w:name w:val="标题4-dyf Char"/>
    <w:link w:val="96"/>
    <w:qFormat/>
    <w:uiPriority w:val="0"/>
    <w:rPr>
      <w:rFonts w:ascii="Cambria" w:hAnsi="Cambria"/>
      <w:b/>
      <w:bCs/>
      <w:color w:val="000000"/>
      <w:kern w:val="2"/>
      <w:sz w:val="21"/>
      <w:szCs w:val="21"/>
    </w:rPr>
  </w:style>
  <w:style w:type="character" w:customStyle="1" w:styleId="747">
    <w:name w:val="dectext1"/>
    <w:qFormat/>
    <w:uiPriority w:val="0"/>
    <w:rPr>
      <w:rFonts w:ascii="宋体" w:hAnsi="宋体" w:eastAsia="宋体"/>
      <w:color w:val="333333"/>
      <w:sz w:val="21"/>
      <w:szCs w:val="21"/>
      <w:u w:val="none"/>
    </w:rPr>
  </w:style>
  <w:style w:type="character" w:customStyle="1" w:styleId="748">
    <w:name w:val="冯 Char"/>
    <w:link w:val="97"/>
    <w:qFormat/>
    <w:uiPriority w:val="0"/>
    <w:rPr>
      <w:rFonts w:ascii="宋体" w:hAnsi="宋体"/>
      <w:color w:val="000000"/>
      <w:sz w:val="24"/>
      <w:szCs w:val="24"/>
    </w:rPr>
  </w:style>
  <w:style w:type="character" w:customStyle="1" w:styleId="749">
    <w:name w:val="Header Char"/>
    <w:qFormat/>
    <w:locked/>
    <w:uiPriority w:val="0"/>
    <w:rPr>
      <w:rFonts w:eastAsia="宋体"/>
      <w:kern w:val="2"/>
      <w:sz w:val="18"/>
      <w:szCs w:val="18"/>
      <w:lang w:val="en-US" w:eastAsia="zh-CN" w:bidi="ar-SA"/>
    </w:rPr>
  </w:style>
  <w:style w:type="character" w:customStyle="1" w:styleId="750">
    <w:name w:val="Char Char12"/>
    <w:qFormat/>
    <w:uiPriority w:val="0"/>
    <w:rPr>
      <w:rFonts w:ascii="仿宋_GB2312" w:eastAsia="仿宋_GB2312"/>
      <w:b/>
      <w:bCs/>
      <w:kern w:val="2"/>
      <w:sz w:val="24"/>
      <w:szCs w:val="24"/>
      <w:lang w:val="zh-CN" w:eastAsia="zh-CN" w:bidi="ar-SA"/>
    </w:rPr>
  </w:style>
  <w:style w:type="character" w:customStyle="1" w:styleId="751">
    <w:name w:val="题注 Char"/>
    <w:link w:val="18"/>
    <w:qFormat/>
    <w:uiPriority w:val="0"/>
    <w:rPr>
      <w:b/>
      <w:kern w:val="2"/>
      <w:sz w:val="28"/>
    </w:rPr>
  </w:style>
  <w:style w:type="character" w:customStyle="1" w:styleId="752">
    <w:name w:val="普通文字 Char3"/>
    <w:qFormat/>
    <w:uiPriority w:val="0"/>
    <w:rPr>
      <w:rFonts w:ascii="宋体" w:hAnsi="Courier New" w:eastAsia="宋体"/>
      <w:kern w:val="2"/>
      <w:sz w:val="21"/>
      <w:lang w:val="en-US" w:eastAsia="zh-CN" w:bidi="ar-SA"/>
    </w:rPr>
  </w:style>
  <w:style w:type="character" w:customStyle="1" w:styleId="753">
    <w:name w:val="公文正文 Char"/>
    <w:qFormat/>
    <w:uiPriority w:val="0"/>
    <w:rPr>
      <w:rFonts w:ascii="仿宋_GB2312" w:eastAsia="仿宋_GB2312"/>
      <w:kern w:val="2"/>
      <w:sz w:val="24"/>
      <w:szCs w:val="24"/>
      <w:lang w:val="en-US" w:eastAsia="zh-CN" w:bidi="ar-SA"/>
    </w:rPr>
  </w:style>
  <w:style w:type="character" w:customStyle="1" w:styleId="754">
    <w:name w:val="正文首行缩进 Char Char Char Char Char"/>
    <w:qFormat/>
    <w:uiPriority w:val="0"/>
    <w:rPr>
      <w:rFonts w:ascii="宋体"/>
      <w:kern w:val="2"/>
      <w:sz w:val="24"/>
      <w:lang w:val="zh-CN"/>
    </w:rPr>
  </w:style>
  <w:style w:type="character" w:customStyle="1" w:styleId="755">
    <w:name w:val="PI Char"/>
    <w:qFormat/>
    <w:uiPriority w:val="0"/>
    <w:rPr>
      <w:rFonts w:ascii="宋体" w:hAnsi="宋体" w:eastAsia="宋体"/>
      <w:kern w:val="2"/>
      <w:sz w:val="24"/>
      <w:szCs w:val="24"/>
      <w:lang w:val="en-US" w:eastAsia="zh-CN" w:bidi="ar-SA"/>
    </w:rPr>
  </w:style>
  <w:style w:type="character" w:customStyle="1" w:styleId="756">
    <w:name w:val="Default Char"/>
    <w:link w:val="98"/>
    <w:qFormat/>
    <w:uiPriority w:val="0"/>
    <w:rPr>
      <w:rFonts w:ascii="仿宋_GB2312" w:eastAsia="仿宋_GB2312" w:cs="仿宋_GB2312"/>
      <w:color w:val="000000"/>
      <w:sz w:val="24"/>
      <w:szCs w:val="24"/>
      <w:lang w:val="en-US" w:eastAsia="zh-CN" w:bidi="ar-SA"/>
    </w:rPr>
  </w:style>
  <w:style w:type="character" w:customStyle="1" w:styleId="757">
    <w:name w:val="style91"/>
    <w:qFormat/>
    <w:uiPriority w:val="0"/>
    <w:rPr>
      <w:color w:val="333333"/>
    </w:rPr>
  </w:style>
  <w:style w:type="character" w:customStyle="1" w:styleId="758">
    <w:name w:val="列出段落 Char2"/>
    <w:qFormat/>
    <w:uiPriority w:val="34"/>
    <w:rPr>
      <w:rFonts w:ascii="Calibri" w:hAnsi="Calibri"/>
      <w:kern w:val="2"/>
      <w:sz w:val="28"/>
    </w:rPr>
  </w:style>
  <w:style w:type="character" w:customStyle="1" w:styleId="759">
    <w:name w:val="mdeck"/>
    <w:qFormat/>
    <w:uiPriority w:val="0"/>
    <w:rPr>
      <w:rFonts w:ascii="仿宋_GB2312" w:eastAsia="微软雅黑"/>
      <w:b/>
      <w:kern w:val="2"/>
      <w:sz w:val="32"/>
      <w:szCs w:val="32"/>
      <w:lang w:val="en-US" w:eastAsia="zh-CN" w:bidi="ar-SA"/>
    </w:rPr>
  </w:style>
  <w:style w:type="character" w:customStyle="1" w:styleId="760">
    <w:name w:val="unnamed11"/>
    <w:qFormat/>
    <w:uiPriority w:val="0"/>
    <w:rPr>
      <w:sz w:val="20"/>
      <w:szCs w:val="20"/>
    </w:rPr>
  </w:style>
  <w:style w:type="character" w:customStyle="1" w:styleId="761">
    <w:name w:val="正文文本 Char2"/>
    <w:semiHidden/>
    <w:qFormat/>
    <w:uiPriority w:val="99"/>
    <w:rPr>
      <w:rFonts w:ascii="Times New Roman" w:hAnsi="Times New Roman" w:eastAsia="宋体" w:cs="Times New Roman"/>
      <w:snapToGrid w:val="0"/>
      <w:kern w:val="0"/>
      <w:szCs w:val="24"/>
    </w:rPr>
  </w:style>
  <w:style w:type="character" w:customStyle="1" w:styleId="762">
    <w:name w:val="标书正文格式 Char"/>
    <w:qFormat/>
    <w:uiPriority w:val="0"/>
    <w:rPr>
      <w:rFonts w:eastAsia="楷体_GB2312"/>
      <w:kern w:val="2"/>
      <w:sz w:val="24"/>
      <w:szCs w:val="24"/>
      <w:lang w:bidi="ar-SA"/>
    </w:rPr>
  </w:style>
  <w:style w:type="character" w:customStyle="1" w:styleId="763">
    <w:name w:val="Char Char11"/>
    <w:qFormat/>
    <w:locked/>
    <w:uiPriority w:val="0"/>
    <w:rPr>
      <w:rFonts w:ascii="宋体" w:hAnsi="宋体" w:eastAsia="宋体"/>
      <w:b/>
      <w:kern w:val="2"/>
      <w:sz w:val="24"/>
      <w:szCs w:val="24"/>
      <w:lang w:val="en-US" w:eastAsia="zh-CN" w:bidi="ar-SA"/>
    </w:rPr>
  </w:style>
  <w:style w:type="character" w:customStyle="1" w:styleId="764">
    <w:name w:val="ca-131"/>
    <w:qFormat/>
    <w:uiPriority w:val="0"/>
    <w:rPr>
      <w:rFonts w:hint="eastAsia" w:ascii="仿宋_GB2312" w:eastAsia="仿宋_GB2312"/>
      <w:b/>
      <w:bCs/>
      <w:color w:val="000000"/>
      <w:spacing w:val="-20"/>
      <w:sz w:val="24"/>
      <w:szCs w:val="24"/>
    </w:rPr>
  </w:style>
  <w:style w:type="character" w:customStyle="1" w:styleId="765">
    <w:name w:val="tw4winMark"/>
    <w:qFormat/>
    <w:uiPriority w:val="0"/>
    <w:rPr>
      <w:rFonts w:ascii="Courier New" w:hAnsi="Courier New" w:cs="Courier New"/>
      <w:vanish/>
      <w:color w:val="800080"/>
      <w:sz w:val="24"/>
      <w:szCs w:val="24"/>
      <w:vertAlign w:val="subscript"/>
    </w:rPr>
  </w:style>
  <w:style w:type="character" w:customStyle="1" w:styleId="766">
    <w:name w:val="正文样式 Char"/>
    <w:link w:val="99"/>
    <w:qFormat/>
    <w:uiPriority w:val="0"/>
    <w:rPr>
      <w:rFonts w:ascii="Calibri" w:hAnsi="Calibri"/>
      <w:sz w:val="24"/>
      <w:szCs w:val="24"/>
    </w:rPr>
  </w:style>
  <w:style w:type="character" w:customStyle="1" w:styleId="767">
    <w:name w:val="表正文 Char3"/>
    <w:qFormat/>
    <w:uiPriority w:val="0"/>
    <w:rPr>
      <w:rFonts w:eastAsia="宋体"/>
    </w:rPr>
  </w:style>
  <w:style w:type="character" w:customStyle="1" w:styleId="768">
    <w:name w:val="H5 Char"/>
    <w:qFormat/>
    <w:uiPriority w:val="0"/>
    <w:rPr>
      <w:b/>
      <w:bCs/>
      <w:kern w:val="2"/>
      <w:sz w:val="28"/>
      <w:szCs w:val="28"/>
    </w:rPr>
  </w:style>
  <w:style w:type="character" w:customStyle="1" w:styleId="769">
    <w:name w:val="Char Char3"/>
    <w:qFormat/>
    <w:uiPriority w:val="0"/>
    <w:rPr>
      <w:rFonts w:eastAsia="宋体"/>
      <w:kern w:val="2"/>
      <w:sz w:val="21"/>
      <w:szCs w:val="24"/>
      <w:lang w:val="en-US" w:eastAsia="zh-CN" w:bidi="ar-SA"/>
    </w:rPr>
  </w:style>
  <w:style w:type="character" w:customStyle="1" w:styleId="770">
    <w:name w:val="正文 编号 Char"/>
    <w:qFormat/>
    <w:uiPriority w:val="0"/>
    <w:rPr>
      <w:rFonts w:ascii="仿宋_GB2312" w:hAnsi="仿宋_GB2312" w:eastAsia="仿宋_GB2312"/>
      <w:kern w:val="2"/>
      <w:sz w:val="24"/>
      <w:lang w:bidi="ar-SA"/>
    </w:rPr>
  </w:style>
  <w:style w:type="character" w:customStyle="1" w:styleId="771">
    <w:name w:val="question-title2"/>
    <w:qFormat/>
    <w:uiPriority w:val="6"/>
    <w:rPr>
      <w:rFonts w:ascii="Arial" w:hAnsi="Arial" w:eastAsia="黑体" w:cs="Arial"/>
      <w:snapToGrid w:val="0"/>
      <w:kern w:val="0"/>
      <w:szCs w:val="21"/>
    </w:rPr>
  </w:style>
  <w:style w:type="character" w:customStyle="1" w:styleId="772">
    <w:name w:val="gf正文1 Char Char"/>
    <w:link w:val="100"/>
    <w:qFormat/>
    <w:uiPriority w:val="0"/>
    <w:rPr>
      <w:rFonts w:ascii="宋体" w:hAnsi="宋体" w:cs="宋体"/>
      <w:kern w:val="2"/>
      <w:sz w:val="24"/>
      <w:szCs w:val="24"/>
    </w:rPr>
  </w:style>
  <w:style w:type="character" w:customStyle="1" w:styleId="773">
    <w:name w:val="Char Char15"/>
    <w:qFormat/>
    <w:uiPriority w:val="6"/>
    <w:rPr>
      <w:rFonts w:ascii="宋体" w:hAnsi="宋体"/>
      <w:kern w:val="1"/>
      <w:sz w:val="21"/>
    </w:rPr>
  </w:style>
  <w:style w:type="character" w:customStyle="1" w:styleId="774">
    <w:name w:val="正文缩进 Char3"/>
    <w:qFormat/>
    <w:uiPriority w:val="0"/>
    <w:rPr>
      <w:rFonts w:ascii="宋体" w:eastAsia="宋体"/>
      <w:snapToGrid w:val="0"/>
      <w:color w:val="000000"/>
      <w:kern w:val="28"/>
      <w:sz w:val="28"/>
      <w:lang w:val="en-US" w:eastAsia="zh-CN" w:bidi="ar-SA"/>
    </w:rPr>
  </w:style>
  <w:style w:type="character" w:customStyle="1" w:styleId="775">
    <w:name w:val="列出段落 Char1"/>
    <w:link w:val="101"/>
    <w:qFormat/>
    <w:uiPriority w:val="0"/>
    <w:rPr>
      <w:rFonts w:ascii="Calibri" w:hAnsi="Calibri"/>
      <w:sz w:val="24"/>
      <w:lang w:eastAsia="en-US"/>
    </w:rPr>
  </w:style>
  <w:style w:type="character" w:customStyle="1" w:styleId="776">
    <w:name w:val="Char Char8"/>
    <w:qFormat/>
    <w:uiPriority w:val="0"/>
    <w:rPr>
      <w:rFonts w:eastAsia="宋体"/>
      <w:b/>
      <w:sz w:val="24"/>
      <w:lang w:eastAsia="zh-CN"/>
    </w:rPr>
  </w:style>
  <w:style w:type="character" w:customStyle="1" w:styleId="777">
    <w:name w:val="Normal Indent Char Char"/>
    <w:qFormat/>
    <w:uiPriority w:val="0"/>
    <w:rPr>
      <w:rFonts w:eastAsia="宋体"/>
      <w:kern w:val="2"/>
      <w:sz w:val="21"/>
      <w:lang w:val="en-US" w:eastAsia="zh-CN" w:bidi="ar-SA"/>
    </w:rPr>
  </w:style>
  <w:style w:type="character" w:customStyle="1" w:styleId="778">
    <w:name w:val="列表段落 字符"/>
    <w:qFormat/>
    <w:uiPriority w:val="99"/>
  </w:style>
  <w:style w:type="character" w:customStyle="1" w:styleId="779">
    <w:name w:val="Ò³Ã¼ Char Char1"/>
    <w:qFormat/>
    <w:uiPriority w:val="0"/>
    <w:rPr>
      <w:rFonts w:eastAsia="宋体"/>
      <w:kern w:val="2"/>
      <w:sz w:val="18"/>
      <w:szCs w:val="18"/>
      <w:lang w:val="en-US" w:eastAsia="zh-CN" w:bidi="ar-SA"/>
    </w:rPr>
  </w:style>
  <w:style w:type="character" w:customStyle="1" w:styleId="780">
    <w:name w:val="方案正文 Char"/>
    <w:qFormat/>
    <w:uiPriority w:val="0"/>
    <w:rPr>
      <w:rFonts w:ascii="仿宋_GB2312" w:eastAsia="仿宋_GB2312"/>
      <w:b/>
      <w:color w:val="000000"/>
      <w:kern w:val="2"/>
      <w:sz w:val="24"/>
      <w:lang w:val="en-US" w:eastAsia="zh-CN" w:bidi="ar-SA"/>
    </w:rPr>
  </w:style>
  <w:style w:type="character" w:customStyle="1" w:styleId="781">
    <w:name w:val="Char Char30"/>
    <w:qFormat/>
    <w:uiPriority w:val="6"/>
    <w:rPr>
      <w:rFonts w:ascii="Arial" w:hAnsi="Arial" w:eastAsia="黑体"/>
      <w:kern w:val="1"/>
      <w:sz w:val="21"/>
      <w:szCs w:val="21"/>
    </w:rPr>
  </w:style>
  <w:style w:type="character" w:customStyle="1" w:styleId="782">
    <w:name w:val="正文文本缩进 Char3"/>
    <w:link w:val="25"/>
    <w:qFormat/>
    <w:uiPriority w:val="0"/>
    <w:rPr>
      <w:rFonts w:ascii="宋体" w:hAnsi="宋体"/>
      <w:kern w:val="2"/>
      <w:sz w:val="24"/>
      <w:szCs w:val="24"/>
    </w:rPr>
  </w:style>
  <w:style w:type="character" w:customStyle="1" w:styleId="783">
    <w:name w:val="font01"/>
    <w:qFormat/>
    <w:uiPriority w:val="0"/>
    <w:rPr>
      <w:rFonts w:hint="eastAsia" w:ascii="微软雅黑" w:hAnsi="微软雅黑" w:eastAsia="微软雅黑" w:cs="微软雅黑"/>
      <w:color w:val="000000"/>
      <w:sz w:val="20"/>
      <w:szCs w:val="20"/>
      <w:u w:val="none"/>
    </w:rPr>
  </w:style>
  <w:style w:type="character" w:customStyle="1" w:styleId="784">
    <w:name w:val="Char Char20"/>
    <w:qFormat/>
    <w:uiPriority w:val="6"/>
    <w:rPr>
      <w:kern w:val="1"/>
      <w:sz w:val="24"/>
    </w:rPr>
  </w:style>
  <w:style w:type="character" w:customStyle="1" w:styleId="785">
    <w:name w:val="tw4winExternal"/>
    <w:qFormat/>
    <w:uiPriority w:val="0"/>
    <w:rPr>
      <w:rFonts w:ascii="Courier New" w:hAnsi="Courier New" w:cs="Courier New"/>
      <w:color w:val="808080"/>
      <w:lang w:val="en-US" w:eastAsia="zh-CN"/>
    </w:rPr>
  </w:style>
  <w:style w:type="character" w:customStyle="1" w:styleId="786">
    <w:name w:val="标题 4 Char1"/>
    <w:qFormat/>
    <w:uiPriority w:val="9"/>
    <w:rPr>
      <w:rFonts w:ascii="Cambria" w:hAnsi="Cambria" w:eastAsia="宋体" w:cs="Times New Roman"/>
      <w:b/>
      <w:bCs/>
      <w:kern w:val="2"/>
      <w:sz w:val="28"/>
      <w:szCs w:val="28"/>
    </w:rPr>
  </w:style>
  <w:style w:type="character" w:customStyle="1" w:styleId="787">
    <w:name w:val="批注文字 Char2"/>
    <w:qFormat/>
    <w:uiPriority w:val="99"/>
    <w:rPr>
      <w:rFonts w:ascii="Times New Roman" w:hAnsi="Times New Roman" w:eastAsia="宋体" w:cs="Times New Roman"/>
      <w:snapToGrid w:val="0"/>
      <w:kern w:val="0"/>
      <w:szCs w:val="24"/>
    </w:rPr>
  </w:style>
  <w:style w:type="character" w:customStyle="1" w:styleId="788">
    <w:name w:val="正文文本 2 Char"/>
    <w:qFormat/>
    <w:uiPriority w:val="0"/>
    <w:rPr>
      <w:rFonts w:eastAsia="宋体"/>
      <w:kern w:val="2"/>
      <w:sz w:val="21"/>
      <w:szCs w:val="24"/>
      <w:lang w:val="en-US" w:eastAsia="zh-CN" w:bidi="ar-SA"/>
    </w:rPr>
  </w:style>
  <w:style w:type="character" w:customStyle="1" w:styleId="789">
    <w:name w:val="Ò³Ã¼ Char Char"/>
    <w:qFormat/>
    <w:uiPriority w:val="0"/>
    <w:rPr>
      <w:rFonts w:eastAsia="宋体"/>
      <w:kern w:val="2"/>
      <w:sz w:val="18"/>
      <w:lang w:val="en-US" w:eastAsia="zh-CN" w:bidi="ar-SA"/>
    </w:rPr>
  </w:style>
  <w:style w:type="character" w:customStyle="1" w:styleId="790">
    <w:name w:val="message1"/>
    <w:qFormat/>
    <w:uiPriority w:val="0"/>
    <w:rPr>
      <w:rFonts w:hint="default" w:ascii="Tahoma" w:hAnsi="Tahoma" w:cs="Tahoma"/>
      <w:sz w:val="18"/>
      <w:szCs w:val="18"/>
    </w:rPr>
  </w:style>
  <w:style w:type="character" w:customStyle="1" w:styleId="791">
    <w:name w:val="Char Char23"/>
    <w:qFormat/>
    <w:uiPriority w:val="6"/>
    <w:rPr>
      <w:color w:val="0000FF"/>
      <w:sz w:val="21"/>
    </w:rPr>
  </w:style>
  <w:style w:type="character" w:customStyle="1" w:styleId="792">
    <w:name w:val="批注框文本 字符"/>
    <w:qFormat/>
    <w:uiPriority w:val="0"/>
    <w:rPr>
      <w:rFonts w:ascii="Arial" w:hAnsi="Arial" w:eastAsia="黑体" w:cs="Arial"/>
      <w:snapToGrid w:val="0"/>
      <w:kern w:val="0"/>
      <w:sz w:val="18"/>
      <w:szCs w:val="18"/>
    </w:rPr>
  </w:style>
  <w:style w:type="character" w:customStyle="1" w:styleId="793">
    <w:name w:val="纯文本 Char2"/>
    <w:semiHidden/>
    <w:qFormat/>
    <w:uiPriority w:val="99"/>
    <w:rPr>
      <w:rFonts w:ascii="宋体" w:hAnsi="Courier New" w:eastAsia="宋体" w:cs="Courier New"/>
    </w:rPr>
  </w:style>
  <w:style w:type="character" w:customStyle="1" w:styleId="794">
    <w:name w:val="Char Char25"/>
    <w:qFormat/>
    <w:uiPriority w:val="6"/>
    <w:rPr>
      <w:rFonts w:ascii="宋体" w:hAnsi="宋体"/>
      <w:kern w:val="1"/>
      <w:sz w:val="24"/>
      <w:lang w:val="zh-CN"/>
    </w:rPr>
  </w:style>
  <w:style w:type="character" w:customStyle="1" w:styleId="795">
    <w:name w:val="Char Char411"/>
    <w:qFormat/>
    <w:uiPriority w:val="0"/>
    <w:rPr>
      <w:rFonts w:eastAsia="宋体"/>
      <w:b/>
      <w:sz w:val="24"/>
      <w:lang w:eastAsia="zh-CN" w:bidi="ar-SA"/>
    </w:rPr>
  </w:style>
  <w:style w:type="character" w:customStyle="1" w:styleId="796">
    <w:name w:val="Heading 7 Char"/>
    <w:qFormat/>
    <w:locked/>
    <w:uiPriority w:val="0"/>
    <w:rPr>
      <w:rFonts w:ascii="宋体" w:hAnsi="宋体" w:eastAsia="宋体"/>
      <w:b/>
      <w:bCs/>
      <w:kern w:val="2"/>
      <w:sz w:val="24"/>
      <w:szCs w:val="24"/>
      <w:lang w:val="en-US" w:eastAsia="zh-CN" w:bidi="ar-SA"/>
    </w:rPr>
  </w:style>
  <w:style w:type="character" w:customStyle="1" w:styleId="797">
    <w:name w:val="此正文 Char"/>
    <w:link w:val="103"/>
    <w:qFormat/>
    <w:uiPriority w:val="0"/>
    <w:rPr>
      <w:kern w:val="2"/>
      <w:sz w:val="24"/>
      <w:szCs w:val="24"/>
    </w:rPr>
  </w:style>
  <w:style w:type="character" w:customStyle="1" w:styleId="798">
    <w:name w:val="Char Char2"/>
    <w:qFormat/>
    <w:uiPriority w:val="0"/>
    <w:rPr>
      <w:rFonts w:eastAsia="宋体"/>
      <w:b/>
      <w:bCs/>
      <w:kern w:val="2"/>
      <w:sz w:val="21"/>
      <w:szCs w:val="24"/>
      <w:lang w:val="en-US" w:eastAsia="zh-CN" w:bidi="ar-SA"/>
    </w:rPr>
  </w:style>
  <w:style w:type="character" w:customStyle="1" w:styleId="799">
    <w:name w:val="标题 1 Char"/>
    <w:link w:val="4"/>
    <w:qFormat/>
    <w:uiPriority w:val="9"/>
    <w:rPr>
      <w:b/>
      <w:bCs/>
      <w:kern w:val="44"/>
      <w:sz w:val="44"/>
      <w:szCs w:val="44"/>
    </w:rPr>
  </w:style>
  <w:style w:type="character" w:customStyle="1" w:styleId="800">
    <w:name w:val="Footer-Even Char1"/>
    <w:qFormat/>
    <w:uiPriority w:val="0"/>
    <w:rPr>
      <w:rFonts w:eastAsia="宋体"/>
      <w:kern w:val="2"/>
      <w:sz w:val="18"/>
      <w:szCs w:val="18"/>
      <w:lang w:val="en-US" w:eastAsia="zh-CN" w:bidi="ar-SA"/>
    </w:rPr>
  </w:style>
  <w:style w:type="character" w:customStyle="1" w:styleId="801">
    <w:name w:val="Char Char29"/>
    <w:qFormat/>
    <w:uiPriority w:val="6"/>
    <w:rPr>
      <w:rFonts w:ascii="Arial" w:hAnsi="Arial" w:eastAsia="微软雅黑"/>
      <w:b/>
      <w:kern w:val="1"/>
      <w:sz w:val="44"/>
      <w:szCs w:val="32"/>
      <w:lang w:val="en-US" w:eastAsia="zh-CN" w:bidi="ar-SA"/>
    </w:rPr>
  </w:style>
  <w:style w:type="character" w:customStyle="1" w:styleId="802">
    <w:name w:val="标题 Char2"/>
    <w:link w:val="59"/>
    <w:qFormat/>
    <w:uiPriority w:val="10"/>
    <w:rPr>
      <w:b/>
      <w:sz w:val="24"/>
    </w:rPr>
  </w:style>
  <w:style w:type="character" w:customStyle="1" w:styleId="803">
    <w:name w:val="font81"/>
    <w:qFormat/>
    <w:uiPriority w:val="0"/>
    <w:rPr>
      <w:rFonts w:ascii="微软雅黑" w:hAnsi="微软雅黑" w:eastAsia="微软雅黑" w:cs="微软雅黑"/>
      <w:color w:val="000000"/>
      <w:sz w:val="20"/>
      <w:szCs w:val="20"/>
      <w:u w:val="none"/>
    </w:rPr>
  </w:style>
  <w:style w:type="character" w:customStyle="1" w:styleId="804">
    <w:name w:val="Char Char312"/>
    <w:qFormat/>
    <w:uiPriority w:val="0"/>
    <w:rPr>
      <w:rFonts w:ascii="Times New Roman" w:hAnsi="Times New Roman" w:eastAsia="宋体" w:cs="Times New Roman"/>
      <w:b/>
      <w:kern w:val="2"/>
      <w:sz w:val="32"/>
      <w:szCs w:val="24"/>
      <w:lang w:val="en-US" w:eastAsia="zh-CN" w:bidi="ar-SA"/>
    </w:rPr>
  </w:style>
  <w:style w:type="character" w:customStyle="1" w:styleId="805">
    <w:name w:val="t21"/>
    <w:qFormat/>
    <w:uiPriority w:val="0"/>
    <w:rPr>
      <w:rFonts w:ascii="仿宋_GB2312" w:eastAsia="微软雅黑"/>
      <w:b/>
      <w:kern w:val="2"/>
      <w:sz w:val="23"/>
      <w:szCs w:val="23"/>
      <w:lang w:val="en-US" w:eastAsia="zh-CN" w:bidi="ar-SA"/>
    </w:rPr>
  </w:style>
  <w:style w:type="character" w:customStyle="1" w:styleId="806">
    <w:name w:val="样式8 Char"/>
    <w:qFormat/>
    <w:uiPriority w:val="0"/>
    <w:rPr>
      <w:rFonts w:ascii="仿宋_GB2312" w:hAnsi="宋体" w:eastAsia="仿宋_GB2312"/>
      <w:b/>
      <w:bCs/>
      <w:kern w:val="2"/>
      <w:sz w:val="24"/>
      <w:szCs w:val="24"/>
    </w:rPr>
  </w:style>
  <w:style w:type="character" w:customStyle="1" w:styleId="807">
    <w:name w:val="表格 Char Char"/>
    <w:qFormat/>
    <w:uiPriority w:val="0"/>
    <w:rPr>
      <w:rFonts w:ascii="宋体" w:hAnsi="宋体" w:eastAsia="宋体"/>
      <w:lang w:bidi="ar-SA"/>
    </w:rPr>
  </w:style>
  <w:style w:type="character" w:customStyle="1" w:styleId="808">
    <w:name w:val="正文文本 字符1"/>
    <w:qFormat/>
    <w:uiPriority w:val="0"/>
    <w:rPr>
      <w:rFonts w:ascii="Calibri" w:hAnsi="Calibri" w:eastAsia="黑体" w:cs="Arial"/>
      <w:snapToGrid w:val="0"/>
      <w:kern w:val="2"/>
      <w:sz w:val="28"/>
      <w:szCs w:val="21"/>
    </w:rPr>
  </w:style>
  <w:style w:type="character" w:customStyle="1" w:styleId="809">
    <w:name w:val="标题 5 Char"/>
    <w:link w:val="9"/>
    <w:qFormat/>
    <w:uiPriority w:val="9"/>
    <w:rPr>
      <w:b/>
      <w:bCs/>
      <w:kern w:val="2"/>
      <w:sz w:val="28"/>
      <w:szCs w:val="28"/>
    </w:rPr>
  </w:style>
  <w:style w:type="character" w:customStyle="1" w:styleId="810">
    <w:name w:val="标题 6 Char1"/>
    <w:qFormat/>
    <w:uiPriority w:val="0"/>
    <w:rPr>
      <w:rFonts w:ascii="Arial" w:hAnsi="Arial" w:eastAsia="黑体" w:cs="Times New Roman"/>
      <w:b/>
      <w:sz w:val="24"/>
      <w:szCs w:val="20"/>
      <w:lang w:bidi="ar-SA"/>
    </w:rPr>
  </w:style>
  <w:style w:type="character" w:customStyle="1" w:styleId="811">
    <w:name w:val="带编号样式 Char"/>
    <w:qFormat/>
    <w:uiPriority w:val="0"/>
    <w:rPr>
      <w:rFonts w:ascii="仿宋_GB2312" w:eastAsia="仿宋_GB2312"/>
      <w:color w:val="000000"/>
      <w:sz w:val="24"/>
      <w:lang w:bidi="ar-SA"/>
    </w:rPr>
  </w:style>
  <w:style w:type="character" w:customStyle="1" w:styleId="812">
    <w:name w:val="unnamed31"/>
    <w:qFormat/>
    <w:uiPriority w:val="0"/>
    <w:rPr>
      <w:rFonts w:ascii="Tahoma" w:hAnsi="Tahoma" w:eastAsia="宋体"/>
      <w:b/>
      <w:kern w:val="2"/>
      <w:sz w:val="24"/>
      <w:szCs w:val="32"/>
      <w:u w:val="none"/>
      <w:lang w:val="en-US" w:eastAsia="zh-CN" w:bidi="ar-SA"/>
    </w:rPr>
  </w:style>
  <w:style w:type="character" w:customStyle="1" w:styleId="813">
    <w:name w:val="正文首行缩进 Char Char Char Char Char Char1"/>
    <w:qFormat/>
    <w:uiPriority w:val="0"/>
    <w:rPr>
      <w:rFonts w:ascii="宋体" w:eastAsia="宋体"/>
      <w:kern w:val="2"/>
      <w:sz w:val="24"/>
      <w:szCs w:val="24"/>
      <w:lang w:val="zh-CN" w:bidi="ar-SA"/>
    </w:rPr>
  </w:style>
  <w:style w:type="character" w:customStyle="1" w:styleId="814">
    <w:name w:val="称呼 Char"/>
    <w:link w:val="22"/>
    <w:qFormat/>
    <w:uiPriority w:val="0"/>
    <w:rPr>
      <w:rFonts w:ascii="仿宋_GB2312" w:eastAsia="仿宋_GB2312"/>
      <w:kern w:val="2"/>
      <w:sz w:val="28"/>
    </w:rPr>
  </w:style>
  <w:style w:type="character" w:customStyle="1" w:styleId="815">
    <w:name w:val="文本正文 Char Char"/>
    <w:qFormat/>
    <w:locked/>
    <w:uiPriority w:val="0"/>
    <w:rPr>
      <w:sz w:val="24"/>
      <w:lang w:bidi="ar-SA"/>
    </w:rPr>
  </w:style>
  <w:style w:type="character" w:customStyle="1" w:styleId="816">
    <w:name w:val="正文缩进 字符"/>
    <w:qFormat/>
    <w:uiPriority w:val="0"/>
    <w:rPr>
      <w:rFonts w:ascii="宋体" w:eastAsia="宋体"/>
      <w:snapToGrid w:val="0"/>
      <w:color w:val="000000"/>
      <w:kern w:val="28"/>
      <w:sz w:val="28"/>
      <w:lang w:val="en-US" w:eastAsia="zh-CN" w:bidi="ar-SA"/>
    </w:rPr>
  </w:style>
  <w:style w:type="character" w:customStyle="1" w:styleId="817">
    <w:name w:val="HTML 预设格式 Char"/>
    <w:link w:val="57"/>
    <w:qFormat/>
    <w:uiPriority w:val="0"/>
    <w:rPr>
      <w:rFonts w:ascii="黑体" w:hAnsi="Courier New" w:eastAsia="黑体"/>
    </w:rPr>
  </w:style>
  <w:style w:type="character" w:customStyle="1" w:styleId="818">
    <w:name w:val="正文文本 2 Char1"/>
    <w:link w:val="56"/>
    <w:qFormat/>
    <w:uiPriority w:val="0"/>
    <w:rPr>
      <w:kern w:val="2"/>
      <w:sz w:val="21"/>
      <w:szCs w:val="24"/>
    </w:rPr>
  </w:style>
  <w:style w:type="character" w:customStyle="1" w:styleId="819">
    <w:name w:val="样式 样式 标题 4h4H4Fab-4T5Ref Heading 1rh1Heading sqlsect 1.2.3.... +... Char"/>
    <w:link w:val="104"/>
    <w:qFormat/>
    <w:uiPriority w:val="0"/>
    <w:rPr>
      <w:rFonts w:ascii="微软雅黑" w:hAnsi="微软雅黑" w:eastAsia="微软雅黑"/>
      <w:b/>
      <w:bCs/>
      <w:kern w:val="2"/>
      <w:sz w:val="24"/>
      <w:szCs w:val="28"/>
    </w:rPr>
  </w:style>
  <w:style w:type="character" w:customStyle="1" w:styleId="820">
    <w:name w:val="正文非缩进 Char"/>
    <w:qFormat/>
    <w:uiPriority w:val="0"/>
    <w:rPr>
      <w:rFonts w:ascii="宋体" w:eastAsia="宋体"/>
      <w:snapToGrid w:val="0"/>
      <w:color w:val="000000"/>
      <w:kern w:val="28"/>
      <w:sz w:val="28"/>
      <w:lang w:val="en-US" w:eastAsia="zh-CN" w:bidi="ar-SA"/>
    </w:rPr>
  </w:style>
  <w:style w:type="character" w:customStyle="1" w:styleId="821">
    <w:name w:val="标题 7 Char"/>
    <w:link w:val="11"/>
    <w:qFormat/>
    <w:uiPriority w:val="0"/>
    <w:rPr>
      <w:b/>
      <w:bCs/>
      <w:kern w:val="2"/>
      <w:sz w:val="24"/>
      <w:szCs w:val="24"/>
    </w:rPr>
  </w:style>
  <w:style w:type="character" w:customStyle="1" w:styleId="822">
    <w:name w:val="正文文本缩进 2 Char"/>
    <w:link w:val="37"/>
    <w:qFormat/>
    <w:uiPriority w:val="0"/>
    <w:rPr>
      <w:rFonts w:ascii="宋体"/>
      <w:sz w:val="28"/>
    </w:rPr>
  </w:style>
  <w:style w:type="character" w:customStyle="1" w:styleId="823">
    <w:name w:val="Char Char5"/>
    <w:qFormat/>
    <w:uiPriority w:val="0"/>
    <w:rPr>
      <w:rFonts w:ascii="宋体" w:hAnsi="Courier New" w:eastAsia="宋体"/>
      <w:kern w:val="2"/>
      <w:sz w:val="21"/>
      <w:lang w:val="en-US" w:eastAsia="zh-CN"/>
    </w:rPr>
  </w:style>
  <w:style w:type="character" w:customStyle="1" w:styleId="824">
    <w:name w:val="脚注文本 Char"/>
    <w:link w:val="50"/>
    <w:qFormat/>
    <w:uiPriority w:val="0"/>
    <w:rPr>
      <w:color w:val="0000FF"/>
      <w:sz w:val="21"/>
    </w:rPr>
  </w:style>
  <w:style w:type="character" w:customStyle="1" w:styleId="825">
    <w:name w:val="称呼 Char1"/>
    <w:qFormat/>
    <w:uiPriority w:val="0"/>
    <w:rPr>
      <w:rFonts w:ascii="Times New Roman" w:hAnsi="Times New Roman" w:eastAsia="宋体" w:cs="Times New Roman"/>
      <w:szCs w:val="24"/>
    </w:rPr>
  </w:style>
  <w:style w:type="character" w:customStyle="1" w:styleId="826">
    <w:name w:val="正文1 Char"/>
    <w:qFormat/>
    <w:uiPriority w:val="0"/>
    <w:rPr>
      <w:rFonts w:ascii="宋体" w:eastAsia="宋体"/>
      <w:snapToGrid w:val="0"/>
      <w:color w:val="000000"/>
      <w:kern w:val="28"/>
      <w:sz w:val="28"/>
      <w:lang w:val="en-US" w:eastAsia="zh-CN" w:bidi="ar-SA"/>
    </w:rPr>
  </w:style>
  <w:style w:type="character" w:customStyle="1" w:styleId="827">
    <w:name w:val="正文缩进 Char1"/>
    <w:qFormat/>
    <w:uiPriority w:val="0"/>
    <w:rPr>
      <w:rFonts w:ascii="宋体" w:eastAsia="宋体"/>
      <w:snapToGrid w:val="0"/>
      <w:color w:val="000000"/>
      <w:kern w:val="28"/>
      <w:sz w:val="28"/>
      <w:lang w:val="en-US" w:eastAsia="zh-CN" w:bidi="ar-SA"/>
    </w:rPr>
  </w:style>
  <w:style w:type="character" w:customStyle="1" w:styleId="828">
    <w:name w:val="font21"/>
    <w:qFormat/>
    <w:uiPriority w:val="0"/>
    <w:rPr>
      <w:rFonts w:hint="eastAsia" w:ascii="宋体" w:hAnsi="宋体" w:eastAsia="宋体"/>
      <w:kern w:val="2"/>
      <w:sz w:val="28"/>
      <w:szCs w:val="28"/>
      <w:lang w:val="en-US" w:eastAsia="zh-CN" w:bidi="ar-SA"/>
    </w:rPr>
  </w:style>
  <w:style w:type="character" w:customStyle="1" w:styleId="829">
    <w:name w:val="Char Char26"/>
    <w:qFormat/>
    <w:uiPriority w:val="6"/>
    <w:rPr>
      <w:kern w:val="1"/>
      <w:sz w:val="21"/>
      <w:szCs w:val="24"/>
    </w:rPr>
  </w:style>
  <w:style w:type="character" w:customStyle="1" w:styleId="830">
    <w:name w:val="Item List Char"/>
    <w:link w:val="106"/>
    <w:qFormat/>
    <w:uiPriority w:val="0"/>
    <w:rPr>
      <w:rFonts w:ascii="Arial"/>
      <w:bCs/>
      <w:sz w:val="21"/>
      <w:szCs w:val="21"/>
      <w:lang w:val="en-US" w:eastAsia="zh-CN" w:bidi="ar-SA"/>
    </w:rPr>
  </w:style>
  <w:style w:type="character" w:customStyle="1" w:styleId="831">
    <w:name w:val="批注框文本 Char1"/>
    <w:qFormat/>
    <w:uiPriority w:val="0"/>
    <w:rPr>
      <w:rFonts w:ascii="Times New Roman" w:hAnsi="Times New Roman" w:eastAsia="宋体" w:cs="Times New Roman"/>
      <w:sz w:val="18"/>
      <w:szCs w:val="18"/>
    </w:rPr>
  </w:style>
  <w:style w:type="character" w:customStyle="1" w:styleId="832">
    <w:name w:val="纯文本 Char1"/>
    <w:link w:val="107"/>
    <w:qFormat/>
    <w:uiPriority w:val="0"/>
    <w:rPr>
      <w:rFonts w:ascii="宋体" w:hAnsi="Courier New"/>
    </w:rPr>
  </w:style>
  <w:style w:type="character" w:customStyle="1" w:styleId="833">
    <w:name w:val="正文首行缩进 Char"/>
    <w:link w:val="3"/>
    <w:qFormat/>
    <w:uiPriority w:val="0"/>
    <w:rPr>
      <w:rFonts w:ascii="宋体"/>
      <w:kern w:val="2"/>
      <w:sz w:val="24"/>
      <w:lang w:val="zh-CN"/>
    </w:rPr>
  </w:style>
  <w:style w:type="character" w:customStyle="1" w:styleId="834">
    <w:name w:val="h3 Char"/>
    <w:qFormat/>
    <w:uiPriority w:val="0"/>
    <w:rPr>
      <w:rFonts w:eastAsia="宋体"/>
      <w:b/>
      <w:kern w:val="2"/>
      <w:sz w:val="32"/>
      <w:lang w:val="en-US" w:eastAsia="zh-CN" w:bidi="ar-SA"/>
    </w:rPr>
  </w:style>
  <w:style w:type="character" w:customStyle="1" w:styleId="835">
    <w:name w:val="dandyren_title1"/>
    <w:qFormat/>
    <w:uiPriority w:val="0"/>
    <w:rPr>
      <w:b/>
      <w:bCs/>
      <w:color w:val="FF6633"/>
      <w:sz w:val="18"/>
      <w:szCs w:val="18"/>
    </w:rPr>
  </w:style>
  <w:style w:type="character" w:customStyle="1" w:styleId="836">
    <w:name w:val="Char Char31"/>
    <w:qFormat/>
    <w:uiPriority w:val="6"/>
    <w:rPr>
      <w:rFonts w:ascii="Arial" w:hAnsi="Arial" w:eastAsia="黑体"/>
      <w:kern w:val="1"/>
      <w:sz w:val="24"/>
      <w:szCs w:val="24"/>
    </w:rPr>
  </w:style>
  <w:style w:type="character" w:customStyle="1" w:styleId="837">
    <w:name w:val="h Char1"/>
    <w:qFormat/>
    <w:uiPriority w:val="0"/>
    <w:rPr>
      <w:sz w:val="18"/>
      <w:szCs w:val="18"/>
    </w:rPr>
  </w:style>
  <w:style w:type="character" w:customStyle="1" w:styleId="838">
    <w:name w:val="solutionfonts"/>
    <w:qFormat/>
    <w:uiPriority w:val="0"/>
  </w:style>
  <w:style w:type="character" w:customStyle="1" w:styleId="839">
    <w:name w:val="标题 4 Char2"/>
    <w:link w:val="8"/>
    <w:qFormat/>
    <w:uiPriority w:val="9"/>
    <w:rPr>
      <w:rFonts w:ascii="Arial" w:hAnsi="Arial" w:eastAsia="黑体"/>
      <w:b/>
      <w:bCs/>
      <w:kern w:val="2"/>
      <w:sz w:val="28"/>
      <w:szCs w:val="28"/>
      <w:lang w:val="zh-CN"/>
    </w:rPr>
  </w:style>
  <w:style w:type="character" w:customStyle="1" w:styleId="840">
    <w:name w:val="首行缩进 Char"/>
    <w:qFormat/>
    <w:uiPriority w:val="0"/>
    <w:rPr>
      <w:rFonts w:ascii="宋体" w:eastAsia="宋体"/>
      <w:kern w:val="2"/>
      <w:sz w:val="24"/>
      <w:lang w:val="en-US" w:eastAsia="zh-CN" w:bidi="ar-SA"/>
    </w:rPr>
  </w:style>
  <w:style w:type="character" w:customStyle="1" w:styleId="841">
    <w:name w:val="Char Char52"/>
    <w:qFormat/>
    <w:uiPriority w:val="0"/>
    <w:rPr>
      <w:rFonts w:ascii="宋体" w:hAnsi="Courier New" w:eastAsia="宋体"/>
      <w:kern w:val="2"/>
      <w:sz w:val="21"/>
      <w:lang w:val="en-US" w:eastAsia="zh-CN"/>
    </w:rPr>
  </w:style>
  <w:style w:type="character" w:customStyle="1" w:styleId="842">
    <w:name w:val="正文文本 3 Char"/>
    <w:link w:val="23"/>
    <w:qFormat/>
    <w:uiPriority w:val="0"/>
    <w:rPr>
      <w:kern w:val="2"/>
      <w:sz w:val="21"/>
    </w:rPr>
  </w:style>
  <w:style w:type="character" w:customStyle="1" w:styleId="843">
    <w:name w:val="font31"/>
    <w:qFormat/>
    <w:uiPriority w:val="0"/>
    <w:rPr>
      <w:rFonts w:hint="eastAsia" w:ascii="仿宋" w:hAnsi="仿宋" w:eastAsia="仿宋" w:cs="仿宋"/>
      <w:color w:val="000000"/>
      <w:sz w:val="20"/>
      <w:szCs w:val="20"/>
      <w:u w:val="none"/>
    </w:rPr>
  </w:style>
  <w:style w:type="character" w:customStyle="1" w:styleId="844">
    <w:name w:val="正文说明 Char"/>
    <w:link w:val="108"/>
    <w:qFormat/>
    <w:uiPriority w:val="0"/>
    <w:rPr>
      <w:sz w:val="24"/>
      <w:szCs w:val="24"/>
    </w:rPr>
  </w:style>
  <w:style w:type="character" w:customStyle="1" w:styleId="845">
    <w:name w:val="脚注文本 Char1"/>
    <w:qFormat/>
    <w:uiPriority w:val="0"/>
    <w:rPr>
      <w:rFonts w:ascii="Times New Roman" w:hAnsi="Times New Roman" w:eastAsia="宋体" w:cs="Times New Roman"/>
      <w:sz w:val="18"/>
      <w:szCs w:val="18"/>
    </w:rPr>
  </w:style>
  <w:style w:type="character" w:customStyle="1" w:styleId="846">
    <w:name w:val="Char Char1211"/>
    <w:qFormat/>
    <w:uiPriority w:val="0"/>
    <w:rPr>
      <w:rFonts w:ascii="仿宋_GB2312" w:eastAsia="仿宋_GB2312"/>
      <w:b/>
      <w:bCs/>
      <w:kern w:val="2"/>
      <w:sz w:val="24"/>
      <w:szCs w:val="24"/>
      <w:lang w:val="zh-CN" w:eastAsia="zh-CN" w:bidi="ar-SA"/>
    </w:rPr>
  </w:style>
  <w:style w:type="character" w:customStyle="1" w:styleId="847">
    <w:name w:val="标题 Char"/>
    <w:qFormat/>
    <w:uiPriority w:val="0"/>
    <w:rPr>
      <w:rFonts w:eastAsia="宋体"/>
      <w:b/>
      <w:sz w:val="24"/>
      <w:lang w:eastAsia="zh-CN" w:bidi="ar-SA"/>
    </w:rPr>
  </w:style>
  <w:style w:type="character" w:customStyle="1" w:styleId="848">
    <w:name w:val="Char Char35"/>
    <w:qFormat/>
    <w:uiPriority w:val="6"/>
    <w:rPr>
      <w:rFonts w:ascii="Arial" w:hAnsi="Arial" w:eastAsia="黑体"/>
      <w:b/>
      <w:kern w:val="1"/>
      <w:sz w:val="28"/>
      <w:szCs w:val="28"/>
      <w:lang w:val="zh-CN"/>
    </w:rPr>
  </w:style>
  <w:style w:type="character" w:customStyle="1" w:styleId="849">
    <w:name w:val="纯文本 Char Char Char"/>
    <w:qFormat/>
    <w:uiPriority w:val="0"/>
    <w:rPr>
      <w:rFonts w:ascii="宋体" w:hAnsi="Courier New" w:eastAsia="宋体"/>
      <w:kern w:val="2"/>
      <w:sz w:val="21"/>
      <w:lang w:val="en-US" w:eastAsia="zh-CN" w:bidi="ar-SA"/>
    </w:rPr>
  </w:style>
  <w:style w:type="character" w:customStyle="1" w:styleId="850">
    <w:name w:val="Table Text Char"/>
    <w:link w:val="109"/>
    <w:qFormat/>
    <w:uiPriority w:val="0"/>
    <w:rPr>
      <w:sz w:val="24"/>
      <w:szCs w:val="24"/>
    </w:rPr>
  </w:style>
  <w:style w:type="character" w:customStyle="1" w:styleId="851">
    <w:name w:val="正文1 Char1"/>
    <w:qFormat/>
    <w:uiPriority w:val="0"/>
    <w:rPr>
      <w:rFonts w:ascii="仿宋_GB2312" w:hAnsi="Courier New" w:eastAsia="仿宋_GB2312"/>
      <w:kern w:val="28"/>
      <w:sz w:val="24"/>
      <w:szCs w:val="24"/>
      <w:lang w:val="en-US" w:eastAsia="zh-CN"/>
    </w:rPr>
  </w:style>
  <w:style w:type="character" w:customStyle="1" w:styleId="852">
    <w:name w:val="页脚 Char1"/>
    <w:qFormat/>
    <w:uiPriority w:val="0"/>
    <w:rPr>
      <w:rFonts w:eastAsia="宋体"/>
      <w:kern w:val="2"/>
      <w:sz w:val="18"/>
      <w:szCs w:val="18"/>
      <w:lang w:val="en-US" w:eastAsia="zh-CN" w:bidi="ar-SA"/>
    </w:rPr>
  </w:style>
  <w:style w:type="character" w:customStyle="1" w:styleId="853">
    <w:name w:val="Bold"/>
    <w:qFormat/>
    <w:uiPriority w:val="0"/>
    <w:rPr>
      <w:rFonts w:ascii="Arial" w:hAnsi="Arial" w:eastAsia="黑体" w:cs="Times New Roman"/>
      <w:b/>
      <w:kern w:val="2"/>
      <w:sz w:val="32"/>
      <w:szCs w:val="32"/>
      <w:lang w:val="en-US" w:eastAsia="zh-CN" w:bidi="ar-SA"/>
    </w:rPr>
  </w:style>
  <w:style w:type="character" w:customStyle="1" w:styleId="854">
    <w:name w:val="批注文字 Char1"/>
    <w:link w:val="21"/>
    <w:qFormat/>
    <w:uiPriority w:val="0"/>
    <w:rPr>
      <w:kern w:val="2"/>
      <w:sz w:val="21"/>
      <w:szCs w:val="24"/>
    </w:rPr>
  </w:style>
  <w:style w:type="character" w:customStyle="1" w:styleId="855">
    <w:name w:val="签名 Char"/>
    <w:link w:val="42"/>
    <w:qFormat/>
    <w:uiPriority w:val="0"/>
    <w:rPr>
      <w:rFonts w:eastAsia="仿宋_GB2312"/>
      <w:sz w:val="24"/>
    </w:rPr>
  </w:style>
  <w:style w:type="character" w:customStyle="1" w:styleId="856">
    <w:name w:val="hui3"/>
    <w:qFormat/>
    <w:uiPriority w:val="0"/>
    <w:rPr>
      <w:color w:val="333333"/>
    </w:rPr>
  </w:style>
  <w:style w:type="character" w:customStyle="1" w:styleId="857">
    <w:name w:val="Char Char17"/>
    <w:qFormat/>
    <w:uiPriority w:val="6"/>
    <w:rPr>
      <w:rFonts w:eastAsia="仿宋_GB2312"/>
      <w:sz w:val="24"/>
    </w:rPr>
  </w:style>
  <w:style w:type="character" w:customStyle="1" w:styleId="858">
    <w:name w:val="标题 4 字符"/>
    <w:qFormat/>
    <w:uiPriority w:val="9"/>
    <w:rPr>
      <w:rFonts w:ascii="等线 Light" w:hAnsi="等线 Light" w:eastAsia="等线 Light" w:cs="Times New Roman"/>
      <w:b/>
      <w:bCs/>
      <w:snapToGrid w:val="0"/>
      <w:kern w:val="0"/>
      <w:sz w:val="28"/>
      <w:szCs w:val="28"/>
    </w:rPr>
  </w:style>
  <w:style w:type="character" w:customStyle="1" w:styleId="859">
    <w:name w:val="Char Char37"/>
    <w:qFormat/>
    <w:uiPriority w:val="6"/>
    <w:rPr>
      <w:b/>
      <w:kern w:val="1"/>
      <w:sz w:val="44"/>
      <w:szCs w:val="44"/>
    </w:rPr>
  </w:style>
  <w:style w:type="character" w:customStyle="1" w:styleId="860">
    <w:name w:val="列出段落 Char"/>
    <w:qFormat/>
    <w:uiPriority w:val="0"/>
    <w:rPr>
      <w:rFonts w:eastAsia="楷体_GB2312" w:cs="Lucida Sans"/>
      <w:kern w:val="2"/>
      <w:sz w:val="24"/>
      <w:szCs w:val="24"/>
      <w:lang w:val="en-US" w:eastAsia="zh-CN" w:bidi="ar-SA"/>
    </w:rPr>
  </w:style>
  <w:style w:type="character" w:customStyle="1" w:styleId="861">
    <w:name w:val="正文文本缩进 3 Char1"/>
    <w:semiHidden/>
    <w:qFormat/>
    <w:uiPriority w:val="99"/>
    <w:rPr>
      <w:rFonts w:ascii="Times New Roman" w:hAnsi="Times New Roman" w:eastAsia="宋体" w:cs="Times New Roman"/>
      <w:sz w:val="16"/>
      <w:szCs w:val="16"/>
    </w:rPr>
  </w:style>
  <w:style w:type="character" w:customStyle="1" w:styleId="862">
    <w:name w:val="公文正文 Char Char"/>
    <w:link w:val="110"/>
    <w:qFormat/>
    <w:uiPriority w:val="0"/>
    <w:rPr>
      <w:rFonts w:ascii="仿宋_GB2312" w:eastAsia="仿宋_GB2312"/>
      <w:kern w:val="2"/>
      <w:sz w:val="24"/>
      <w:szCs w:val="24"/>
    </w:rPr>
  </w:style>
  <w:style w:type="character" w:customStyle="1" w:styleId="863">
    <w:name w:val="Table Text Char1"/>
    <w:qFormat/>
    <w:uiPriority w:val="0"/>
    <w:rPr>
      <w:rFonts w:eastAsia="宋体"/>
      <w:sz w:val="24"/>
      <w:szCs w:val="24"/>
      <w:lang w:val="en-US" w:eastAsia="zh-CN" w:bidi="ar-SA"/>
    </w:rPr>
  </w:style>
  <w:style w:type="character" w:customStyle="1" w:styleId="864">
    <w:name w:val="标题 1 Char Char"/>
    <w:qFormat/>
    <w:uiPriority w:val="0"/>
    <w:rPr>
      <w:rFonts w:hint="eastAsia" w:ascii="宋体" w:hAnsi="宋体" w:eastAsia="宋体"/>
      <w:b/>
      <w:spacing w:val="-2"/>
      <w:sz w:val="24"/>
      <w:lang w:val="en-US" w:eastAsia="zh-CN" w:bidi="ar-SA"/>
    </w:rPr>
  </w:style>
  <w:style w:type="character" w:customStyle="1" w:styleId="865">
    <w:name w:val="正文（缩进2汉字） Char"/>
    <w:link w:val="111"/>
    <w:qFormat/>
    <w:uiPriority w:val="0"/>
    <w:rPr>
      <w:rFonts w:ascii="宋体"/>
    </w:rPr>
  </w:style>
  <w:style w:type="character" w:customStyle="1" w:styleId="866">
    <w:name w:val="标题 8 Char"/>
    <w:link w:val="12"/>
    <w:qFormat/>
    <w:uiPriority w:val="0"/>
    <w:rPr>
      <w:rFonts w:ascii="Arial" w:hAnsi="Arial" w:eastAsia="黑体"/>
      <w:kern w:val="2"/>
      <w:sz w:val="24"/>
      <w:szCs w:val="24"/>
    </w:rPr>
  </w:style>
  <w:style w:type="character" w:customStyle="1" w:styleId="867">
    <w:name w:val="标书表格字体格式 Char"/>
    <w:qFormat/>
    <w:uiPriority w:val="0"/>
    <w:rPr>
      <w:kern w:val="2"/>
      <w:sz w:val="21"/>
      <w:szCs w:val="24"/>
      <w:lang w:bidi="ar-SA"/>
    </w:rPr>
  </w:style>
  <w:style w:type="character" w:customStyle="1" w:styleId="868">
    <w:name w:val="tw4winError"/>
    <w:qFormat/>
    <w:uiPriority w:val="0"/>
    <w:rPr>
      <w:rFonts w:ascii="Courier New" w:hAnsi="Courier New" w:cs="Courier New"/>
      <w:color w:val="00FF00"/>
      <w:sz w:val="40"/>
      <w:szCs w:val="40"/>
    </w:rPr>
  </w:style>
  <w:style w:type="character" w:customStyle="1" w:styleId="869">
    <w:name w:val="Body Text(ch) Char Char"/>
    <w:qFormat/>
    <w:uiPriority w:val="0"/>
    <w:rPr>
      <w:rFonts w:ascii="宋体"/>
      <w:kern w:val="2"/>
      <w:sz w:val="24"/>
      <w:szCs w:val="21"/>
      <w:lang w:val="zh-CN"/>
    </w:rPr>
  </w:style>
  <w:style w:type="character" w:customStyle="1" w:styleId="870">
    <w:name w:val="正文首行缩进两字 Char"/>
    <w:qFormat/>
    <w:uiPriority w:val="0"/>
    <w:rPr>
      <w:sz w:val="24"/>
      <w:szCs w:val="24"/>
      <w:lang w:val="en-US" w:eastAsia="zh-CN" w:bidi="ar-SA"/>
    </w:rPr>
  </w:style>
  <w:style w:type="character" w:customStyle="1" w:styleId="871">
    <w:name w:val="正文文本 Char"/>
    <w:qFormat/>
    <w:uiPriority w:val="0"/>
    <w:rPr>
      <w:rFonts w:eastAsia="宋体"/>
      <w:kern w:val="2"/>
      <w:sz w:val="24"/>
      <w:szCs w:val="24"/>
      <w:lang w:val="en-US" w:eastAsia="zh-CN" w:bidi="ar-SA"/>
    </w:rPr>
  </w:style>
  <w:style w:type="character" w:customStyle="1" w:styleId="872">
    <w:name w:val="文档结构图 字符1"/>
    <w:qFormat/>
    <w:uiPriority w:val="0"/>
    <w:rPr>
      <w:rFonts w:ascii="宋体" w:hAnsi="Calibri" w:eastAsia="黑体" w:cs="Arial"/>
      <w:snapToGrid w:val="0"/>
      <w:kern w:val="2"/>
      <w:sz w:val="18"/>
      <w:szCs w:val="18"/>
    </w:rPr>
  </w:style>
  <w:style w:type="character" w:customStyle="1" w:styleId="873">
    <w:name w:val="content"/>
    <w:qFormat/>
    <w:uiPriority w:val="0"/>
  </w:style>
  <w:style w:type="character" w:customStyle="1" w:styleId="874">
    <w:name w:val="tw4winPopup"/>
    <w:qFormat/>
    <w:uiPriority w:val="0"/>
    <w:rPr>
      <w:rFonts w:ascii="Courier New" w:hAnsi="Courier New" w:cs="Courier New"/>
      <w:color w:val="008000"/>
      <w:lang w:val="en-US" w:eastAsia="zh-CN"/>
    </w:rPr>
  </w:style>
  <w:style w:type="character" w:customStyle="1" w:styleId="875">
    <w:name w:val="param-name"/>
    <w:qFormat/>
    <w:uiPriority w:val="99"/>
    <w:rPr>
      <w:rFonts w:ascii="Arial" w:hAnsi="Arial" w:eastAsia="黑体" w:cs="Arial"/>
      <w:snapToGrid w:val="0"/>
      <w:kern w:val="0"/>
      <w:szCs w:val="21"/>
    </w:rPr>
  </w:style>
  <w:style w:type="character" w:customStyle="1" w:styleId="876">
    <w:name w:val="标准正文格式 Char"/>
    <w:qFormat/>
    <w:uiPriority w:val="0"/>
    <w:rPr>
      <w:rFonts w:ascii="宋体" w:eastAsia="仿宋_GB2312" w:cs="宋体"/>
      <w:color w:val="000000"/>
      <w:sz w:val="24"/>
      <w:lang w:val="en-US" w:eastAsia="zh-CN" w:bidi="ar-SA"/>
    </w:rPr>
  </w:style>
  <w:style w:type="character" w:customStyle="1" w:styleId="877">
    <w:name w:val="Char Char212"/>
    <w:qFormat/>
    <w:uiPriority w:val="0"/>
    <w:rPr>
      <w:rFonts w:eastAsia="宋体"/>
      <w:b/>
      <w:bCs/>
      <w:kern w:val="2"/>
      <w:sz w:val="21"/>
      <w:szCs w:val="24"/>
      <w:lang w:val="en-US" w:eastAsia="zh-CN" w:bidi="ar-SA"/>
    </w:rPr>
  </w:style>
  <w:style w:type="character" w:customStyle="1" w:styleId="878">
    <w:name w:val="文档结构图 Char"/>
    <w:qFormat/>
    <w:uiPriority w:val="0"/>
    <w:rPr>
      <w:rFonts w:eastAsia="宋体"/>
      <w:kern w:val="2"/>
      <w:sz w:val="21"/>
      <w:szCs w:val="24"/>
      <w:lang w:val="en-US" w:eastAsia="zh-CN" w:bidi="ar-SA"/>
    </w:rPr>
  </w:style>
  <w:style w:type="character" w:customStyle="1" w:styleId="879">
    <w:name w:val="zbggmain style9"/>
    <w:qFormat/>
    <w:uiPriority w:val="0"/>
  </w:style>
  <w:style w:type="character" w:customStyle="1" w:styleId="880">
    <w:name w:val="Char Char16"/>
    <w:qFormat/>
    <w:uiPriority w:val="6"/>
    <w:rPr>
      <w:kern w:val="1"/>
      <w:sz w:val="18"/>
      <w:szCs w:val="18"/>
    </w:rPr>
  </w:style>
  <w:style w:type="character" w:customStyle="1" w:styleId="881">
    <w:name w:val="font51"/>
    <w:qFormat/>
    <w:uiPriority w:val="0"/>
    <w:rPr>
      <w:rFonts w:hint="eastAsia" w:ascii="仿宋" w:hAnsi="仿宋" w:eastAsia="仿宋" w:cs="仿宋"/>
      <w:color w:val="000000"/>
      <w:sz w:val="20"/>
      <w:szCs w:val="20"/>
      <w:u w:val="none"/>
    </w:rPr>
  </w:style>
  <w:style w:type="character" w:customStyle="1" w:styleId="882">
    <w:name w:val="Char Char82"/>
    <w:qFormat/>
    <w:uiPriority w:val="0"/>
    <w:rPr>
      <w:rFonts w:eastAsia="宋体"/>
      <w:b/>
      <w:sz w:val="24"/>
      <w:lang w:eastAsia="zh-CN"/>
    </w:rPr>
  </w:style>
  <w:style w:type="character" w:customStyle="1" w:styleId="883">
    <w:name w:val="正文文本缩进 3 Char"/>
    <w:link w:val="53"/>
    <w:qFormat/>
    <w:uiPriority w:val="0"/>
    <w:rPr>
      <w:kern w:val="2"/>
      <w:sz w:val="24"/>
    </w:rPr>
  </w:style>
  <w:style w:type="character" w:customStyle="1" w:styleId="884">
    <w:name w:val="日期 Char1"/>
    <w:semiHidden/>
    <w:qFormat/>
    <w:uiPriority w:val="99"/>
    <w:rPr>
      <w:rFonts w:ascii="Times New Roman" w:hAnsi="Times New Roman" w:eastAsia="宋体" w:cs="Times New Roman"/>
      <w:szCs w:val="24"/>
    </w:rPr>
  </w:style>
  <w:style w:type="character" w:customStyle="1" w:styleId="885">
    <w:name w:val="页眉 字符"/>
    <w:qFormat/>
    <w:uiPriority w:val="99"/>
    <w:rPr>
      <w:kern w:val="2"/>
      <w:sz w:val="18"/>
      <w:szCs w:val="18"/>
    </w:rPr>
  </w:style>
  <w:style w:type="character" w:customStyle="1" w:styleId="886">
    <w:name w:val="Char Char33"/>
    <w:qFormat/>
    <w:uiPriority w:val="6"/>
    <w:rPr>
      <w:rFonts w:ascii="Arial" w:hAnsi="Arial" w:eastAsia="黑体"/>
      <w:b/>
      <w:kern w:val="1"/>
      <w:sz w:val="24"/>
      <w:szCs w:val="24"/>
    </w:rPr>
  </w:style>
  <w:style w:type="character" w:customStyle="1" w:styleId="887">
    <w:name w:val="b11_01b Char"/>
    <w:link w:val="112"/>
    <w:qFormat/>
    <w:uiPriority w:val="0"/>
    <w:rPr>
      <w:rFonts w:ascii="Verdana" w:hAnsi="Verdana"/>
      <w:b/>
      <w:bCs/>
      <w:color w:val="4A82CA"/>
      <w:sz w:val="17"/>
      <w:szCs w:val="17"/>
    </w:rPr>
  </w:style>
  <w:style w:type="character" w:customStyle="1" w:styleId="888">
    <w:name w:val="Char Char121"/>
    <w:qFormat/>
    <w:uiPriority w:val="6"/>
    <w:rPr>
      <w:rFonts w:ascii="仿宋_GB2312" w:eastAsia="仿宋_GB2312"/>
      <w:b/>
      <w:bCs/>
      <w:kern w:val="2"/>
      <w:sz w:val="24"/>
      <w:szCs w:val="24"/>
      <w:lang w:val="zh-CN" w:eastAsia="zh-CN" w:bidi="ar-SA"/>
    </w:rPr>
  </w:style>
  <w:style w:type="character" w:customStyle="1" w:styleId="889">
    <w:name w:val="Footer-Even Char"/>
    <w:qFormat/>
    <w:uiPriority w:val="0"/>
    <w:rPr>
      <w:rFonts w:eastAsia="宋体"/>
      <w:kern w:val="2"/>
      <w:sz w:val="18"/>
      <w:lang w:val="en-US" w:eastAsia="zh-CN" w:bidi="ar-SA"/>
    </w:rPr>
  </w:style>
  <w:style w:type="character" w:customStyle="1" w:styleId="890">
    <w:name w:val="页脚 Char2"/>
    <w:link w:val="40"/>
    <w:qFormat/>
    <w:locked/>
    <w:uiPriority w:val="99"/>
    <w:rPr>
      <w:kern w:val="2"/>
      <w:sz w:val="18"/>
      <w:szCs w:val="18"/>
    </w:rPr>
  </w:style>
  <w:style w:type="character" w:customStyle="1" w:styleId="891">
    <w:name w:val="Char Char36"/>
    <w:qFormat/>
    <w:uiPriority w:val="6"/>
    <w:rPr>
      <w:rFonts w:ascii="仿宋_GB2312" w:hAnsi="仿宋_GB2312" w:eastAsia="仿宋_GB2312" w:cs="Arial"/>
      <w:b/>
      <w:kern w:val="1"/>
      <w:sz w:val="32"/>
      <w:szCs w:val="32"/>
      <w:lang w:val="zh-CN" w:eastAsia="zh-CN" w:bidi="ar-SA"/>
    </w:rPr>
  </w:style>
  <w:style w:type="character" w:customStyle="1" w:styleId="892">
    <w:name w:val="Char Char61"/>
    <w:qFormat/>
    <w:uiPriority w:val="6"/>
    <w:rPr>
      <w:rFonts w:eastAsia="宋体"/>
      <w:kern w:val="2"/>
      <w:sz w:val="21"/>
      <w:szCs w:val="24"/>
      <w:lang w:val="en-US" w:eastAsia="zh-CN" w:bidi="ar-SA"/>
    </w:rPr>
  </w:style>
  <w:style w:type="character" w:customStyle="1" w:styleId="893">
    <w:name w:val="正文文字缩进 2 Char Char"/>
    <w:qFormat/>
    <w:uiPriority w:val="0"/>
    <w:rPr>
      <w:rFonts w:ascii="宋体"/>
      <w:sz w:val="28"/>
    </w:rPr>
  </w:style>
  <w:style w:type="character" w:customStyle="1" w:styleId="894">
    <w:name w:val="f141"/>
    <w:qFormat/>
    <w:uiPriority w:val="0"/>
    <w:rPr>
      <w:rFonts w:ascii="Tahoma" w:hAnsi="Tahoma" w:eastAsia="宋体"/>
      <w:b/>
      <w:kern w:val="2"/>
      <w:sz w:val="21"/>
      <w:szCs w:val="21"/>
      <w:lang w:val="en-US" w:eastAsia="zh-CN" w:bidi="ar-SA"/>
    </w:rPr>
  </w:style>
  <w:style w:type="character" w:customStyle="1" w:styleId="895">
    <w:name w:val="段落 Char Char"/>
    <w:link w:val="113"/>
    <w:qFormat/>
    <w:uiPriority w:val="0"/>
    <w:rPr>
      <w:rFonts w:ascii="宋体" w:hAnsi="宋体"/>
      <w:sz w:val="24"/>
    </w:rPr>
  </w:style>
  <w:style w:type="character" w:customStyle="1" w:styleId="896">
    <w:name w:val="标题 3 Char2"/>
    <w:qFormat/>
    <w:uiPriority w:val="0"/>
    <w:rPr>
      <w:rFonts w:eastAsia="宋体"/>
      <w:b/>
      <w:bCs/>
      <w:kern w:val="2"/>
      <w:sz w:val="32"/>
      <w:szCs w:val="32"/>
      <w:lang w:val="en-US" w:eastAsia="zh-CN" w:bidi="ar-SA"/>
    </w:rPr>
  </w:style>
  <w:style w:type="character" w:customStyle="1" w:styleId="897">
    <w:name w:val="apple-converted-space"/>
    <w:qFormat/>
    <w:uiPriority w:val="0"/>
  </w:style>
  <w:style w:type="character" w:customStyle="1" w:styleId="898">
    <w:name w:val="页眉 Char2"/>
    <w:link w:val="41"/>
    <w:qFormat/>
    <w:uiPriority w:val="99"/>
    <w:rPr>
      <w:kern w:val="2"/>
      <w:sz w:val="18"/>
      <w:szCs w:val="18"/>
    </w:rPr>
  </w:style>
  <w:style w:type="character" w:customStyle="1" w:styleId="899">
    <w:name w:val="Char Char9"/>
    <w:qFormat/>
    <w:uiPriority w:val="0"/>
    <w:rPr>
      <w:rFonts w:eastAsia="宋体"/>
      <w:kern w:val="2"/>
      <w:sz w:val="18"/>
      <w:szCs w:val="18"/>
      <w:lang w:val="en-US" w:eastAsia="zh-CN" w:bidi="ar-SA"/>
    </w:rPr>
  </w:style>
  <w:style w:type="character" w:customStyle="1" w:styleId="900">
    <w:name w:val="Char Char41"/>
    <w:qFormat/>
    <w:uiPriority w:val="0"/>
    <w:rPr>
      <w:rFonts w:eastAsia="宋体"/>
      <w:b/>
      <w:sz w:val="24"/>
      <w:lang w:eastAsia="zh-CN" w:bidi="ar-SA"/>
    </w:rPr>
  </w:style>
  <w:style w:type="character" w:customStyle="1" w:styleId="901">
    <w:name w:val="large1"/>
    <w:qFormat/>
    <w:uiPriority w:val="0"/>
    <w:rPr>
      <w:rFonts w:hint="eastAsia" w:ascii="宋体" w:hAnsi="宋体" w:eastAsia="宋体"/>
      <w:sz w:val="21"/>
      <w:szCs w:val="21"/>
    </w:rPr>
  </w:style>
  <w:style w:type="character" w:customStyle="1" w:styleId="902">
    <w:name w:val="正文段 Char"/>
    <w:link w:val="114"/>
    <w:qFormat/>
    <w:uiPriority w:val="0"/>
    <w:rPr>
      <w:sz w:val="24"/>
    </w:rPr>
  </w:style>
  <w:style w:type="character" w:customStyle="1" w:styleId="903">
    <w:name w:val="Char Char13"/>
    <w:qFormat/>
    <w:uiPriority w:val="6"/>
    <w:rPr>
      <w:rFonts w:ascii="宋体" w:hAnsi="宋体"/>
      <w:kern w:val="1"/>
      <w:sz w:val="21"/>
      <w:szCs w:val="24"/>
    </w:rPr>
  </w:style>
  <w:style w:type="character" w:customStyle="1" w:styleId="904">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5">
    <w:name w:val="冯广丽 Char"/>
    <w:link w:val="115"/>
    <w:qFormat/>
    <w:uiPriority w:val="0"/>
    <w:rPr>
      <w:rFonts w:ascii="宋体" w:hAnsi="宋体"/>
      <w:kern w:val="2"/>
      <w:sz w:val="24"/>
      <w:szCs w:val="22"/>
    </w:rPr>
  </w:style>
  <w:style w:type="character" w:customStyle="1" w:styleId="906">
    <w:name w:val="批注文字 字符"/>
    <w:qFormat/>
    <w:uiPriority w:val="0"/>
    <w:rPr>
      <w:rFonts w:ascii="Arial" w:hAnsi="Arial" w:eastAsia="黑体" w:cs="Arial"/>
      <w:snapToGrid w:val="0"/>
      <w:kern w:val="0"/>
      <w:szCs w:val="21"/>
    </w:rPr>
  </w:style>
  <w:style w:type="character" w:customStyle="1" w:styleId="907">
    <w:name w:val="Char Char161"/>
    <w:qFormat/>
    <w:uiPriority w:val="0"/>
    <w:rPr>
      <w:rFonts w:eastAsia="宋体"/>
      <w:b/>
      <w:kern w:val="2"/>
      <w:sz w:val="32"/>
      <w:lang w:val="en-US" w:eastAsia="zh-CN"/>
    </w:rPr>
  </w:style>
  <w:style w:type="character" w:customStyle="1" w:styleId="908">
    <w:name w:val="javascript"/>
    <w:qFormat/>
    <w:uiPriority w:val="0"/>
  </w:style>
  <w:style w:type="character" w:customStyle="1" w:styleId="909">
    <w:name w:val="图名 Char"/>
    <w:qFormat/>
    <w:uiPriority w:val="0"/>
    <w:rPr>
      <w:rFonts w:ascii="Arial" w:hAnsi="Arial" w:eastAsia="黑体"/>
      <w:kern w:val="2"/>
      <w:sz w:val="24"/>
      <w:szCs w:val="24"/>
      <w:lang w:val="en-US" w:eastAsia="zh-CN" w:bidi="ar-SA"/>
    </w:rPr>
  </w:style>
  <w:style w:type="character" w:customStyle="1" w:styleId="910">
    <w:name w:val="Used by Word for text of Help footnotes Char Char"/>
    <w:qFormat/>
    <w:uiPriority w:val="0"/>
    <w:rPr>
      <w:rFonts w:ascii="Times New Roman" w:hAnsi="Times New Roman" w:eastAsia="宋体" w:cs="Times New Roman"/>
      <w:sz w:val="20"/>
      <w:szCs w:val="20"/>
    </w:rPr>
  </w:style>
  <w:style w:type="character" w:customStyle="1" w:styleId="911">
    <w:name w:val="编号，小四 Char"/>
    <w:link w:val="116"/>
    <w:qFormat/>
    <w:uiPriority w:val="0"/>
    <w:rPr>
      <w:rFonts w:ascii="Arial" w:hAnsi="Arial"/>
      <w:sz w:val="24"/>
    </w:rPr>
  </w:style>
  <w:style w:type="character" w:customStyle="1" w:styleId="912">
    <w:name w:val="Font Style82"/>
    <w:qFormat/>
    <w:uiPriority w:val="99"/>
    <w:rPr>
      <w:rFonts w:ascii="宋体" w:eastAsia="宋体" w:cs="宋体"/>
      <w:color w:val="000000"/>
      <w:sz w:val="14"/>
      <w:szCs w:val="14"/>
    </w:rPr>
  </w:style>
  <w:style w:type="character" w:customStyle="1" w:styleId="913">
    <w:name w:val="标题 2 Char Char"/>
    <w:qFormat/>
    <w:uiPriority w:val="0"/>
    <w:rPr>
      <w:rFonts w:ascii="楷体_GB2312" w:hAnsi="Arial" w:eastAsia="楷体_GB2312"/>
      <w:b/>
      <w:bCs/>
      <w:kern w:val="2"/>
      <w:sz w:val="24"/>
      <w:szCs w:val="32"/>
      <w:lang w:val="en-US" w:eastAsia="zh-CN" w:bidi="ar-SA"/>
    </w:rPr>
  </w:style>
  <w:style w:type="character" w:customStyle="1" w:styleId="914">
    <w:name w:val="未用 Char"/>
    <w:qFormat/>
    <w:uiPriority w:val="0"/>
    <w:rPr>
      <w:rFonts w:ascii="Arial" w:hAnsi="Arial" w:eastAsia="黑体"/>
      <w:kern w:val="2"/>
      <w:sz w:val="21"/>
      <w:szCs w:val="21"/>
      <w:lang w:val="en-US" w:eastAsia="zh-CN" w:bidi="ar-SA"/>
    </w:rPr>
  </w:style>
  <w:style w:type="character" w:customStyle="1" w:styleId="915">
    <w:name w:val="myp1111"/>
    <w:qFormat/>
    <w:uiPriority w:val="0"/>
    <w:rPr>
      <w:rFonts w:hint="default" w:ascii="ˎ̥" w:hAnsi="ˎ̥"/>
      <w:color w:val="000000"/>
      <w:sz w:val="20"/>
      <w:szCs w:val="20"/>
      <w:u w:val="none"/>
    </w:rPr>
  </w:style>
  <w:style w:type="character" w:customStyle="1" w:styleId="916">
    <w:name w:val="样式 标题 4h4H4Fab-4T5Ref Heading 1rh1Heading sqlsect 1.2.3.... Char"/>
    <w:link w:val="105"/>
    <w:qFormat/>
    <w:uiPriority w:val="0"/>
    <w:rPr>
      <w:rFonts w:ascii="微软雅黑" w:hAnsi="微软雅黑" w:eastAsia="微软雅黑"/>
      <w:b/>
      <w:bCs/>
      <w:kern w:val="2"/>
      <w:sz w:val="24"/>
      <w:szCs w:val="28"/>
    </w:rPr>
  </w:style>
  <w:style w:type="character" w:customStyle="1" w:styleId="917">
    <w:name w:val="h Char Char"/>
    <w:qFormat/>
    <w:uiPriority w:val="0"/>
    <w:rPr>
      <w:rFonts w:eastAsia="宋体"/>
      <w:kern w:val="2"/>
      <w:sz w:val="18"/>
      <w:lang w:val="en-US" w:eastAsia="zh-CN" w:bidi="ar-SA"/>
    </w:rPr>
  </w:style>
  <w:style w:type="character" w:customStyle="1" w:styleId="918">
    <w:name w:val="仿宋正文 Char"/>
    <w:link w:val="117"/>
    <w:qFormat/>
    <w:uiPriority w:val="0"/>
    <w:rPr>
      <w:rFonts w:ascii="仿宋_GB2312" w:eastAsia="仿宋_GB2312"/>
      <w:kern w:val="2"/>
      <w:sz w:val="24"/>
      <w:lang w:val="en-US" w:eastAsia="zh-CN" w:bidi="ar-SA"/>
    </w:rPr>
  </w:style>
  <w:style w:type="character" w:customStyle="1" w:styleId="919">
    <w:name w:val="正文首行缩进 Char Char Char Char Char Char"/>
    <w:qFormat/>
    <w:uiPriority w:val="0"/>
    <w:rPr>
      <w:rFonts w:ascii="宋体" w:eastAsia="宋体"/>
      <w:kern w:val="2"/>
      <w:sz w:val="24"/>
      <w:lang w:val="zh-CN" w:bidi="ar-SA"/>
    </w:rPr>
  </w:style>
  <w:style w:type="character" w:customStyle="1" w:styleId="920">
    <w:name w:val="样式 宋体"/>
    <w:qFormat/>
    <w:uiPriority w:val="0"/>
    <w:rPr>
      <w:rFonts w:ascii="宋体" w:hAnsi="宋体"/>
      <w:sz w:val="24"/>
    </w:rPr>
  </w:style>
  <w:style w:type="character" w:customStyle="1" w:styleId="921">
    <w:name w:val="tw4winJump"/>
    <w:qFormat/>
    <w:uiPriority w:val="0"/>
    <w:rPr>
      <w:rFonts w:ascii="Courier New" w:hAnsi="Courier New" w:cs="Courier New"/>
      <w:color w:val="008080"/>
      <w:lang w:val="en-US" w:eastAsia="zh-CN"/>
    </w:rPr>
  </w:style>
  <w:style w:type="character" w:customStyle="1" w:styleId="922">
    <w:name w:val="标题 1 字符"/>
    <w:qFormat/>
    <w:uiPriority w:val="9"/>
    <w:rPr>
      <w:rFonts w:ascii="Arial" w:hAnsi="Arial" w:eastAsia="黑体" w:cs="Arial"/>
      <w:b/>
      <w:bCs/>
      <w:snapToGrid w:val="0"/>
      <w:kern w:val="44"/>
      <w:sz w:val="44"/>
      <w:szCs w:val="44"/>
    </w:rPr>
  </w:style>
  <w:style w:type="character" w:customStyle="1" w:styleId="923">
    <w:name w:val="style36"/>
    <w:basedOn w:val="69"/>
    <w:qFormat/>
    <w:uiPriority w:val="0"/>
    <w:rPr>
      <w:rFonts w:ascii="Arial" w:hAnsi="Arial" w:eastAsia="黑体" w:cs="Arial"/>
      <w:snapToGrid w:val="0"/>
      <w:kern w:val="0"/>
      <w:szCs w:val="21"/>
    </w:rPr>
  </w:style>
  <w:style w:type="character" w:customStyle="1" w:styleId="924">
    <w:name w:val="pt9"/>
    <w:qFormat/>
    <w:uiPriority w:val="0"/>
    <w:rPr>
      <w:rFonts w:ascii="仿宋_GB2312" w:eastAsia="微软雅黑"/>
      <w:b/>
      <w:kern w:val="2"/>
      <w:sz w:val="32"/>
      <w:szCs w:val="32"/>
      <w:lang w:val="en-US" w:eastAsia="zh-CN" w:bidi="ar-SA"/>
    </w:rPr>
  </w:style>
  <w:style w:type="character" w:customStyle="1" w:styleId="925">
    <w:name w:val="DO_NOT_TRANSLATE"/>
    <w:qFormat/>
    <w:uiPriority w:val="0"/>
    <w:rPr>
      <w:rFonts w:ascii="Courier New" w:hAnsi="Courier New" w:cs="Courier New"/>
      <w:color w:val="800000"/>
      <w:lang w:val="en-US" w:eastAsia="zh-CN"/>
    </w:rPr>
  </w:style>
  <w:style w:type="character" w:customStyle="1" w:styleId="926">
    <w:name w:val="标书1 Char1"/>
    <w:qFormat/>
    <w:uiPriority w:val="0"/>
    <w:rPr>
      <w:rFonts w:eastAsia="宋体"/>
      <w:b/>
      <w:bCs/>
      <w:kern w:val="44"/>
      <w:sz w:val="44"/>
      <w:szCs w:val="44"/>
      <w:lang w:val="en-US" w:eastAsia="zh-CN" w:bidi="ar-SA"/>
    </w:rPr>
  </w:style>
  <w:style w:type="character" w:customStyle="1" w:styleId="927">
    <w:name w:val="页脚 字符"/>
    <w:qFormat/>
    <w:uiPriority w:val="99"/>
    <w:rPr>
      <w:kern w:val="2"/>
      <w:sz w:val="18"/>
      <w:szCs w:val="18"/>
    </w:rPr>
  </w:style>
  <w:style w:type="character" w:customStyle="1" w:styleId="928">
    <w:name w:val="正文2 Char"/>
    <w:qFormat/>
    <w:uiPriority w:val="0"/>
    <w:rPr>
      <w:rFonts w:eastAsia="宋体"/>
      <w:kern w:val="2"/>
      <w:sz w:val="24"/>
      <w:lang w:val="en-US" w:eastAsia="zh-CN" w:bidi="ar-SA"/>
    </w:rPr>
  </w:style>
  <w:style w:type="character" w:customStyle="1" w:styleId="929">
    <w:name w:val="Char Char21"/>
    <w:qFormat/>
    <w:uiPriority w:val="6"/>
    <w:rPr>
      <w:rFonts w:ascii="宋体" w:hAnsi="宋体"/>
      <w:kern w:val="1"/>
      <w:sz w:val="24"/>
      <w:szCs w:val="21"/>
      <w:lang w:val="zh-CN"/>
    </w:rPr>
  </w:style>
  <w:style w:type="character" w:customStyle="1" w:styleId="930">
    <w:name w:val="样式 正文缩进 + 首行缩进:  2 字符 Char Char"/>
    <w:link w:val="118"/>
    <w:qFormat/>
    <w:uiPriority w:val="0"/>
    <w:rPr>
      <w:rFonts w:cs="宋体"/>
      <w:kern w:val="2"/>
      <w:sz w:val="24"/>
    </w:rPr>
  </w:style>
  <w:style w:type="character" w:customStyle="1" w:styleId="931">
    <w:name w:val="正文文本 Char1"/>
    <w:link w:val="2"/>
    <w:qFormat/>
    <w:uiPriority w:val="0"/>
    <w:rPr>
      <w:rFonts w:ascii="宋体" w:hAnsi="Arial" w:eastAsia="宋体" w:cs="Arial"/>
      <w:snapToGrid w:val="0"/>
      <w:kern w:val="2"/>
      <w:sz w:val="24"/>
      <w:szCs w:val="21"/>
      <w:lang w:val="zh-CN" w:eastAsia="zh-CN" w:bidi="ar-SA"/>
    </w:rPr>
  </w:style>
  <w:style w:type="character" w:customStyle="1" w:styleId="932">
    <w:name w:val="gray6"/>
    <w:basedOn w:val="69"/>
    <w:qFormat/>
    <w:uiPriority w:val="0"/>
    <w:rPr>
      <w:rFonts w:ascii="Arial" w:hAnsi="Arial" w:eastAsia="黑体" w:cs="Arial"/>
      <w:snapToGrid w:val="0"/>
      <w:kern w:val="0"/>
      <w:szCs w:val="21"/>
    </w:rPr>
  </w:style>
  <w:style w:type="character" w:customStyle="1" w:styleId="933">
    <w:name w:val="hui"/>
    <w:basedOn w:val="69"/>
    <w:qFormat/>
    <w:uiPriority w:val="0"/>
    <w:rPr>
      <w:rFonts w:ascii="Arial" w:hAnsi="Arial" w:eastAsia="黑体" w:cs="Arial"/>
      <w:snapToGrid w:val="0"/>
      <w:kern w:val="0"/>
      <w:szCs w:val="21"/>
    </w:rPr>
  </w:style>
  <w:style w:type="character" w:customStyle="1" w:styleId="934">
    <w:name w:val="哈哈正文 Char Char"/>
    <w:qFormat/>
    <w:uiPriority w:val="0"/>
    <w:rPr>
      <w:rFonts w:ascii="宋体" w:hAnsi="宋体" w:eastAsia="宋体" w:cs="宋体"/>
      <w:kern w:val="2"/>
      <w:sz w:val="24"/>
      <w:lang w:val="en-US" w:eastAsia="zh-CN" w:bidi="ar-SA"/>
    </w:rPr>
  </w:style>
  <w:style w:type="character" w:customStyle="1" w:styleId="935">
    <w:name w:val="交叉引用"/>
    <w:qFormat/>
    <w:uiPriority w:val="1"/>
    <w:rPr>
      <w:rFonts w:ascii="Arial" w:hAnsi="Arial" w:eastAsia="黑体"/>
      <w:snapToGrid w:val="0"/>
      <w:color w:val="0000FF"/>
      <w:kern w:val="0"/>
      <w:sz w:val="20"/>
      <w:szCs w:val="21"/>
      <w:u w:val="single"/>
      <w:lang w:val="en-US" w:eastAsia="zh-CN"/>
    </w:rPr>
  </w:style>
  <w:style w:type="character" w:customStyle="1" w:styleId="936">
    <w:name w:val="正文缩进 字符1"/>
    <w:qFormat/>
    <w:uiPriority w:val="0"/>
    <w:rPr>
      <w:rFonts w:ascii="宋体" w:eastAsia="宋体"/>
      <w:snapToGrid w:val="0"/>
      <w:color w:val="000000"/>
      <w:kern w:val="28"/>
      <w:sz w:val="28"/>
      <w:lang w:val="en-US" w:eastAsia="zh-CN" w:bidi="ar-SA"/>
    </w:rPr>
  </w:style>
  <w:style w:type="character" w:customStyle="1" w:styleId="937">
    <w:name w:val="页脚 字符1"/>
    <w:qFormat/>
    <w:locked/>
    <w:uiPriority w:val="99"/>
    <w:rPr>
      <w:kern w:val="2"/>
      <w:sz w:val="18"/>
      <w:szCs w:val="18"/>
    </w:rPr>
  </w:style>
  <w:style w:type="character" w:customStyle="1" w:styleId="938">
    <w:name w:val="页眉 字符1"/>
    <w:qFormat/>
    <w:uiPriority w:val="99"/>
    <w:rPr>
      <w:kern w:val="2"/>
      <w:sz w:val="18"/>
      <w:szCs w:val="18"/>
    </w:rPr>
  </w:style>
  <w:style w:type="character" w:customStyle="1" w:styleId="939">
    <w:name w:val="尾注文本 Char"/>
    <w:link w:val="38"/>
    <w:qFormat/>
    <w:uiPriority w:val="0"/>
    <w:rPr>
      <w:kern w:val="2"/>
      <w:sz w:val="21"/>
      <w:szCs w:val="24"/>
      <w:lang w:val="zh-CN"/>
    </w:rPr>
  </w:style>
  <w:style w:type="character" w:customStyle="1" w:styleId="940">
    <w:name w:val="无间隔 Char"/>
    <w:link w:val="168"/>
    <w:qFormat/>
    <w:uiPriority w:val="99"/>
    <w:rPr>
      <w:kern w:val="2"/>
      <w:sz w:val="21"/>
      <w:szCs w:val="22"/>
    </w:rPr>
  </w:style>
  <w:style w:type="character" w:customStyle="1" w:styleId="941">
    <w:name w:val="标准文本 Char Char"/>
    <w:link w:val="606"/>
    <w:qFormat/>
    <w:uiPriority w:val="0"/>
    <w:rPr>
      <w:rFonts w:cs="宋体"/>
      <w:kern w:val="2"/>
      <w:sz w:val="24"/>
    </w:rPr>
  </w:style>
  <w:style w:type="character" w:customStyle="1" w:styleId="942">
    <w:name w:val="Char Char213"/>
    <w:qFormat/>
    <w:uiPriority w:val="0"/>
    <w:rPr>
      <w:rFonts w:eastAsia="Century Gothic"/>
      <w:b/>
      <w:bCs/>
      <w:kern w:val="44"/>
      <w:sz w:val="32"/>
      <w:szCs w:val="44"/>
      <w:lang w:val="en-US" w:eastAsia="zh-CN" w:bidi="ar-SA"/>
    </w:rPr>
  </w:style>
  <w:style w:type="character" w:customStyle="1" w:styleId="943">
    <w:name w:val="apple-style-span"/>
    <w:qFormat/>
    <w:uiPriority w:val="0"/>
    <w:rPr>
      <w:rFonts w:ascii="Arial" w:hAnsi="Arial" w:eastAsia="黑体" w:cs="Arial"/>
      <w:snapToGrid w:val="0"/>
      <w:kern w:val="0"/>
      <w:szCs w:val="21"/>
    </w:rPr>
  </w:style>
  <w:style w:type="character" w:customStyle="1" w:styleId="944">
    <w:name w:val="15"/>
    <w:qFormat/>
    <w:uiPriority w:val="0"/>
    <w:rPr>
      <w:rFonts w:hint="default" w:ascii="Calibri" w:hAnsi="Calibri"/>
      <w:color w:val="0000FF"/>
      <w:u w:val="single"/>
    </w:rPr>
  </w:style>
  <w:style w:type="character" w:customStyle="1" w:styleId="945">
    <w:name w:val="16"/>
    <w:qFormat/>
    <w:uiPriority w:val="0"/>
    <w:rPr>
      <w:rFonts w:hint="eastAsia" w:ascii="宋体" w:hAnsi="宋体" w:eastAsia="宋体"/>
      <w:color w:val="000000"/>
      <w:sz w:val="20"/>
      <w:szCs w:val="20"/>
    </w:rPr>
  </w:style>
  <w:style w:type="character" w:customStyle="1" w:styleId="946">
    <w:name w:val="edui-unclickable"/>
    <w:qFormat/>
    <w:uiPriority w:val="0"/>
    <w:rPr>
      <w:color w:val="808080"/>
    </w:rPr>
  </w:style>
  <w:style w:type="character" w:customStyle="1" w:styleId="947">
    <w:name w:val="tpc_content1"/>
    <w:qFormat/>
    <w:uiPriority w:val="0"/>
    <w:rPr>
      <w:sz w:val="20"/>
      <w:szCs w:val="20"/>
    </w:rPr>
  </w:style>
  <w:style w:type="character" w:customStyle="1" w:styleId="948">
    <w:name w:val="正文文本缩进 字符"/>
    <w:qFormat/>
    <w:uiPriority w:val="0"/>
    <w:rPr>
      <w:rFonts w:ascii="Century Gothic" w:hAnsi="Century Gothic" w:eastAsia="Century Gothic"/>
      <w:kern w:val="2"/>
      <w:sz w:val="24"/>
      <w:lang w:val="en-US" w:eastAsia="zh-CN" w:bidi="ar-SA"/>
    </w:rPr>
  </w:style>
  <w:style w:type="character" w:customStyle="1" w:styleId="949">
    <w:name w:val="正文文本 2 字符"/>
    <w:qFormat/>
    <w:uiPriority w:val="0"/>
    <w:rPr>
      <w:rFonts w:ascii="Arial" w:hAnsi="Arial" w:eastAsia="宋体"/>
      <w:kern w:val="2"/>
      <w:sz w:val="24"/>
      <w:szCs w:val="24"/>
      <w:lang w:val="en-US" w:eastAsia="zh-CN" w:bidi="ar-SA"/>
    </w:rPr>
  </w:style>
  <w:style w:type="character" w:customStyle="1" w:styleId="950">
    <w:name w:val="edui-clickable2"/>
    <w:qFormat/>
    <w:uiPriority w:val="0"/>
    <w:rPr>
      <w:color w:val="0000FF"/>
      <w:u w:val="single"/>
    </w:rPr>
  </w:style>
  <w:style w:type="character" w:customStyle="1" w:styleId="951">
    <w:name w:val="style1"/>
    <w:qFormat/>
    <w:uiPriority w:val="0"/>
    <w:rPr>
      <w:rFonts w:ascii="Arial" w:hAnsi="Arial" w:eastAsia="黑体" w:cs="Arial"/>
      <w:snapToGrid w:val="0"/>
      <w:kern w:val="0"/>
      <w:szCs w:val="21"/>
    </w:rPr>
  </w:style>
  <w:style w:type="character" w:customStyle="1" w:styleId="952">
    <w:name w:val="zbggtop11 style5"/>
    <w:qFormat/>
    <w:uiPriority w:val="0"/>
    <w:rPr>
      <w:rFonts w:ascii="Arial" w:hAnsi="Arial" w:eastAsia="黑体" w:cs="Arial"/>
      <w:snapToGrid w:val="0"/>
      <w:kern w:val="0"/>
      <w:szCs w:val="21"/>
    </w:rPr>
  </w:style>
  <w:style w:type="character" w:customStyle="1" w:styleId="953">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4">
    <w:name w:val="bulletintext1"/>
    <w:qFormat/>
    <w:uiPriority w:val="0"/>
    <w:rPr>
      <w:color w:val="000000"/>
      <w:sz w:val="18"/>
    </w:rPr>
  </w:style>
  <w:style w:type="character" w:customStyle="1" w:styleId="955">
    <w:name w:val="ksfind_class_select1"/>
    <w:basedOn w:val="69"/>
    <w:qFormat/>
    <w:uiPriority w:val="0"/>
    <w:rPr>
      <w:color w:val="000000"/>
      <w:shd w:val="clear" w:color="auto" w:fill="EFD200"/>
    </w:rPr>
  </w:style>
  <w:style w:type="character" w:customStyle="1" w:styleId="956">
    <w:name w:val="font71"/>
    <w:qFormat/>
    <w:uiPriority w:val="0"/>
    <w:rPr>
      <w:rFonts w:hint="eastAsia" w:ascii="宋体" w:hAnsi="宋体" w:eastAsia="宋体" w:cs="宋体"/>
      <w:color w:val="000000"/>
      <w:sz w:val="22"/>
      <w:szCs w:val="22"/>
      <w:u w:val="none"/>
    </w:rPr>
  </w:style>
  <w:style w:type="character" w:customStyle="1" w:styleId="957">
    <w:name w:val="font91"/>
    <w:qFormat/>
    <w:uiPriority w:val="0"/>
    <w:rPr>
      <w:rFonts w:hint="eastAsia" w:ascii="仿宋" w:hAnsi="仿宋" w:eastAsia="仿宋" w:cs="仿宋"/>
      <w:color w:val="000000"/>
      <w:sz w:val="22"/>
      <w:szCs w:val="22"/>
      <w:u w:val="none"/>
    </w:rPr>
  </w:style>
  <w:style w:type="table" w:customStyle="1" w:styleId="95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64">
    <w:name w:val="[Normal]"/>
    <w:qFormat/>
    <w:uiPriority w:val="0"/>
    <w:rPr>
      <w:rFonts w:ascii="宋体" w:hAnsi="宋体" w:eastAsia="宋体" w:cs="Times New Roman"/>
      <w:sz w:val="24"/>
      <w:szCs w:val="22"/>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91</Pages>
  <Words>43652</Words>
  <Characters>45682</Characters>
  <Lines>287</Lines>
  <Paragraphs>81</Paragraphs>
  <TotalTime>2</TotalTime>
  <ScaleCrop>false</ScaleCrop>
  <LinksUpToDate>false</LinksUpToDate>
  <CharactersWithSpaces>51953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YJDL</cp:lastModifiedBy>
  <cp:lastPrinted>2022-02-24T05:45:00Z</cp:lastPrinted>
  <dcterms:modified xsi:type="dcterms:W3CDTF">2023-02-01T04:29:27Z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