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杭州市余杭区凤凰小学2024年物业和安保管理服务采购项目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：HZYHZFCG-2024-069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杭州市余杭区凤凰小学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杭州市余杭区凤凰小学2024年物业和安保管理服务采购项目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6</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7</w:t>
      </w:r>
      <w:r>
        <w:rPr>
          <w:rStyle w:val="77"/>
          <w:rFonts w:hint="eastAsia" w:ascii="宋体" w:hAnsi="宋体" w:eastAsia="宋体" w:cs="宋体"/>
          <w:b/>
          <w:bCs/>
          <w:color w:val="auto"/>
          <w:kern w:val="2"/>
          <w:sz w:val="24"/>
          <w:szCs w:val="24"/>
          <w:highlight w:val="none"/>
          <w:u w:val="single" w:color="auto"/>
        </w:rPr>
        <w:t>日</w:t>
      </w:r>
      <w:r>
        <w:rPr>
          <w:rStyle w:val="77"/>
          <w:rFonts w:hint="eastAsia" w:ascii="宋体" w:hAnsi="宋体" w:cs="宋体"/>
          <w:b/>
          <w:bCs/>
          <w:color w:val="auto"/>
          <w:kern w:val="2"/>
          <w:sz w:val="24"/>
          <w:szCs w:val="24"/>
          <w:highlight w:val="none"/>
          <w:u w:val="single" w:color="auto"/>
          <w:lang w:val="en-US" w:eastAsia="zh-CN"/>
        </w:rPr>
        <w:t>13</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HZYHZFCG-2024-069</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杭州市余杭区凤凰小学2024年物业和安保管理服务采购项目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宋体" w:hAnsi="宋体" w:cs="宋体"/>
          <w:color w:val="auto"/>
          <w:sz w:val="24"/>
          <w:highlight w:val="none"/>
        </w:rPr>
        <w:t>2413385元</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保洁服务、安全消控服务、绿化服务、设施设备维护、应急管理以及采购人交办的其他工作。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合同履约期限：自合同签订生效之日起一年</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新宋体" w:hAnsi="新宋体" w:eastAsia="新宋体" w:cs="新宋体"/>
          <w:color w:val="auto"/>
          <w:kern w:val="0"/>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杭州市余杭区余杭街道城南路352号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项目联系人（询问）：钱老师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0571-88660157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质疑联系人：楼老师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0571-88660157</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高乐怡</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陈苏琦</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0571-89395438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新宋体" w:hAnsi="新宋体" w:eastAsia="新宋体" w:cs="新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新宋体" w:hAnsi="新宋体" w:eastAsia="新宋体" w:cs="新宋体"/>
                <w:color w:val="auto"/>
                <w:kern w:val="0"/>
                <w:sz w:val="24"/>
                <w:highlight w:val="none"/>
                <w:u w:val="single"/>
              </w:rPr>
              <w:t>物业管理</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同意将非主体、非关键性的</w:t>
            </w:r>
            <w:r>
              <w:rPr>
                <w:rFonts w:hint="eastAsia" w:ascii="新宋体" w:hAnsi="新宋体" w:eastAsia="新宋体" w:cs="新宋体"/>
                <w:color w:val="auto"/>
                <w:sz w:val="24"/>
                <w:highlight w:val="none"/>
                <w:u w:val="single"/>
              </w:rPr>
              <w:t>外墙清洗、绿化租摆、电梯维护、消防设施设备维护、空调通风系统维护</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eastAsia" w:ascii="新宋体" w:hAnsi="新宋体" w:eastAsia="新宋体" w:cs="新宋体"/>
                <w:color w:val="auto"/>
                <w:kern w:val="0"/>
                <w:sz w:val="24"/>
                <w:highlight w:val="none"/>
              </w:rPr>
              <w:sym w:font="Wingdings" w:char="00FE"/>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highlight w:val="none"/>
        </w:rPr>
      </w:pPr>
      <w:bookmarkStart w:id="15" w:name="_Hlt75236011"/>
      <w:bookmarkEnd w:id="15"/>
      <w:bookmarkStart w:id="16" w:name="_Hlt74707468"/>
      <w:bookmarkEnd w:id="16"/>
      <w:bookmarkStart w:id="17" w:name="_Hlt74714665"/>
      <w:bookmarkEnd w:id="17"/>
      <w:bookmarkStart w:id="18" w:name="_Hlt75236101"/>
      <w:bookmarkEnd w:id="18"/>
      <w:bookmarkStart w:id="19" w:name="_Hlt75236290"/>
      <w:bookmarkEnd w:id="19"/>
      <w:bookmarkStart w:id="20" w:name="_Hlt74730295"/>
      <w:bookmarkEnd w:id="20"/>
      <w:bookmarkStart w:id="21" w:name="_Hlt74729768"/>
      <w:bookmarkEnd w:id="21"/>
      <w:bookmarkStart w:id="22" w:name="_Hlt68057669"/>
      <w:bookmarkEnd w:id="22"/>
      <w:bookmarkStart w:id="23" w:name="_Hlt68072990"/>
      <w:bookmarkEnd w:id="23"/>
      <w:bookmarkStart w:id="24" w:name="_Hlt68072998"/>
      <w:bookmarkEnd w:id="24"/>
      <w:bookmarkStart w:id="25" w:name="_Hlt68073093"/>
      <w:bookmarkEnd w:id="25"/>
      <w:bookmarkStart w:id="26" w:name="_Hlt68403820"/>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pPr>
        <w:spacing w:line="360" w:lineRule="auto"/>
        <w:ind w:firstLine="480" w:firstLineChars="200"/>
        <w:rPr>
          <w:color w:val="auto"/>
          <w:sz w:val="24"/>
          <w:highlight w:val="none"/>
        </w:rPr>
      </w:pPr>
      <w:r>
        <w:rPr>
          <w:rFonts w:hint="eastAsia" w:ascii="新宋体" w:hAnsi="新宋体" w:eastAsia="新宋体" w:cs="新宋体"/>
          <w:color w:val="auto"/>
          <w:kern w:val="0"/>
          <w:sz w:val="24"/>
          <w:highlight w:val="none"/>
        </w:rPr>
        <w:t>凤凰小学有两个校区，城东校区位于余杭街道城南路3号，城南校区位于余杭街道城南路352号。城东校区占地面积</w:t>
      </w:r>
      <w:r>
        <w:rPr>
          <w:rFonts w:hint="eastAsia"/>
          <w:color w:val="auto"/>
          <w:sz w:val="24"/>
          <w:highlight w:val="none"/>
        </w:rPr>
        <w:t>21551平方米，建筑面积233566.81平方米；</w:t>
      </w:r>
      <w:r>
        <w:rPr>
          <w:rFonts w:hint="eastAsia" w:ascii="新宋体" w:hAnsi="新宋体" w:eastAsia="新宋体" w:cs="新宋体"/>
          <w:color w:val="auto"/>
          <w:kern w:val="0"/>
          <w:sz w:val="24"/>
          <w:highlight w:val="none"/>
        </w:rPr>
        <w:t>城南校区占地面积</w:t>
      </w:r>
      <w:r>
        <w:rPr>
          <w:color w:val="auto"/>
          <w:sz w:val="24"/>
          <w:highlight w:val="none"/>
        </w:rPr>
        <w:t>27254.3</w:t>
      </w:r>
      <w:r>
        <w:rPr>
          <w:rFonts w:hint="eastAsia"/>
          <w:color w:val="auto"/>
          <w:sz w:val="24"/>
          <w:highlight w:val="none"/>
        </w:rPr>
        <w:t>平方米，建筑面积24603.84平方米；两校区绿化面积合计14641.59平方米。城东校区共有主体建筑4幢，分别是凤扬楼（地上3层地下1层）、凤华楼（地上6层）、凤欣楼（地上5层）、凤贤楼（地上3层）；城南校区共有主体建筑4幢，分别是凤翔楼（地上3层地下1层）、凤启楼（地上4层）、风雅楼（地上3层）、凤鸣楼（地上4层架空1层）。城东校区有2个出入口，一个位于学校南侧，一个位于学校东侧；城南校区有2个出入口，一个位于学校北侧，一个位于学校南侧。城东校区共有停车位64个（地下47，地面17）；城南校区共有停车位68个（地下35，地面33）。城东校区有1个小型会议室，1个接待室，1个报告厅；城南校区有1个小型会议室，1个接待室，1个报告厅。城东校区有配电房1个，水泵房1个，空调147台，监控系统1个（共计摄像头163个），电子围栏1个，消防监控系统1个，客梯1个，餐梯1个；城南校区有配电房1个，水泵房1个，空调173台，监控系统1个（共计摄像头250个），电子围栏1个，消防监控系统1个，餐梯2个。</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highlight w:val="none"/>
        </w:rPr>
        <w:t>保洁服务、安全消控服务、绿化服务、设施设备维护、</w:t>
      </w:r>
      <w:r>
        <w:rPr>
          <w:rFonts w:hint="eastAsia" w:ascii="新宋体" w:hAnsi="新宋体" w:eastAsia="新宋体" w:cs="新宋体"/>
          <w:b/>
          <w:bCs/>
          <w:color w:val="auto"/>
          <w:kern w:val="0"/>
          <w:sz w:val="24"/>
          <w:highlight w:val="none"/>
        </w:rPr>
        <w:t>应急管理</w:t>
      </w:r>
      <w:r>
        <w:rPr>
          <w:rFonts w:hint="eastAsia" w:ascii="新宋体" w:hAnsi="新宋体" w:eastAsia="新宋体" w:cs="新宋体"/>
          <w:b/>
          <w:bCs/>
          <w:color w:val="auto"/>
          <w:sz w:val="24"/>
          <w:highlight w:val="none"/>
        </w:rPr>
        <w:t>以及采购人交办的其他工作。</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采购需求、评标标准中所称的“以上”“以下”“内”“以内”“不少于”“不超过”，包括本数；所称的“不足”“低于”，不包括本数。</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自合同签订生效之日起一年。</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pPr>
        <w:numPr>
          <w:ilvl w:val="0"/>
          <w:numId w:val="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负责行政楼、会议室</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篮球馆、健身房、公开课教室、录播教室等公共活动场所每周不少于两次。一般教师办公室不做要求。</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pPr>
        <w:pStyle w:val="2"/>
        <w:ind w:left="0" w:leftChars="0" w:firstLine="0" w:firstLineChars="0"/>
        <w:rPr>
          <w:rFonts w:eastAsia="新宋体"/>
          <w:b w:val="0"/>
          <w:bCs w:val="0"/>
          <w:color w:val="auto"/>
          <w:highlight w:val="none"/>
          <w:lang w:val="en-US"/>
        </w:rPr>
      </w:pPr>
      <w:r>
        <w:rPr>
          <w:rFonts w:hint="eastAsia" w:ascii="新宋体" w:hAnsi="新宋体" w:eastAsia="新宋体" w:cs="新宋体"/>
          <w:b w:val="0"/>
          <w:bCs w:val="0"/>
          <w:color w:val="auto"/>
          <w:sz w:val="24"/>
          <w:szCs w:val="24"/>
          <w:highlight w:val="none"/>
          <w:lang w:val="en-US" w:eastAsia="zh-CN"/>
        </w:rPr>
        <w:t>（6）</w:t>
      </w:r>
      <w:r>
        <w:rPr>
          <w:rFonts w:hint="eastAsia" w:ascii="新宋体" w:hAnsi="新宋体" w:eastAsia="新宋体" w:cs="新宋体"/>
          <w:b w:val="0"/>
          <w:bCs w:val="0"/>
          <w:color w:val="auto"/>
          <w:sz w:val="24"/>
          <w:szCs w:val="24"/>
          <w:highlight w:val="none"/>
          <w:lang w:val="en-US"/>
        </w:rPr>
        <w:t>每周末要对面向社会开放的运动场地进行清扫（确保周一上学前场地整洁</w:t>
      </w:r>
      <w:r>
        <w:rPr>
          <w:rFonts w:hint="eastAsia" w:ascii="新宋体" w:hAnsi="新宋体" w:eastAsia="新宋体" w:cs="新宋体"/>
          <w:b w:val="0"/>
          <w:bCs w:val="0"/>
          <w:color w:val="auto"/>
          <w:sz w:val="24"/>
          <w:szCs w:val="24"/>
          <w:highlight w:val="none"/>
          <w:lang w:val="en-US" w:eastAsia="zh-CN"/>
        </w:rPr>
        <w:t>），</w:t>
      </w:r>
      <w:r>
        <w:rPr>
          <w:rFonts w:hint="eastAsia" w:ascii="新宋体" w:hAnsi="新宋体" w:eastAsia="新宋体" w:cs="新宋体"/>
          <w:b w:val="0"/>
          <w:bCs w:val="0"/>
          <w:color w:val="auto"/>
          <w:sz w:val="24"/>
          <w:szCs w:val="24"/>
          <w:highlight w:val="none"/>
          <w:lang w:val="en-US"/>
        </w:rPr>
        <w:t>每学期开学前和放假后对校园内公共区域及相关附属设施设备开展一次</w:t>
      </w:r>
      <w:r>
        <w:rPr>
          <w:rFonts w:hint="eastAsia" w:ascii="新宋体" w:hAnsi="新宋体" w:eastAsia="新宋体" w:cs="新宋体"/>
          <w:b w:val="0"/>
          <w:bCs w:val="0"/>
          <w:color w:val="auto"/>
          <w:sz w:val="24"/>
          <w:szCs w:val="24"/>
          <w:highlight w:val="none"/>
          <w:lang w:val="en-US" w:eastAsia="zh-CN"/>
        </w:rPr>
        <w:t>大扫除</w:t>
      </w:r>
      <w:r>
        <w:rPr>
          <w:rFonts w:hint="eastAsia" w:ascii="新宋体" w:hAnsi="新宋体" w:eastAsia="新宋体" w:cs="新宋体"/>
          <w:b w:val="0"/>
          <w:bCs w:val="0"/>
          <w:color w:val="auto"/>
          <w:sz w:val="24"/>
          <w:szCs w:val="24"/>
          <w:highlight w:val="none"/>
          <w:lang w:val="en-US"/>
        </w:rPr>
        <w:t>。</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室内卫生间、茶水间清洁，无垃圾、无污渍、无积水、无异味、无堆积杂物，洁具、台面、镜面光洁无水迹，电器设施外观清洁，物品摆放有序。室内卫生间符合“美丽厕所”标准。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垃圾、废弃物按分类要求及时收集、日产日清，化粪池及时清掏，垃圾箱（房）外侧表面清洁、内侧无残留物、无异味。</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安全消控服务</w:t>
      </w: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负责校园及周边安全保卫工作，保护师生人身财产安全，预防和制止违法犯罪活动，维护校园治安秩序（包括对外开放时间运动场地管理、引导。每校区确保不少于1人）；负责消控、监控设施设备运行管理等。</w:t>
      </w: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值勤期间应按有关规定着制式保安服装，携带必要的安全防卫器械和应急处置装备，并熟悉使用方法。</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应具备必要的防范知识和基本操作技能，会熟练操作视频图像采集设备、来访人员登记查验信息管理系统、一键式紧急报警等装置。</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应按照问询、查验、核实、登记、放行要求，严格落实外来人员、车辆、物品的出入管理制度，严防可疑人员、车辆以及管制刀具、危险物品等带入学校。</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在岗期间不与无关人员聊天，不干私活，不饮酒，不吸烟。不得在门卫室从事与工作无关的活动，不得存放或代人存放贵重物品、现金和危险品。</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执行24小时值班制度，不得擅自离岗、脱岗，按时交接班并做好交接记录，发现问题及时报告。除学生上下学时间外，应严格落实校门封闭管理制度。上学期间，学生必须经校方允许，方可离校。</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对学校重点部位及周边巡查每日不少于5次，一旦发现异常情况，应当及时报告并开展先期处置。</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配合学校做好防火、防盗、防破坏、防地质灾害事故工作。对发现可疑人、事、物或其他治安信息，应及时向相关领导或部门汇报，必要时启动报警器或向110报警，并配合公安机关做好处置工作。</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负责校园内树木、花草、绿地、劳动基地、操场草皮等绿化日常养护和管理。</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负责行政楼门厅、走廊、办公室等区域花木摆放、养护和管理等。</w:t>
      </w:r>
    </w:p>
    <w:p>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根据季节和气候状况，进行浇灌、施肥、修剪和松土、秋冬季进行涂石灰防虫等养护工作。</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在校门口、各类花箱、每年更换花卉不少于四次（每年2、5、8、11月各一次），确保美观统一。</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p>
      <w:pPr>
        <w:numPr>
          <w:ilvl w:val="0"/>
          <w:numId w:val="12"/>
        </w:numPr>
        <w:snapToGrid w:val="0"/>
        <w:spacing w:line="36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highlight w:val="none"/>
        </w:rPr>
        <w:t>绿植租赁清单（租赁费用包含在本次投标报价中）：</w:t>
      </w:r>
    </w:p>
    <w:p>
      <w:pPr>
        <w:pStyle w:val="2"/>
        <w:jc w:val="center"/>
        <w:rPr>
          <w:rFonts w:hint="eastAsia" w:ascii="新宋体" w:hAnsi="新宋体" w:eastAsia="新宋体" w:cs="新宋体"/>
          <w:b/>
          <w:bCs/>
          <w:color w:val="auto"/>
          <w:sz w:val="24"/>
          <w:highlight w:val="none"/>
          <w:lang w:val="en-US" w:eastAsia="zh-CN"/>
        </w:rPr>
      </w:pPr>
    </w:p>
    <w:p>
      <w:pPr>
        <w:pStyle w:val="2"/>
        <w:jc w:val="center"/>
        <w:rPr>
          <w:rFonts w:hint="default" w:eastAsia="新宋体"/>
          <w:color w:val="auto"/>
          <w:highlight w:val="none"/>
          <w:lang w:val="en-US" w:eastAsia="zh-CN"/>
        </w:rPr>
      </w:pPr>
      <w:r>
        <w:rPr>
          <w:rFonts w:hint="eastAsia" w:ascii="新宋体" w:hAnsi="新宋体" w:eastAsia="新宋体" w:cs="新宋体"/>
          <w:b/>
          <w:bCs/>
          <w:color w:val="auto"/>
          <w:sz w:val="24"/>
          <w:highlight w:val="none"/>
          <w:lang w:val="en-US" w:eastAsia="zh-CN"/>
        </w:rPr>
        <w:t>城东校区</w:t>
      </w:r>
    </w:p>
    <w:tbl>
      <w:tblPr>
        <w:tblStyle w:val="62"/>
        <w:tblpPr w:leftFromText="180" w:rightFromText="180" w:vertAnchor="text" w:tblpXSpec="center" w:tblpY="1"/>
        <w:tblOverlap w:val="never"/>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1567"/>
        <w:gridCol w:w="2386"/>
        <w:gridCol w:w="1100"/>
        <w:gridCol w:w="105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楼层</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位置</w:t>
            </w:r>
          </w:p>
        </w:tc>
        <w:tc>
          <w:tcPr>
            <w:tcW w:w="2386"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品名</w:t>
            </w:r>
          </w:p>
        </w:tc>
        <w:tc>
          <w:tcPr>
            <w:tcW w:w="1100"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高度/米</w:t>
            </w:r>
          </w:p>
        </w:tc>
        <w:tc>
          <w:tcPr>
            <w:tcW w:w="1050"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规格</w:t>
            </w:r>
          </w:p>
        </w:tc>
        <w:tc>
          <w:tcPr>
            <w:tcW w:w="1122"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数量</w:t>
            </w:r>
            <w:r>
              <w:rPr>
                <w:rFonts w:hint="eastAsia" w:ascii="新宋体" w:hAnsi="新宋体" w:eastAsia="新宋体" w:cs="新宋体"/>
                <w:b/>
                <w:bCs/>
                <w:color w:val="auto"/>
                <w:sz w:val="24"/>
                <w:szCs w:val="24"/>
                <w:highlight w:val="none"/>
                <w:lang w:eastAsia="zh-CN"/>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凤华楼6楼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正校级</w:t>
            </w:r>
          </w:p>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办公室（1间）</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君子兰</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凤华楼6楼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副校级</w:t>
            </w:r>
          </w:p>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办公室（2间）</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艺术盆栽</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凤华楼1-5楼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办公室（48人）</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凤扬楼1楼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办公室（4人）</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凤欣楼1-5楼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办公室（29人）</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凤华楼6楼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会议室</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新宋体"/>
                <w:color w:val="auto"/>
                <w:sz w:val="24"/>
                <w:szCs w:val="24"/>
                <w:highlight w:val="none"/>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新宋体"/>
                <w:color w:val="auto"/>
                <w:sz w:val="24"/>
                <w:szCs w:val="24"/>
                <w:highlight w:val="none"/>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凤华楼6楼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接待室</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艺术盆栽</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凤扬楼3楼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报告厅</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大绿萝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凤华楼1-6楼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走廊、卫生间</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凤欣楼1-5楼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走廊、卫生间</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凤扬楼1-3楼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走廊、卫生间</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凤贤楼1-3楼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食堂</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大绿萝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凤华楼1楼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大厅</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凤扬楼1楼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大厅</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其他</w:t>
            </w:r>
          </w:p>
        </w:tc>
        <w:tc>
          <w:tcPr>
            <w:tcW w:w="7225" w:type="dxa"/>
            <w:gridSpan w:val="5"/>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会议特殊摆花、节日及临时性活动的花卉绿化装饰由中标人承担。</w:t>
            </w:r>
          </w:p>
        </w:tc>
      </w:tr>
    </w:tbl>
    <w:p>
      <w:pPr>
        <w:pStyle w:val="2"/>
        <w:ind w:left="0" w:leftChars="0" w:firstLine="0" w:firstLineChars="0"/>
        <w:rPr>
          <w:rFonts w:hint="eastAsia"/>
          <w:color w:val="auto"/>
          <w:highlight w:val="none"/>
        </w:rPr>
      </w:pPr>
    </w:p>
    <w:p>
      <w:pPr>
        <w:pStyle w:val="2"/>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城南校区</w:t>
      </w:r>
    </w:p>
    <w:tbl>
      <w:tblPr>
        <w:tblStyle w:val="62"/>
        <w:tblpPr w:leftFromText="180" w:rightFromText="180" w:vertAnchor="text" w:tblpXSpec="center" w:tblpY="1"/>
        <w:tblOverlap w:val="never"/>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1567"/>
        <w:gridCol w:w="2386"/>
        <w:gridCol w:w="1100"/>
        <w:gridCol w:w="105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楼层</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位置</w:t>
            </w:r>
          </w:p>
        </w:tc>
        <w:tc>
          <w:tcPr>
            <w:tcW w:w="2386"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品名</w:t>
            </w:r>
          </w:p>
        </w:tc>
        <w:tc>
          <w:tcPr>
            <w:tcW w:w="1100"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高度/米</w:t>
            </w:r>
          </w:p>
        </w:tc>
        <w:tc>
          <w:tcPr>
            <w:tcW w:w="1050"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规格</w:t>
            </w:r>
          </w:p>
        </w:tc>
        <w:tc>
          <w:tcPr>
            <w:tcW w:w="1122" w:type="dxa"/>
            <w:tcBorders>
              <w:top w:val="single" w:color="auto" w:sz="4" w:space="0"/>
              <w:left w:val="nil"/>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数量</w:t>
            </w:r>
            <w:r>
              <w:rPr>
                <w:rFonts w:hint="eastAsia" w:ascii="新宋体" w:hAnsi="新宋体" w:eastAsia="新宋体" w:cs="新宋体"/>
                <w:b/>
                <w:bCs/>
                <w:color w:val="auto"/>
                <w:sz w:val="24"/>
                <w:szCs w:val="24"/>
                <w:highlight w:val="none"/>
                <w:lang w:eastAsia="zh-CN"/>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风雅楼3楼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正校级</w:t>
            </w:r>
          </w:p>
          <w:p>
            <w:pPr>
              <w:pageBreakBefore w:val="0"/>
              <w:wordWrap/>
              <w:topLinePunct w:val="0"/>
              <w:bidi w:val="0"/>
              <w:spacing w:line="360" w:lineRule="auto"/>
              <w:jc w:val="center"/>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办公室（1间）</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君子兰</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风雅楼3楼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书记</w:t>
            </w:r>
          </w:p>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办公室（1间）</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君子兰</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风雅楼2楼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副校级办公室（2间）</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艺术盆栽</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风雅楼3楼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办公室（11人）</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凤启楼1-4楼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办公室（49人）</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凤鸣楼1-4楼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办公室（52人）</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风雅楼2楼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会议室</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风雅楼2楼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接待室</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艺术盆栽</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default"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szCs w:val="24"/>
                <w:highlight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凤翔楼3楼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报告厅</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大绿萝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凤启楼1-4楼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走廊、卫生间</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风雅楼1-3楼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走廊、卫生间</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凤鸣楼1-4楼</w:t>
            </w:r>
          </w:p>
        </w:tc>
        <w:tc>
          <w:tcPr>
            <w:tcW w:w="156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走廊、卫生间</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风雅楼1楼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大厅</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幸福树</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1.5-1.8</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艺术盆栽</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凤翔楼1-2楼</w:t>
            </w:r>
          </w:p>
        </w:tc>
        <w:tc>
          <w:tcPr>
            <w:tcW w:w="1567" w:type="dxa"/>
            <w:vMerge w:val="restart"/>
            <w:tcBorders>
              <w:top w:val="single" w:color="auto" w:sz="4" w:space="0"/>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食堂</w:t>
            </w: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大绿萝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0.5-1.5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中盆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1567" w:type="dxa"/>
            <w:vMerge w:val="continue"/>
            <w:tcBorders>
              <w:left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rPr>
            </w:pPr>
          </w:p>
        </w:tc>
        <w:tc>
          <w:tcPr>
            <w:tcW w:w="238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小绿萝</w:t>
            </w:r>
          </w:p>
        </w:tc>
        <w:tc>
          <w:tcPr>
            <w:tcW w:w="11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0.2-0.5</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szCs w:val="24"/>
                <w:highlight w:val="none"/>
                <w:lang w:val="en-US" w:eastAsia="zh-CN" w:bidi="ar-SA"/>
              </w:rPr>
            </w:pPr>
            <w:r>
              <w:rPr>
                <w:rFonts w:hint="eastAsia" w:ascii="新宋体" w:hAnsi="新宋体" w:eastAsia="新宋体" w:cs="宋体"/>
                <w:color w:val="auto"/>
                <w:kern w:val="0"/>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67" w:type="dxa"/>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其他</w:t>
            </w:r>
          </w:p>
        </w:tc>
        <w:tc>
          <w:tcPr>
            <w:tcW w:w="7225" w:type="dxa"/>
            <w:gridSpan w:val="5"/>
            <w:tcBorders>
              <w:left w:val="single" w:color="auto" w:sz="4" w:space="0"/>
              <w:bottom w:val="single" w:color="auto" w:sz="4" w:space="0"/>
              <w:right w:val="single" w:color="auto" w:sz="4" w:space="0"/>
            </w:tcBorders>
            <w:vAlign w:val="center"/>
          </w:tcPr>
          <w:p>
            <w:pPr>
              <w:pageBreakBefore w:val="0"/>
              <w:wordWrap/>
              <w:topLinePunct w:val="0"/>
              <w:bidi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会议特殊摆花、节日及临时性活动的花卉绿化装饰由中标人承担。</w:t>
            </w:r>
          </w:p>
        </w:tc>
      </w:tr>
    </w:tbl>
    <w:p>
      <w:pPr>
        <w:rPr>
          <w:rFonts w:hint="default"/>
          <w:color w:val="auto"/>
          <w:highlight w:val="none"/>
          <w:lang w:val="en-US" w:eastAsia="zh-CN"/>
        </w:rPr>
      </w:pP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设施设备维护</w:t>
      </w:r>
    </w:p>
    <w:p>
      <w:pPr>
        <w:numPr>
          <w:ilvl w:val="0"/>
          <w:numId w:val="1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内给排水系统、供配电系统、空调通风系统、智能弱电系统、网络系统、消防监控系统、电梯等设施设备的日常维修、维护、保养，做好房屋的日常维护。800元以下单个配件更换费用包含在物业外包费用内。</w:t>
      </w:r>
    </w:p>
    <w:p>
      <w:pPr>
        <w:numPr>
          <w:ilvl w:val="0"/>
          <w:numId w:val="1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定期对水泵、管道进行养护，每年对水箱进行全面清洗至少2次，并提供水质检测报告。</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由专业人员定期对监控系统、门禁系统、多媒体系统、会议系统等智能弱电设备进行巡查，定期清理设备机柜、控制箱、交换机等外表吸附的灰尘和絮状物。</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定期对空调通风系统进行检查、维护、清洁，测试运行控制和安全控制功能，记录运行参数，分析运行记录，确保空调系统正常运行。每年冬夏两次对空调通风系统进行全面的维护保养。</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numPr>
          <w:ilvl w:val="0"/>
          <w:numId w:val="16"/>
        </w:numPr>
        <w:snapToGrid w:val="0"/>
        <w:spacing w:line="360" w:lineRule="auto"/>
        <w:rPr>
          <w:color w:val="auto"/>
          <w:highlight w:val="none"/>
        </w:rPr>
      </w:pPr>
      <w:r>
        <w:rPr>
          <w:rFonts w:hint="eastAsia" w:ascii="新宋体" w:hAnsi="新宋体" w:eastAsia="新宋体" w:cs="新宋体"/>
          <w:color w:val="auto"/>
          <w:sz w:val="24"/>
          <w:highlight w:val="none"/>
        </w:rPr>
        <w:t>零星维修日常设备维修更换；水电维修；室外地面、台阶、运动场地维修，篮球馆地板维修、零星更换（每处小于5平方）；体育器材维修；室内外墙面零星维修；维修材料需经采购人验收成功后方可执行。</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采购人交办的其他工作</w:t>
      </w:r>
    </w:p>
    <w:p>
      <w:pPr>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负责校园内以及两校区之间的物品搬运工作。</w:t>
      </w:r>
    </w:p>
    <w:p>
      <w:pPr>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pPr>
        <w:pStyle w:val="2"/>
        <w:rPr>
          <w:rFonts w:ascii="新宋体" w:hAnsi="新宋体" w:eastAsia="新宋体" w:cs="新宋体"/>
          <w:b w:val="0"/>
          <w:bCs w:val="0"/>
          <w:color w:val="auto"/>
          <w:sz w:val="24"/>
          <w:szCs w:val="24"/>
          <w:highlight w:val="none"/>
          <w:lang w:val="en-US"/>
        </w:rPr>
      </w:pPr>
      <w:r>
        <w:rPr>
          <w:rFonts w:hint="eastAsia" w:ascii="新宋体" w:hAnsi="新宋体" w:eastAsia="新宋体" w:cs="新宋体"/>
          <w:b w:val="0"/>
          <w:bCs w:val="0"/>
          <w:color w:val="auto"/>
          <w:sz w:val="24"/>
          <w:szCs w:val="24"/>
          <w:highlight w:val="none"/>
          <w:lang w:val="en-US"/>
        </w:rPr>
        <w:t>（1）负责校园内体育设施设备、文艺设施设备、课桌椅（教育教学活动所需）等物品的搬运工作。</w:t>
      </w:r>
    </w:p>
    <w:p>
      <w:pPr>
        <w:rPr>
          <w:color w:val="auto"/>
          <w:highlight w:val="none"/>
        </w:rPr>
      </w:pPr>
      <w:r>
        <w:rPr>
          <w:rFonts w:hint="eastAsia" w:ascii="新宋体" w:hAnsi="新宋体" w:eastAsia="新宋体" w:cs="新宋体"/>
          <w:color w:val="auto"/>
          <w:sz w:val="24"/>
          <w:highlight w:val="none"/>
        </w:rPr>
        <w:t>（2）搬运物品时要注意安全，不得损坏物品，要在规定时间内及时完成物品的搬运。</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pPr>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▲岗位总人数不得低于33人，包括：项目经理1人，保洁主管1人，保洁员9人,保安主管1人，保安员17人（其中消控人员6人），绿化工1人,工程维修3人。</w:t>
      </w:r>
    </w:p>
    <w:p>
      <w:pPr>
        <w:numPr>
          <w:ilvl w:val="0"/>
          <w:numId w:val="17"/>
        </w:numPr>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p>
    <w:p>
      <w:pPr>
        <w:numPr>
          <w:ilvl w:val="0"/>
          <w:numId w:val="17"/>
        </w:numPr>
        <w:spacing w:before="63"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所有人员要求政治上可靠，无违法犯罪记录，身体健康，会说普通话，工作负责，吃苦耐劳。管理层人员应具有较强的组织领导能力和协调能力。</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中标人应做好保安员派驻前的背景审查工作，每学期不少于一次；对派驻保安员实行每月不少于一次的检查管理。</w:t>
      </w:r>
    </w:p>
    <w:p>
      <w:pPr>
        <w:spacing w:line="360" w:lineRule="auto"/>
        <w:ind w:left="4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（二）管理层人员要求</w:t>
      </w:r>
    </w:p>
    <w:p>
      <w:pPr>
        <w:numPr>
          <w:ilvl w:val="0"/>
          <w:numId w:val="18"/>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项目经理：年龄50周岁以下；大专以上学历；具有项目经理工作经验；</w:t>
      </w:r>
    </w:p>
    <w:p>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保洁主管：年龄50周岁以下；大专以上学历；具有保洁主管工作经验；</w:t>
      </w:r>
    </w:p>
    <w:p>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保安主管：年龄50周岁以下；大专以上学历；具有保安主管工作经验；持证上岗；</w:t>
      </w:r>
    </w:p>
    <w:p>
      <w:pPr>
        <w:spacing w:line="360" w:lineRule="auto"/>
        <w:ind w:firstLine="467" w:firstLineChars="19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（三）其他服务人员要求</w:t>
      </w:r>
    </w:p>
    <w:p>
      <w:pPr>
        <w:numPr>
          <w:ilvl w:val="0"/>
          <w:numId w:val="19"/>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保洁员：年龄55周岁以下；具有保洁工作经验；</w:t>
      </w:r>
    </w:p>
    <w:p>
      <w:pPr>
        <w:numPr>
          <w:ilvl w:val="0"/>
          <w:numId w:val="19"/>
        </w:numPr>
        <w:adjustRightInd/>
        <w:snapToGrid w:val="0"/>
        <w:spacing w:line="360" w:lineRule="auto"/>
        <w:rPr>
          <w:rFonts w:hint="default" w:eastAsia="新宋体"/>
          <w:color w:val="auto"/>
          <w:highlight w:val="none"/>
          <w:lang w:val="en-US" w:eastAsia="zh-CN"/>
        </w:rPr>
      </w:pPr>
      <w:r>
        <w:rPr>
          <w:rFonts w:hint="eastAsia" w:ascii="新宋体" w:hAnsi="新宋体" w:eastAsia="新宋体" w:cs="新宋体"/>
          <w:color w:val="auto"/>
          <w:sz w:val="24"/>
          <w:highlight w:val="none"/>
        </w:rPr>
        <w:t>保安员：年龄50周岁以下；具有保安工作经验；持证上岗；学校保安员上岗前必须参加岗前培训，经培训合格后方可上岗；</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消控员：</w:t>
      </w:r>
      <w:r>
        <w:rPr>
          <w:rFonts w:hint="eastAsia" w:ascii="新宋体" w:hAnsi="新宋体" w:eastAsia="新宋体" w:cs="新宋体"/>
          <w:color w:val="auto"/>
          <w:sz w:val="24"/>
          <w:highlight w:val="none"/>
        </w:rPr>
        <w:t>年龄50周岁以下；具有</w:t>
      </w:r>
      <w:r>
        <w:rPr>
          <w:rFonts w:hint="eastAsia" w:ascii="新宋体" w:hAnsi="新宋体" w:eastAsia="新宋体" w:cs="新宋体"/>
          <w:color w:val="auto"/>
          <w:sz w:val="24"/>
          <w:highlight w:val="none"/>
          <w:lang w:val="en-US" w:eastAsia="zh-CN"/>
        </w:rPr>
        <w:t>消控</w:t>
      </w:r>
      <w:r>
        <w:rPr>
          <w:rFonts w:hint="eastAsia" w:ascii="新宋体" w:hAnsi="新宋体" w:eastAsia="新宋体" w:cs="新宋体"/>
          <w:color w:val="auto"/>
          <w:sz w:val="24"/>
          <w:highlight w:val="none"/>
        </w:rPr>
        <w:t>工作经验；持证上岗；学校</w:t>
      </w:r>
      <w:r>
        <w:rPr>
          <w:rFonts w:hint="eastAsia" w:ascii="新宋体" w:hAnsi="新宋体" w:eastAsia="新宋体" w:cs="新宋体"/>
          <w:color w:val="auto"/>
          <w:sz w:val="24"/>
          <w:highlight w:val="none"/>
          <w:lang w:val="en-US" w:eastAsia="zh-CN"/>
        </w:rPr>
        <w:t>消控</w:t>
      </w:r>
      <w:r>
        <w:rPr>
          <w:rFonts w:hint="eastAsia" w:ascii="新宋体" w:hAnsi="新宋体" w:eastAsia="新宋体" w:cs="新宋体"/>
          <w:color w:val="auto"/>
          <w:sz w:val="24"/>
          <w:highlight w:val="none"/>
        </w:rPr>
        <w:t>员上岗前必须参加岗前培训，经培训合格后方可上岗；</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绿化工：</w:t>
      </w:r>
      <w:r>
        <w:rPr>
          <w:rFonts w:hint="eastAsia" w:ascii="新宋体" w:hAnsi="新宋体" w:eastAsia="新宋体" w:cs="新宋体"/>
          <w:color w:val="auto"/>
          <w:sz w:val="24"/>
          <w:highlight w:val="none"/>
        </w:rPr>
        <w:t>年龄55周岁以下；具有绿化养护工作经验；</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工程维修人员：年龄55周岁以下；高中以上学历；具有工程维修工作经验；具有相关专业上岗证。</w:t>
      </w:r>
    </w:p>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br w:type="page"/>
      </w:r>
    </w:p>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新宋体" w:hAnsi="新宋体" w:eastAsia="新宋体" w:cs="新宋体"/>
          <w:b/>
          <w:bCs/>
          <w:color w:val="auto"/>
          <w:sz w:val="24"/>
          <w:highlight w:val="none"/>
        </w:rPr>
        <w:t xml:space="preserve"> （四）工作时间要求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40"/>
        <w:gridCol w:w="2107"/>
        <w:gridCol w:w="177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1640" w:type="dxa"/>
            <w:vAlign w:val="center"/>
          </w:tcPr>
          <w:p>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2107" w:type="dxa"/>
            <w:vAlign w:val="center"/>
          </w:tcPr>
          <w:p>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工作日在岗时间</w:t>
            </w:r>
          </w:p>
        </w:tc>
        <w:tc>
          <w:tcPr>
            <w:tcW w:w="1772" w:type="dxa"/>
            <w:vAlign w:val="center"/>
          </w:tcPr>
          <w:p>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bCs/>
                <w:color w:val="auto"/>
                <w:kern w:val="0"/>
                <w:sz w:val="24"/>
                <w:highlight w:val="none"/>
              </w:rPr>
              <w:t>工作时间内应在岗人数（人）</w:t>
            </w:r>
          </w:p>
        </w:tc>
        <w:tc>
          <w:tcPr>
            <w:tcW w:w="2429" w:type="dxa"/>
            <w:vAlign w:val="center"/>
          </w:tcPr>
          <w:p>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lang w:bidi="ar"/>
              </w:rPr>
              <w:t>1</w:t>
            </w:r>
          </w:p>
        </w:tc>
        <w:tc>
          <w:tcPr>
            <w:tcW w:w="1640"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color w:val="auto"/>
                <w:kern w:val="0"/>
                <w:sz w:val="24"/>
                <w:highlight w:val="none"/>
                <w:lang w:bidi="ar"/>
              </w:rPr>
              <w:t>项目经理</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highlight w:val="none"/>
              </w:rPr>
            </w:pPr>
            <w:r>
              <w:rPr>
                <w:rFonts w:hint="eastAsia" w:ascii="宋体" w:hAnsi="宋体" w:eastAsia="宋体" w:cs="宋体"/>
                <w:b w:val="0"/>
                <w:bCs w:val="0"/>
                <w:color w:val="auto"/>
                <w:kern w:val="0"/>
                <w:sz w:val="24"/>
                <w:highlight w:val="none"/>
                <w:lang w:bidi="ar"/>
              </w:rPr>
              <w:t>7:30-16:30</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color w:val="auto"/>
                <w:kern w:val="0"/>
                <w:sz w:val="24"/>
                <w:highlight w:val="none"/>
                <w:lang w:bidi="ar"/>
              </w:rPr>
              <w:t>1</w:t>
            </w:r>
          </w:p>
        </w:tc>
        <w:tc>
          <w:tcPr>
            <w:tcW w:w="2429" w:type="dxa"/>
            <w:vAlign w:val="center"/>
          </w:tcPr>
          <w:p>
            <w:pPr>
              <w:jc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双休日、节假日有需要时来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lang w:bidi="ar"/>
              </w:rPr>
              <w:t>2</w:t>
            </w:r>
          </w:p>
        </w:tc>
        <w:tc>
          <w:tcPr>
            <w:tcW w:w="1640"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color w:val="auto"/>
                <w:kern w:val="0"/>
                <w:sz w:val="24"/>
                <w:highlight w:val="none"/>
                <w:lang w:bidi="ar"/>
              </w:rPr>
              <w:t>保洁主管</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highlight w:val="none"/>
              </w:rPr>
            </w:pPr>
            <w:r>
              <w:rPr>
                <w:rFonts w:hint="eastAsia" w:ascii="宋体" w:hAnsi="宋体" w:eastAsia="宋体" w:cs="宋体"/>
                <w:b w:val="0"/>
                <w:bCs w:val="0"/>
                <w:color w:val="auto"/>
                <w:kern w:val="0"/>
                <w:sz w:val="24"/>
                <w:highlight w:val="none"/>
                <w:lang w:bidi="ar"/>
              </w:rPr>
              <w:t>7:30-17:00</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color w:val="auto"/>
                <w:kern w:val="0"/>
                <w:sz w:val="24"/>
                <w:highlight w:val="none"/>
                <w:lang w:bidi="ar"/>
              </w:rPr>
              <w:t>1</w:t>
            </w:r>
          </w:p>
        </w:tc>
        <w:tc>
          <w:tcPr>
            <w:tcW w:w="2429" w:type="dxa"/>
            <w:vAlign w:val="center"/>
          </w:tcPr>
          <w:p>
            <w:pPr>
              <w:jc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双休日、节假日有需要时来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lang w:bidi="ar"/>
              </w:rPr>
              <w:t>3</w:t>
            </w:r>
          </w:p>
        </w:tc>
        <w:tc>
          <w:tcPr>
            <w:tcW w:w="1640"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常规保洁</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highlight w:val="none"/>
              </w:rPr>
            </w:pPr>
            <w:r>
              <w:rPr>
                <w:rFonts w:hint="eastAsia" w:ascii="宋体" w:hAnsi="宋体" w:eastAsia="宋体" w:cs="宋体"/>
                <w:b w:val="0"/>
                <w:bCs w:val="0"/>
                <w:snapToGrid w:val="0"/>
                <w:color w:val="auto"/>
                <w:kern w:val="0"/>
                <w:sz w:val="24"/>
                <w:highlight w:val="none"/>
              </w:rPr>
              <w:t>7：30-</w:t>
            </w:r>
            <w:r>
              <w:rPr>
                <w:rFonts w:hint="eastAsia" w:ascii="宋体" w:hAnsi="宋体" w:eastAsia="宋体" w:cs="宋体"/>
                <w:b w:val="0"/>
                <w:bCs w:val="0"/>
                <w:color w:val="auto"/>
                <w:kern w:val="0"/>
                <w:sz w:val="24"/>
                <w:highlight w:val="none"/>
                <w:lang w:bidi="ar"/>
              </w:rPr>
              <w:t>17:00</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5</w:t>
            </w:r>
          </w:p>
        </w:tc>
        <w:tc>
          <w:tcPr>
            <w:tcW w:w="2429" w:type="dxa"/>
            <w:vAlign w:val="center"/>
          </w:tcPr>
          <w:p>
            <w:pPr>
              <w:widowControl/>
              <w:jc w:val="center"/>
              <w:textAlignment w:val="center"/>
              <w:rPr>
                <w:rFonts w:hint="default" w:ascii="新宋体" w:hAnsi="新宋体" w:eastAsia="新宋体" w:cs="新宋体"/>
                <w:b w:val="0"/>
                <w:bCs w:val="0"/>
                <w:snapToGrid w:val="0"/>
                <w:color w:val="auto"/>
                <w:kern w:val="0"/>
                <w:sz w:val="24"/>
                <w:highlight w:val="none"/>
                <w:lang w:val="en-US" w:eastAsia="zh-CN"/>
              </w:rPr>
            </w:pPr>
            <w:r>
              <w:rPr>
                <w:rFonts w:hint="eastAsia" w:ascii="新宋体" w:hAnsi="新宋体" w:eastAsia="新宋体" w:cs="新宋体"/>
                <w:b w:val="0"/>
                <w:bCs w:val="0"/>
                <w:snapToGrid w:val="0"/>
                <w:color w:val="auto"/>
                <w:kern w:val="0"/>
                <w:sz w:val="24"/>
                <w:highlight w:val="none"/>
                <w:lang w:val="en-US" w:eastAsia="zh-CN"/>
              </w:rPr>
              <w:t>工作日城南校区</w:t>
            </w:r>
            <w:r>
              <w:rPr>
                <w:rFonts w:hint="eastAsia" w:ascii="新宋体" w:hAnsi="新宋体" w:eastAsia="新宋体" w:cs="新宋体"/>
                <w:b w:val="0"/>
                <w:bCs w:val="0"/>
                <w:snapToGrid w:val="0"/>
                <w:color w:val="auto"/>
                <w:kern w:val="0"/>
                <w:sz w:val="24"/>
                <w:highlight w:val="none"/>
              </w:rPr>
              <w:t>3</w:t>
            </w:r>
            <w:r>
              <w:rPr>
                <w:rFonts w:hint="eastAsia" w:ascii="新宋体" w:hAnsi="新宋体" w:eastAsia="新宋体" w:cs="新宋体"/>
                <w:b w:val="0"/>
                <w:bCs w:val="0"/>
                <w:snapToGrid w:val="0"/>
                <w:color w:val="auto"/>
                <w:kern w:val="0"/>
                <w:sz w:val="24"/>
                <w:highlight w:val="none"/>
                <w:lang w:val="en-US" w:eastAsia="zh-CN"/>
              </w:rPr>
              <w:t>人，城</w:t>
            </w:r>
            <w:r>
              <w:rPr>
                <w:rFonts w:hint="eastAsia" w:ascii="新宋体" w:hAnsi="新宋体" w:eastAsia="新宋体" w:cs="新宋体"/>
                <w:b w:val="0"/>
                <w:bCs w:val="0"/>
                <w:snapToGrid w:val="0"/>
                <w:color w:val="auto"/>
                <w:kern w:val="0"/>
                <w:sz w:val="24"/>
                <w:highlight w:val="none"/>
              </w:rPr>
              <w:t>东</w:t>
            </w:r>
            <w:r>
              <w:rPr>
                <w:rFonts w:hint="eastAsia" w:ascii="新宋体" w:hAnsi="新宋体" w:eastAsia="新宋体" w:cs="新宋体"/>
                <w:b w:val="0"/>
                <w:bCs w:val="0"/>
                <w:snapToGrid w:val="0"/>
                <w:color w:val="auto"/>
                <w:kern w:val="0"/>
                <w:sz w:val="24"/>
                <w:highlight w:val="none"/>
                <w:lang w:val="en-US" w:eastAsia="zh-CN"/>
              </w:rPr>
              <w:t>校区</w:t>
            </w:r>
            <w:r>
              <w:rPr>
                <w:rFonts w:hint="eastAsia" w:ascii="新宋体" w:hAnsi="新宋体" w:eastAsia="新宋体" w:cs="新宋体"/>
                <w:b w:val="0"/>
                <w:bCs w:val="0"/>
                <w:snapToGrid w:val="0"/>
                <w:color w:val="auto"/>
                <w:kern w:val="0"/>
                <w:sz w:val="24"/>
                <w:highlight w:val="none"/>
              </w:rPr>
              <w:t>2</w:t>
            </w:r>
            <w:r>
              <w:rPr>
                <w:rFonts w:hint="eastAsia" w:ascii="新宋体" w:hAnsi="新宋体" w:eastAsia="新宋体" w:cs="新宋体"/>
                <w:b w:val="0"/>
                <w:bCs w:val="0"/>
                <w:snapToGrid w:val="0"/>
                <w:color w:val="auto"/>
                <w:kern w:val="0"/>
                <w:sz w:val="24"/>
                <w:highlight w:val="none"/>
                <w:lang w:val="en-US" w:eastAsia="zh-CN"/>
              </w:rPr>
              <w:t>人</w:t>
            </w:r>
            <w:r>
              <w:rPr>
                <w:rFonts w:hint="eastAsia" w:ascii="新宋体" w:hAnsi="新宋体" w:eastAsia="新宋体" w:cs="新宋体"/>
                <w:b w:val="0"/>
                <w:bCs w:val="0"/>
                <w:snapToGrid w:val="0"/>
                <w:color w:val="auto"/>
                <w:kern w:val="0"/>
                <w:sz w:val="24"/>
                <w:highlight w:val="none"/>
              </w:rPr>
              <w:t>；双休日、节假日</w:t>
            </w:r>
            <w:r>
              <w:rPr>
                <w:rFonts w:hint="eastAsia" w:ascii="新宋体" w:hAnsi="新宋体" w:eastAsia="新宋体" w:cs="新宋体"/>
                <w:b w:val="0"/>
                <w:bCs w:val="0"/>
                <w:snapToGrid w:val="0"/>
                <w:color w:val="auto"/>
                <w:kern w:val="0"/>
                <w:sz w:val="24"/>
                <w:highlight w:val="none"/>
                <w:lang w:val="en-US" w:eastAsia="zh-CN"/>
              </w:rPr>
              <w:t>两校区各安排1人。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4</w:t>
            </w:r>
          </w:p>
        </w:tc>
        <w:tc>
          <w:tcPr>
            <w:tcW w:w="1640"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延时保洁</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highlight w:val="none"/>
              </w:rPr>
            </w:pPr>
            <w:r>
              <w:rPr>
                <w:rFonts w:hint="eastAsia" w:ascii="宋体" w:hAnsi="宋体" w:eastAsia="宋体" w:cs="宋体"/>
                <w:b w:val="0"/>
                <w:bCs w:val="0"/>
                <w:snapToGrid w:val="0"/>
                <w:color w:val="auto"/>
                <w:kern w:val="0"/>
                <w:sz w:val="24"/>
                <w:highlight w:val="none"/>
              </w:rPr>
              <w:t>7：30-17：50（夏令）</w:t>
            </w:r>
          </w:p>
          <w:p>
            <w:pPr>
              <w:widowControl/>
              <w:jc w:val="center"/>
              <w:textAlignment w:val="center"/>
              <w:rPr>
                <w:rFonts w:hint="eastAsia" w:ascii="宋体" w:hAnsi="宋体" w:eastAsia="宋体" w:cs="宋体"/>
                <w:b w:val="0"/>
                <w:bCs w:val="0"/>
                <w:color w:val="auto"/>
                <w:highlight w:val="none"/>
              </w:rPr>
            </w:pPr>
            <w:r>
              <w:rPr>
                <w:rFonts w:hint="eastAsia" w:ascii="宋体" w:hAnsi="宋体" w:eastAsia="宋体" w:cs="宋体"/>
                <w:b w:val="0"/>
                <w:bCs w:val="0"/>
                <w:snapToGrid w:val="0"/>
                <w:color w:val="auto"/>
                <w:kern w:val="0"/>
                <w:sz w:val="24"/>
                <w:highlight w:val="none"/>
              </w:rPr>
              <w:t>7：30-17：30（冬令）</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4</w:t>
            </w:r>
          </w:p>
        </w:tc>
        <w:tc>
          <w:tcPr>
            <w:tcW w:w="2429"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每校区2人</w:t>
            </w:r>
            <w:r>
              <w:rPr>
                <w:rFonts w:hint="eastAsia" w:ascii="新宋体" w:hAnsi="新宋体" w:eastAsia="新宋体" w:cs="新宋体"/>
                <w:b w:val="0"/>
                <w:bCs w:val="0"/>
                <w:snapToGrid w:val="0"/>
                <w:color w:val="auto"/>
                <w:kern w:val="0"/>
                <w:sz w:val="24"/>
                <w:highlight w:val="none"/>
                <w:lang w:eastAsia="zh-CN"/>
              </w:rPr>
              <w:t>，</w:t>
            </w:r>
            <w:r>
              <w:rPr>
                <w:rFonts w:hint="eastAsia" w:ascii="新宋体" w:hAnsi="新宋体" w:eastAsia="新宋体" w:cs="新宋体"/>
                <w:b w:val="0"/>
                <w:bCs w:val="0"/>
                <w:snapToGrid w:val="0"/>
                <w:color w:val="auto"/>
                <w:kern w:val="0"/>
                <w:sz w:val="24"/>
                <w:highlight w:val="none"/>
              </w:rPr>
              <w:t>对卫生间等进行放学后保洁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5</w:t>
            </w:r>
          </w:p>
        </w:tc>
        <w:tc>
          <w:tcPr>
            <w:tcW w:w="1640" w:type="dxa"/>
            <w:vAlign w:val="center"/>
          </w:tcPr>
          <w:p>
            <w:pPr>
              <w:widowControl/>
              <w:jc w:val="center"/>
              <w:textAlignment w:val="center"/>
              <w:rPr>
                <w:rFonts w:ascii="新宋体" w:hAnsi="新宋体" w:eastAsia="新宋体" w:cs="新宋体"/>
                <w:b w:val="0"/>
                <w:bCs w:val="0"/>
                <w:snapToGrid w:val="0"/>
                <w:color w:val="auto"/>
                <w:kern w:val="0"/>
                <w:sz w:val="24"/>
                <w:szCs w:val="24"/>
                <w:highlight w:val="none"/>
              </w:rPr>
            </w:pPr>
            <w:r>
              <w:rPr>
                <w:rFonts w:hint="eastAsia" w:ascii="新宋体" w:hAnsi="新宋体" w:eastAsia="新宋体" w:cs="新宋体"/>
                <w:b w:val="0"/>
                <w:bCs w:val="0"/>
                <w:color w:val="auto"/>
                <w:kern w:val="0"/>
                <w:sz w:val="24"/>
                <w:szCs w:val="24"/>
                <w:highlight w:val="none"/>
                <w:lang w:bidi="ar"/>
              </w:rPr>
              <w:t>保安主管</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kern w:val="0"/>
                <w:sz w:val="24"/>
                <w:szCs w:val="24"/>
                <w:highlight w:val="none"/>
                <w:lang w:bidi="ar"/>
              </w:rPr>
              <w:t>7:00-17:30</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szCs w:val="24"/>
                <w:highlight w:val="none"/>
              </w:rPr>
            </w:pPr>
            <w:r>
              <w:rPr>
                <w:rFonts w:hint="eastAsia" w:ascii="新宋体" w:hAnsi="新宋体" w:eastAsia="新宋体" w:cs="新宋体"/>
                <w:b w:val="0"/>
                <w:bCs w:val="0"/>
                <w:color w:val="auto"/>
                <w:kern w:val="0"/>
                <w:sz w:val="24"/>
                <w:szCs w:val="24"/>
                <w:highlight w:val="none"/>
                <w:lang w:bidi="ar"/>
              </w:rPr>
              <w:t>1</w:t>
            </w:r>
          </w:p>
        </w:tc>
        <w:tc>
          <w:tcPr>
            <w:tcW w:w="2429" w:type="dxa"/>
            <w:vAlign w:val="center"/>
          </w:tcPr>
          <w:p>
            <w:pPr>
              <w:jc w:val="center"/>
              <w:rPr>
                <w:rFonts w:hint="default" w:ascii="新宋体" w:hAnsi="新宋体" w:eastAsia="新宋体" w:cs="新宋体"/>
                <w:b w:val="0"/>
                <w:bCs w:val="0"/>
                <w:snapToGrid w:val="0"/>
                <w:color w:val="auto"/>
                <w:kern w:val="0"/>
                <w:sz w:val="24"/>
                <w:szCs w:val="24"/>
                <w:highlight w:val="none"/>
                <w:lang w:val="en-US" w:eastAsia="zh-CN"/>
              </w:rPr>
            </w:pPr>
            <w:r>
              <w:rPr>
                <w:rFonts w:hint="eastAsia" w:ascii="新宋体" w:hAnsi="新宋体" w:eastAsia="新宋体" w:cs="新宋体"/>
                <w:b w:val="0"/>
                <w:bCs w:val="0"/>
                <w:snapToGrid w:val="0"/>
                <w:color w:val="auto"/>
                <w:kern w:val="0"/>
                <w:sz w:val="24"/>
                <w:szCs w:val="24"/>
                <w:highlight w:val="none"/>
                <w:lang w:val="en-US" w:eastAsia="zh-CN"/>
              </w:rPr>
              <w:t>双休日、节假日有需要时来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6</w:t>
            </w:r>
          </w:p>
        </w:tc>
        <w:tc>
          <w:tcPr>
            <w:tcW w:w="1640" w:type="dxa"/>
            <w:vAlign w:val="center"/>
          </w:tcPr>
          <w:p>
            <w:pPr>
              <w:widowControl/>
              <w:jc w:val="center"/>
              <w:textAlignment w:val="center"/>
              <w:rPr>
                <w:rFonts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保安</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kern w:val="0"/>
                <w:sz w:val="24"/>
                <w:szCs w:val="24"/>
                <w:highlight w:val="none"/>
                <w:lang w:bidi="ar"/>
              </w:rPr>
              <w:t>7:00-17:30</w:t>
            </w:r>
          </w:p>
        </w:tc>
        <w:tc>
          <w:tcPr>
            <w:tcW w:w="1772" w:type="dxa"/>
            <w:vAlign w:val="center"/>
          </w:tcPr>
          <w:p>
            <w:pPr>
              <w:widowControl/>
              <w:jc w:val="center"/>
              <w:textAlignment w:val="center"/>
              <w:rPr>
                <w:rFonts w:hint="default" w:ascii="新宋体" w:hAnsi="新宋体" w:eastAsia="新宋体" w:cs="新宋体"/>
                <w:b w:val="0"/>
                <w:bCs w:val="0"/>
                <w:snapToGrid w:val="0"/>
                <w:color w:val="auto"/>
                <w:kern w:val="0"/>
                <w:sz w:val="24"/>
                <w:szCs w:val="24"/>
                <w:highlight w:val="none"/>
                <w:lang w:val="en-US" w:eastAsia="zh-CN"/>
              </w:rPr>
            </w:pPr>
            <w:r>
              <w:rPr>
                <w:rFonts w:hint="eastAsia" w:ascii="新宋体" w:hAnsi="新宋体" w:eastAsia="新宋体" w:cs="新宋体"/>
                <w:b w:val="0"/>
                <w:bCs w:val="0"/>
                <w:snapToGrid w:val="0"/>
                <w:color w:val="auto"/>
                <w:kern w:val="0"/>
                <w:sz w:val="24"/>
                <w:szCs w:val="24"/>
                <w:highlight w:val="none"/>
                <w:lang w:val="en-US" w:eastAsia="zh-CN"/>
              </w:rPr>
              <w:t>7</w:t>
            </w:r>
          </w:p>
        </w:tc>
        <w:tc>
          <w:tcPr>
            <w:tcW w:w="2429" w:type="dxa"/>
            <w:vAlign w:val="center"/>
          </w:tcPr>
          <w:p>
            <w:pPr>
              <w:widowControl/>
              <w:jc w:val="center"/>
              <w:textAlignment w:val="center"/>
              <w:rPr>
                <w:rFonts w:hint="default" w:ascii="新宋体" w:hAnsi="新宋体" w:eastAsia="新宋体" w:cs="新宋体"/>
                <w:b w:val="0"/>
                <w:bCs w:val="0"/>
                <w:snapToGrid w:val="0"/>
                <w:color w:val="auto"/>
                <w:kern w:val="0"/>
                <w:sz w:val="24"/>
                <w:szCs w:val="24"/>
                <w:highlight w:val="none"/>
                <w:lang w:val="en-US" w:eastAsia="zh-CN"/>
              </w:rPr>
            </w:pPr>
            <w:r>
              <w:rPr>
                <w:rFonts w:hint="eastAsia" w:ascii="新宋体" w:hAnsi="新宋体" w:eastAsia="新宋体" w:cs="新宋体"/>
                <w:b w:val="0"/>
                <w:bCs w:val="0"/>
                <w:snapToGrid w:val="0"/>
                <w:color w:val="auto"/>
                <w:kern w:val="0"/>
                <w:sz w:val="24"/>
                <w:szCs w:val="24"/>
                <w:highlight w:val="none"/>
                <w:lang w:val="en-US" w:eastAsia="zh-CN"/>
              </w:rPr>
              <w:t>双休日、节假日3人在岗，如遇特殊情况，需增加人数。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7</w:t>
            </w:r>
          </w:p>
        </w:tc>
        <w:tc>
          <w:tcPr>
            <w:tcW w:w="1640" w:type="dxa"/>
            <w:vAlign w:val="center"/>
          </w:tcPr>
          <w:p>
            <w:pPr>
              <w:widowControl/>
              <w:jc w:val="center"/>
              <w:textAlignment w:val="center"/>
              <w:rPr>
                <w:rFonts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保安</w:t>
            </w:r>
          </w:p>
        </w:tc>
        <w:tc>
          <w:tcPr>
            <w:tcW w:w="2107" w:type="dxa"/>
            <w:vAlign w:val="center"/>
          </w:tcPr>
          <w:p>
            <w:pPr>
              <w:pStyle w:val="2"/>
              <w:ind w:left="432" w:leftChars="0" w:hanging="432" w:firstLineChars="0"/>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bidi="ar"/>
              </w:rPr>
              <w:t>17:30-</w:t>
            </w:r>
            <w:r>
              <w:rPr>
                <w:rFonts w:hint="eastAsia" w:ascii="宋体" w:hAnsi="宋体" w:eastAsia="宋体" w:cs="宋体"/>
                <w:b w:val="0"/>
                <w:bCs w:val="0"/>
                <w:color w:val="auto"/>
                <w:sz w:val="24"/>
                <w:szCs w:val="24"/>
                <w:highlight w:val="none"/>
                <w:lang w:val="en-US" w:bidi="ar"/>
              </w:rPr>
              <w:t>7:00</w:t>
            </w:r>
          </w:p>
        </w:tc>
        <w:tc>
          <w:tcPr>
            <w:tcW w:w="1772" w:type="dxa"/>
            <w:vAlign w:val="center"/>
          </w:tcPr>
          <w:p>
            <w:pPr>
              <w:widowControl/>
              <w:jc w:val="center"/>
              <w:textAlignment w:val="center"/>
              <w:rPr>
                <w:rFonts w:hint="eastAsia" w:ascii="新宋体" w:hAnsi="新宋体" w:eastAsia="新宋体" w:cs="新宋体"/>
                <w:b w:val="0"/>
                <w:bCs w:val="0"/>
                <w:snapToGrid w:val="0"/>
                <w:color w:val="auto"/>
                <w:kern w:val="0"/>
                <w:sz w:val="24"/>
                <w:szCs w:val="24"/>
                <w:highlight w:val="none"/>
                <w:lang w:val="en-US" w:eastAsia="zh-CN"/>
              </w:rPr>
            </w:pPr>
            <w:r>
              <w:rPr>
                <w:rFonts w:hint="eastAsia" w:ascii="新宋体" w:hAnsi="新宋体" w:eastAsia="新宋体" w:cs="新宋体"/>
                <w:b w:val="0"/>
                <w:bCs w:val="0"/>
                <w:snapToGrid w:val="0"/>
                <w:color w:val="auto"/>
                <w:kern w:val="0"/>
                <w:sz w:val="24"/>
                <w:szCs w:val="24"/>
                <w:highlight w:val="none"/>
                <w:lang w:val="en-US" w:eastAsia="zh-CN"/>
              </w:rPr>
              <w:t>2</w:t>
            </w:r>
          </w:p>
        </w:tc>
        <w:tc>
          <w:tcPr>
            <w:tcW w:w="2429" w:type="dxa"/>
            <w:vAlign w:val="center"/>
          </w:tcPr>
          <w:p>
            <w:pPr>
              <w:widowControl/>
              <w:jc w:val="center"/>
              <w:textAlignment w:val="center"/>
              <w:rPr>
                <w:rFonts w:ascii="新宋体" w:hAnsi="新宋体" w:eastAsia="新宋体" w:cs="新宋体"/>
                <w:b w:val="0"/>
                <w:bCs w:val="0"/>
                <w:snapToGrid w:val="0"/>
                <w:color w:val="auto"/>
                <w:kern w:val="0"/>
                <w:sz w:val="24"/>
                <w:szCs w:val="24"/>
                <w:highlight w:val="none"/>
              </w:rPr>
            </w:pPr>
            <w:r>
              <w:rPr>
                <w:rFonts w:hint="eastAsia" w:ascii="新宋体" w:hAnsi="新宋体" w:eastAsia="新宋体" w:cs="新宋体"/>
                <w:b w:val="0"/>
                <w:bCs w:val="0"/>
                <w:snapToGrid w:val="0"/>
                <w:color w:val="auto"/>
                <w:kern w:val="0"/>
                <w:sz w:val="24"/>
                <w:szCs w:val="24"/>
                <w:highlight w:val="none"/>
                <w:lang w:val="en-US" w:eastAsia="zh-CN"/>
              </w:rPr>
              <w:t>双休日、节假日2人在岗，如遇特殊情况，需增加人数。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8</w:t>
            </w:r>
          </w:p>
        </w:tc>
        <w:tc>
          <w:tcPr>
            <w:tcW w:w="1640" w:type="dxa"/>
            <w:vAlign w:val="center"/>
          </w:tcPr>
          <w:p>
            <w:pPr>
              <w:widowControl/>
              <w:jc w:val="center"/>
              <w:textAlignment w:val="center"/>
              <w:rPr>
                <w:rFonts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消控员</w:t>
            </w:r>
          </w:p>
        </w:tc>
        <w:tc>
          <w:tcPr>
            <w:tcW w:w="2107" w:type="dxa"/>
            <w:vAlign w:val="center"/>
          </w:tcPr>
          <w:p>
            <w:pPr>
              <w:widowControl/>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7:00-19:00</w:t>
            </w:r>
          </w:p>
          <w:p>
            <w:pPr>
              <w:widowControl/>
              <w:jc w:val="center"/>
              <w:textAlignment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lang w:bidi="ar"/>
              </w:rPr>
              <w:t>19:00-7:00</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szCs w:val="24"/>
                <w:highlight w:val="none"/>
              </w:rPr>
            </w:pPr>
            <w:r>
              <w:rPr>
                <w:rFonts w:hint="eastAsia" w:ascii="新宋体" w:hAnsi="新宋体" w:eastAsia="新宋体" w:cs="新宋体"/>
                <w:b w:val="0"/>
                <w:bCs w:val="0"/>
                <w:snapToGrid w:val="0"/>
                <w:color w:val="auto"/>
                <w:kern w:val="0"/>
                <w:sz w:val="24"/>
                <w:szCs w:val="24"/>
                <w:highlight w:val="none"/>
              </w:rPr>
              <w:t>6</w:t>
            </w:r>
          </w:p>
        </w:tc>
        <w:tc>
          <w:tcPr>
            <w:tcW w:w="2429" w:type="dxa"/>
            <w:vAlign w:val="center"/>
          </w:tcPr>
          <w:p>
            <w:pPr>
              <w:jc w:val="center"/>
              <w:rPr>
                <w:rFonts w:ascii="新宋体" w:hAnsi="新宋体" w:eastAsia="新宋体" w:cs="新宋体"/>
                <w:b w:val="0"/>
                <w:bCs w:val="0"/>
                <w:snapToGrid w:val="0"/>
                <w:color w:val="auto"/>
                <w:kern w:val="0"/>
                <w:sz w:val="24"/>
                <w:szCs w:val="24"/>
                <w:highlight w:val="none"/>
              </w:rPr>
            </w:pPr>
            <w:r>
              <w:rPr>
                <w:rFonts w:hint="eastAsia" w:ascii="新宋体" w:hAnsi="新宋体" w:eastAsia="新宋体" w:cs="新宋体"/>
                <w:b w:val="0"/>
                <w:bCs w:val="0"/>
                <w:snapToGrid w:val="0"/>
                <w:color w:val="auto"/>
                <w:kern w:val="0"/>
                <w:sz w:val="24"/>
                <w:szCs w:val="24"/>
                <w:highlight w:val="none"/>
              </w:rPr>
              <w:t>两校区每班1名消控，确保人员24小时在岗，2人轮休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9</w:t>
            </w:r>
          </w:p>
        </w:tc>
        <w:tc>
          <w:tcPr>
            <w:tcW w:w="1640" w:type="dxa"/>
            <w:vAlign w:val="center"/>
          </w:tcPr>
          <w:p>
            <w:pPr>
              <w:widowControl/>
              <w:jc w:val="center"/>
              <w:textAlignment w:val="center"/>
              <w:rPr>
                <w:rFonts w:ascii="新宋体" w:hAnsi="新宋体" w:eastAsia="新宋体" w:cs="新宋体"/>
                <w:b w:val="0"/>
                <w:bCs w:val="0"/>
                <w:color w:val="auto"/>
                <w:sz w:val="24"/>
                <w:highlight w:val="none"/>
              </w:rPr>
            </w:pPr>
            <w:r>
              <w:rPr>
                <w:rFonts w:hint="eastAsia" w:ascii="新宋体" w:hAnsi="新宋体" w:eastAsia="新宋体" w:cs="新宋体"/>
                <w:b w:val="0"/>
                <w:bCs w:val="0"/>
                <w:color w:val="auto"/>
                <w:sz w:val="24"/>
                <w:highlight w:val="none"/>
              </w:rPr>
              <w:t>绿化工</w:t>
            </w:r>
          </w:p>
        </w:tc>
        <w:tc>
          <w:tcPr>
            <w:tcW w:w="2107" w:type="dxa"/>
            <w:vAlign w:val="center"/>
          </w:tcPr>
          <w:p>
            <w:pPr>
              <w:widowControl/>
              <w:jc w:val="center"/>
              <w:textAlignment w:val="center"/>
              <w:rPr>
                <w:rFonts w:hint="eastAsia" w:ascii="宋体" w:hAnsi="宋体" w:eastAsia="宋体" w:cs="宋体"/>
                <w:b w:val="0"/>
                <w:bCs w:val="0"/>
                <w:snapToGrid w:val="0"/>
                <w:color w:val="auto"/>
                <w:kern w:val="0"/>
                <w:sz w:val="24"/>
                <w:highlight w:val="none"/>
              </w:rPr>
            </w:pPr>
            <w:r>
              <w:rPr>
                <w:rFonts w:hint="eastAsia" w:ascii="宋体" w:hAnsi="宋体" w:eastAsia="宋体" w:cs="宋体"/>
                <w:b w:val="0"/>
                <w:bCs w:val="0"/>
                <w:color w:val="auto"/>
                <w:kern w:val="0"/>
                <w:sz w:val="24"/>
                <w:highlight w:val="none"/>
                <w:lang w:bidi="ar"/>
              </w:rPr>
              <w:t>7:30-17:00</w:t>
            </w:r>
          </w:p>
        </w:tc>
        <w:tc>
          <w:tcPr>
            <w:tcW w:w="1772" w:type="dxa"/>
            <w:vAlign w:val="center"/>
          </w:tcPr>
          <w:p>
            <w:pPr>
              <w:widowControl/>
              <w:jc w:val="center"/>
              <w:textAlignment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color w:val="auto"/>
                <w:kern w:val="0"/>
                <w:sz w:val="24"/>
                <w:highlight w:val="none"/>
                <w:lang w:bidi="ar"/>
              </w:rPr>
              <w:t>1</w:t>
            </w:r>
          </w:p>
        </w:tc>
        <w:tc>
          <w:tcPr>
            <w:tcW w:w="2429" w:type="dxa"/>
            <w:vAlign w:val="center"/>
          </w:tcPr>
          <w:p>
            <w:pPr>
              <w:jc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双休日、节假日有需要时来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6" w:type="dxa"/>
            <w:vAlign w:val="center"/>
          </w:tcPr>
          <w:p>
            <w:pPr>
              <w:widowControl/>
              <w:jc w:val="center"/>
              <w:textAlignment w:val="center"/>
              <w:rPr>
                <w:rFonts w:ascii="新宋体" w:hAnsi="新宋体" w:eastAsia="新宋体" w:cs="新宋体"/>
                <w:b w:val="0"/>
                <w:bCs w:val="0"/>
                <w:color w:val="auto"/>
                <w:kern w:val="0"/>
                <w:sz w:val="24"/>
                <w:highlight w:val="none"/>
              </w:rPr>
            </w:pPr>
            <w:r>
              <w:rPr>
                <w:rFonts w:hint="eastAsia" w:ascii="新宋体" w:hAnsi="新宋体" w:eastAsia="新宋体" w:cs="新宋体"/>
                <w:b w:val="0"/>
                <w:bCs w:val="0"/>
                <w:color w:val="auto"/>
                <w:kern w:val="0"/>
                <w:sz w:val="24"/>
                <w:highlight w:val="none"/>
              </w:rPr>
              <w:t>10</w:t>
            </w:r>
          </w:p>
        </w:tc>
        <w:tc>
          <w:tcPr>
            <w:tcW w:w="1640" w:type="dxa"/>
            <w:vAlign w:val="center"/>
          </w:tcPr>
          <w:p>
            <w:pPr>
              <w:widowControl/>
              <w:jc w:val="center"/>
              <w:textAlignment w:val="center"/>
              <w:rPr>
                <w:rFonts w:hint="eastAsia" w:ascii="新宋体" w:hAnsi="新宋体" w:eastAsia="新宋体" w:cs="新宋体"/>
                <w:b w:val="0"/>
                <w:bCs w:val="0"/>
                <w:color w:val="auto"/>
                <w:kern w:val="0"/>
                <w:sz w:val="24"/>
                <w:highlight w:val="none"/>
                <w:lang w:bidi="ar"/>
              </w:rPr>
            </w:pPr>
            <w:r>
              <w:rPr>
                <w:rFonts w:hint="eastAsia" w:ascii="新宋体" w:hAnsi="新宋体" w:eastAsia="新宋体" w:cs="新宋体"/>
                <w:b w:val="0"/>
                <w:bCs w:val="0"/>
                <w:color w:val="auto"/>
                <w:kern w:val="0"/>
                <w:sz w:val="24"/>
                <w:highlight w:val="none"/>
                <w:lang w:bidi="ar"/>
              </w:rPr>
              <w:t>工程维修员</w:t>
            </w:r>
          </w:p>
        </w:tc>
        <w:tc>
          <w:tcPr>
            <w:tcW w:w="2107" w:type="dxa"/>
            <w:vAlign w:val="center"/>
          </w:tcPr>
          <w:p>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7:30-17:00</w:t>
            </w:r>
          </w:p>
        </w:tc>
        <w:tc>
          <w:tcPr>
            <w:tcW w:w="1772" w:type="dxa"/>
            <w:vAlign w:val="center"/>
          </w:tcPr>
          <w:p>
            <w:pPr>
              <w:widowControl/>
              <w:jc w:val="center"/>
              <w:textAlignment w:val="center"/>
              <w:rPr>
                <w:rFonts w:hint="eastAsia" w:ascii="新宋体" w:hAnsi="新宋体" w:eastAsia="新宋体" w:cs="新宋体"/>
                <w:b w:val="0"/>
                <w:bCs w:val="0"/>
                <w:color w:val="auto"/>
                <w:kern w:val="0"/>
                <w:sz w:val="24"/>
                <w:highlight w:val="none"/>
                <w:lang w:bidi="ar"/>
              </w:rPr>
            </w:pPr>
            <w:r>
              <w:rPr>
                <w:rFonts w:hint="eastAsia" w:ascii="新宋体" w:hAnsi="新宋体" w:eastAsia="新宋体" w:cs="新宋体"/>
                <w:b w:val="0"/>
                <w:bCs w:val="0"/>
                <w:color w:val="auto"/>
                <w:kern w:val="0"/>
                <w:sz w:val="24"/>
                <w:highlight w:val="none"/>
                <w:lang w:bidi="ar"/>
              </w:rPr>
              <w:t>3</w:t>
            </w:r>
          </w:p>
        </w:tc>
        <w:tc>
          <w:tcPr>
            <w:tcW w:w="2429" w:type="dxa"/>
            <w:vAlign w:val="bottom"/>
          </w:tcPr>
          <w:p>
            <w:pPr>
              <w:jc w:val="center"/>
              <w:rPr>
                <w:rFonts w:ascii="新宋体" w:hAnsi="新宋体" w:eastAsia="新宋体" w:cs="新宋体"/>
                <w:b w:val="0"/>
                <w:bCs w:val="0"/>
                <w:snapToGrid w:val="0"/>
                <w:color w:val="auto"/>
                <w:kern w:val="0"/>
                <w:sz w:val="24"/>
                <w:highlight w:val="none"/>
              </w:rPr>
            </w:pPr>
            <w:r>
              <w:rPr>
                <w:rFonts w:hint="eastAsia" w:ascii="新宋体" w:hAnsi="新宋体" w:eastAsia="新宋体" w:cs="新宋体"/>
                <w:b w:val="0"/>
                <w:bCs w:val="0"/>
                <w:snapToGrid w:val="0"/>
                <w:color w:val="auto"/>
                <w:kern w:val="0"/>
                <w:sz w:val="24"/>
                <w:highlight w:val="none"/>
              </w:rPr>
              <w:t>双休日、节假日有需要时来</w:t>
            </w:r>
          </w:p>
        </w:tc>
      </w:tr>
    </w:tbl>
    <w:p>
      <w:pPr>
        <w:pStyle w:val="4"/>
        <w:widowControl/>
        <w:shd w:val="clear" w:color="auto" w:fill="FFFFFF"/>
        <w:spacing w:after="48" w:line="360" w:lineRule="auto"/>
        <w:ind w:left="0" w:firstLine="0"/>
        <w:rPr>
          <w:rFonts w:ascii="新宋体" w:hAnsi="新宋体" w:eastAsia="新宋体" w:cs="新宋体"/>
          <w:color w:val="auto"/>
          <w:sz w:val="24"/>
          <w:szCs w:val="24"/>
          <w:highlight w:val="none"/>
        </w:rPr>
        <w:sectPr>
          <w:footerReference r:id="rId9" w:type="first"/>
          <w:footerReference r:id="rId8" w:type="default"/>
          <w:pgSz w:w="11900" w:h="16840"/>
          <w:pgMar w:top="1431" w:right="1599" w:bottom="0" w:left="1710" w:header="0" w:footer="0" w:gutter="0"/>
          <w:pgBorders>
            <w:top w:val="none" w:sz="0" w:space="0"/>
            <w:left w:val="none" w:sz="0" w:space="0"/>
            <w:bottom w:val="none" w:sz="0" w:space="0"/>
            <w:right w:val="none" w:sz="0" w:space="0"/>
          </w:pgBorders>
          <w:cols w:space="720" w:num="1"/>
          <w:titlePg/>
          <w:docGrid w:type="lines" w:linePitch="312"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》相关规定，应满足采购人工作日、双休日、节假日的全部工作任务，</w:t>
      </w:r>
      <w:r>
        <w:rPr>
          <w:rFonts w:hint="eastAsia" w:ascii="新宋体" w:hAnsi="新宋体" w:eastAsia="新宋体" w:cs="新宋体"/>
          <w:color w:val="auto"/>
          <w:kern w:val="0"/>
          <w:sz w:val="24"/>
          <w:szCs w:val="24"/>
          <w:highlight w:val="none"/>
          <w:lang w:val="en-US" w:eastAsia="zh-CN"/>
        </w:rPr>
        <w:t>保安人员工作日一般有2人轮休。</w:t>
      </w:r>
      <w:r>
        <w:rPr>
          <w:rFonts w:hint="eastAsia" w:ascii="新宋体" w:hAnsi="新宋体" w:eastAsia="新宋体" w:cs="新宋体"/>
          <w:color w:val="auto"/>
          <w:kern w:val="0"/>
          <w:sz w:val="24"/>
          <w:szCs w:val="24"/>
          <w:highlight w:val="none"/>
        </w:rPr>
        <w:t>投标人自行合理安排员工休息时间，如产生替班加班情况，均由投标人自行承担相应费用。</w:t>
      </w:r>
    </w:p>
    <w:p>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pPr>
        <w:spacing w:line="360" w:lineRule="auto"/>
        <w:rPr>
          <w:rFonts w:ascii="新宋体" w:hAnsi="新宋体" w:eastAsia="新宋体" w:cs="新宋体"/>
          <w:color w:val="auto"/>
          <w:sz w:val="24"/>
          <w:highlight w:val="none"/>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pPr>
              <w:spacing w:before="94" w:line="360"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Pr>
          <w:p>
            <w:pPr>
              <w:spacing w:before="94" w:line="360"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tcPr>
          <w:p>
            <w:pPr>
              <w:spacing w:before="93" w:line="360"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仪容仪</w:t>
            </w:r>
            <w:r>
              <w:rPr>
                <w:rFonts w:hint="eastAsia" w:ascii="新宋体" w:hAnsi="新宋体" w:eastAsia="新宋体" w:cs="新宋体"/>
                <w:color w:val="auto"/>
                <w:sz w:val="24"/>
                <w:highlight w:val="none"/>
              </w:rPr>
              <w:t>表</w:t>
            </w: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（工作服款式需经采购人确认）；</w:t>
            </w:r>
          </w:p>
          <w:p>
            <w:pPr>
              <w:spacing w:before="92"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、鞋袜穿戴整齐清洁，室内保洁不允许打赤脚或穿雨鞋到处走。特殊工作完毕应在工作场所将鞋擦干净再走；</w:t>
            </w:r>
          </w:p>
          <w:p>
            <w:pPr>
              <w:spacing w:before="91"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1" w:line="360"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pPr>
              <w:spacing w:before="88"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Pr>
          <w:p>
            <w:pPr>
              <w:spacing w:before="34"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pPr>
              <w:spacing w:before="87"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tcPr>
          <w:p>
            <w:pPr>
              <w:spacing w:before="93" w:line="36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行  为  举  </w:t>
            </w:r>
            <w:r>
              <w:rPr>
                <w:rFonts w:hint="eastAsia" w:ascii="新宋体" w:hAnsi="新宋体" w:eastAsia="新宋体" w:cs="新宋体"/>
                <w:color w:val="auto"/>
                <w:sz w:val="24"/>
                <w:highlight w:val="none"/>
              </w:rPr>
              <w:t>止</w:t>
            </w:r>
          </w:p>
        </w:tc>
        <w:tc>
          <w:tcPr>
            <w:tcW w:w="2053" w:type="dxa"/>
          </w:tcPr>
          <w:p>
            <w:pPr>
              <w:spacing w:before="207"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Pr>
          <w:p>
            <w:pPr>
              <w:spacing w:before="35"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Pr>
          <w:p>
            <w:pPr>
              <w:spacing w:before="3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6" w:line="360"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Pr>
          <w:p>
            <w:pPr>
              <w:spacing w:before="9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tc>
      </w:tr>
    </w:tbl>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cols w:space="720" w:num="1"/>
          <w:docGrid w:type="lines" w:linePitch="319" w:charSpace="0"/>
        </w:sect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tc>
        <w:tc>
          <w:tcPr>
            <w:tcW w:w="11777" w:type="dxa"/>
          </w:tcPr>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pPr>
              <w:spacing w:before="92" w:line="360"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礼貌用</w:t>
            </w:r>
            <w:r>
              <w:rPr>
                <w:rFonts w:hint="eastAsia" w:ascii="新宋体" w:hAnsi="新宋体" w:eastAsia="新宋体" w:cs="新宋体"/>
                <w:color w:val="auto"/>
                <w:sz w:val="24"/>
                <w:highlight w:val="none"/>
              </w:rPr>
              <w:t>语</w:t>
            </w:r>
          </w:p>
        </w:tc>
        <w:tc>
          <w:tcPr>
            <w:tcW w:w="2053" w:type="dxa"/>
          </w:tcPr>
          <w:p>
            <w:pPr>
              <w:spacing w:before="90" w:line="360"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77" w:type="dxa"/>
          </w:tcPr>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0"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77" w:type="dxa"/>
          </w:tcPr>
          <w:p>
            <w:pPr>
              <w:spacing w:before="90"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2"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77" w:type="dxa"/>
          </w:tcPr>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2" w:line="360"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77" w:type="dxa"/>
          </w:tcPr>
          <w:p>
            <w:pPr>
              <w:spacing w:before="91"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77"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77" w:type="dxa"/>
          </w:tcPr>
          <w:p>
            <w:pPr>
              <w:spacing w:before="93"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77" w:type="dxa"/>
          </w:tcPr>
          <w:p>
            <w:pPr>
              <w:spacing w:before="93"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77"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77" w:type="dxa"/>
          </w:tcPr>
          <w:p>
            <w:pPr>
              <w:spacing w:before="94"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77" w:type="dxa"/>
          </w:tcPr>
          <w:p>
            <w:pPr>
              <w:spacing w:before="93" w:line="360"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5"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77" w:type="dxa"/>
          </w:tcPr>
          <w:p>
            <w:pPr>
              <w:spacing w:before="93"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pPr>
              <w:spacing w:before="92" w:line="360"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对来访</w:t>
            </w:r>
            <w:r>
              <w:rPr>
                <w:rFonts w:hint="eastAsia" w:ascii="新宋体" w:hAnsi="新宋体" w:eastAsia="新宋体" w:cs="新宋体"/>
                <w:color w:val="auto"/>
                <w:sz w:val="24"/>
                <w:highlight w:val="none"/>
              </w:rPr>
              <w:t>人员</w:t>
            </w:r>
          </w:p>
        </w:tc>
        <w:tc>
          <w:tcPr>
            <w:tcW w:w="13830" w:type="dxa"/>
            <w:gridSpan w:val="2"/>
          </w:tcPr>
          <w:p>
            <w:pPr>
              <w:spacing w:before="39"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哪一位”或“我可以帮助您吗？”“请您出示证件。”（保安专用）</w:t>
            </w:r>
          </w:p>
          <w:p>
            <w:pPr>
              <w:spacing w:before="89"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2.</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认来访人要求后，说“请稍等，我帮您联系”与被访人联系后告诉来访人“他马上来，请您先等一下，好吗？”</w:t>
            </w:r>
          </w:p>
          <w:p>
            <w:pPr>
              <w:spacing w:before="91"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3.当</w:t>
            </w:r>
            <w:r>
              <w:rPr>
                <w:rFonts w:hint="eastAsia" w:ascii="新宋体" w:hAnsi="新宋体" w:eastAsia="新宋体" w:cs="新宋体"/>
                <w:color w:val="auto"/>
                <w:spacing w:val="-4"/>
                <w:sz w:val="24"/>
                <w:highlight w:val="none"/>
              </w:rPr>
              <w:t>来访人员不理解或不愿意出示证件时，应说：“对不起，先生/小姐，这是单位规定，请理解！”（保安专用）。</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4.</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来访人员忘记带证件必须进入区域时，应说：“先生/小姐，请稍候，让我请示一下好吗？”</w:t>
            </w:r>
          </w:p>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5.当确认来访</w:t>
            </w:r>
            <w:r>
              <w:rPr>
                <w:rFonts w:hint="eastAsia" w:ascii="新宋体" w:hAnsi="新宋体" w:eastAsia="新宋体" w:cs="新宋体"/>
                <w:color w:val="auto"/>
                <w:spacing w:val="-6"/>
                <w:sz w:val="24"/>
                <w:highlight w:val="none"/>
              </w:rPr>
              <w:t>人故意捣乱，耍横硬闯时，应先说：“对不起，按单位的规定，没有证件不允许进入办公区，请配合我的工作。”</w:t>
            </w:r>
          </w:p>
          <w:p>
            <w:pPr>
              <w:spacing w:before="93"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6.当来访人</w:t>
            </w:r>
            <w:r>
              <w:rPr>
                <w:rFonts w:hint="eastAsia" w:ascii="新宋体" w:hAnsi="新宋体" w:eastAsia="新宋体" w:cs="新宋体"/>
                <w:color w:val="auto"/>
                <w:sz w:val="24"/>
                <w:highlight w:val="none"/>
              </w:rPr>
              <w:t>员出示证件时，应说：“谢谢您的配合。”</w:t>
            </w:r>
          </w:p>
          <w:p>
            <w:pPr>
              <w:spacing w:before="89"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pPr>
              <w:spacing w:before="93" w:line="360"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接听拨打电</w:t>
            </w:r>
            <w:r>
              <w:rPr>
                <w:rFonts w:hint="eastAsia" w:ascii="新宋体" w:hAnsi="新宋体" w:eastAsia="新宋体" w:cs="新宋体"/>
                <w:color w:val="auto"/>
                <w:spacing w:val="1"/>
                <w:sz w:val="24"/>
                <w:highlight w:val="none"/>
              </w:rPr>
              <w:t>话</w:t>
            </w:r>
          </w:p>
        </w:tc>
        <w:tc>
          <w:tcPr>
            <w:tcW w:w="13830" w:type="dxa"/>
            <w:gridSpan w:val="2"/>
          </w:tcPr>
          <w:p>
            <w:pPr>
              <w:spacing w:before="33"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1.接听电话时应清晰应答：“您好，××单位。</w:t>
            </w:r>
            <w:r>
              <w:rPr>
                <w:rFonts w:hint="eastAsia" w:ascii="新宋体" w:hAnsi="新宋体" w:eastAsia="新宋体" w:cs="新宋体"/>
                <w:color w:val="auto"/>
                <w:spacing w:val="-1"/>
                <w:sz w:val="24"/>
                <w:highlight w:val="none"/>
              </w:rPr>
              <w:t>”</w:t>
            </w:r>
          </w:p>
          <w:p>
            <w:pPr>
              <w:spacing w:before="90" w:line="3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通话完毕，应说：“谢谢，再见！”语气平和，并在对方放下电话后再轻轻放下电话。</w:t>
            </w:r>
          </w:p>
          <w:p>
            <w:pPr>
              <w:spacing w:before="88" w:line="360"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电话听不懂对方语言时，应说：“对不起，请您用普通话，好吗？”或“不好意思，请稍候，我不会说当地话。”</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与对方通话时，应先征得对方的同意，并表示感谢，恢复与对方通话时，切勿忘记向对方致歉。</w:t>
            </w:r>
          </w:p>
          <w:p>
            <w:pPr>
              <w:spacing w:before="90"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6.接听电话时，声调要自然清晰、柔和、亲切，音量</w:t>
            </w:r>
            <w:r>
              <w:rPr>
                <w:rFonts w:hint="eastAsia" w:ascii="新宋体" w:hAnsi="新宋体" w:eastAsia="新宋体" w:cs="新宋体"/>
                <w:color w:val="auto"/>
                <w:sz w:val="24"/>
                <w:highlight w:val="none"/>
              </w:rPr>
              <w:t>要适宜，以免对方听不清楚。</w:t>
            </w:r>
          </w:p>
          <w:p>
            <w:pPr>
              <w:spacing w:before="90"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.通话完毕时，应说：“谢谢，再见。”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Pr>
          <w:p>
            <w:pPr>
              <w:spacing w:before="206"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pPr>
              <w:spacing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0" w:type="dxa"/>
            <w:gridSpan w:val="2"/>
          </w:tcPr>
          <w:p>
            <w:pPr>
              <w:spacing w:before="36" w:line="3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梯后再进电梯，面向电梯门，按“关门”钮。</w:t>
            </w:r>
          </w:p>
          <w:p>
            <w:pPr>
              <w:spacing w:before="87"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highlight w:val="none"/>
              </w:rPr>
              <w:t>，面带微笑地说：“到了，请走好。”</w:t>
            </w:r>
          </w:p>
        </w:tc>
      </w:tr>
    </w:tbl>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pPr>
        <w:numPr>
          <w:ilvl w:val="0"/>
          <w:numId w:val="21"/>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numPr>
          <w:ilvl w:val="0"/>
          <w:numId w:val="21"/>
        </w:numPr>
        <w:spacing w:line="360" w:lineRule="auto"/>
        <w:rPr>
          <w:color w:val="auto"/>
          <w:highlight w:val="none"/>
        </w:rPr>
      </w:pPr>
      <w:r>
        <w:rPr>
          <w:rFonts w:hint="eastAsia" w:ascii="新宋体" w:hAnsi="新宋体" w:eastAsia="新宋体" w:cs="新宋体"/>
          <w:color w:val="auto"/>
          <w:sz w:val="24"/>
          <w:highlight w:val="none"/>
        </w:rPr>
        <w:t>中标单位应提供保洁日常工具、厕纸、擦手纸、洗手液（风雅楼）、樟脑丸、肥皂（卫生间）等耗材，配备防爆、防汛物资、工程维护部物料及器材消耗。</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pPr>
        <w:numPr>
          <w:ilvl w:val="0"/>
          <w:numId w:val="22"/>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报价说明</w:t>
      </w:r>
    </w:p>
    <w:p>
      <w:pPr>
        <w:widowControl/>
        <w:numPr>
          <w:ilvl w:val="0"/>
          <w:numId w:val="0"/>
        </w:numPr>
        <w:adjustRightInd/>
        <w:spacing w:line="360" w:lineRule="auto"/>
        <w:ind w:firstLine="480" w:firstLineChars="200"/>
        <w:jc w:val="left"/>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投标报价包含完成本项目招标要求的</w:t>
      </w:r>
      <w:r>
        <w:rPr>
          <w:rFonts w:hint="eastAsia" w:ascii="新宋体" w:hAnsi="新宋体" w:eastAsia="新宋体" w:cs="新宋体"/>
          <w:color w:val="auto"/>
          <w:sz w:val="24"/>
          <w:highlight w:val="none"/>
        </w:rPr>
        <w:t>保洁服务</w:t>
      </w:r>
      <w:r>
        <w:rPr>
          <w:rFonts w:hint="eastAsia" w:ascii="新宋体" w:hAnsi="新宋体" w:eastAsia="新宋体" w:cs="新宋体"/>
          <w:color w:val="auto"/>
          <w:sz w:val="24"/>
          <w:highlight w:val="none"/>
          <w:lang w:val="en-US" w:eastAsia="zh-CN"/>
        </w:rPr>
        <w:t>、安全消控管理（含两个校区消防远程监控系统联网费用）、绿化养护、绿化租赁、工程设备维护以及采购人交办的其他工作所产生的所有费用，包括但不限于人员工资、奖金、福利等以及人员服装费、设备维护费、设备使用费、维修配件费、保洁工具耗材费、管理费、税费等，采购人不再支付其他费用。</w:t>
      </w:r>
    </w:p>
    <w:p>
      <w:pPr>
        <w:widowControl/>
        <w:numPr>
          <w:ilvl w:val="0"/>
          <w:numId w:val="0"/>
        </w:numPr>
        <w:adjustRightInd/>
        <w:spacing w:line="360" w:lineRule="auto"/>
        <w:ind w:left="400" w:leftChars="0"/>
        <w:jc w:val="left"/>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1．中标单位应严格按照杭州市社保缴纳基数相关规定进行社保缴纳，并按规定缴纳住房公积金，做到合法用工。</w:t>
      </w:r>
    </w:p>
    <w:p>
      <w:pPr>
        <w:widowControl/>
        <w:numPr>
          <w:ilvl w:val="0"/>
          <w:numId w:val="0"/>
        </w:numPr>
        <w:adjustRightInd/>
        <w:spacing w:line="360" w:lineRule="auto"/>
        <w:ind w:firstLine="480" w:firstLineChars="200"/>
        <w:jc w:val="left"/>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2.物业管理服务费用以签订的合同价为准，合同期内如遇工作人员的最低工资调整等其他因素，产生的费用由中标单位承担，采购人不追加因用工成本增加产生的费用。</w:t>
      </w:r>
    </w:p>
    <w:p>
      <w:pPr>
        <w:widowControl/>
        <w:numPr>
          <w:ilvl w:val="0"/>
          <w:numId w:val="0"/>
        </w:numPr>
        <w:adjustRightInd/>
        <w:spacing w:line="360" w:lineRule="auto"/>
        <w:ind w:left="400" w:leftChars="0"/>
        <w:jc w:val="left"/>
        <w:rPr>
          <w:color w:val="auto"/>
          <w:highlight w:val="none"/>
        </w:rPr>
      </w:pPr>
      <w:r>
        <w:rPr>
          <w:rFonts w:hint="eastAsia" w:ascii="新宋体" w:hAnsi="新宋体" w:eastAsia="新宋体" w:cs="新宋体"/>
          <w:color w:val="auto"/>
          <w:sz w:val="24"/>
          <w:highlight w:val="none"/>
          <w:lang w:val="en-US" w:eastAsia="zh-CN"/>
        </w:rPr>
        <w:t>3．学校体育场地开放产生的物业和安保费用包含在本项目中。</w:t>
      </w:r>
    </w:p>
    <w:p>
      <w:pPr>
        <w:numPr>
          <w:ilvl w:val="0"/>
          <w:numId w:val="22"/>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费用支付</w:t>
      </w:r>
    </w:p>
    <w:p>
      <w:pPr>
        <w:numPr>
          <w:ilvl w:val="0"/>
          <w:numId w:val="23"/>
        </w:numPr>
        <w:snapToGrid w:val="0"/>
        <w:spacing w:line="360" w:lineRule="auto"/>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采购人根据物业服务质量考核结果按每三个月支付物业管理服务费，经采购人考核合格后每三个月付款，按每三个月支付一年合同价的</w:t>
      </w:r>
      <w:r>
        <w:rPr>
          <w:rFonts w:hint="eastAsia" w:eastAsia="新宋体"/>
          <w:color w:val="auto"/>
          <w:highlight w:val="none"/>
          <w:lang w:val="en-US" w:eastAsia="zh-CN"/>
        </w:rPr>
        <w:t>25</w:t>
      </w:r>
      <w:r>
        <w:rPr>
          <w:rFonts w:hint="eastAsia" w:ascii="新宋体" w:hAnsi="新宋体" w:eastAsia="新宋体" w:cs="新宋体"/>
          <w:bCs/>
          <w:color w:val="auto"/>
          <w:sz w:val="24"/>
          <w:highlight w:val="none"/>
        </w:rPr>
        <w:t xml:space="preserve">%。物业公司因工作失误造成的扣款在付款时予以扣除。物业管理服务费用以签订的合同价为准。 </w:t>
      </w:r>
    </w:p>
    <w:p>
      <w:pPr>
        <w:numPr>
          <w:ilvl w:val="0"/>
          <w:numId w:val="23"/>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每三个月</w:t>
      </w:r>
      <w:r>
        <w:rPr>
          <w:rFonts w:hint="eastAsia" w:ascii="新宋体" w:hAnsi="新宋体" w:eastAsia="新宋体" w:cs="新宋体"/>
          <w:color w:val="auto"/>
          <w:sz w:val="24"/>
          <w:highlight w:val="none"/>
          <w:shd w:val="clear" w:color="040000" w:fill="FFFFFF"/>
        </w:rPr>
        <w:t>服务费时在应支付的服务费中相应扣除。</w:t>
      </w:r>
    </w:p>
    <w:p>
      <w:pPr>
        <w:numPr>
          <w:ilvl w:val="0"/>
          <w:numId w:val="23"/>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pPr>
        <w:spacing w:line="360" w:lineRule="auto"/>
        <w:rPr>
          <w:rFonts w:ascii="新宋体" w:hAnsi="新宋体" w:eastAsia="新宋体" w:cs="新宋体"/>
          <w:b/>
          <w:bCs/>
          <w:color w:val="auto"/>
          <w:sz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cols w:space="720" w:num="1"/>
          <w:docGrid w:type="lines" w:linePitch="319" w:charSpace="0"/>
        </w:sectPr>
      </w:pP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p>
      <w:pPr>
        <w:snapToGrid w:val="0"/>
        <w:spacing w:line="360" w:lineRule="auto"/>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pPr>
        <w:snapToGrid w:val="0"/>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pPr>
        <w:snapToGrid w:val="0"/>
        <w:spacing w:line="360" w:lineRule="auto"/>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964"/>
        <w:tblW w:w="11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726"/>
        <w:gridCol w:w="6197"/>
        <w:gridCol w:w="819"/>
        <w:gridCol w:w="877"/>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blHeader/>
          <w:jc w:val="center"/>
        </w:trPr>
        <w:tc>
          <w:tcPr>
            <w:tcW w:w="620" w:type="dxa"/>
            <w:vAlign w:val="center"/>
          </w:tcPr>
          <w:p>
            <w:pPr>
              <w:widowControl/>
              <w:kinsoku w:val="0"/>
              <w:autoSpaceDE w:val="0"/>
              <w:autoSpaceDN w:val="0"/>
              <w:snapToGrid w:val="0"/>
              <w:spacing w:line="360" w:lineRule="auto"/>
              <w:ind w:left="13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序</w:t>
            </w:r>
            <w:r>
              <w:rPr>
                <w:rFonts w:hint="eastAsia" w:ascii="新宋体" w:hAnsi="新宋体" w:eastAsia="新宋体" w:cs="新宋体"/>
                <w:b/>
                <w:bCs/>
                <w:color w:val="auto"/>
                <w:sz w:val="24"/>
                <w:highlight w:val="none"/>
              </w:rPr>
              <w:t>号</w:t>
            </w:r>
          </w:p>
        </w:tc>
        <w:tc>
          <w:tcPr>
            <w:tcW w:w="726" w:type="dxa"/>
            <w:vAlign w:val="center"/>
          </w:tcPr>
          <w:p>
            <w:pPr>
              <w:widowControl/>
              <w:kinsoku w:val="0"/>
              <w:autoSpaceDE w:val="0"/>
              <w:autoSpaceDN w:val="0"/>
              <w:snapToGrid w:val="0"/>
              <w:spacing w:line="360" w:lineRule="auto"/>
              <w:ind w:left="205"/>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项</w:t>
            </w:r>
            <w:r>
              <w:rPr>
                <w:rFonts w:hint="eastAsia" w:ascii="新宋体" w:hAnsi="新宋体" w:eastAsia="新宋体" w:cs="新宋体"/>
                <w:b/>
                <w:bCs/>
                <w:color w:val="auto"/>
                <w:sz w:val="24"/>
                <w:highlight w:val="none"/>
              </w:rPr>
              <w:t>目</w:t>
            </w:r>
          </w:p>
        </w:tc>
        <w:tc>
          <w:tcPr>
            <w:tcW w:w="6197" w:type="dxa"/>
            <w:vAlign w:val="center"/>
          </w:tcPr>
          <w:p>
            <w:pPr>
              <w:widowControl/>
              <w:kinsoku w:val="0"/>
              <w:autoSpaceDE w:val="0"/>
              <w:autoSpaceDN w:val="0"/>
              <w:snapToGrid w:val="0"/>
              <w:spacing w:line="360" w:lineRule="auto"/>
              <w:ind w:left="29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考核</w:t>
            </w:r>
            <w:r>
              <w:rPr>
                <w:rFonts w:hint="eastAsia" w:ascii="新宋体" w:hAnsi="新宋体" w:eastAsia="新宋体" w:cs="新宋体"/>
                <w:b/>
                <w:bCs/>
                <w:color w:val="auto"/>
                <w:sz w:val="24"/>
                <w:highlight w:val="none"/>
              </w:rPr>
              <w:t>标准</w:t>
            </w:r>
          </w:p>
        </w:tc>
        <w:tc>
          <w:tcPr>
            <w:tcW w:w="819" w:type="dxa"/>
            <w:vAlign w:val="center"/>
          </w:tcPr>
          <w:p>
            <w:pPr>
              <w:widowControl/>
              <w:kinsoku w:val="0"/>
              <w:autoSpaceDE w:val="0"/>
              <w:autoSpaceDN w:val="0"/>
              <w:snapToGrid w:val="0"/>
              <w:spacing w:line="360" w:lineRule="auto"/>
              <w:ind w:left="2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分</w:t>
            </w:r>
            <w:r>
              <w:rPr>
                <w:rFonts w:hint="eastAsia" w:ascii="新宋体" w:hAnsi="新宋体" w:eastAsia="新宋体" w:cs="新宋体"/>
                <w:b/>
                <w:bCs/>
                <w:color w:val="auto"/>
                <w:sz w:val="24"/>
                <w:highlight w:val="none"/>
              </w:rPr>
              <w:t>值</w:t>
            </w:r>
          </w:p>
        </w:tc>
        <w:tc>
          <w:tcPr>
            <w:tcW w:w="877" w:type="dxa"/>
            <w:vAlign w:val="center"/>
          </w:tcPr>
          <w:p>
            <w:pPr>
              <w:widowControl/>
              <w:kinsoku w:val="0"/>
              <w:autoSpaceDE w:val="0"/>
              <w:autoSpaceDN w:val="0"/>
              <w:snapToGrid w:val="0"/>
              <w:spacing w:line="360" w:lineRule="auto"/>
              <w:ind w:left="25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w:t>
            </w:r>
          </w:p>
        </w:tc>
        <w:tc>
          <w:tcPr>
            <w:tcW w:w="2701" w:type="dxa"/>
            <w:vAlign w:val="center"/>
          </w:tcPr>
          <w:p>
            <w:pPr>
              <w:widowControl/>
              <w:kinsoku w:val="0"/>
              <w:autoSpaceDE w:val="0"/>
              <w:autoSpaceDN w:val="0"/>
              <w:snapToGrid w:val="0"/>
              <w:spacing w:line="360" w:lineRule="auto"/>
              <w:ind w:left="119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726" w:type="dxa"/>
            <w:vMerge w:val="restart"/>
            <w:vAlign w:val="center"/>
          </w:tcPr>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w:t>
            </w:r>
          </w:p>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6197" w:type="dxa"/>
            <w:vAlign w:val="center"/>
          </w:tcPr>
          <w:p>
            <w:pPr>
              <w:widowControl/>
              <w:numPr>
                <w:ilvl w:val="0"/>
                <w:numId w:val="25"/>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实行</w:t>
            </w:r>
            <w:r>
              <w:rPr>
                <w:rFonts w:hint="eastAsia" w:ascii="新宋体" w:hAnsi="新宋体" w:eastAsia="新宋体" w:cs="新宋体"/>
                <w:color w:val="auto"/>
                <w:spacing w:val="-1"/>
                <w:sz w:val="24"/>
                <w:highlight w:val="none"/>
              </w:rPr>
              <w:t>持证上岗制度。</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9"/>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1 人不符合， 扣除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5"/>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项目投标时所承诺的项目工作人员，</w:t>
            </w:r>
            <w:r>
              <w:rPr>
                <w:rFonts w:hint="eastAsia" w:ascii="新宋体" w:hAnsi="新宋体" w:eastAsia="新宋体" w:cs="新宋体"/>
                <w:color w:val="auto"/>
                <w:spacing w:val="-1"/>
                <w:sz w:val="24"/>
                <w:highlight w:val="none"/>
              </w:rPr>
              <w:t>必须和承接此项目后开展工作的团队</w:t>
            </w:r>
            <w:r>
              <w:rPr>
                <w:rFonts w:hint="eastAsia" w:ascii="新宋体" w:hAnsi="新宋体" w:eastAsia="新宋体" w:cs="新宋体"/>
                <w:color w:val="auto"/>
                <w:spacing w:val="-5"/>
                <w:sz w:val="24"/>
                <w:highlight w:val="none"/>
              </w:rPr>
              <w:t>人员相符， 未征得采购人同意不得随意更换团队成员。</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5"/>
              </w:numPr>
              <w:kinsoku w:val="0"/>
              <w:autoSpaceDE w:val="0"/>
              <w:autoSpaceDN w:val="0"/>
              <w:snapToGrid w:val="0"/>
              <w:spacing w:line="360" w:lineRule="auto"/>
              <w:ind w:firstLine="480" w:firstLineChars="200"/>
              <w:textAlignment w:val="baseline"/>
              <w:rPr>
                <w:rFonts w:ascii="新宋体" w:hAnsi="新宋体" w:eastAsia="新宋体" w:cs="新宋体"/>
                <w:color w:val="auto"/>
                <w:spacing w:val="-2"/>
                <w:sz w:val="24"/>
                <w:highlight w:val="none"/>
              </w:rPr>
            </w:pPr>
            <w:r>
              <w:rPr>
                <w:rFonts w:hint="eastAsia" w:ascii="新宋体" w:hAnsi="新宋体" w:eastAsia="新宋体" w:cs="新宋体"/>
                <w:color w:val="auto"/>
                <w:sz w:val="24"/>
                <w:highlight w:val="none"/>
              </w:rPr>
              <w:t>项目经理更换至少提前20天、其他人员更换至少提前7天告知采购人。</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5"/>
              </w:numPr>
              <w:kinsoku w:val="0"/>
              <w:autoSpaceDE w:val="0"/>
              <w:autoSpaceDN w:val="0"/>
              <w:snapToGrid w:val="0"/>
              <w:spacing w:line="360" w:lineRule="auto"/>
              <w:ind w:firstLine="480"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保安员上岗前已参加岗前培训且培训合格。</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numPr>
                <w:ilvl w:val="0"/>
                <w:numId w:val="25"/>
              </w:num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保安员派驻前的背景审查工作，每学期不少于一次；对派驻保安员实行每月不少于一次的检查管理。</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726"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制度</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履约</w:t>
            </w:r>
          </w:p>
        </w:tc>
        <w:tc>
          <w:tcPr>
            <w:tcW w:w="6197" w:type="dxa"/>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遵守《物业管理服务人员行为</w:t>
            </w:r>
            <w:r>
              <w:rPr>
                <w:rFonts w:hint="eastAsia" w:ascii="新宋体" w:hAnsi="新宋体" w:eastAsia="新宋体" w:cs="新宋体"/>
                <w:color w:val="auto"/>
                <w:sz w:val="24"/>
                <w:highlight w:val="none"/>
              </w:rPr>
              <w:t>规范</w:t>
            </w:r>
            <w:r>
              <w:rPr>
                <w:rFonts w:hint="eastAsia" w:ascii="新宋体" w:hAnsi="新宋体" w:eastAsia="新宋体" w:cs="新宋体"/>
                <w:color w:val="auto"/>
                <w:spacing w:val="-1"/>
                <w:sz w:val="24"/>
                <w:highlight w:val="none"/>
              </w:rPr>
              <w:t>》</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健全的管理流程、</w:t>
            </w:r>
            <w:r>
              <w:rPr>
                <w:rFonts w:hint="eastAsia" w:ascii="新宋体" w:hAnsi="新宋体" w:eastAsia="新宋体" w:cs="新宋体"/>
                <w:color w:val="auto"/>
                <w:sz w:val="24"/>
                <w:highlight w:val="none"/>
              </w:rPr>
              <w:t>管理机制，运作规范。</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健全的物业管理制度，遵守并执行。</w:t>
            </w:r>
          </w:p>
        </w:tc>
        <w:tc>
          <w:tcPr>
            <w:tcW w:w="819"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726"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保洁服务</w:t>
            </w:r>
          </w:p>
        </w:tc>
        <w:tc>
          <w:tcPr>
            <w:tcW w:w="6197" w:type="dxa"/>
            <w:vAlign w:val="center"/>
          </w:tcPr>
          <w:p>
            <w:pPr>
              <w:widowControl/>
              <w:numPr>
                <w:ilvl w:val="0"/>
                <w:numId w:val="27"/>
              </w:numPr>
              <w:kinsoku w:val="0"/>
              <w:autoSpaceDE w:val="0"/>
              <w:autoSpaceDN w:val="0"/>
              <w:snapToGrid w:val="0"/>
              <w:spacing w:line="360" w:lineRule="auto"/>
              <w:ind w:right="161"/>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室内公共区域的地面、墙面、楼梯、扶手、大厅、玻</w:t>
            </w:r>
            <w:r>
              <w:rPr>
                <w:rFonts w:hint="eastAsia" w:ascii="新宋体" w:hAnsi="新宋体" w:eastAsia="新宋体" w:cs="新宋体"/>
                <w:color w:val="auto"/>
                <w:spacing w:val="3"/>
                <w:sz w:val="24"/>
                <w:highlight w:val="none"/>
              </w:rPr>
              <w:t xml:space="preserve"> </w:t>
            </w:r>
            <w:r>
              <w:rPr>
                <w:rFonts w:hint="eastAsia" w:ascii="新宋体" w:hAnsi="新宋体" w:eastAsia="新宋体" w:cs="新宋体"/>
                <w:color w:val="auto"/>
                <w:spacing w:val="-7"/>
                <w:sz w:val="24"/>
                <w:highlight w:val="none"/>
              </w:rPr>
              <w:t>璃、门及门窗框、天花板、栏杆、走廊等整洁干净，无垃圾、</w:t>
            </w:r>
            <w:r>
              <w:rPr>
                <w:rFonts w:hint="eastAsia" w:ascii="新宋体" w:hAnsi="新宋体" w:eastAsia="新宋体" w:cs="新宋体"/>
                <w:color w:val="auto"/>
                <w:spacing w:val="-8"/>
                <w:sz w:val="24"/>
                <w:highlight w:val="none"/>
              </w:rPr>
              <w:t>无积灰、无污渍、无手印。</w:t>
            </w:r>
          </w:p>
        </w:tc>
        <w:tc>
          <w:tcPr>
            <w:tcW w:w="819" w:type="dxa"/>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7"/>
              </w:numPr>
              <w:kinsoku w:val="0"/>
              <w:autoSpaceDE w:val="0"/>
              <w:autoSpaceDN w:val="0"/>
              <w:snapToGrid w:val="0"/>
              <w:spacing w:line="360" w:lineRule="auto"/>
              <w:ind w:right="5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室内卫生间、茶水间清洁，无垃圾、无污渍、无积水、</w:t>
            </w:r>
            <w:r>
              <w:rPr>
                <w:rFonts w:hint="eastAsia" w:ascii="新宋体" w:hAnsi="新宋体" w:eastAsia="新宋体" w:cs="新宋体"/>
                <w:color w:val="auto"/>
                <w:spacing w:val="17"/>
                <w:sz w:val="24"/>
                <w:highlight w:val="none"/>
              </w:rPr>
              <w:t xml:space="preserve"> </w:t>
            </w:r>
            <w:r>
              <w:rPr>
                <w:rFonts w:hint="eastAsia" w:ascii="新宋体" w:hAnsi="新宋体" w:eastAsia="新宋体" w:cs="新宋体"/>
                <w:color w:val="auto"/>
                <w:spacing w:val="-7"/>
                <w:sz w:val="24"/>
                <w:highlight w:val="none"/>
              </w:rPr>
              <w:t>无异味、无堆积杂物，洁具、台面、镜面光洁无水迹，电器设施</w:t>
            </w:r>
            <w:r>
              <w:rPr>
                <w:rFonts w:hint="eastAsia" w:ascii="新宋体" w:hAnsi="新宋体" w:eastAsia="新宋体" w:cs="新宋体"/>
                <w:color w:val="auto"/>
                <w:spacing w:val="-5"/>
                <w:sz w:val="24"/>
                <w:highlight w:val="none"/>
              </w:rPr>
              <w:t>外观清洁，物品摆放有序。室内卫生间符合“美丽厕所”标准。</w:t>
            </w:r>
          </w:p>
        </w:tc>
        <w:tc>
          <w:tcPr>
            <w:tcW w:w="819" w:type="dxa"/>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室外广场、道路、停车场（库）、屋面、“门前三包”等公共区域的地面干净，无杂物、无积水、无淤泥、无污垢。</w:t>
            </w:r>
          </w:p>
        </w:tc>
        <w:tc>
          <w:tcPr>
            <w:tcW w:w="819"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hint="eastAsia"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pict>
                <v:rect id="Rectangle 2" o:spid="_x0000_s1029"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WG+a1wAAAAoBAAAPAAAA&#10;AAAAAAEAIAAAACIAAABkcnMvZG93bnJldi54bWxQSwECFAAUAAAACACHTuJAvbTrW6QBAABgAwAA&#10;DgAAAAAAAAABACAAAAAmAQAAZHJzL2Uyb0RvYy54bWxQSwUGAAAAAAYABgBZAQAAPAUAAAAA&#10;">
                  <v:path/>
                  <v:fill on="t" focussize="0,0"/>
                  <v:stroke on="f"/>
                  <v:imagedata o:title=""/>
                  <o:lock v:ext="edit" aspectratio="f"/>
                </v:rect>
              </w:pict>
            </w:r>
          </w:p>
          <w:p>
            <w:pPr>
              <w:bidi w:val="0"/>
              <w:rPr>
                <w:rFonts w:ascii="Times New Roman" w:hAnsi="Times New Roman" w:eastAsia="宋体" w:cs="Times New Roman"/>
                <w:color w:val="auto"/>
                <w:kern w:val="2"/>
                <w:sz w:val="21"/>
                <w:szCs w:val="24"/>
                <w:highlight w:val="none"/>
                <w:lang w:val="en-US" w:eastAsia="zh-CN" w:bidi="ar-SA"/>
              </w:rPr>
            </w:pPr>
          </w:p>
          <w:p>
            <w:pPr>
              <w:bidi w:val="0"/>
              <w:jc w:val="center"/>
              <w:rPr>
                <w:color w:val="auto"/>
                <w:highlight w:val="none"/>
                <w:lang w:val="en-US" w:eastAsia="zh-CN"/>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tc>
        <w:tc>
          <w:tcPr>
            <w:tcW w:w="819"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tc>
        <w:tc>
          <w:tcPr>
            <w:tcW w:w="819"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 池及时清掏，垃圾箱（房）外侧表面清洁、内侧无残留物、无异味。</w:t>
            </w:r>
          </w:p>
        </w:tc>
        <w:tc>
          <w:tcPr>
            <w:tcW w:w="819"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tc>
        <w:tc>
          <w:tcPr>
            <w:tcW w:w="819"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3"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726"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6197"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值勤期间应按有关规定着制式保安服装，携带必要的安全防卫器械和应急处置装备，并熟悉使用方法。</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应具备必要的防范知识和基本操作技能，会熟练操作视频图像采集设备、来访人员登记查验信息管理系统、一键式紧急报警等装置。</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应按照问询、查验、核实、登记、放行要求，严格落实外来人员、车辆、物品的出入管理制度，严防可疑人员、车辆以及管制刀具、危险物品等带入学校。</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在岗期间不与无关人员聊天，不干私活，不饮酒，不吸烟。不得在门卫室从事与工作无关的活动，不得存放或代人存放贵重物品、现金和危险品。</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执行24小时值班制度，不得擅自离岗、脱岗，按时交接班并做好交接记录，发现问题及时报告。除学生上下学时间外，应严格落实校门封闭管理制度。上学期间，学生必须经校方允许，方可离校。</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对学校重点部位及周边巡查每日不少于5次，一旦发现异常情况，应当及时报告并开展先期处置。</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配合学校做好防火、防盗、防破坏、防地质灾害事故工作。对发现可疑人、事、物或其他治安信息，应及时向相关领导或部门汇报，必要时启动报警器或向110报警，并配合公安机关做好处置工作。</w:t>
            </w:r>
          </w:p>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p>
        </w:tc>
        <w:tc>
          <w:tcPr>
            <w:tcW w:w="819" w:type="dxa"/>
            <w:vAlign w:val="center"/>
          </w:tcPr>
          <w:p>
            <w:pPr>
              <w:widowControl/>
              <w:kinsoku w:val="0"/>
              <w:autoSpaceDE w:val="0"/>
              <w:autoSpaceDN w:val="0"/>
              <w:snapToGrid w:val="0"/>
              <w:spacing w:line="360" w:lineRule="auto"/>
              <w:ind w:left="432"/>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blHeader/>
          <w:jc w:val="center"/>
        </w:trPr>
        <w:tc>
          <w:tcPr>
            <w:tcW w:w="620" w:type="dxa"/>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297"/>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726"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pacing w:val="-2"/>
                <w:sz w:val="24"/>
                <w:highlight w:val="none"/>
              </w:rPr>
            </w:pPr>
            <w:r>
              <w:rPr>
                <w:rFonts w:hint="eastAsia" w:ascii="新宋体" w:hAnsi="新宋体" w:eastAsia="新宋体" w:cs="新宋体"/>
                <w:b/>
                <w:bCs/>
                <w:color w:val="auto"/>
                <w:spacing w:val="-2"/>
                <w:sz w:val="24"/>
                <w:highlight w:val="none"/>
              </w:rPr>
              <w:t>绿化</w:t>
            </w: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养护</w:t>
            </w: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tc>
        <w:tc>
          <w:tcPr>
            <w:tcW w:w="819" w:type="dxa"/>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根据季节和气候状况，进行浇灌、施肥、修剪和松土、秋冬季进行涂石灰防虫等养护工作</w:t>
            </w:r>
            <w:r>
              <w:rPr>
                <w:rFonts w:hint="eastAsia" w:ascii="新宋体" w:hAnsi="新宋体" w:eastAsia="新宋体" w:cs="新宋体"/>
                <w:color w:val="auto"/>
                <w:sz w:val="24"/>
                <w:highlight w:val="none"/>
                <w:lang w:eastAsia="zh-CN"/>
              </w:rPr>
              <w:t>。</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 放室内，植株长势良好，无残枝、无黄叶、无积尘，花朵饱满、无萎蔫，托盘内无积水。</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室外乔木丰满健壮、生长良好，灌木枝叶紧密圆整， 无脱节、无枯枝。草坪生长整齐，清洁美观，修剪高度一致，覆盖率高。花卉色彩鲜艳，摆放造型新颖，无杂草、无枯死。</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tc>
        <w:tc>
          <w:tcPr>
            <w:tcW w:w="81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blHeader/>
          <w:jc w:val="center"/>
        </w:trPr>
        <w:tc>
          <w:tcPr>
            <w:tcW w:w="620" w:type="dxa"/>
            <w:vMerge w:val="continue"/>
            <w:vAlign w:val="center"/>
          </w:tcPr>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pacing w:val="-2"/>
                <w:sz w:val="24"/>
                <w:highlight w:val="none"/>
              </w:rPr>
            </w:pPr>
          </w:p>
        </w:tc>
        <w:tc>
          <w:tcPr>
            <w:tcW w:w="6197" w:type="dxa"/>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绿植租赁符合招标要求及投标承诺。</w:t>
            </w:r>
          </w:p>
          <w:p>
            <w:pPr>
              <w:pStyle w:val="2"/>
              <w:rPr>
                <w:color w:val="auto"/>
                <w:highlight w:val="none"/>
              </w:rPr>
            </w:pP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726" w:type="dxa"/>
            <w:vMerge w:val="restart"/>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设施</w:t>
            </w:r>
            <w:r>
              <w:rPr>
                <w:rFonts w:hint="eastAsia" w:ascii="新宋体" w:hAnsi="新宋体" w:eastAsia="新宋体" w:cs="新宋体"/>
                <w:b/>
                <w:bCs/>
                <w:color w:val="auto"/>
                <w:spacing w:val="-2"/>
                <w:sz w:val="24"/>
                <w:highlight w:val="none"/>
              </w:rPr>
              <w:t>设备维护</w:t>
            </w: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ind w:right="1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定期对水泵、管道进行养护，每年至少两次对水箱进行全面清洗，并提供水质检测报告。</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 会议系统等智能弱电设备进行巡查，定期清理设备机柜、控制箱、交换机等外表吸附的灰尘和絮状物。</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 行控制和安全控制功能，记录运行参数，分析运行记录，确保空调系统正常运行。每年冬夏两次对空调通风系统进行全面的维护保养。</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定期对宿舍楼包括热水器、空调等设施设备进行安全排查，消除安全隐患。</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726"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投入设备、耗材情况</w:t>
            </w:r>
          </w:p>
        </w:tc>
        <w:tc>
          <w:tcPr>
            <w:tcW w:w="6197" w:type="dxa"/>
            <w:vAlign w:val="center"/>
          </w:tcPr>
          <w:p>
            <w:pPr>
              <w:widowControl/>
              <w:numPr>
                <w:ilvl w:val="0"/>
                <w:numId w:val="33"/>
              </w:numPr>
              <w:kinsoku w:val="0"/>
              <w:autoSpaceDE w:val="0"/>
              <w:autoSpaceDN w:val="0"/>
              <w:snapToGrid w:val="0"/>
              <w:spacing w:line="360" w:lineRule="auto"/>
              <w:textAlignment w:val="baseline"/>
              <w:rPr>
                <w:color w:val="auto"/>
                <w:highlight w:val="none"/>
              </w:rPr>
            </w:pPr>
            <w:r>
              <w:rPr>
                <w:rFonts w:hint="eastAsia" w:ascii="新宋体" w:hAnsi="新宋体" w:eastAsia="新宋体" w:cs="新宋体"/>
                <w:color w:val="auto"/>
                <w:spacing w:val="-8"/>
                <w:sz w:val="24"/>
                <w:highlight w:val="none"/>
              </w:rPr>
              <w:t>投入本项目的保洁日常工具、厕纸、擦手纸、洗手液（风雅楼）、樟脑丸、肥皂（卫生间）等耗材</w:t>
            </w:r>
            <w:r>
              <w:rPr>
                <w:rFonts w:hint="eastAsia" w:ascii="新宋体" w:hAnsi="新宋体" w:eastAsia="新宋体" w:cs="新宋体"/>
                <w:color w:val="auto"/>
                <w:spacing w:val="-8"/>
                <w:sz w:val="24"/>
                <w:highlight w:val="none"/>
                <w:lang w:eastAsia="zh-CN"/>
              </w:rPr>
              <w:t>，</w:t>
            </w:r>
            <w:r>
              <w:rPr>
                <w:rFonts w:hint="eastAsia" w:ascii="新宋体" w:hAnsi="新宋体" w:eastAsia="新宋体" w:cs="新宋体"/>
                <w:color w:val="auto"/>
                <w:spacing w:val="-8"/>
                <w:sz w:val="24"/>
                <w:highlight w:val="none"/>
              </w:rPr>
              <w:t>与招标需求、投标承诺一致</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投入本项目防爆、防汛物资、器材等与招标需求、投标承诺一致</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blHeader/>
          <w:jc w:val="center"/>
        </w:trPr>
        <w:tc>
          <w:tcPr>
            <w:tcW w:w="620" w:type="dxa"/>
            <w:vAlign w:val="center"/>
          </w:tcPr>
          <w:p>
            <w:pPr>
              <w:widowControl/>
              <w:kinsoku w:val="0"/>
              <w:autoSpaceDE w:val="0"/>
              <w:autoSpaceDN w:val="0"/>
              <w:snapToGrid w:val="0"/>
              <w:spacing w:line="360" w:lineRule="auto"/>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8</w:t>
            </w:r>
          </w:p>
        </w:tc>
        <w:tc>
          <w:tcPr>
            <w:tcW w:w="726" w:type="dxa"/>
            <w:vAlign w:val="center"/>
          </w:tcPr>
          <w:p>
            <w:pPr>
              <w:widowControl/>
              <w:kinsoku w:val="0"/>
              <w:autoSpaceDE w:val="0"/>
              <w:autoSpaceDN w:val="0"/>
              <w:snapToGrid w:val="0"/>
              <w:spacing w:line="360" w:lineRule="auto"/>
              <w:jc w:val="center"/>
              <w:textAlignment w:val="baseline"/>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其他工作</w:t>
            </w:r>
          </w:p>
        </w:tc>
        <w:tc>
          <w:tcPr>
            <w:tcW w:w="6197" w:type="dxa"/>
            <w:vAlign w:val="center"/>
          </w:tcPr>
          <w:p>
            <w:pPr>
              <w:widowControl/>
              <w:numPr>
                <w:ilvl w:val="0"/>
                <w:numId w:val="0"/>
              </w:numPr>
              <w:kinsoku w:val="0"/>
              <w:autoSpaceDE w:val="0"/>
              <w:autoSpaceDN w:val="0"/>
              <w:snapToGrid w:val="0"/>
              <w:spacing w:line="360" w:lineRule="auto"/>
              <w:ind w:left="400" w:leftChars="0"/>
              <w:textAlignment w:val="baseline"/>
              <w:rPr>
                <w:rFonts w:hint="default" w:ascii="新宋体" w:hAnsi="新宋体" w:eastAsia="新宋体" w:cs="新宋体"/>
                <w:color w:val="auto"/>
                <w:spacing w:val="-8"/>
                <w:sz w:val="24"/>
                <w:highlight w:val="none"/>
                <w:lang w:val="en-US" w:eastAsia="zh-CN"/>
              </w:rPr>
            </w:pPr>
            <w:r>
              <w:rPr>
                <w:rFonts w:hint="eastAsia" w:ascii="新宋体" w:hAnsi="新宋体" w:eastAsia="新宋体" w:cs="新宋体"/>
                <w:color w:val="auto"/>
                <w:spacing w:val="-8"/>
                <w:sz w:val="24"/>
                <w:highlight w:val="none"/>
                <w:lang w:val="en-US" w:eastAsia="zh-CN"/>
              </w:rPr>
              <w:t>1.做好校园内以及两校区之间的物品搬运工作。</w:t>
            </w:r>
          </w:p>
        </w:tc>
        <w:tc>
          <w:tcPr>
            <w:tcW w:w="819" w:type="dxa"/>
            <w:vAlign w:val="center"/>
          </w:tcPr>
          <w:p>
            <w:pPr>
              <w:widowControl/>
              <w:kinsoku w:val="0"/>
              <w:autoSpaceDE w:val="0"/>
              <w:autoSpaceDN w:val="0"/>
              <w:snapToGrid w:val="0"/>
              <w:spacing w:line="360" w:lineRule="auto"/>
              <w:ind w:left="432"/>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Merge w:val="restart"/>
            <w:vAlign w:val="center"/>
          </w:tcPr>
          <w:p>
            <w:pPr>
              <w:widowControl/>
              <w:kinsoku w:val="0"/>
              <w:autoSpaceDE w:val="0"/>
              <w:autoSpaceDN w:val="0"/>
              <w:snapToGrid w:val="0"/>
              <w:spacing w:line="360" w:lineRule="auto"/>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9</w:t>
            </w:r>
          </w:p>
        </w:tc>
        <w:tc>
          <w:tcPr>
            <w:tcW w:w="726" w:type="dxa"/>
            <w:vMerge w:val="restart"/>
            <w:vAlign w:val="center"/>
          </w:tcPr>
          <w:p>
            <w:pPr>
              <w:widowControl/>
              <w:kinsoku w:val="0"/>
              <w:autoSpaceDE w:val="0"/>
              <w:autoSpaceDN w:val="0"/>
              <w:snapToGrid w:val="0"/>
              <w:spacing w:line="360" w:lineRule="auto"/>
              <w:ind w:left="213"/>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sz w:val="24"/>
                <w:highlight w:val="none"/>
              </w:rPr>
              <w:t>投</w:t>
            </w:r>
            <w:r>
              <w:rPr>
                <w:rFonts w:hint="eastAsia" w:ascii="新宋体" w:hAnsi="新宋体" w:eastAsia="新宋体" w:cs="新宋体"/>
                <w:b/>
                <w:bCs/>
                <w:color w:val="auto"/>
                <w:spacing w:val="-2"/>
                <w:sz w:val="24"/>
                <w:highlight w:val="none"/>
              </w:rPr>
              <w:t>诉</w:t>
            </w:r>
          </w:p>
          <w:p>
            <w:pPr>
              <w:widowControl/>
              <w:kinsoku w:val="0"/>
              <w:autoSpaceDE w:val="0"/>
              <w:autoSpaceDN w:val="0"/>
              <w:snapToGrid w:val="0"/>
              <w:spacing w:line="360" w:lineRule="auto"/>
              <w:ind w:left="208"/>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检</w:t>
            </w:r>
            <w:r>
              <w:rPr>
                <w:rFonts w:hint="eastAsia" w:ascii="新宋体" w:hAnsi="新宋体" w:eastAsia="新宋体" w:cs="新宋体"/>
                <w:b/>
                <w:bCs/>
                <w:color w:val="auto"/>
                <w:spacing w:val="-1"/>
                <w:sz w:val="24"/>
                <w:highlight w:val="none"/>
              </w:rPr>
              <w:t>查</w:t>
            </w:r>
          </w:p>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整改</w:t>
            </w:r>
          </w:p>
        </w:tc>
        <w:tc>
          <w:tcPr>
            <w:tcW w:w="6197" w:type="dxa"/>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建立完善</w:t>
            </w:r>
            <w:r>
              <w:rPr>
                <w:rFonts w:hint="eastAsia" w:ascii="新宋体" w:hAnsi="新宋体" w:eastAsia="新宋体" w:cs="新宋体"/>
                <w:color w:val="auto"/>
                <w:spacing w:val="-5"/>
                <w:sz w:val="24"/>
                <w:highlight w:val="none"/>
              </w:rPr>
              <w:t>的</w:t>
            </w:r>
            <w:r>
              <w:rPr>
                <w:rFonts w:hint="eastAsia" w:ascii="新宋体" w:hAnsi="新宋体" w:eastAsia="新宋体" w:cs="新宋体"/>
                <w:color w:val="auto"/>
                <w:spacing w:val="-4"/>
                <w:sz w:val="24"/>
                <w:highlight w:val="none"/>
              </w:rPr>
              <w:t>投诉响应机制， 并能妥善处理各类投诉及建议，给予投诉客户</w:t>
            </w:r>
            <w:r>
              <w:rPr>
                <w:rFonts w:hint="eastAsia" w:ascii="新宋体" w:hAnsi="新宋体" w:eastAsia="新宋体" w:cs="新宋体"/>
                <w:color w:val="auto"/>
                <w:spacing w:val="-8"/>
                <w:sz w:val="24"/>
                <w:highlight w:val="none"/>
              </w:rPr>
              <w:t>答复。</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restart"/>
            <w:vAlign w:val="center"/>
          </w:tcPr>
          <w:p>
            <w:pPr>
              <w:widowControl/>
              <w:kinsoku w:val="0"/>
              <w:autoSpaceDE w:val="0"/>
              <w:autoSpaceDN w:val="0"/>
              <w:snapToGrid w:val="0"/>
              <w:spacing w:line="360" w:lineRule="auto"/>
              <w:ind w:right="109"/>
              <w:textAlignment w:val="baseline"/>
              <w:rPr>
                <w:rFonts w:ascii="新宋体" w:hAnsi="新宋体" w:eastAsia="新宋体" w:cs="新宋体"/>
                <w:color w:val="auto"/>
                <w:sz w:val="24"/>
                <w:highlight w:val="none"/>
              </w:rPr>
            </w:pPr>
            <w:r>
              <w:rPr>
                <w:rFonts w:hint="eastAsia" w:ascii="新宋体" w:hAnsi="新宋体" w:eastAsia="新宋体" w:cs="新宋体"/>
                <w:snapToGrid w:val="0"/>
                <w:color w:val="auto"/>
                <w:kern w:val="0"/>
                <w:sz w:val="24"/>
                <w:highlight w:val="none"/>
              </w:rPr>
              <w:pict>
                <v:rect id="Rectangle 3" o:spid="_x0000_s1028"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0hGNdgAAAAKAQAADwAA&#10;AAAAAAABACAAAAAiAAAAZHJzL2Rvd25yZXYueG1sUEsBAhQAFAAAAAgAh07iQMhUxEakAQAAYAMA&#10;AA4AAAAAAAAAAQAgAAAAJwEAAGRycy9lMm9Eb2MueG1sUEsFBgAAAAAGAAYAWQEAAD0FAAAAAA==&#10;">
                  <v:path/>
                  <v:fill on="t" focussize="0,0"/>
                  <v:stroke on="f"/>
                  <v:imagedata o:title=""/>
                  <o:lock v:ext="edit" aspectratio="f"/>
                </v:rect>
              </w:pict>
            </w:r>
            <w:r>
              <w:rPr>
                <w:rFonts w:hint="eastAsia" w:ascii="新宋体" w:hAnsi="新宋体" w:eastAsia="新宋体" w:cs="新宋体"/>
                <w:color w:val="auto"/>
                <w:spacing w:val="-2"/>
                <w:sz w:val="24"/>
                <w:highlight w:val="none"/>
              </w:rPr>
              <w:t>①</w:t>
            </w:r>
            <w:r>
              <w:rPr>
                <w:rFonts w:hint="eastAsia" w:ascii="新宋体" w:hAnsi="新宋体" w:eastAsia="新宋体" w:cs="新宋体"/>
                <w:color w:val="auto"/>
                <w:spacing w:val="-1"/>
                <w:sz w:val="24"/>
                <w:highlight w:val="none"/>
              </w:rPr>
              <w:t>投诉事件经认定属实，未妥善</w:t>
            </w:r>
            <w:r>
              <w:rPr>
                <w:rFonts w:hint="eastAsia" w:ascii="新宋体" w:hAnsi="新宋体" w:eastAsia="新宋体" w:cs="新宋体"/>
                <w:color w:val="auto"/>
                <w:spacing w:val="-17"/>
                <w:sz w:val="24"/>
                <w:highlight w:val="none"/>
              </w:rPr>
              <w:t>处</w:t>
            </w:r>
            <w:r>
              <w:rPr>
                <w:rFonts w:hint="eastAsia" w:ascii="新宋体" w:hAnsi="新宋体" w:eastAsia="新宋体" w:cs="新宋体"/>
                <w:color w:val="auto"/>
                <w:spacing w:val="-12"/>
                <w:sz w:val="24"/>
                <w:highlight w:val="none"/>
              </w:rPr>
              <w:t>理或未答复，扣 1 分。</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②符合得 3 分，基本符合得 1 分</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10"/>
                <w:sz w:val="24"/>
                <w:highlight w:val="none"/>
              </w:rPr>
              <w:t>不</w:t>
            </w:r>
            <w:r>
              <w:rPr>
                <w:rFonts w:hint="eastAsia" w:ascii="新宋体" w:hAnsi="新宋体" w:eastAsia="新宋体" w:cs="新宋体"/>
                <w:color w:val="auto"/>
                <w:spacing w:val="-6"/>
                <w:sz w:val="24"/>
                <w:highlight w:val="none"/>
              </w:rPr>
              <w:t>符</w:t>
            </w:r>
            <w:r>
              <w:rPr>
                <w:rFonts w:hint="eastAsia" w:ascii="新宋体" w:hAnsi="新宋体" w:eastAsia="新宋体" w:cs="新宋体"/>
                <w:color w:val="auto"/>
                <w:spacing w:val="-5"/>
                <w:sz w:val="24"/>
                <w:highlight w:val="none"/>
              </w:rPr>
              <w:t>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检查整改有效落</w:t>
            </w:r>
            <w:r>
              <w:rPr>
                <w:rFonts w:hint="eastAsia" w:ascii="新宋体" w:hAnsi="新宋体" w:eastAsia="新宋体" w:cs="新宋体"/>
                <w:color w:val="auto"/>
                <w:sz w:val="24"/>
                <w:highlight w:val="none"/>
              </w:rPr>
              <w:t>实。</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726"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197" w:type="dxa"/>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无其它</w:t>
            </w:r>
            <w:r>
              <w:rPr>
                <w:rFonts w:hint="eastAsia" w:ascii="新宋体" w:hAnsi="新宋体" w:eastAsia="新宋体" w:cs="新宋体"/>
                <w:color w:val="auto"/>
                <w:spacing w:val="-1"/>
                <w:sz w:val="24"/>
                <w:highlight w:val="none"/>
              </w:rPr>
              <w:t>违反采购人相关规定之事项。</w:t>
            </w:r>
          </w:p>
        </w:tc>
        <w:tc>
          <w:tcPr>
            <w:tcW w:w="819"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77"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Align w:val="center"/>
          </w:tcPr>
          <w:p>
            <w:pPr>
              <w:widowControl/>
              <w:kinsoku w:val="0"/>
              <w:autoSpaceDE w:val="0"/>
              <w:autoSpaceDN w:val="0"/>
              <w:snapToGrid w:val="0"/>
              <w:spacing w:line="360" w:lineRule="auto"/>
              <w:ind w:left="303"/>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10</w:t>
            </w:r>
          </w:p>
        </w:tc>
        <w:tc>
          <w:tcPr>
            <w:tcW w:w="726" w:type="dxa"/>
            <w:vAlign w:val="center"/>
          </w:tcPr>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标准</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7893" w:type="dxa"/>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tabs>
                <w:tab w:val="left" w:pos="6229"/>
              </w:tabs>
              <w:spacing w:line="360" w:lineRule="auto"/>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ab/>
            </w:r>
            <w:r>
              <w:rPr>
                <w:rFonts w:hint="eastAsia" w:ascii="新宋体" w:hAnsi="新宋体" w:eastAsia="新宋体" w:cs="新宋体"/>
                <w:snapToGrid w:val="0"/>
                <w:color w:val="auto"/>
                <w:kern w:val="0"/>
                <w:sz w:val="24"/>
                <w:highlight w:val="none"/>
              </w:rPr>
              <w:t>100分</w:t>
            </w:r>
          </w:p>
        </w:tc>
        <w:tc>
          <w:tcPr>
            <w:tcW w:w="2701"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20" w:type="dxa"/>
            <w:vAlign w:val="center"/>
          </w:tcPr>
          <w:p>
            <w:pPr>
              <w:widowControl/>
              <w:kinsoku w:val="0"/>
              <w:autoSpaceDE w:val="0"/>
              <w:autoSpaceDN w:val="0"/>
              <w:snapToGrid w:val="0"/>
              <w:spacing w:line="360" w:lineRule="auto"/>
              <w:ind w:left="303"/>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p>
        </w:tc>
        <w:tc>
          <w:tcPr>
            <w:tcW w:w="726" w:type="dxa"/>
            <w:vAlign w:val="center"/>
          </w:tcPr>
          <w:p>
            <w:pPr>
              <w:widowControl/>
              <w:kinsoku w:val="0"/>
              <w:autoSpaceDE w:val="0"/>
              <w:autoSpaceDN w:val="0"/>
              <w:snapToGrid w:val="0"/>
              <w:spacing w:line="360" w:lineRule="auto"/>
              <w:ind w:left="2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总得</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7893" w:type="dxa"/>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2701"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bl>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spacing w:line="360" w:lineRule="auto"/>
        <w:jc w:val="center"/>
        <w:outlineLvl w:val="0"/>
        <w:rPr>
          <w:rFonts w:hint="eastAsia" w:ascii="宋体" w:hAnsi="宋体" w:cs="宋体"/>
          <w:b/>
          <w:color w:val="auto"/>
          <w:sz w:val="24"/>
          <w:highlight w:val="none"/>
        </w:rPr>
        <w:sectPr>
          <w:headerReference r:id="rId10" w:type="default"/>
          <w:footerReference r:id="rId11" w:type="default"/>
          <w:pgSz w:w="16840" w:h="11907" w:orient="landscape"/>
          <w:pgMar w:top="1814" w:right="1474" w:bottom="1814" w:left="1474" w:header="851" w:footer="851"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72"/>
      <w:bookmarkEnd w:id="28"/>
      <w:bookmarkStart w:id="29" w:name="_Toc184310341"/>
      <w:bookmarkEnd w:id="29"/>
      <w:bookmarkStart w:id="30" w:name="_Toc184312090"/>
      <w:bookmarkEnd w:id="30"/>
      <w:bookmarkStart w:id="31" w:name="_Toc184312110"/>
      <w:bookmarkEnd w:id="31"/>
      <w:bookmarkStart w:id="32" w:name="_Toc184310332"/>
      <w:bookmarkEnd w:id="32"/>
      <w:bookmarkStart w:id="33" w:name="_Toc184308086"/>
      <w:bookmarkEnd w:id="33"/>
      <w:bookmarkStart w:id="34" w:name="_Toc184312105"/>
      <w:bookmarkEnd w:id="34"/>
      <w:bookmarkStart w:id="35" w:name="_Toc184314474"/>
      <w:bookmarkEnd w:id="35"/>
      <w:bookmarkStart w:id="36" w:name="_Toc184310307"/>
      <w:bookmarkEnd w:id="36"/>
      <w:bookmarkStart w:id="37" w:name="_Toc184313281"/>
      <w:bookmarkEnd w:id="37"/>
      <w:bookmarkStart w:id="38" w:name="_Toc184314438"/>
      <w:bookmarkEnd w:id="38"/>
      <w:bookmarkStart w:id="39" w:name="_Toc184308094"/>
      <w:bookmarkEnd w:id="39"/>
      <w:bookmarkStart w:id="40" w:name="_Toc184312086"/>
      <w:bookmarkEnd w:id="40"/>
      <w:bookmarkStart w:id="41" w:name="_Toc184312080"/>
      <w:bookmarkEnd w:id="41"/>
      <w:bookmarkStart w:id="42" w:name="_Toc184314449"/>
      <w:bookmarkEnd w:id="42"/>
      <w:bookmarkStart w:id="43" w:name="_Toc184308103"/>
      <w:bookmarkEnd w:id="43"/>
      <w:bookmarkStart w:id="44" w:name="_Toc184312103"/>
      <w:bookmarkEnd w:id="44"/>
      <w:bookmarkStart w:id="45" w:name="_Toc184310300"/>
      <w:bookmarkEnd w:id="45"/>
      <w:bookmarkStart w:id="46" w:name="_Toc184308107"/>
      <w:bookmarkEnd w:id="46"/>
      <w:bookmarkStart w:id="47" w:name="_Toc184312107"/>
      <w:bookmarkEnd w:id="47"/>
      <w:bookmarkStart w:id="48" w:name="_Toc184314477"/>
      <w:bookmarkEnd w:id="48"/>
      <w:bookmarkStart w:id="49" w:name="_Toc184313297"/>
      <w:bookmarkEnd w:id="49"/>
      <w:bookmarkStart w:id="50" w:name="_Toc184314446"/>
      <w:bookmarkEnd w:id="50"/>
      <w:bookmarkStart w:id="51" w:name="_Toc184312121"/>
      <w:bookmarkEnd w:id="51"/>
      <w:bookmarkStart w:id="52" w:name="_Toc184313239"/>
      <w:bookmarkEnd w:id="52"/>
      <w:bookmarkStart w:id="53" w:name="_Toc184313265"/>
      <w:bookmarkEnd w:id="53"/>
      <w:bookmarkStart w:id="54" w:name="_Toc184314458"/>
      <w:bookmarkEnd w:id="54"/>
      <w:bookmarkStart w:id="55" w:name="_Toc184310296"/>
      <w:bookmarkEnd w:id="55"/>
      <w:bookmarkStart w:id="56" w:name="_Toc184310277"/>
      <w:bookmarkEnd w:id="56"/>
      <w:bookmarkStart w:id="57" w:name="_Toc184314478"/>
      <w:bookmarkEnd w:id="57"/>
      <w:bookmarkStart w:id="58" w:name="_Toc184308066"/>
      <w:bookmarkEnd w:id="58"/>
      <w:bookmarkStart w:id="59" w:name="_Toc184314434"/>
      <w:bookmarkEnd w:id="59"/>
      <w:bookmarkStart w:id="60" w:name="_Toc184314466"/>
      <w:bookmarkEnd w:id="60"/>
      <w:bookmarkStart w:id="61" w:name="_Toc184312079"/>
      <w:bookmarkEnd w:id="61"/>
      <w:bookmarkStart w:id="62" w:name="_Toc184310325"/>
      <w:bookmarkEnd w:id="62"/>
      <w:bookmarkStart w:id="63" w:name="_Toc184313255"/>
      <w:bookmarkEnd w:id="63"/>
      <w:bookmarkStart w:id="64" w:name="_Toc184314462"/>
      <w:bookmarkEnd w:id="64"/>
      <w:bookmarkStart w:id="65" w:name="_Toc184313266"/>
      <w:bookmarkEnd w:id="65"/>
      <w:bookmarkStart w:id="66" w:name="_Toc184314439"/>
      <w:bookmarkEnd w:id="66"/>
      <w:bookmarkStart w:id="67" w:name="_Toc184314440"/>
      <w:bookmarkEnd w:id="67"/>
      <w:bookmarkStart w:id="68" w:name="_Toc184313246"/>
      <w:bookmarkEnd w:id="68"/>
      <w:bookmarkStart w:id="69" w:name="_Toc184308058"/>
      <w:bookmarkEnd w:id="69"/>
      <w:bookmarkStart w:id="70" w:name="_Toc184314442"/>
      <w:bookmarkEnd w:id="70"/>
      <w:bookmarkStart w:id="71" w:name="_Toc184313286"/>
      <w:bookmarkEnd w:id="71"/>
      <w:bookmarkStart w:id="72" w:name="_Toc184312073"/>
      <w:bookmarkEnd w:id="72"/>
      <w:bookmarkStart w:id="73" w:name="_Toc184313273"/>
      <w:bookmarkEnd w:id="73"/>
      <w:bookmarkStart w:id="74" w:name="_Toc184313254"/>
      <w:bookmarkEnd w:id="74"/>
      <w:bookmarkStart w:id="75" w:name="_Toc184314437"/>
      <w:bookmarkEnd w:id="75"/>
      <w:bookmarkStart w:id="76" w:name="_Toc184308036"/>
      <w:bookmarkEnd w:id="76"/>
      <w:bookmarkStart w:id="77" w:name="_Toc184308075"/>
      <w:bookmarkEnd w:id="77"/>
      <w:bookmarkStart w:id="78" w:name="_Toc184314475"/>
      <w:bookmarkEnd w:id="78"/>
      <w:bookmarkStart w:id="79" w:name="_Toc184310322"/>
      <w:bookmarkEnd w:id="79"/>
      <w:bookmarkStart w:id="80" w:name="_Toc184312068"/>
      <w:bookmarkEnd w:id="80"/>
      <w:bookmarkStart w:id="81" w:name="_Toc184313302"/>
      <w:bookmarkEnd w:id="81"/>
      <w:bookmarkStart w:id="82" w:name="_Toc184312106"/>
      <w:bookmarkEnd w:id="82"/>
      <w:bookmarkStart w:id="83" w:name="_Toc184313278"/>
      <w:bookmarkEnd w:id="83"/>
      <w:bookmarkStart w:id="84" w:name="_Toc184314467"/>
      <w:bookmarkEnd w:id="84"/>
      <w:bookmarkStart w:id="85" w:name="_Toc184310319"/>
      <w:bookmarkEnd w:id="85"/>
      <w:bookmarkStart w:id="86" w:name="_Toc184314481"/>
      <w:bookmarkEnd w:id="86"/>
      <w:bookmarkStart w:id="87" w:name="_Toc184313291"/>
      <w:bookmarkEnd w:id="87"/>
      <w:bookmarkStart w:id="88" w:name="_Toc184308063"/>
      <w:bookmarkEnd w:id="88"/>
      <w:bookmarkStart w:id="89" w:name="_Toc184312096"/>
      <w:bookmarkEnd w:id="89"/>
      <w:bookmarkStart w:id="90" w:name="_Toc184312108"/>
      <w:bookmarkEnd w:id="90"/>
      <w:bookmarkStart w:id="91" w:name="_Toc184314455"/>
      <w:bookmarkEnd w:id="91"/>
      <w:bookmarkStart w:id="92" w:name="_Toc184310298"/>
      <w:bookmarkEnd w:id="92"/>
      <w:bookmarkStart w:id="93" w:name="_Toc184314410"/>
      <w:bookmarkEnd w:id="93"/>
      <w:bookmarkStart w:id="94" w:name="_Toc184308100"/>
      <w:bookmarkEnd w:id="94"/>
      <w:bookmarkStart w:id="95" w:name="_Toc184313301"/>
      <w:bookmarkEnd w:id="95"/>
      <w:bookmarkStart w:id="96" w:name="_Toc184313252"/>
      <w:bookmarkEnd w:id="96"/>
      <w:bookmarkStart w:id="97" w:name="_Toc184312095"/>
      <w:bookmarkEnd w:id="97"/>
      <w:bookmarkStart w:id="98" w:name="_Toc184314417"/>
      <w:bookmarkEnd w:id="98"/>
      <w:bookmarkStart w:id="99" w:name="_Toc184312102"/>
      <w:bookmarkEnd w:id="99"/>
      <w:bookmarkStart w:id="100" w:name="_Toc184312085"/>
      <w:bookmarkEnd w:id="100"/>
      <w:bookmarkStart w:id="101" w:name="_Toc184310326"/>
      <w:bookmarkEnd w:id="101"/>
      <w:bookmarkStart w:id="102" w:name="_Toc184313238"/>
      <w:bookmarkEnd w:id="102"/>
      <w:bookmarkStart w:id="103" w:name="_Toc184310318"/>
      <w:bookmarkEnd w:id="103"/>
      <w:bookmarkStart w:id="104" w:name="_Toc184310315"/>
      <w:bookmarkEnd w:id="104"/>
      <w:bookmarkStart w:id="105" w:name="_Toc184314441"/>
      <w:bookmarkEnd w:id="105"/>
      <w:bookmarkStart w:id="106" w:name="_Toc184314457"/>
      <w:bookmarkEnd w:id="106"/>
      <w:bookmarkStart w:id="107" w:name="_Toc184312132"/>
      <w:bookmarkEnd w:id="107"/>
      <w:bookmarkStart w:id="108" w:name="_Toc184312116"/>
      <w:bookmarkEnd w:id="108"/>
      <w:bookmarkStart w:id="109" w:name="_Toc184308062"/>
      <w:bookmarkEnd w:id="109"/>
      <w:bookmarkStart w:id="110" w:name="_Toc184314429"/>
      <w:bookmarkEnd w:id="110"/>
      <w:bookmarkStart w:id="111" w:name="_Toc184314464"/>
      <w:bookmarkEnd w:id="111"/>
      <w:bookmarkStart w:id="112" w:name="_Toc184314422"/>
      <w:bookmarkEnd w:id="112"/>
      <w:bookmarkStart w:id="113" w:name="_Toc184312113"/>
      <w:bookmarkEnd w:id="113"/>
      <w:bookmarkStart w:id="114" w:name="_Toc184314443"/>
      <w:bookmarkEnd w:id="114"/>
      <w:bookmarkStart w:id="115" w:name="_Toc184313251"/>
      <w:bookmarkEnd w:id="115"/>
      <w:bookmarkStart w:id="116" w:name="_Toc184313282"/>
      <w:bookmarkEnd w:id="116"/>
      <w:bookmarkStart w:id="117" w:name="_Toc184308093"/>
      <w:bookmarkEnd w:id="117"/>
      <w:bookmarkStart w:id="118" w:name="_Toc184313287"/>
      <w:bookmarkEnd w:id="118"/>
      <w:bookmarkStart w:id="119" w:name="_Toc184312129"/>
      <w:bookmarkEnd w:id="119"/>
      <w:bookmarkStart w:id="120" w:name="_Toc184313259"/>
      <w:bookmarkEnd w:id="120"/>
      <w:bookmarkStart w:id="121" w:name="_Toc184308038"/>
      <w:bookmarkEnd w:id="121"/>
      <w:bookmarkStart w:id="122" w:name="_Toc184314476"/>
      <w:bookmarkEnd w:id="122"/>
      <w:bookmarkStart w:id="123" w:name="_Toc184308046"/>
      <w:bookmarkEnd w:id="123"/>
      <w:bookmarkStart w:id="124" w:name="_Toc184308047"/>
      <w:bookmarkEnd w:id="124"/>
      <w:bookmarkStart w:id="125" w:name="_Toc184313244"/>
      <w:bookmarkEnd w:id="125"/>
      <w:bookmarkStart w:id="126" w:name="_Toc184310316"/>
      <w:bookmarkEnd w:id="126"/>
      <w:bookmarkStart w:id="127" w:name="_Toc184313305"/>
      <w:bookmarkEnd w:id="127"/>
      <w:bookmarkStart w:id="128" w:name="_Toc184313280"/>
      <w:bookmarkEnd w:id="128"/>
      <w:bookmarkStart w:id="129" w:name="_Toc184310288"/>
      <w:bookmarkEnd w:id="129"/>
      <w:bookmarkStart w:id="130" w:name="_Toc184310336"/>
      <w:bookmarkEnd w:id="130"/>
      <w:bookmarkStart w:id="131" w:name="_Toc184310289"/>
      <w:bookmarkEnd w:id="131"/>
      <w:bookmarkStart w:id="132" w:name="_Toc184314424"/>
      <w:bookmarkEnd w:id="132"/>
      <w:bookmarkStart w:id="133" w:name="_Toc184308096"/>
      <w:bookmarkEnd w:id="133"/>
      <w:bookmarkStart w:id="134" w:name="_Toc184308101"/>
      <w:bookmarkEnd w:id="134"/>
      <w:bookmarkStart w:id="135" w:name="_Toc184310284"/>
      <w:bookmarkEnd w:id="135"/>
      <w:bookmarkStart w:id="136" w:name="_Toc184313267"/>
      <w:bookmarkEnd w:id="136"/>
      <w:bookmarkStart w:id="137" w:name="_Toc184310272"/>
      <w:bookmarkEnd w:id="137"/>
      <w:bookmarkStart w:id="138" w:name="_Toc184310324"/>
      <w:bookmarkEnd w:id="138"/>
      <w:bookmarkStart w:id="139" w:name="_Toc184314452"/>
      <w:bookmarkEnd w:id="139"/>
      <w:bookmarkStart w:id="140" w:name="_Toc184313275"/>
      <w:bookmarkEnd w:id="140"/>
      <w:bookmarkStart w:id="141" w:name="_Toc184310297"/>
      <w:bookmarkEnd w:id="141"/>
      <w:bookmarkStart w:id="142" w:name="_Toc184308108"/>
      <w:bookmarkEnd w:id="142"/>
      <w:bookmarkStart w:id="143" w:name="_Toc184310292"/>
      <w:bookmarkEnd w:id="143"/>
      <w:bookmarkStart w:id="144" w:name="_Toc184312125"/>
      <w:bookmarkEnd w:id="144"/>
      <w:bookmarkStart w:id="145" w:name="_Toc184310308"/>
      <w:bookmarkEnd w:id="145"/>
      <w:bookmarkStart w:id="146" w:name="_Toc184308064"/>
      <w:bookmarkEnd w:id="146"/>
      <w:bookmarkStart w:id="147" w:name="_Toc184308056"/>
      <w:bookmarkEnd w:id="147"/>
      <w:bookmarkStart w:id="148" w:name="_Toc184308057"/>
      <w:bookmarkEnd w:id="148"/>
      <w:bookmarkStart w:id="149" w:name="_Toc184312131"/>
      <w:bookmarkEnd w:id="149"/>
      <w:bookmarkStart w:id="150" w:name="_Toc184310290"/>
      <w:bookmarkEnd w:id="150"/>
      <w:bookmarkStart w:id="151" w:name="_Toc184314423"/>
      <w:bookmarkEnd w:id="151"/>
      <w:bookmarkStart w:id="152" w:name="_Toc184313289"/>
      <w:bookmarkEnd w:id="152"/>
      <w:bookmarkStart w:id="153" w:name="_Toc184313253"/>
      <w:bookmarkEnd w:id="153"/>
      <w:bookmarkStart w:id="154" w:name="_Toc184310299"/>
      <w:bookmarkEnd w:id="154"/>
      <w:bookmarkStart w:id="155" w:name="_Toc184312100"/>
      <w:bookmarkEnd w:id="155"/>
      <w:bookmarkStart w:id="156" w:name="_Toc184310301"/>
      <w:bookmarkEnd w:id="156"/>
      <w:bookmarkStart w:id="157" w:name="_Toc184310314"/>
      <w:bookmarkEnd w:id="157"/>
      <w:bookmarkStart w:id="158" w:name="_Toc184313270"/>
      <w:bookmarkEnd w:id="158"/>
      <w:bookmarkStart w:id="159" w:name="_Toc184314454"/>
      <w:bookmarkEnd w:id="159"/>
      <w:bookmarkStart w:id="160" w:name="_Toc184314418"/>
      <w:bookmarkEnd w:id="160"/>
      <w:bookmarkStart w:id="161" w:name="_Toc184308079"/>
      <w:bookmarkEnd w:id="161"/>
      <w:bookmarkStart w:id="162" w:name="_Toc184313274"/>
      <w:bookmarkEnd w:id="162"/>
      <w:bookmarkStart w:id="163" w:name="_Toc184313243"/>
      <w:bookmarkEnd w:id="163"/>
      <w:bookmarkStart w:id="164" w:name="_Toc184312076"/>
      <w:bookmarkEnd w:id="164"/>
      <w:bookmarkStart w:id="165" w:name="_Toc184308078"/>
      <w:bookmarkEnd w:id="165"/>
      <w:bookmarkStart w:id="166" w:name="_Toc184313276"/>
      <w:bookmarkEnd w:id="166"/>
      <w:bookmarkStart w:id="167" w:name="_Toc184314432"/>
      <w:bookmarkEnd w:id="167"/>
      <w:bookmarkStart w:id="168" w:name="_Toc184310305"/>
      <w:bookmarkEnd w:id="168"/>
      <w:bookmarkStart w:id="169" w:name="_Toc184312093"/>
      <w:bookmarkEnd w:id="169"/>
      <w:bookmarkStart w:id="170" w:name="_Toc184312075"/>
      <w:bookmarkEnd w:id="170"/>
      <w:bookmarkStart w:id="171" w:name="_Toc184313283"/>
      <w:bookmarkEnd w:id="171"/>
      <w:bookmarkStart w:id="172" w:name="_Toc184310317"/>
      <w:bookmarkEnd w:id="172"/>
      <w:bookmarkStart w:id="173" w:name="_Toc184310294"/>
      <w:bookmarkEnd w:id="173"/>
      <w:bookmarkStart w:id="174" w:name="_Toc184308085"/>
      <w:bookmarkEnd w:id="174"/>
      <w:bookmarkStart w:id="175" w:name="_Toc184308091"/>
      <w:bookmarkEnd w:id="175"/>
      <w:bookmarkStart w:id="176" w:name="_Toc184308050"/>
      <w:bookmarkEnd w:id="176"/>
      <w:bookmarkStart w:id="177" w:name="_Toc184310281"/>
      <w:bookmarkEnd w:id="177"/>
      <w:bookmarkStart w:id="178" w:name="_Toc184310327"/>
      <w:bookmarkEnd w:id="178"/>
      <w:bookmarkStart w:id="179" w:name="_Toc184312126"/>
      <w:bookmarkEnd w:id="179"/>
      <w:bookmarkStart w:id="180" w:name="_Toc184314425"/>
      <w:bookmarkEnd w:id="180"/>
      <w:bookmarkStart w:id="181" w:name="_Toc184308068"/>
      <w:bookmarkEnd w:id="181"/>
      <w:bookmarkStart w:id="182" w:name="_Toc184314482"/>
      <w:bookmarkEnd w:id="182"/>
      <w:bookmarkStart w:id="183" w:name="_Toc184313279"/>
      <w:bookmarkEnd w:id="183"/>
      <w:bookmarkStart w:id="184" w:name="_Toc184310312"/>
      <w:bookmarkEnd w:id="184"/>
      <w:bookmarkStart w:id="185" w:name="_Toc184312124"/>
      <w:bookmarkEnd w:id="185"/>
      <w:bookmarkStart w:id="186" w:name="_Toc184312128"/>
      <w:bookmarkEnd w:id="186"/>
      <w:bookmarkStart w:id="187" w:name="_Toc184314473"/>
      <w:bookmarkEnd w:id="187"/>
      <w:bookmarkStart w:id="188" w:name="_Toc184313306"/>
      <w:bookmarkEnd w:id="188"/>
      <w:bookmarkStart w:id="189" w:name="_Toc184313258"/>
      <w:bookmarkEnd w:id="189"/>
      <w:bookmarkStart w:id="190" w:name="_Toc184308099"/>
      <w:bookmarkEnd w:id="190"/>
      <w:bookmarkStart w:id="191" w:name="_Toc184310328"/>
      <w:bookmarkEnd w:id="191"/>
      <w:bookmarkStart w:id="192" w:name="_Toc184308048"/>
      <w:bookmarkEnd w:id="192"/>
      <w:bookmarkStart w:id="193" w:name="_Toc184312114"/>
      <w:bookmarkEnd w:id="193"/>
      <w:bookmarkStart w:id="194" w:name="_Toc184310286"/>
      <w:bookmarkEnd w:id="194"/>
      <w:bookmarkStart w:id="195" w:name="_Toc184310338"/>
      <w:bookmarkEnd w:id="195"/>
      <w:bookmarkStart w:id="196" w:name="_Toc184314456"/>
      <w:bookmarkEnd w:id="196"/>
      <w:bookmarkStart w:id="197" w:name="_Toc184312119"/>
      <w:bookmarkEnd w:id="197"/>
      <w:bookmarkStart w:id="198" w:name="_Toc184313300"/>
      <w:bookmarkEnd w:id="198"/>
      <w:bookmarkStart w:id="199" w:name="_Toc184314450"/>
      <w:bookmarkEnd w:id="199"/>
      <w:bookmarkStart w:id="200" w:name="_Toc184312117"/>
      <w:bookmarkEnd w:id="200"/>
      <w:bookmarkStart w:id="201" w:name="_Toc184314420"/>
      <w:bookmarkEnd w:id="201"/>
      <w:bookmarkStart w:id="202" w:name="_Toc184308097"/>
      <w:bookmarkEnd w:id="202"/>
      <w:bookmarkStart w:id="203" w:name="_Toc184312081"/>
      <w:bookmarkEnd w:id="203"/>
      <w:bookmarkStart w:id="204" w:name="_Toc184314463"/>
      <w:bookmarkEnd w:id="204"/>
      <w:bookmarkStart w:id="205" w:name="_Toc184313242"/>
      <w:bookmarkEnd w:id="205"/>
      <w:bookmarkStart w:id="206" w:name="_Toc184310342"/>
      <w:bookmarkEnd w:id="206"/>
      <w:bookmarkStart w:id="207" w:name="_Toc184308070"/>
      <w:bookmarkEnd w:id="207"/>
      <w:bookmarkStart w:id="208" w:name="_Toc184310282"/>
      <w:bookmarkEnd w:id="208"/>
      <w:bookmarkStart w:id="209" w:name="_Toc184308045"/>
      <w:bookmarkEnd w:id="209"/>
      <w:bookmarkStart w:id="210" w:name="_Toc184308082"/>
      <w:bookmarkEnd w:id="210"/>
      <w:bookmarkStart w:id="211" w:name="_Toc184308076"/>
      <w:bookmarkEnd w:id="211"/>
      <w:bookmarkStart w:id="212" w:name="_Toc184314461"/>
      <w:bookmarkEnd w:id="212"/>
      <w:bookmarkStart w:id="213" w:name="_Toc184314471"/>
      <w:bookmarkEnd w:id="213"/>
      <w:bookmarkStart w:id="214" w:name="_Toc184310343"/>
      <w:bookmarkEnd w:id="214"/>
      <w:bookmarkStart w:id="215" w:name="_Toc184312138"/>
      <w:bookmarkEnd w:id="215"/>
      <w:bookmarkStart w:id="216" w:name="_Toc184312139"/>
      <w:bookmarkEnd w:id="216"/>
      <w:bookmarkStart w:id="217" w:name="_Toc184312136"/>
      <w:bookmarkEnd w:id="217"/>
      <w:bookmarkStart w:id="218" w:name="_Toc184310287"/>
      <w:bookmarkEnd w:id="218"/>
      <w:bookmarkStart w:id="219" w:name="_Toc184314415"/>
      <w:bookmarkEnd w:id="219"/>
      <w:bookmarkStart w:id="220" w:name="_Toc184313293"/>
      <w:bookmarkEnd w:id="220"/>
      <w:bookmarkStart w:id="221" w:name="_Toc184308098"/>
      <w:bookmarkEnd w:id="221"/>
      <w:bookmarkStart w:id="222" w:name="_Toc184314416"/>
      <w:bookmarkEnd w:id="222"/>
      <w:bookmarkStart w:id="223" w:name="_Toc184314445"/>
      <w:bookmarkEnd w:id="223"/>
      <w:bookmarkStart w:id="224" w:name="_Toc184310303"/>
      <w:bookmarkEnd w:id="224"/>
      <w:bookmarkStart w:id="225" w:name="_Toc184312097"/>
      <w:bookmarkEnd w:id="225"/>
      <w:bookmarkStart w:id="226" w:name="_Toc184310323"/>
      <w:bookmarkEnd w:id="226"/>
      <w:bookmarkStart w:id="227" w:name="_Toc184310330"/>
      <w:bookmarkEnd w:id="227"/>
      <w:bookmarkStart w:id="228" w:name="_Toc184310320"/>
      <w:bookmarkEnd w:id="228"/>
      <w:bookmarkStart w:id="229" w:name="_Toc184314451"/>
      <w:bookmarkEnd w:id="229"/>
      <w:bookmarkStart w:id="230" w:name="_Toc184310278"/>
      <w:bookmarkEnd w:id="230"/>
      <w:bookmarkStart w:id="231" w:name="_Toc184308040"/>
      <w:bookmarkEnd w:id="231"/>
      <w:bookmarkStart w:id="232" w:name="_Toc184310334"/>
      <w:bookmarkEnd w:id="232"/>
      <w:bookmarkStart w:id="233" w:name="_Toc184308059"/>
      <w:bookmarkEnd w:id="233"/>
      <w:bookmarkStart w:id="234" w:name="_Toc184308081"/>
      <w:bookmarkEnd w:id="234"/>
      <w:bookmarkStart w:id="235" w:name="_Toc184308043"/>
      <w:bookmarkEnd w:id="235"/>
      <w:bookmarkStart w:id="236" w:name="_Toc184313310"/>
      <w:bookmarkEnd w:id="236"/>
      <w:bookmarkStart w:id="237" w:name="_Toc184308077"/>
      <w:bookmarkEnd w:id="237"/>
      <w:bookmarkStart w:id="238" w:name="_Toc184310274"/>
      <w:bookmarkEnd w:id="238"/>
      <w:bookmarkStart w:id="239" w:name="_Toc184313257"/>
      <w:bookmarkEnd w:id="239"/>
      <w:bookmarkStart w:id="240" w:name="_Toc184310280"/>
      <w:bookmarkEnd w:id="240"/>
      <w:bookmarkStart w:id="241" w:name="_Toc184312098"/>
      <w:bookmarkEnd w:id="241"/>
      <w:bookmarkStart w:id="242" w:name="_Toc184312109"/>
      <w:bookmarkEnd w:id="242"/>
      <w:bookmarkStart w:id="243" w:name="_Toc184313262"/>
      <w:bookmarkEnd w:id="243"/>
      <w:bookmarkStart w:id="244" w:name="_Toc184308095"/>
      <w:bookmarkEnd w:id="244"/>
      <w:bookmarkStart w:id="245" w:name="_Toc184314479"/>
      <w:bookmarkEnd w:id="245"/>
      <w:bookmarkStart w:id="246" w:name="_Toc184314480"/>
      <w:bookmarkEnd w:id="246"/>
      <w:bookmarkStart w:id="247" w:name="_Toc184308054"/>
      <w:bookmarkEnd w:id="247"/>
      <w:bookmarkStart w:id="248" w:name="_Toc184313264"/>
      <w:bookmarkEnd w:id="248"/>
      <w:bookmarkStart w:id="249" w:name="_Toc184314427"/>
      <w:bookmarkEnd w:id="249"/>
      <w:bookmarkStart w:id="250" w:name="_Toc184308042"/>
      <w:bookmarkEnd w:id="250"/>
      <w:bookmarkStart w:id="251" w:name="_Toc184314430"/>
      <w:bookmarkEnd w:id="251"/>
      <w:bookmarkStart w:id="252" w:name="_Toc184313241"/>
      <w:bookmarkEnd w:id="252"/>
      <w:bookmarkStart w:id="253" w:name="_Toc184313284"/>
      <w:bookmarkEnd w:id="253"/>
      <w:bookmarkStart w:id="254" w:name="_Toc184312070"/>
      <w:bookmarkEnd w:id="254"/>
      <w:bookmarkStart w:id="255" w:name="_Toc184310335"/>
      <w:bookmarkEnd w:id="255"/>
      <w:bookmarkStart w:id="256" w:name="_Toc184312074"/>
      <w:bookmarkEnd w:id="256"/>
      <w:bookmarkStart w:id="257" w:name="_Toc184313277"/>
      <w:bookmarkEnd w:id="257"/>
      <w:bookmarkStart w:id="258" w:name="_Toc184312094"/>
      <w:bookmarkEnd w:id="258"/>
      <w:bookmarkStart w:id="259" w:name="_Toc184312084"/>
      <w:bookmarkEnd w:id="259"/>
      <w:bookmarkStart w:id="260" w:name="_Toc184313295"/>
      <w:bookmarkEnd w:id="260"/>
      <w:bookmarkStart w:id="261" w:name="_Toc184313245"/>
      <w:bookmarkEnd w:id="261"/>
      <w:bookmarkStart w:id="262" w:name="_Toc184310309"/>
      <w:bookmarkEnd w:id="262"/>
      <w:bookmarkStart w:id="263" w:name="_Toc184313296"/>
      <w:bookmarkEnd w:id="263"/>
      <w:bookmarkStart w:id="264" w:name="_Toc184310333"/>
      <w:bookmarkEnd w:id="264"/>
      <w:bookmarkStart w:id="265" w:name="_Toc184312069"/>
      <w:bookmarkEnd w:id="265"/>
      <w:bookmarkStart w:id="266" w:name="_Toc184308044"/>
      <w:bookmarkEnd w:id="266"/>
      <w:bookmarkStart w:id="267" w:name="_Toc184314472"/>
      <w:bookmarkEnd w:id="267"/>
      <w:bookmarkStart w:id="268" w:name="_Toc184313269"/>
      <w:bookmarkEnd w:id="268"/>
      <w:bookmarkStart w:id="269" w:name="_Toc184312101"/>
      <w:bookmarkEnd w:id="269"/>
      <w:bookmarkStart w:id="270" w:name="_Toc184312077"/>
      <w:bookmarkEnd w:id="270"/>
      <w:bookmarkStart w:id="271" w:name="_Toc184314435"/>
      <w:bookmarkEnd w:id="271"/>
      <w:bookmarkStart w:id="272" w:name="_Toc184313247"/>
      <w:bookmarkEnd w:id="272"/>
      <w:bookmarkStart w:id="273" w:name="_Toc184313299"/>
      <w:bookmarkEnd w:id="273"/>
      <w:bookmarkStart w:id="274" w:name="_Toc184310273"/>
      <w:bookmarkEnd w:id="274"/>
      <w:bookmarkStart w:id="275" w:name="_Toc184308106"/>
      <w:bookmarkEnd w:id="275"/>
      <w:bookmarkStart w:id="276" w:name="_Toc184313303"/>
      <w:bookmarkEnd w:id="276"/>
      <w:bookmarkStart w:id="277" w:name="_Toc184314447"/>
      <w:bookmarkEnd w:id="277"/>
      <w:bookmarkStart w:id="278" w:name="_Toc184308039"/>
      <w:bookmarkEnd w:id="278"/>
      <w:bookmarkStart w:id="279" w:name="_Toc184313285"/>
      <w:bookmarkEnd w:id="279"/>
      <w:bookmarkStart w:id="280" w:name="_Toc184312118"/>
      <w:bookmarkEnd w:id="280"/>
      <w:bookmarkStart w:id="281" w:name="_Toc184308092"/>
      <w:bookmarkEnd w:id="281"/>
      <w:bookmarkStart w:id="282" w:name="_Toc184310331"/>
      <w:bookmarkEnd w:id="282"/>
      <w:bookmarkStart w:id="283" w:name="_Toc184314428"/>
      <w:bookmarkEnd w:id="283"/>
      <w:bookmarkStart w:id="284" w:name="_Toc184313308"/>
      <w:bookmarkEnd w:id="284"/>
      <w:bookmarkStart w:id="285" w:name="_Toc184313261"/>
      <w:bookmarkEnd w:id="285"/>
      <w:bookmarkStart w:id="286" w:name="_Toc184312122"/>
      <w:bookmarkEnd w:id="286"/>
      <w:bookmarkStart w:id="287" w:name="_Toc184308067"/>
      <w:bookmarkEnd w:id="287"/>
      <w:bookmarkStart w:id="288" w:name="_Toc184312067"/>
      <w:bookmarkEnd w:id="288"/>
      <w:bookmarkStart w:id="289" w:name="_Toc184313271"/>
      <w:bookmarkEnd w:id="289"/>
      <w:bookmarkStart w:id="290" w:name="_Toc184312104"/>
      <w:bookmarkEnd w:id="290"/>
      <w:bookmarkStart w:id="291" w:name="_Toc184308088"/>
      <w:bookmarkEnd w:id="291"/>
      <w:bookmarkStart w:id="292" w:name="_Toc184312115"/>
      <w:bookmarkEnd w:id="292"/>
      <w:bookmarkStart w:id="293" w:name="_Toc184313298"/>
      <w:bookmarkEnd w:id="293"/>
      <w:bookmarkStart w:id="294" w:name="_Toc184310344"/>
      <w:bookmarkEnd w:id="294"/>
      <w:bookmarkStart w:id="295" w:name="_Toc184312088"/>
      <w:bookmarkEnd w:id="295"/>
      <w:bookmarkStart w:id="296" w:name="_Toc184308104"/>
      <w:bookmarkEnd w:id="296"/>
      <w:bookmarkStart w:id="297" w:name="_Toc184310339"/>
      <w:bookmarkEnd w:id="297"/>
      <w:bookmarkStart w:id="298" w:name="_Toc184313240"/>
      <w:bookmarkEnd w:id="298"/>
      <w:bookmarkStart w:id="299" w:name="_Toc184314421"/>
      <w:bookmarkEnd w:id="299"/>
      <w:bookmarkStart w:id="300" w:name="_Toc184314419"/>
      <w:bookmarkEnd w:id="300"/>
      <w:bookmarkStart w:id="301" w:name="_Toc184308052"/>
      <w:bookmarkEnd w:id="301"/>
      <w:bookmarkStart w:id="302" w:name="_Toc184310275"/>
      <w:bookmarkEnd w:id="302"/>
      <w:bookmarkStart w:id="303" w:name="_Toc184314444"/>
      <w:bookmarkEnd w:id="303"/>
      <w:bookmarkStart w:id="304" w:name="_Toc184313249"/>
      <w:bookmarkEnd w:id="304"/>
      <w:bookmarkStart w:id="305" w:name="_Toc184313260"/>
      <w:bookmarkEnd w:id="305"/>
      <w:bookmarkStart w:id="306" w:name="_Toc184308060"/>
      <w:bookmarkEnd w:id="306"/>
      <w:bookmarkStart w:id="307" w:name="_Toc184312087"/>
      <w:bookmarkEnd w:id="307"/>
      <w:bookmarkStart w:id="308" w:name="_Toc184310276"/>
      <w:bookmarkEnd w:id="308"/>
      <w:bookmarkStart w:id="309" w:name="_Toc184308071"/>
      <w:bookmarkEnd w:id="309"/>
      <w:bookmarkStart w:id="310" w:name="_Toc184314411"/>
      <w:bookmarkEnd w:id="310"/>
      <w:bookmarkStart w:id="311" w:name="_Toc184312089"/>
      <w:bookmarkEnd w:id="311"/>
      <w:bookmarkStart w:id="312" w:name="_Toc184312133"/>
      <w:bookmarkEnd w:id="312"/>
      <w:bookmarkStart w:id="313" w:name="_Toc184312111"/>
      <w:bookmarkEnd w:id="313"/>
      <w:bookmarkStart w:id="314" w:name="_Toc184308102"/>
      <w:bookmarkEnd w:id="314"/>
      <w:bookmarkStart w:id="315" w:name="_Toc184310321"/>
      <w:bookmarkEnd w:id="315"/>
      <w:bookmarkStart w:id="316" w:name="_Toc184312135"/>
      <w:bookmarkEnd w:id="316"/>
      <w:bookmarkStart w:id="317" w:name="_Toc184310283"/>
      <w:bookmarkEnd w:id="317"/>
      <w:bookmarkStart w:id="318" w:name="_Toc184310313"/>
      <w:bookmarkEnd w:id="318"/>
      <w:bookmarkStart w:id="319" w:name="_Toc184308083"/>
      <w:bookmarkEnd w:id="319"/>
      <w:bookmarkStart w:id="320" w:name="_Toc184314459"/>
      <w:bookmarkEnd w:id="320"/>
      <w:bookmarkStart w:id="321" w:name="_Toc184314413"/>
      <w:bookmarkEnd w:id="321"/>
      <w:bookmarkStart w:id="322" w:name="_Toc184312112"/>
      <w:bookmarkEnd w:id="322"/>
      <w:bookmarkStart w:id="323" w:name="_Toc184313292"/>
      <w:bookmarkEnd w:id="323"/>
      <w:bookmarkStart w:id="324" w:name="_Toc184313248"/>
      <w:bookmarkEnd w:id="324"/>
      <w:bookmarkStart w:id="325" w:name="_Toc184310311"/>
      <w:bookmarkEnd w:id="325"/>
      <w:bookmarkStart w:id="326" w:name="_Toc184313290"/>
      <w:bookmarkEnd w:id="326"/>
      <w:bookmarkStart w:id="327" w:name="_Toc184310329"/>
      <w:bookmarkEnd w:id="327"/>
      <w:bookmarkStart w:id="328" w:name="_Toc184310285"/>
      <w:bookmarkEnd w:id="328"/>
      <w:bookmarkStart w:id="329" w:name="_Toc184313263"/>
      <w:bookmarkEnd w:id="329"/>
      <w:bookmarkStart w:id="330" w:name="_Toc184314436"/>
      <w:bookmarkEnd w:id="330"/>
      <w:bookmarkStart w:id="331" w:name="_Toc184314426"/>
      <w:bookmarkEnd w:id="331"/>
      <w:bookmarkStart w:id="332" w:name="_Toc184312134"/>
      <w:bookmarkEnd w:id="332"/>
      <w:bookmarkStart w:id="333" w:name="_Toc184308061"/>
      <w:bookmarkEnd w:id="333"/>
      <w:bookmarkStart w:id="334" w:name="_Toc184312137"/>
      <w:bookmarkEnd w:id="334"/>
      <w:bookmarkStart w:id="335" w:name="_Toc184314470"/>
      <w:bookmarkEnd w:id="335"/>
      <w:bookmarkStart w:id="336" w:name="_Toc184310337"/>
      <w:bookmarkEnd w:id="336"/>
      <w:bookmarkStart w:id="337" w:name="_Toc184308089"/>
      <w:bookmarkEnd w:id="337"/>
      <w:bookmarkStart w:id="338" w:name="_Toc184310293"/>
      <w:bookmarkEnd w:id="338"/>
      <w:bookmarkStart w:id="339" w:name="_Toc184314414"/>
      <w:bookmarkEnd w:id="339"/>
      <w:bookmarkStart w:id="340" w:name="_Toc184314412"/>
      <w:bookmarkEnd w:id="340"/>
      <w:bookmarkStart w:id="341" w:name="_Toc184310291"/>
      <w:bookmarkEnd w:id="341"/>
      <w:bookmarkStart w:id="342" w:name="_Toc184314433"/>
      <w:bookmarkEnd w:id="342"/>
      <w:bookmarkStart w:id="343" w:name="_Toc184308073"/>
      <w:bookmarkEnd w:id="343"/>
      <w:bookmarkStart w:id="344" w:name="_Toc184312083"/>
      <w:bookmarkEnd w:id="344"/>
      <w:bookmarkStart w:id="345" w:name="_Toc184312127"/>
      <w:bookmarkEnd w:id="345"/>
      <w:bookmarkStart w:id="346" w:name="_Toc184313256"/>
      <w:bookmarkEnd w:id="346"/>
      <w:bookmarkStart w:id="347" w:name="_Toc184308084"/>
      <w:bookmarkEnd w:id="347"/>
      <w:bookmarkStart w:id="348" w:name="_Toc184312120"/>
      <w:bookmarkEnd w:id="348"/>
      <w:bookmarkStart w:id="349" w:name="_Toc184308087"/>
      <w:bookmarkEnd w:id="349"/>
      <w:bookmarkStart w:id="350" w:name="_Toc184313309"/>
      <w:bookmarkEnd w:id="350"/>
      <w:bookmarkStart w:id="351" w:name="_Toc184308053"/>
      <w:bookmarkEnd w:id="351"/>
      <w:bookmarkStart w:id="352" w:name="_Toc184308074"/>
      <w:bookmarkEnd w:id="352"/>
      <w:bookmarkStart w:id="353" w:name="_Toc184312072"/>
      <w:bookmarkEnd w:id="353"/>
      <w:bookmarkStart w:id="354" w:name="_Toc184308049"/>
      <w:bookmarkEnd w:id="354"/>
      <w:bookmarkStart w:id="355" w:name="_Toc184314465"/>
      <w:bookmarkEnd w:id="355"/>
      <w:bookmarkStart w:id="356" w:name="_Toc184312078"/>
      <w:bookmarkEnd w:id="356"/>
      <w:bookmarkStart w:id="357" w:name="_Toc184312082"/>
      <w:bookmarkEnd w:id="357"/>
      <w:bookmarkStart w:id="358" w:name="_Toc184314453"/>
      <w:bookmarkEnd w:id="358"/>
      <w:bookmarkStart w:id="359" w:name="_Toc184313304"/>
      <w:bookmarkEnd w:id="359"/>
      <w:bookmarkStart w:id="360" w:name="_Toc184310304"/>
      <w:bookmarkEnd w:id="360"/>
      <w:bookmarkStart w:id="361" w:name="_Toc184314460"/>
      <w:bookmarkEnd w:id="361"/>
      <w:bookmarkStart w:id="362" w:name="_Toc184312092"/>
      <w:bookmarkEnd w:id="362"/>
      <w:bookmarkStart w:id="363" w:name="_Toc184310295"/>
      <w:bookmarkEnd w:id="363"/>
      <w:bookmarkStart w:id="364" w:name="_Toc184313250"/>
      <w:bookmarkEnd w:id="364"/>
      <w:bookmarkStart w:id="365" w:name="_Toc184312130"/>
      <w:bookmarkEnd w:id="365"/>
      <w:bookmarkStart w:id="366" w:name="_Toc184310279"/>
      <w:bookmarkEnd w:id="366"/>
      <w:bookmarkStart w:id="367" w:name="_Toc184308069"/>
      <w:bookmarkEnd w:id="367"/>
      <w:bookmarkStart w:id="368" w:name="_Toc184312071"/>
      <w:bookmarkEnd w:id="368"/>
      <w:bookmarkStart w:id="369" w:name="_Toc184308037"/>
      <w:bookmarkEnd w:id="369"/>
      <w:bookmarkStart w:id="370" w:name="_Toc184310306"/>
      <w:bookmarkEnd w:id="370"/>
      <w:bookmarkStart w:id="371" w:name="_Toc184308080"/>
      <w:bookmarkEnd w:id="371"/>
      <w:bookmarkStart w:id="372" w:name="_Toc184313307"/>
      <w:bookmarkEnd w:id="372"/>
      <w:bookmarkStart w:id="373" w:name="_Toc184313294"/>
      <w:bookmarkEnd w:id="373"/>
      <w:bookmarkStart w:id="374" w:name="_Toc184308105"/>
      <w:bookmarkEnd w:id="374"/>
      <w:bookmarkStart w:id="375" w:name="_Toc184312099"/>
      <w:bookmarkEnd w:id="375"/>
      <w:bookmarkStart w:id="376" w:name="_Toc184310310"/>
      <w:bookmarkEnd w:id="376"/>
      <w:bookmarkStart w:id="377" w:name="_Toc184308041"/>
      <w:bookmarkEnd w:id="377"/>
      <w:bookmarkStart w:id="378" w:name="_Toc184314468"/>
      <w:bookmarkEnd w:id="378"/>
      <w:bookmarkStart w:id="379" w:name="_Toc184308051"/>
      <w:bookmarkEnd w:id="379"/>
      <w:bookmarkStart w:id="380" w:name="_Toc184308065"/>
      <w:bookmarkEnd w:id="380"/>
      <w:bookmarkStart w:id="381" w:name="_Toc184313288"/>
      <w:bookmarkEnd w:id="381"/>
      <w:bookmarkStart w:id="382" w:name="_Toc184312091"/>
      <w:bookmarkEnd w:id="382"/>
      <w:bookmarkStart w:id="383" w:name="_Toc184312123"/>
      <w:bookmarkEnd w:id="383"/>
      <w:bookmarkStart w:id="384" w:name="_Toc184308090"/>
      <w:bookmarkEnd w:id="384"/>
      <w:bookmarkStart w:id="385" w:name="_Toc184314448"/>
      <w:bookmarkEnd w:id="385"/>
      <w:bookmarkStart w:id="386" w:name="_Toc184308055"/>
      <w:bookmarkEnd w:id="386"/>
      <w:bookmarkStart w:id="387" w:name="_Toc184314431"/>
      <w:bookmarkEnd w:id="387"/>
      <w:bookmarkStart w:id="388" w:name="_Toc184314469"/>
      <w:bookmarkEnd w:id="388"/>
      <w:bookmarkStart w:id="389" w:name="_Toc184313272"/>
      <w:bookmarkEnd w:id="389"/>
      <w:bookmarkStart w:id="390" w:name="_Toc184310340"/>
      <w:bookmarkEnd w:id="390"/>
      <w:bookmarkStart w:id="391" w:name="_Toc184310302"/>
      <w:bookmarkEnd w:id="391"/>
      <w:bookmarkStart w:id="392" w:name="_Toc184313268"/>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rPr>
          <w:color w:val="auto"/>
          <w:highlight w:val="none"/>
        </w:rPr>
      </w:pP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10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最高分值</w:t>
            </w:r>
          </w:p>
        </w:tc>
        <w:tc>
          <w:tcPr>
            <w:tcW w:w="992" w:type="dxa"/>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主观分/客观分属性</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根据本项目物业使用特点提出合理的物业管理服务理念、服务定位和服务目标。</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全部符合得2分，部分符合得1分，不符合不得分。内容完整合理、有针对性，视为符合要求，此项最高2分。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103" w:type="dxa"/>
            <w:vAlign w:val="center"/>
          </w:tcPr>
          <w:p>
            <w:pPr>
              <w:numPr>
                <w:ilvl w:val="0"/>
                <w:numId w:val="35"/>
              </w:numPr>
              <w:tabs>
                <w:tab w:val="left" w:pos="425"/>
              </w:tabs>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针对本项目有比较完善的组织架构（0-2分）；</w:t>
            </w:r>
          </w:p>
          <w:p>
            <w:pPr>
              <w:numPr>
                <w:ilvl w:val="0"/>
                <w:numId w:val="35"/>
              </w:numPr>
              <w:tabs>
                <w:tab w:val="left" w:pos="425"/>
              </w:tabs>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清晰简练地列出主要管理流程，包括：运作流程图、信息反馈及处理运作流程图、投诉处理运作流程图、紧急情况处理运作流程图（0-2分）；</w:t>
            </w:r>
          </w:p>
          <w:p>
            <w:pPr>
              <w:numPr>
                <w:ilvl w:val="0"/>
                <w:numId w:val="35"/>
              </w:numPr>
              <w:tabs>
                <w:tab w:val="left" w:pos="425"/>
              </w:tabs>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列出主要管理机制，包括：激励机制、监督机制、自我约束机制（0-2分）；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具有健全的物业管理制度，体现标准化服务水平，包括：考勤管理制度、财务管理制度、接待投诉制度、培训学习制度、监督考核制度、档案管理制度、各项工作制度（应包含保洁、保安、绿化、设施设备管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每提供一条符合要求的制度，得1分，部分符合得0.5分，不符合不得分。内容完整合理、有针对性视为符合要求。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全部符合得3分，部分符合得1.5分，不符合不得分。内容完整合理、有针对性视为符合要求。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103" w:type="dxa"/>
            <w:vAlign w:val="center"/>
          </w:tcPr>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详细说明投入的工具、药剂、耗材的环保性和优越性，提供相关设备、工具、材料的品牌、型号、产地、数量等清单（0-2分）；</w:t>
            </w:r>
          </w:p>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配备防爆、防汛物资、工程维护部物料及器材消耗（0-2分）。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投入的设备、耗材等情况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103" w:type="dxa"/>
            <w:vAlign w:val="center"/>
          </w:tcPr>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不同区域保洁标准、频次、工具区分；</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特殊天气清扫；</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高空保洁作业防护措施；</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预防性卫生消杀</w:t>
            </w:r>
            <w:r>
              <w:rPr>
                <w:rFonts w:hint="eastAsia" w:ascii="新宋体" w:hAnsi="新宋体" w:eastAsia="新宋体" w:cs="新宋体"/>
                <w:color w:val="auto"/>
                <w:sz w:val="24"/>
                <w:highlight w:val="none"/>
                <w:lang w:val="en-US" w:eastAsia="zh-CN"/>
              </w:rPr>
              <w:t>及</w:t>
            </w:r>
            <w:r>
              <w:rPr>
                <w:rFonts w:hint="eastAsia" w:ascii="新宋体" w:hAnsi="新宋体" w:eastAsia="新宋体" w:cs="新宋体"/>
                <w:color w:val="auto"/>
                <w:sz w:val="24"/>
                <w:highlight w:val="none"/>
              </w:rPr>
              <w:t>定期全面消杀；</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消灭“四害”；</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eastAsia="zh-CN"/>
              </w:rPr>
              <w:t>每周末对面向社会开放的运动场地进行清扫</w:t>
            </w:r>
            <w:r>
              <w:rPr>
                <w:rFonts w:hint="eastAsia" w:ascii="新宋体" w:hAnsi="新宋体" w:eastAsia="新宋体" w:cs="新宋体"/>
                <w:color w:val="auto"/>
                <w:sz w:val="24"/>
                <w:highlight w:val="none"/>
                <w:lang w:val="en-US" w:eastAsia="zh-CN"/>
              </w:rPr>
              <w:t>以及</w:t>
            </w:r>
            <w:r>
              <w:rPr>
                <w:rFonts w:hint="eastAsia" w:ascii="新宋体" w:hAnsi="新宋体" w:eastAsia="新宋体" w:cs="新宋体"/>
                <w:color w:val="auto"/>
                <w:sz w:val="24"/>
                <w:highlight w:val="none"/>
                <w:lang w:eastAsia="zh-CN"/>
              </w:rPr>
              <w:t>每学期开学前和放假后对校园内公共区域及相关附属设施设备</w:t>
            </w:r>
            <w:r>
              <w:rPr>
                <w:rFonts w:hint="eastAsia" w:ascii="新宋体" w:hAnsi="新宋体" w:eastAsia="新宋体" w:cs="新宋体"/>
                <w:b w:val="0"/>
                <w:bCs w:val="0"/>
                <w:color w:val="auto"/>
                <w:sz w:val="24"/>
                <w:szCs w:val="24"/>
                <w:highlight w:val="none"/>
                <w:lang w:val="en-US"/>
              </w:rPr>
              <w:t>开展一次</w:t>
            </w:r>
            <w:r>
              <w:rPr>
                <w:rFonts w:hint="eastAsia" w:ascii="新宋体" w:hAnsi="新宋体" w:eastAsia="新宋体" w:cs="新宋体"/>
                <w:b w:val="0"/>
                <w:bCs w:val="0"/>
                <w:color w:val="auto"/>
                <w:sz w:val="24"/>
                <w:szCs w:val="24"/>
                <w:highlight w:val="none"/>
                <w:lang w:val="en-US" w:eastAsia="zh-CN"/>
              </w:rPr>
              <w:t>大扫除</w:t>
            </w:r>
            <w:r>
              <w:rPr>
                <w:rFonts w:hint="eastAsia" w:ascii="新宋体" w:hAnsi="新宋体" w:eastAsia="新宋体" w:cs="新宋体"/>
                <w:color w:val="auto"/>
                <w:sz w:val="24"/>
                <w:highlight w:val="none"/>
                <w:lang w:eastAsia="zh-CN"/>
              </w:rPr>
              <w:t>。</w:t>
            </w:r>
          </w:p>
          <w:p>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szCs w:val="21"/>
                <w:highlight w:val="none"/>
              </w:rPr>
              <w:t xml:space="preserve">    每小点内容全部符合得1分，部分符合得0.5分，不符合不得分。内容完整合理、有针对性视为符合要求。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5103" w:type="dxa"/>
            <w:vAlign w:val="center"/>
          </w:tcPr>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遵纪守规文明履职；</w:t>
            </w:r>
          </w:p>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门岗管理方案；</w:t>
            </w:r>
          </w:p>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重点时段执勤方案；</w:t>
            </w:r>
          </w:p>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重点部位及周边巡查；</w:t>
            </w:r>
          </w:p>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紧急情况处置。</w:t>
            </w:r>
          </w:p>
          <w:p>
            <w:pPr>
              <w:widowControl/>
              <w:spacing w:line="360" w:lineRule="auto"/>
              <w:textAlignment w:val="center"/>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每小点内容全部符合得1分，部分符合得0.5分，不符合不得分。内容完整合理、有针对性视为符合要求。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5</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宋体" w:cs="新宋体"/>
                <w:color w:val="auto"/>
                <w:sz w:val="24"/>
                <w:highlight w:val="none"/>
              </w:rPr>
            </w:pPr>
            <w:r>
              <w:rPr>
                <w:rFonts w:hint="eastAsia" w:ascii="新宋体" w:hAnsi="新宋体" w:eastAsia="新宋体" w:cs="新宋体"/>
                <w:color w:val="auto"/>
                <w:kern w:val="0"/>
                <w:sz w:val="24"/>
                <w:highlight w:val="none"/>
              </w:rPr>
              <w:t>保安服务方案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5103" w:type="dxa"/>
            <w:vAlign w:val="center"/>
          </w:tcPr>
          <w:p>
            <w:pPr>
              <w:numPr>
                <w:ilvl w:val="0"/>
                <w:numId w:val="39"/>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定期巡查；</w:t>
            </w:r>
          </w:p>
          <w:p>
            <w:pPr>
              <w:numPr>
                <w:ilvl w:val="0"/>
                <w:numId w:val="39"/>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张贴平面疏散示意图、引路标志及控烟标志；</w:t>
            </w:r>
          </w:p>
          <w:p>
            <w:pPr>
              <w:numPr>
                <w:ilvl w:val="0"/>
                <w:numId w:val="39"/>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定期防火检查。</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消控安全管理方案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5103" w:type="dxa"/>
            <w:vAlign w:val="center"/>
          </w:tcPr>
          <w:p>
            <w:pPr>
              <w:numPr>
                <w:ilvl w:val="0"/>
                <w:numId w:val="40"/>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突发事件应急预案；</w:t>
            </w:r>
          </w:p>
          <w:p>
            <w:pPr>
              <w:numPr>
                <w:ilvl w:val="0"/>
                <w:numId w:val="40"/>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w:t>
            </w:r>
            <w:r>
              <w:rPr>
                <w:rFonts w:ascii="新宋体" w:hAnsi="新宋体" w:eastAsia="新宋体" w:cs="新宋体"/>
                <w:color w:val="auto"/>
                <w:sz w:val="24"/>
                <w:highlight w:val="none"/>
              </w:rPr>
              <w:t>4</w:t>
            </w:r>
            <w:r>
              <w:rPr>
                <w:rFonts w:hint="eastAsia" w:ascii="新宋体" w:hAnsi="新宋体" w:eastAsia="新宋体" w:cs="新宋体"/>
                <w:color w:val="auto"/>
                <w:sz w:val="24"/>
                <w:highlight w:val="none"/>
              </w:rPr>
              <w:t>次以上防火灾事故、防暴恐袭击等处置突发事件的培训和演练。</w:t>
            </w:r>
          </w:p>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黑体" w:hAnsi="黑体" w:eastAsia="黑体" w:cs="黑体"/>
                <w:color w:val="auto"/>
                <w:szCs w:val="21"/>
                <w:highlight w:val="none"/>
              </w:rPr>
              <w:t>每小点内容全部符合得 2分，部分符合得 1 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5103" w:type="dxa"/>
            <w:vAlign w:val="center"/>
          </w:tcPr>
          <w:p>
            <w:pPr>
              <w:numPr>
                <w:ilvl w:val="0"/>
                <w:numId w:val="41"/>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绿化日常养护、管理；</w:t>
            </w:r>
          </w:p>
          <w:p>
            <w:pPr>
              <w:numPr>
                <w:ilvl w:val="0"/>
                <w:numId w:val="41"/>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特殊天气巡查、处理，排除安全隐患；</w:t>
            </w:r>
          </w:p>
          <w:p>
            <w:pPr>
              <w:numPr>
                <w:ilvl w:val="0"/>
                <w:numId w:val="41"/>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病虫害防治。</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 2分，部分符合得 1 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绿化租赁方案，包括：植物摆放、养护和管理等，提供本项目拟租赁的绿植清单明细、照片等佐证材料。</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分，不符合不得分。符合招标需求、有针对性视为符合要求。</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w:t>
            </w:r>
          </w:p>
        </w:tc>
        <w:tc>
          <w:tcPr>
            <w:tcW w:w="5103" w:type="dxa"/>
            <w:vAlign w:val="center"/>
          </w:tcPr>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房屋日常维护；</w:t>
            </w:r>
          </w:p>
          <w:p>
            <w:pPr>
              <w:widowControl/>
              <w:numPr>
                <w:ilvl w:val="0"/>
                <w:numId w:val="42"/>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高配房巡视、各类机房设备设施巡检；</w:t>
            </w:r>
          </w:p>
          <w:p>
            <w:pPr>
              <w:widowControl/>
              <w:numPr>
                <w:ilvl w:val="0"/>
                <w:numId w:val="42"/>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照明系统、供用电设备设施维护；</w:t>
            </w:r>
          </w:p>
          <w:p>
            <w:pPr>
              <w:widowControl/>
              <w:numPr>
                <w:ilvl w:val="0"/>
                <w:numId w:val="42"/>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排水系统维护；</w:t>
            </w:r>
          </w:p>
          <w:p>
            <w:pPr>
              <w:widowControl/>
              <w:numPr>
                <w:ilvl w:val="0"/>
                <w:numId w:val="42"/>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水泵、管道养护，每年至少两次水箱清洗，并提供水质检测报告；</w:t>
            </w:r>
          </w:p>
          <w:p>
            <w:pPr>
              <w:widowControl/>
              <w:numPr>
                <w:ilvl w:val="0"/>
                <w:numId w:val="42"/>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智能弱电设备巡检；</w:t>
            </w:r>
          </w:p>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零星维修、其他大修；</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 1分，部分符合得0.5 分，不符合不得分。内容完整合理、有针对性视为符合要求。</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7</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13</w:t>
            </w:r>
          </w:p>
        </w:tc>
        <w:tc>
          <w:tcPr>
            <w:tcW w:w="5103" w:type="dxa"/>
            <w:vAlign w:val="center"/>
          </w:tcPr>
          <w:p>
            <w:pPr>
              <w:widowControl/>
              <w:numPr>
                <w:ilvl w:val="0"/>
                <w:numId w:val="0"/>
              </w:numPr>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承诺提供</w:t>
            </w:r>
            <w:r>
              <w:rPr>
                <w:rFonts w:hint="eastAsia" w:ascii="新宋体" w:hAnsi="新宋体" w:eastAsia="新宋体" w:cs="新宋体"/>
                <w:color w:val="auto"/>
                <w:sz w:val="24"/>
                <w:highlight w:val="none"/>
              </w:rPr>
              <w:t>校园内体育</w:t>
            </w:r>
            <w:r>
              <w:rPr>
                <w:rFonts w:hint="eastAsia" w:ascii="新宋体" w:hAnsi="新宋体" w:eastAsia="新宋体" w:cs="新宋体"/>
                <w:color w:val="auto"/>
                <w:sz w:val="24"/>
                <w:highlight w:val="none"/>
                <w:lang w:val="en-US" w:eastAsia="zh-CN"/>
              </w:rPr>
              <w:t>和</w:t>
            </w:r>
            <w:r>
              <w:rPr>
                <w:rFonts w:hint="eastAsia" w:ascii="新宋体" w:hAnsi="新宋体" w:eastAsia="新宋体" w:cs="新宋体"/>
                <w:color w:val="auto"/>
                <w:sz w:val="24"/>
                <w:highlight w:val="none"/>
              </w:rPr>
              <w:t>文艺设施设备、课桌椅（教育教学活动所需）等物品的搬运工作</w:t>
            </w:r>
            <w:r>
              <w:rPr>
                <w:rFonts w:hint="eastAsia" w:ascii="新宋体" w:hAnsi="新宋体" w:eastAsia="新宋体" w:cs="新宋体"/>
                <w:color w:val="auto"/>
                <w:sz w:val="24"/>
                <w:highlight w:val="none"/>
                <w:lang w:val="en-US" w:eastAsia="zh-CN"/>
              </w:rPr>
              <w:t>保障</w:t>
            </w:r>
            <w:r>
              <w:rPr>
                <w:rFonts w:hint="eastAsia" w:ascii="新宋体" w:hAnsi="新宋体" w:eastAsia="新宋体" w:cs="新宋体"/>
                <w:color w:val="auto"/>
                <w:sz w:val="24"/>
                <w:highlight w:val="none"/>
                <w:lang w:eastAsia="zh-CN"/>
              </w:rPr>
              <w:t>。</w:t>
            </w:r>
          </w:p>
          <w:p>
            <w:pPr>
              <w:keepNext/>
              <w:keepLines/>
              <w:widowControl w:val="0"/>
              <w:adjustRightInd/>
              <w:spacing w:line="360" w:lineRule="auto"/>
              <w:ind w:left="0" w:leftChars="0" w:firstLine="420" w:firstLineChars="200"/>
              <w:jc w:val="left"/>
              <w:outlineLvl w:val="1"/>
              <w:rPr>
                <w:rFonts w:hint="eastAsia" w:ascii="仿宋_GB2312" w:hAnsi="仿宋" w:eastAsia="仿宋_GB2312" w:cs="Times New Roman"/>
                <w:b/>
                <w:bCs/>
                <w:color w:val="auto"/>
                <w:kern w:val="2"/>
                <w:sz w:val="32"/>
                <w:szCs w:val="32"/>
                <w:highlight w:val="none"/>
                <w:lang w:val="zh-CN" w:eastAsia="zh-CN" w:bidi="ar-SA"/>
              </w:rPr>
            </w:pPr>
            <w:r>
              <w:rPr>
                <w:rFonts w:hint="eastAsia" w:ascii="黑体" w:hAnsi="黑体" w:eastAsia="黑体" w:cs="黑体"/>
                <w:b w:val="0"/>
                <w:bCs w:val="0"/>
                <w:color w:val="auto"/>
                <w:kern w:val="2"/>
                <w:sz w:val="21"/>
                <w:szCs w:val="21"/>
                <w:highlight w:val="none"/>
                <w:lang w:val="en-US" w:eastAsia="zh-CN" w:bidi="ar-SA"/>
              </w:rPr>
              <w:t>提供承诺函得1分，不承诺或承诺不完整不得分。</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992" w:type="dxa"/>
            <w:vAlign w:val="center"/>
          </w:tcPr>
          <w:p>
            <w:pPr>
              <w:snapToGrid w:val="0"/>
              <w:spacing w:line="360" w:lineRule="auto"/>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客观分</w:t>
            </w:r>
          </w:p>
        </w:tc>
        <w:tc>
          <w:tcPr>
            <w:tcW w:w="1299" w:type="dxa"/>
            <w:vAlign w:val="center"/>
          </w:tcPr>
          <w:p>
            <w:pPr>
              <w:widowControl/>
              <w:jc w:val="center"/>
              <w:textAlignment w:val="center"/>
              <w:rPr>
                <w:rFonts w:hint="default"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搬运工作保障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4</w:t>
            </w:r>
          </w:p>
        </w:tc>
        <w:tc>
          <w:tcPr>
            <w:tcW w:w="5103"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电梯定期检查、维护、应急维修等，建立台账并记录。</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 3分，部分符合得 1.5分，不符合不得分。内容完整合理、有针对性视为符合要求。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电梯维护方案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5</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消防设施设备定期维护保养，建立台账并记录。  </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 2分，部分符合得 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消防设施设备维护方案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6</w:t>
            </w:r>
          </w:p>
        </w:tc>
        <w:tc>
          <w:tcPr>
            <w:tcW w:w="5103"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 </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 xml:space="preserve"> </w:t>
            </w:r>
            <w:r>
              <w:rPr>
                <w:rFonts w:hint="eastAsia" w:ascii="新宋体" w:hAnsi="新宋体" w:eastAsia="新宋体" w:cs="新宋体"/>
                <w:color w:val="auto"/>
                <w:sz w:val="24"/>
                <w:highlight w:val="none"/>
                <w:lang w:val="en-US" w:eastAsia="zh-CN"/>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空调通风系统维护方案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7</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投标人拥有自主开发的或购买的软件或者APP等智能物业服务平台，含智慧报修、设备管理、巡更管理，满足业主方服务需求。</w:t>
            </w:r>
          </w:p>
          <w:p>
            <w:pPr>
              <w:snapToGrid w:val="0"/>
              <w:spacing w:line="360" w:lineRule="auto"/>
              <w:ind w:firstLine="42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提供相关著作权证书扫描件或购买并应用于本项目的承诺函。每项功能</w:t>
            </w:r>
            <w:r>
              <w:rPr>
                <w:rFonts w:hint="eastAsia" w:ascii="黑体" w:hAnsi="黑体" w:eastAsia="黑体" w:cs="黑体"/>
                <w:color w:val="auto"/>
                <w:szCs w:val="21"/>
                <w:highlight w:val="none"/>
                <w:lang w:val="en-US" w:eastAsia="zh-CN"/>
              </w:rPr>
              <w:t>得</w:t>
            </w:r>
            <w:r>
              <w:rPr>
                <w:rFonts w:hint="eastAsia" w:ascii="黑体" w:hAnsi="黑体" w:eastAsia="黑体" w:cs="黑体"/>
                <w:color w:val="auto"/>
                <w:szCs w:val="21"/>
                <w:highlight w:val="none"/>
              </w:rPr>
              <w:t>1分，最高得</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分。</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 xml:space="preserve"> </w:t>
            </w:r>
            <w:r>
              <w:rPr>
                <w:rFonts w:hint="eastAsia" w:ascii="新宋体" w:hAnsi="新宋体" w:eastAsia="新宋体" w:cs="新宋体"/>
                <w:color w:val="auto"/>
                <w:sz w:val="24"/>
                <w:highlight w:val="none"/>
                <w:lang w:val="en-US" w:eastAsia="zh-CN"/>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534" w:type="dxa"/>
            <w:vMerge w:val="restart"/>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p>
        </w:tc>
        <w:tc>
          <w:tcPr>
            <w:tcW w:w="5103" w:type="dxa"/>
            <w:vAlign w:val="center"/>
          </w:tcPr>
          <w:p>
            <w:pPr>
              <w:numPr>
                <w:ilvl w:val="0"/>
                <w:numId w:val="43"/>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拟派本项目的项目经理（ </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分）：年龄50周岁以下（ 1分），大专以上学历（</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分），具有3年以上项目经理工作经验（</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w:t>
            </w:r>
          </w:p>
          <w:p>
            <w:pPr>
              <w:numPr>
                <w:ilvl w:val="0"/>
                <w:numId w:val="43"/>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拟派本项目保洁主管（2分）：年龄50周岁以下（ 1分），大专以上学历（ 0.5分），具有2年以上保洁主管工作经验（ 0.5分）。</w:t>
            </w:r>
          </w:p>
          <w:p>
            <w:pPr>
              <w:numPr>
                <w:ilvl w:val="0"/>
                <w:numId w:val="43"/>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拟派本项目的保安主管（2 分）：年龄50周岁以下（ 1分），大专以上学历（0.5分），具有2年以上保安主管工作经验（0.5分）。</w:t>
            </w:r>
          </w:p>
          <w:p>
            <w:pPr>
              <w:numPr>
                <w:ilvl w:val="0"/>
                <w:numId w:val="43"/>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拟派项目绿化工（</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分）：年龄55周岁以下（</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分），具有1年以上绿化养护工作经验（</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w:t>
            </w:r>
          </w:p>
          <w:p>
            <w:pPr>
              <w:numPr>
                <w:ilvl w:val="0"/>
                <w:numId w:val="43"/>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拟派本项目的工程维修人员（ </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分）：年龄55周岁以下</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0.5分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高中以上学历（0.25分），</w:t>
            </w:r>
            <w:r>
              <w:rPr>
                <w:rFonts w:hint="eastAsia" w:ascii="新宋体" w:hAnsi="新宋体" w:eastAsia="新宋体" w:cs="新宋体"/>
                <w:color w:val="auto"/>
                <w:sz w:val="24"/>
                <w:highlight w:val="none"/>
              </w:rPr>
              <w:t>具有2年</w:t>
            </w:r>
            <w:r>
              <w:rPr>
                <w:rFonts w:hint="eastAsia" w:ascii="新宋体" w:hAnsi="新宋体" w:eastAsia="新宋体" w:cs="新宋体"/>
                <w:color w:val="auto"/>
                <w:sz w:val="24"/>
                <w:highlight w:val="none"/>
                <w:lang w:eastAsia="zh-CN"/>
              </w:rPr>
              <w:t>以上</w:t>
            </w:r>
            <w:r>
              <w:rPr>
                <w:rFonts w:hint="eastAsia" w:ascii="新宋体" w:hAnsi="新宋体" w:eastAsia="新宋体" w:cs="新宋体"/>
                <w:color w:val="auto"/>
                <w:sz w:val="24"/>
                <w:highlight w:val="none"/>
              </w:rPr>
              <w:t>工程维修工作经验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0.25分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每符合1人得1分，最高得3分。</w:t>
            </w:r>
          </w:p>
          <w:p>
            <w:pPr>
              <w:snapToGrid w:val="0"/>
              <w:spacing w:line="360" w:lineRule="auto"/>
              <w:ind w:firstLine="420" w:firstLineChars="200"/>
              <w:rPr>
                <w:rFonts w:ascii="Times New Roman" w:hAnsi="Times New Roman" w:eastAsia="宋体" w:cs="Times New Roman"/>
                <w:color w:val="auto"/>
                <w:highlight w:val="none"/>
              </w:rPr>
            </w:pPr>
            <w:r>
              <w:rPr>
                <w:rFonts w:hint="eastAsia" w:ascii="黑体" w:hAnsi="黑体" w:eastAsia="黑体" w:cs="黑体"/>
                <w:color w:val="auto"/>
                <w:szCs w:val="21"/>
                <w:highlight w:val="none"/>
              </w:rPr>
              <w:t>年龄、工作经验计算截至投标截止时间。以上人员需提供身份证扫描件、在投标人单位的社保缴纳证明( 超过法定退休年龄的人员提供与投标人签订的劳务合同)，学历</w:t>
            </w:r>
            <w:r>
              <w:rPr>
                <w:rFonts w:hint="eastAsia" w:ascii="黑体" w:hAnsi="黑体" w:eastAsia="黑体" w:cs="黑体"/>
                <w:color w:val="auto"/>
                <w:szCs w:val="21"/>
                <w:highlight w:val="none"/>
                <w:lang w:val="en-US" w:eastAsia="zh-CN"/>
              </w:rPr>
              <w:t>要求</w:t>
            </w:r>
            <w:r>
              <w:rPr>
                <w:rFonts w:hint="eastAsia" w:ascii="黑体" w:hAnsi="黑体" w:eastAsia="黑体" w:cs="黑体"/>
                <w:color w:val="auto"/>
                <w:szCs w:val="21"/>
                <w:highlight w:val="none"/>
              </w:rPr>
              <w:t>需提供相应证书，工作经验需提供显示职务的劳动合同或原服务业主出具的盖章证明，能清楚体现工作岗位及年限，否则不得分。</w:t>
            </w:r>
          </w:p>
        </w:tc>
        <w:tc>
          <w:tcPr>
            <w:tcW w:w="567" w:type="dxa"/>
            <w:vMerge w:val="restart"/>
            <w:vAlign w:val="center"/>
          </w:tcPr>
          <w:p>
            <w:pPr>
              <w:snapToGrid w:val="0"/>
              <w:spacing w:line="360" w:lineRule="auto"/>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6</w:t>
            </w:r>
          </w:p>
        </w:tc>
        <w:tc>
          <w:tcPr>
            <w:tcW w:w="992" w:type="dxa"/>
            <w:vMerge w:val="restart"/>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Merge w:val="restart"/>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34" w:type="dxa"/>
            <w:vMerge w:val="continue"/>
            <w:vAlign w:val="center"/>
          </w:tcPr>
          <w:p>
            <w:pPr>
              <w:snapToGrid w:val="0"/>
              <w:spacing w:line="360" w:lineRule="auto"/>
              <w:ind w:firstLine="420" w:firstLineChars="200"/>
              <w:rPr>
                <w:rFonts w:ascii="Times New Roman" w:hAnsi="Times New Roman" w:eastAsia="宋体" w:cs="Times New Roman"/>
                <w:color w:val="auto"/>
                <w:highlight w:val="none"/>
              </w:rPr>
            </w:pPr>
          </w:p>
        </w:tc>
        <w:tc>
          <w:tcPr>
            <w:tcW w:w="5103" w:type="dxa"/>
            <w:vAlign w:val="center"/>
          </w:tcPr>
          <w:p>
            <w:pPr>
              <w:numPr>
                <w:ilvl w:val="0"/>
                <w:numId w:val="43"/>
              </w:numPr>
              <w:snapToGrid w:val="0"/>
              <w:spacing w:line="360" w:lineRule="auto"/>
              <w:ind w:left="0" w:firstLine="400"/>
              <w:rPr>
                <w:rFonts w:ascii="Times New Roman" w:hAnsi="Times New Roman" w:eastAsia="宋体" w:cs="Times New Roman"/>
                <w:color w:val="auto"/>
                <w:highlight w:val="none"/>
              </w:rPr>
            </w:pPr>
            <w:r>
              <w:rPr>
                <w:rFonts w:hint="eastAsia" w:ascii="新宋体" w:hAnsi="新宋体" w:eastAsia="新宋体" w:cs="新宋体"/>
                <w:color w:val="auto"/>
                <w:sz w:val="24"/>
                <w:highlight w:val="none"/>
              </w:rPr>
              <w:t>拟派本项目保洁员（2分）：年龄55周岁以下，具有1年以上保洁工作经验。承诺全部符合得2分，未承诺或承诺不全不得分。</w:t>
            </w:r>
          </w:p>
          <w:p>
            <w:pPr>
              <w:numPr>
                <w:ilvl w:val="0"/>
                <w:numId w:val="43"/>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拟派本项目保安员（ </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分）：年龄50周岁以下，具有1年以上保安工作经验。承诺全部符合得</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分，未承诺或承诺不全不得分。</w:t>
            </w:r>
          </w:p>
          <w:p>
            <w:pPr>
              <w:numPr>
                <w:ilvl w:val="0"/>
                <w:numId w:val="43"/>
              </w:numPr>
              <w:snapToGrid w:val="0"/>
              <w:spacing w:line="360" w:lineRule="auto"/>
              <w:ind w:left="0" w:firstLine="400"/>
              <w:rPr>
                <w:rFonts w:hint="eastAsia" w:ascii="黑体" w:hAnsi="黑体" w:eastAsia="黑体" w:cs="黑体"/>
                <w:color w:val="auto"/>
                <w:szCs w:val="21"/>
                <w:highlight w:val="none"/>
              </w:rPr>
            </w:pPr>
            <w:r>
              <w:rPr>
                <w:rFonts w:hint="eastAsia" w:ascii="新宋体" w:hAnsi="新宋体" w:eastAsia="新宋体" w:cs="新宋体"/>
                <w:color w:val="auto"/>
                <w:sz w:val="24"/>
                <w:highlight w:val="none"/>
              </w:rPr>
              <w:t>拟派本项目</w:t>
            </w:r>
            <w:r>
              <w:rPr>
                <w:rFonts w:hint="eastAsia" w:ascii="新宋体" w:hAnsi="新宋体" w:eastAsia="新宋体" w:cs="新宋体"/>
                <w:color w:val="auto"/>
                <w:sz w:val="24"/>
                <w:highlight w:val="none"/>
                <w:lang w:val="en-US" w:eastAsia="zh-CN"/>
              </w:rPr>
              <w:t>消控员</w:t>
            </w:r>
            <w:r>
              <w:rPr>
                <w:rFonts w:hint="eastAsia" w:ascii="新宋体" w:hAnsi="新宋体" w:eastAsia="新宋体" w:cs="新宋体"/>
                <w:color w:val="auto"/>
                <w:sz w:val="24"/>
                <w:highlight w:val="none"/>
              </w:rPr>
              <w:t xml:space="preserve">（ </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分）：年龄50周岁以下，具有1年以上</w:t>
            </w:r>
            <w:r>
              <w:rPr>
                <w:rFonts w:hint="eastAsia" w:ascii="新宋体" w:hAnsi="新宋体" w:eastAsia="新宋体" w:cs="新宋体"/>
                <w:color w:val="auto"/>
                <w:sz w:val="24"/>
                <w:highlight w:val="none"/>
                <w:lang w:val="en-US" w:eastAsia="zh-CN"/>
              </w:rPr>
              <w:t>消控</w:t>
            </w:r>
            <w:r>
              <w:rPr>
                <w:rFonts w:hint="eastAsia" w:ascii="新宋体" w:hAnsi="新宋体" w:eastAsia="新宋体" w:cs="新宋体"/>
                <w:color w:val="auto"/>
                <w:sz w:val="24"/>
                <w:highlight w:val="none"/>
              </w:rPr>
              <w:t>工作经验。承诺全部符合得</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分，未承诺或承诺不全不得分。</w:t>
            </w:r>
          </w:p>
        </w:tc>
        <w:tc>
          <w:tcPr>
            <w:tcW w:w="567" w:type="dxa"/>
            <w:vMerge w:val="continue"/>
            <w:vAlign w:val="center"/>
          </w:tcPr>
          <w:p>
            <w:pPr>
              <w:snapToGrid w:val="0"/>
              <w:spacing w:line="360" w:lineRule="auto"/>
              <w:ind w:firstLine="420" w:firstLineChars="200"/>
              <w:rPr>
                <w:rFonts w:hint="eastAsia" w:ascii="黑体" w:hAnsi="黑体" w:eastAsia="黑体" w:cs="黑体"/>
                <w:color w:val="auto"/>
                <w:szCs w:val="21"/>
                <w:highlight w:val="none"/>
              </w:rPr>
            </w:pPr>
          </w:p>
        </w:tc>
        <w:tc>
          <w:tcPr>
            <w:tcW w:w="992" w:type="dxa"/>
            <w:vMerge w:val="continue"/>
            <w:vAlign w:val="center"/>
          </w:tcPr>
          <w:p>
            <w:pPr>
              <w:snapToGrid w:val="0"/>
              <w:spacing w:line="360" w:lineRule="auto"/>
              <w:ind w:firstLine="420" w:firstLineChars="200"/>
              <w:rPr>
                <w:rFonts w:hint="eastAsia" w:ascii="黑体" w:hAnsi="黑体" w:eastAsia="黑体" w:cs="黑体"/>
                <w:color w:val="auto"/>
                <w:szCs w:val="21"/>
                <w:highlight w:val="none"/>
              </w:rPr>
            </w:pPr>
          </w:p>
        </w:tc>
        <w:tc>
          <w:tcPr>
            <w:tcW w:w="1299" w:type="dxa"/>
            <w:vMerge w:val="continue"/>
            <w:vAlign w:val="center"/>
          </w:tcPr>
          <w:p>
            <w:pPr>
              <w:snapToGrid w:val="0"/>
              <w:spacing w:line="360" w:lineRule="auto"/>
              <w:ind w:firstLine="420" w:firstLineChars="200"/>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9</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投标人具有职业健康安全管理体系认证证书（1分）、质量管理体系认证证书（1分）、环境管理体系认证证书（1分）。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提供有效期内的证书扫描件及全国认证认可信息公共服务平台网站http://www.cnca.gov.cn/查询页面截图，否则不得分。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体系认证证书情况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20</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投标人自202</w:t>
            </w:r>
            <w:r>
              <w:rPr>
                <w:rFonts w:hint="eastAsia" w:ascii="新宋体" w:hAnsi="新宋体" w:eastAsia="新宋体" w:cs="新宋体"/>
                <w:color w:val="auto"/>
                <w:sz w:val="24"/>
                <w:highlight w:val="none"/>
                <w:lang w:val="en-US" w:eastAsia="zh-CN"/>
              </w:rPr>
              <w:t>1年</w:t>
            </w:r>
            <w:r>
              <w:rPr>
                <w:rFonts w:hint="eastAsia" w:ascii="新宋体" w:hAnsi="新宋体" w:eastAsia="新宋体" w:cs="新宋体"/>
                <w:color w:val="auto"/>
                <w:sz w:val="24"/>
                <w:highlight w:val="none"/>
              </w:rPr>
              <w:t>1月1日以来的同类型物业管理服务的成功案例（含在管项目），以签订时间为准。</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提供合同扫描件。每提供1份得0.5 分，最多得1 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 </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1</w:t>
            </w:r>
          </w:p>
        </w:tc>
        <w:tc>
          <w:tcPr>
            <w:tcW w:w="5103" w:type="dxa"/>
            <w:vAlign w:val="center"/>
          </w:tcPr>
          <w:p>
            <w:pPr>
              <w:spacing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有效投标报价的最低价作为评标基准价，其最低报价为满分；按［投标报价得分=（评标基准价/投标报价）* 10  ］的计算公式计算。</w:t>
            </w:r>
          </w:p>
          <w:p>
            <w:pPr>
              <w:widowControl/>
              <w:shd w:val="clear" w:color="auto" w:fill="FFFFFF"/>
              <w:adjustRightInd/>
              <w:spacing w:after="225" w:line="315" w:lineRule="atLeast"/>
              <w:ind w:firstLine="42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tc>
        <w:tc>
          <w:tcPr>
            <w:tcW w:w="567"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992"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c>
          <w:tcPr>
            <w:tcW w:w="1299"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报价</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杭州市余杭区凤凰小学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杭州市余杭区凤凰小学2024年物业和安保管理服务采购项目（HZYHZFCG-2024-069）</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杭州市余杭区凤凰小学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5" w:name="_Toc28855"/>
      <w:bookmarkStart w:id="396" w:name="_Toc22967"/>
      <w:bookmarkStart w:id="397" w:name="_Toc15367"/>
      <w:bookmarkStart w:id="398" w:name="_Toc19273"/>
      <w:bookmarkStart w:id="399" w:name="_Toc20421"/>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6773"/>
      <w:bookmarkStart w:id="401" w:name="_Toc22185"/>
      <w:bookmarkStart w:id="402" w:name="_Toc18585"/>
      <w:bookmarkStart w:id="403" w:name="_Toc6311"/>
      <w:bookmarkStart w:id="404" w:name="_Toc2918"/>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5" w:name="_Toc1386"/>
      <w:bookmarkStart w:id="406" w:name="_Toc21124"/>
      <w:bookmarkStart w:id="407" w:name="_Toc4929"/>
      <w:bookmarkStart w:id="408" w:name="_Toc5635"/>
      <w:bookmarkStart w:id="409" w:name="_Toc13918"/>
      <w:r>
        <w:rPr>
          <w:rFonts w:hint="eastAsia" w:ascii="宋体" w:hAnsi="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5"/>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0" w:name="_Toc14993"/>
      <w:bookmarkStart w:id="411" w:name="_Toc26916"/>
      <w:bookmarkStart w:id="412" w:name="_Toc3654"/>
      <w:bookmarkStart w:id="413" w:name="_Toc30158"/>
      <w:bookmarkStart w:id="414" w:name="_Toc30506"/>
      <w:r>
        <w:rPr>
          <w:rFonts w:hint="eastAsia" w:ascii="宋体" w:hAnsi="宋体" w:cs="宋体"/>
          <w:b/>
          <w:color w:val="auto"/>
          <w:sz w:val="24"/>
          <w:highlight w:val="none"/>
        </w:rPr>
        <w:t>1.4 付款方式和发票开具方式</w:t>
      </w:r>
      <w:bookmarkEnd w:id="410"/>
      <w:bookmarkEnd w:id="411"/>
      <w:bookmarkEnd w:id="412"/>
      <w:bookmarkEnd w:id="413"/>
      <w:bookmarkEnd w:id="414"/>
    </w:p>
    <w:p>
      <w:pPr>
        <w:pStyle w:val="616"/>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outlineLvl w:val="0"/>
        <w:rPr>
          <w:color w:val="auto"/>
          <w:highlight w:val="none"/>
        </w:rPr>
      </w:pPr>
      <w:r>
        <w:rPr>
          <w:rFonts w:hint="eastAsia" w:ascii="宋体" w:hAnsi="宋体" w:cs="宋体"/>
          <w:color w:val="auto"/>
          <w:sz w:val="24"/>
          <w:highlight w:val="none"/>
        </w:rPr>
        <w:t>1.4.5</w:t>
      </w:r>
      <w:r>
        <w:rPr>
          <w:rFonts w:hint="eastAsia" w:ascii="宋体" w:hAnsi="宋体" w:eastAsia="宋体" w:cs="宋体"/>
          <w:b w:val="0"/>
          <w:bCs w:val="0"/>
          <w:color w:val="auto"/>
          <w:kern w:val="0"/>
          <w:sz w:val="24"/>
          <w:szCs w:val="24"/>
          <w:highlight w:val="none"/>
          <w:lang w:val="en-US"/>
        </w:rPr>
        <w:t>对于满足合同约定的采购资金支付条件的，</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提起在线支付申请的，</w:t>
      </w:r>
      <w:r>
        <w:rPr>
          <w:rFonts w:hint="eastAsia" w:ascii="宋体" w:hAnsi="宋体" w:eastAsia="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pacing w:line="560" w:lineRule="exact"/>
        <w:ind w:firstLine="482" w:firstLineChars="200"/>
        <w:outlineLvl w:val="0"/>
        <w:rPr>
          <w:rFonts w:ascii="宋体" w:hAnsi="宋体" w:cs="宋体"/>
          <w:b/>
          <w:color w:val="auto"/>
          <w:sz w:val="24"/>
          <w:highlight w:val="none"/>
        </w:rPr>
      </w:pPr>
      <w:bookmarkStart w:id="415" w:name="_Toc4760"/>
      <w:bookmarkStart w:id="416" w:name="_Toc3625"/>
      <w:bookmarkStart w:id="417" w:name="_Toc8772"/>
      <w:bookmarkStart w:id="418" w:name="_Toc11108"/>
      <w:bookmarkStart w:id="419" w:name="_Toc31421"/>
      <w:r>
        <w:rPr>
          <w:rFonts w:hint="eastAsia" w:ascii="宋体" w:hAnsi="宋体" w:cs="宋体"/>
          <w:b/>
          <w:color w:val="auto"/>
          <w:sz w:val="24"/>
          <w:highlight w:val="none"/>
        </w:rPr>
        <w:t>1.5 履行期限、地点和方式</w:t>
      </w:r>
      <w:bookmarkEnd w:id="415"/>
      <w:bookmarkEnd w:id="416"/>
      <w:bookmarkEnd w:id="417"/>
      <w:bookmarkEnd w:id="418"/>
      <w:bookmarkEnd w:id="41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color w:val="auto"/>
          <w:sz w:val="24"/>
          <w:highlight w:val="none"/>
          <w:u w:val="single"/>
        </w:rPr>
      </w:pPr>
      <w:bookmarkStart w:id="420" w:name="_Toc8586"/>
      <w:bookmarkStart w:id="421" w:name="_Toc5698"/>
      <w:bookmarkStart w:id="422" w:name="_Toc24662"/>
      <w:bookmarkStart w:id="423" w:name="_Toc3079"/>
      <w:bookmarkStart w:id="424" w:name="_Toc2375"/>
      <w:r>
        <w:rPr>
          <w:rFonts w:hint="eastAsia" w:ascii="宋体" w:hAnsi="宋体" w:cs="宋体"/>
          <w:b/>
          <w:color w:val="auto"/>
          <w:sz w:val="24"/>
          <w:highlight w:val="none"/>
        </w:rPr>
        <w:t>1.6 违约责任</w:t>
      </w:r>
      <w:bookmarkEnd w:id="420"/>
      <w:bookmarkEnd w:id="421"/>
      <w:bookmarkEnd w:id="422"/>
      <w:bookmarkEnd w:id="423"/>
      <w:bookmarkEnd w:id="4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5" w:name="_Toc32454"/>
      <w:bookmarkStart w:id="426" w:name="_Toc9497"/>
      <w:bookmarkStart w:id="427" w:name="_Toc18683"/>
      <w:bookmarkStart w:id="428" w:name="_Toc26807"/>
      <w:bookmarkStart w:id="429" w:name="_Toc30329"/>
      <w:r>
        <w:rPr>
          <w:rFonts w:hint="eastAsia" w:ascii="宋体" w:hAnsi="宋体" w:cs="宋体"/>
          <w:b/>
          <w:color w:val="auto"/>
          <w:sz w:val="24"/>
          <w:highlight w:val="none"/>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241" w:firstLineChars="100"/>
        <w:outlineLvl w:val="0"/>
        <w:rPr>
          <w:rFonts w:ascii="宋体" w:hAnsi="宋体" w:cs="宋体"/>
          <w:b/>
          <w:color w:val="auto"/>
          <w:sz w:val="24"/>
          <w:highlight w:val="none"/>
        </w:rPr>
      </w:pPr>
      <w:bookmarkStart w:id="430" w:name="_Toc26227"/>
      <w:bookmarkStart w:id="431" w:name="_Toc23784"/>
      <w:bookmarkStart w:id="432" w:name="_Toc16417"/>
      <w:bookmarkStart w:id="433" w:name="_Toc15827"/>
      <w:bookmarkStart w:id="434" w:name="_Toc12273"/>
      <w:r>
        <w:rPr>
          <w:rFonts w:hint="eastAsia" w:ascii="宋体" w:hAnsi="宋体" w:cs="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p>
    <w:p>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384"/>
        <w:spacing w:line="560" w:lineRule="exact"/>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第二部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合同一般条款</w:t>
      </w:r>
    </w:p>
    <w:p>
      <w:pPr>
        <w:spacing w:line="560" w:lineRule="exact"/>
        <w:ind w:firstLine="482" w:firstLineChars="200"/>
        <w:outlineLvl w:val="0"/>
        <w:rPr>
          <w:rFonts w:ascii="宋体" w:hAnsi="宋体" w:cs="宋体"/>
          <w:b/>
          <w:color w:val="auto"/>
          <w:sz w:val="24"/>
          <w:highlight w:val="none"/>
        </w:rPr>
      </w:pPr>
      <w:bookmarkStart w:id="435" w:name="_Toc14021"/>
      <w:bookmarkStart w:id="436" w:name="_Toc31297"/>
      <w:bookmarkStart w:id="437" w:name="_Toc25079"/>
      <w:bookmarkStart w:id="438" w:name="_Toc19680"/>
      <w:bookmarkStart w:id="439" w:name="_Toc5228"/>
      <w:r>
        <w:rPr>
          <w:rFonts w:hint="eastAsia" w:ascii="宋体" w:hAnsi="宋体" w:cs="宋体"/>
          <w:b/>
          <w:color w:val="auto"/>
          <w:sz w:val="24"/>
          <w:highlight w:val="none"/>
        </w:rPr>
        <w:t>2.1 定义</w:t>
      </w:r>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560" w:lineRule="exact"/>
        <w:ind w:firstLine="482" w:firstLineChars="200"/>
        <w:outlineLvl w:val="0"/>
        <w:rPr>
          <w:rFonts w:ascii="宋体" w:hAnsi="宋体" w:cs="宋体"/>
          <w:b/>
          <w:color w:val="auto"/>
          <w:sz w:val="24"/>
          <w:highlight w:val="none"/>
        </w:rPr>
      </w:pPr>
      <w:bookmarkStart w:id="440" w:name="_Toc16752"/>
      <w:bookmarkStart w:id="441" w:name="_Toc23289"/>
      <w:bookmarkStart w:id="442" w:name="_Toc3769"/>
      <w:bookmarkStart w:id="443" w:name="_Toc31402"/>
      <w:bookmarkStart w:id="444" w:name="_Toc19539"/>
      <w:r>
        <w:rPr>
          <w:rFonts w:hint="eastAsia" w:ascii="宋体" w:hAnsi="宋体" w:cs="宋体"/>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5" w:name="_Toc4133"/>
      <w:bookmarkStart w:id="446" w:name="_Toc13673"/>
      <w:bookmarkStart w:id="447" w:name="_Toc9161"/>
      <w:bookmarkStart w:id="448" w:name="_Toc27945"/>
      <w:bookmarkStart w:id="449" w:name="_Toc12412"/>
      <w:r>
        <w:rPr>
          <w:rFonts w:hint="eastAsia" w:ascii="宋体" w:hAnsi="宋体" w:cs="宋体"/>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highlight w:val="none"/>
        </w:rPr>
      </w:pPr>
      <w:bookmarkStart w:id="450" w:name="_Toc16163"/>
      <w:bookmarkStart w:id="451" w:name="_Toc30507"/>
      <w:bookmarkStart w:id="452" w:name="_Toc13154"/>
      <w:bookmarkStart w:id="453" w:name="_Toc18990"/>
      <w:bookmarkStart w:id="454" w:name="_Toc134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技术资料和保密义务</w:t>
      </w:r>
      <w:bookmarkEnd w:id="450"/>
      <w:bookmarkEnd w:id="451"/>
      <w:bookmarkEnd w:id="452"/>
      <w:bookmarkEnd w:id="453"/>
      <w:bookmarkEnd w:id="45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55" w:name="_Toc19069"/>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质量保证</w:t>
      </w:r>
      <w:bookmarkEnd w:id="4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56" w:name="_Toc222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延迟履行</w:t>
      </w:r>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highlight w:val="none"/>
        </w:rPr>
      </w:pPr>
      <w:bookmarkStart w:id="457" w:name="_Toc10611"/>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合同变更</w:t>
      </w:r>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58" w:name="_Toc26689"/>
      <w:bookmarkStart w:id="459" w:name="_Toc42"/>
      <w:bookmarkStart w:id="460" w:name="_Toc23368"/>
      <w:bookmarkStart w:id="461" w:name="_Toc10663"/>
      <w:bookmarkStart w:id="462" w:name="_Toc21830"/>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合同转让和分包</w:t>
      </w:r>
      <w:bookmarkEnd w:id="458"/>
      <w:bookmarkEnd w:id="459"/>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color w:val="auto"/>
          <w:sz w:val="24"/>
          <w:highlight w:val="none"/>
        </w:rPr>
      </w:pPr>
      <w:bookmarkStart w:id="463" w:name="_Toc14371"/>
      <w:bookmarkStart w:id="464" w:name="_Toc4720"/>
      <w:bookmarkStart w:id="465" w:name="_Toc26633"/>
      <w:bookmarkStart w:id="466" w:name="_Toc32494"/>
      <w:bookmarkStart w:id="467" w:name="_Toc25571"/>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不可抗力</w:t>
      </w:r>
      <w:bookmarkEnd w:id="463"/>
      <w:bookmarkEnd w:id="464"/>
      <w:bookmarkEnd w:id="465"/>
      <w:bookmarkEnd w:id="466"/>
      <w:bookmarkEnd w:id="46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68" w:name="_Toc3638"/>
      <w:bookmarkStart w:id="469" w:name="_Toc23854"/>
      <w:bookmarkStart w:id="470" w:name="_Toc25783"/>
      <w:bookmarkStart w:id="471" w:name="_Toc24465"/>
      <w:bookmarkStart w:id="472" w:name="_Toc1411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税费</w:t>
      </w:r>
      <w:bookmarkEnd w:id="468"/>
      <w:bookmarkEnd w:id="469"/>
      <w:bookmarkEnd w:id="470"/>
      <w:bookmarkEnd w:id="471"/>
      <w:bookmarkEnd w:id="47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560" w:lineRule="exact"/>
        <w:ind w:firstLine="482" w:firstLineChars="200"/>
        <w:outlineLvl w:val="0"/>
        <w:rPr>
          <w:rFonts w:ascii="宋体" w:hAnsi="宋体" w:cs="宋体"/>
          <w:b/>
          <w:color w:val="auto"/>
          <w:sz w:val="24"/>
          <w:highlight w:val="none"/>
        </w:rPr>
      </w:pPr>
      <w:bookmarkStart w:id="473" w:name="_Toc25525"/>
      <w:bookmarkStart w:id="474" w:name="_Toc26883"/>
      <w:bookmarkStart w:id="475" w:name="_Toc30105"/>
      <w:bookmarkStart w:id="476" w:name="_Toc14814"/>
      <w:bookmarkStart w:id="477" w:name="_Toc731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乙方破产</w:t>
      </w:r>
      <w:bookmarkEnd w:id="473"/>
      <w:bookmarkEnd w:id="474"/>
      <w:bookmarkEnd w:id="475"/>
      <w:bookmarkEnd w:id="476"/>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478" w:name="_Toc23323"/>
      <w:bookmarkStart w:id="479" w:name="_Toc2016"/>
      <w:bookmarkStart w:id="480" w:name="_Toc112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合同中止、终止</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81" w:name="_Toc1969"/>
      <w:bookmarkStart w:id="482" w:name="_Toc17363"/>
      <w:bookmarkStart w:id="483" w:name="_Toc1452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检验和验收</w:t>
      </w:r>
      <w:bookmarkEnd w:id="481"/>
      <w:bookmarkEnd w:id="482"/>
      <w:bookmarkEnd w:id="483"/>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4" w:name="_Toc2308"/>
      <w:bookmarkStart w:id="485" w:name="_Toc12666"/>
      <w:bookmarkStart w:id="486" w:name="_Toc25198"/>
      <w:bookmarkStart w:id="487" w:name="_Toc9808"/>
      <w:bookmarkStart w:id="488" w:name="_Toc31892"/>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通知和送达</w:t>
      </w:r>
      <w:bookmarkEnd w:id="484"/>
      <w:bookmarkEnd w:id="485"/>
      <w:bookmarkEnd w:id="486"/>
      <w:bookmarkEnd w:id="487"/>
      <w:bookmarkEnd w:id="488"/>
    </w:p>
    <w:p>
      <w:pPr>
        <w:spacing w:line="560" w:lineRule="exact"/>
        <w:ind w:firstLine="480" w:firstLineChars="200"/>
        <w:rPr>
          <w:rFonts w:ascii="宋体" w:hAnsi="宋体" w:cs="宋体"/>
          <w:color w:val="auto"/>
          <w:sz w:val="24"/>
          <w:highlight w:val="none"/>
        </w:rPr>
      </w:pPr>
      <w:bookmarkStart w:id="489" w:name="_Toc27674"/>
      <w:bookmarkStart w:id="490" w:name="_Toc18401"/>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pPr>
        <w:spacing w:line="560" w:lineRule="exact"/>
        <w:ind w:firstLine="482" w:firstLineChars="200"/>
        <w:outlineLvl w:val="0"/>
        <w:rPr>
          <w:rFonts w:ascii="宋体" w:hAnsi="宋体" w:cs="宋体"/>
          <w:b/>
          <w:color w:val="auto"/>
          <w:sz w:val="24"/>
          <w:highlight w:val="none"/>
        </w:rPr>
      </w:pPr>
      <w:bookmarkStart w:id="491" w:name="_Toc12254"/>
      <w:bookmarkStart w:id="492" w:name="_Toc28906"/>
      <w:bookmarkStart w:id="493" w:name="_Toc20808"/>
      <w:bookmarkStart w:id="494" w:name="_Toc5063"/>
      <w:bookmarkStart w:id="495" w:name="_Toc2764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合同使用的文字和适用的法律</w:t>
      </w:r>
      <w:bookmarkEnd w:id="491"/>
      <w:bookmarkEnd w:id="492"/>
      <w:bookmarkEnd w:id="493"/>
      <w:bookmarkEnd w:id="494"/>
      <w:bookmarkEnd w:id="49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合同适用中华人民共和国法律。</w:t>
      </w:r>
    </w:p>
    <w:p>
      <w:pPr>
        <w:spacing w:line="560" w:lineRule="exact"/>
        <w:ind w:firstLine="482" w:firstLineChars="200"/>
        <w:outlineLvl w:val="0"/>
        <w:rPr>
          <w:rFonts w:ascii="宋体" w:hAnsi="宋体" w:cs="宋体"/>
          <w:b/>
          <w:color w:val="auto"/>
          <w:sz w:val="24"/>
          <w:highlight w:val="none"/>
        </w:rPr>
      </w:pPr>
      <w:bookmarkStart w:id="496" w:name="_Toc27403"/>
      <w:bookmarkStart w:id="497" w:name="_Toc27127"/>
      <w:bookmarkStart w:id="498" w:name="_Toc22266"/>
      <w:bookmarkStart w:id="499" w:name="_Toc30096"/>
      <w:bookmarkStart w:id="500" w:name="_Toc1492"/>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履约保证金</w:t>
      </w:r>
      <w:bookmarkEnd w:id="496"/>
      <w:bookmarkEnd w:id="497"/>
      <w:bookmarkEnd w:id="498"/>
      <w:bookmarkEnd w:id="499"/>
      <w:bookmarkEnd w:id="500"/>
    </w:p>
    <w:p>
      <w:pPr>
        <w:pStyle w:val="616"/>
        <w:spacing w:before="0" w:beforeAutospacing="0" w:after="0" w:afterAutospacing="0" w:line="360" w:lineRule="auto"/>
        <w:ind w:firstLine="420"/>
        <w:rPr>
          <w:color w:val="auto"/>
          <w:highlight w:val="none"/>
        </w:rPr>
      </w:pPr>
      <w:r>
        <w:rPr>
          <w:rFonts w:hint="eastAsia"/>
          <w:color w:val="auto"/>
          <w:highlight w:val="none"/>
        </w:rPr>
        <w:t>2.1</w:t>
      </w:r>
      <w:r>
        <w:rPr>
          <w:rFonts w:hint="eastAsia"/>
          <w:color w:val="auto"/>
          <w:highlight w:val="none"/>
          <w:lang w:val="en-US" w:eastAsia="zh-CN"/>
        </w:rPr>
        <w:t>7</w:t>
      </w:r>
      <w:r>
        <w:rPr>
          <w:rFonts w:hint="eastAsia"/>
          <w:color w:val="auto"/>
          <w:highlight w:val="none"/>
        </w:rPr>
        <w:t xml:space="preserve">.1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甲方在乙方履行完合同约定义务事项后及时退还，延迟退还的，应当按照合同约定和法律规定承担相应的赔偿责任。</w:t>
      </w:r>
    </w:p>
    <w:p>
      <w:pPr>
        <w:spacing w:line="5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b/>
          <w:bCs/>
          <w:color w:val="auto"/>
          <w:sz w:val="24"/>
          <w:highlight w:val="none"/>
          <w:lang w:val="en-US" w:eastAsia="zh-CN"/>
        </w:rPr>
        <w:t>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 xml:space="preserve">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jc w:val="center"/>
        <w:outlineLvl w:val="0"/>
        <w:rPr>
          <w:rFonts w:ascii="宋体" w:hAnsi="宋体" w:cs="宋体"/>
          <w:color w:val="auto"/>
          <w:sz w:val="24"/>
          <w:highlight w:val="none"/>
        </w:rPr>
      </w:pP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甲方根据物业服务质量考核结果按每三个月支付物业管理服务费，经甲方考核合格后每三个月付款，按每三个月支付一年合同价的</w:t>
            </w:r>
            <w:r>
              <w:rPr>
                <w:rFonts w:hint="eastAsia" w:ascii="新宋体" w:hAnsi="新宋体" w:eastAsia="新宋体" w:cs="新宋体"/>
                <w:bCs/>
                <w:color w:val="auto"/>
                <w:sz w:val="24"/>
                <w:highlight w:val="none"/>
                <w:lang w:val="en-US" w:eastAsia="zh-CN"/>
              </w:rPr>
              <w:t>25</w:t>
            </w:r>
            <w:r>
              <w:rPr>
                <w:rFonts w:hint="eastAsia" w:ascii="新宋体" w:hAnsi="新宋体" w:eastAsia="新宋体" w:cs="新宋体"/>
                <w:bCs/>
                <w:color w:val="auto"/>
                <w:sz w:val="24"/>
                <w:highlight w:val="none"/>
              </w:rPr>
              <w:t>%。乙方因工作失误造成的扣款在付款时予以扣除。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合同一式肆份，甲乙双方各贰份</w:t>
            </w:r>
          </w:p>
        </w:tc>
      </w:tr>
    </w:tbl>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2"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7" w:bottom="1247" w:left="1417" w:header="851" w:footer="992" w:gutter="0"/>
          <w:cols w:space="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杭州市余杭区凤凰小学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44"/>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44"/>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2"/>
        <w:numPr>
          <w:ilvl w:val="0"/>
          <w:numId w:val="44"/>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44"/>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3" w:name="OLE_LINK13"/>
      <w:bookmarkStart w:id="504" w:name="OLE_LINK14"/>
      <w:r>
        <w:rPr>
          <w:rFonts w:hint="eastAsia" w:ascii="宋体" w:hAnsi="宋体" w:cs="宋体"/>
          <w:b/>
          <w:color w:val="auto"/>
          <w:spacing w:val="6"/>
          <w:sz w:val="32"/>
          <w:szCs w:val="32"/>
          <w:highlight w:val="none"/>
        </w:rPr>
        <w:t>残疾人福利性单位声明函</w:t>
      </w:r>
    </w:p>
    <w:bookmarkEnd w:id="503"/>
    <w:bookmarkEnd w:id="50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杭州市余杭区凤凰小学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杭州市余杭区凤凰小学2024年物业和安保管理服务采购项目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杭州市余杭区凤凰小学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bookmarkStart w:id="512" w:name="_GoBack"/>
      <w:bookmarkEnd w:id="512"/>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杭州市余杭区凤凰小学2024年物业和安保管理服务采购项目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HZYHZFCG-2024-069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杭州市余杭区凤凰小学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杭州市余杭区凤凰小学2024年物业和安保管理服务采购项目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36110187"/>
    <w:bookmarkStart w:id="509" w:name="_Toc91899912"/>
    <w:bookmarkStart w:id="510" w:name="_Toc131845147"/>
    <w:bookmarkStart w:id="511" w:name="_Toc164085800"/>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文本框 3"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43</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文本框 4"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43</w:t>
                </w:r>
                <w:r>
                  <w:rPr>
                    <w:rFonts w:hint="eastAsia"/>
                    <w:sz w:val="18"/>
                  </w:rPr>
                  <w:fldChar w:fldCharType="end"/>
                </w:r>
                <w:r>
                  <w:rPr>
                    <w:rFonts w:hint="eastAsia"/>
                    <w:sz w:val="18"/>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3D432"/>
    <w:multiLevelType w:val="singleLevel"/>
    <w:tmpl w:val="9DE3D432"/>
    <w:lvl w:ilvl="0" w:tentative="0">
      <w:start w:val="1"/>
      <w:numFmt w:val="decimalEnclosedCircleChinese"/>
      <w:suff w:val="nothing"/>
      <w:lvlText w:val="%1　"/>
      <w:lvlJc w:val="left"/>
      <w:pPr>
        <w:ind w:left="0" w:firstLine="400"/>
      </w:pPr>
      <w:rPr>
        <w:rFonts w:hint="eastAsia"/>
      </w:rPr>
    </w:lvl>
  </w:abstractNum>
  <w:abstractNum w:abstractNumId="1">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2">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3">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4">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5">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6">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7">
    <w:nsid w:val="E051C828"/>
    <w:multiLevelType w:val="singleLevel"/>
    <w:tmpl w:val="E051C828"/>
    <w:lvl w:ilvl="0" w:tentative="0">
      <w:start w:val="1"/>
      <w:numFmt w:val="decimal"/>
      <w:lvlText w:val="(%1)"/>
      <w:lvlJc w:val="left"/>
      <w:pPr>
        <w:ind w:left="425" w:hanging="425"/>
      </w:pPr>
      <w:rPr>
        <w:rFonts w:hint="default"/>
      </w:rPr>
    </w:lvl>
  </w:abstractNum>
  <w:abstractNum w:abstractNumId="8">
    <w:nsid w:val="E4EE60E1"/>
    <w:multiLevelType w:val="singleLevel"/>
    <w:tmpl w:val="E4EE60E1"/>
    <w:lvl w:ilvl="0" w:tentative="0">
      <w:start w:val="1"/>
      <w:numFmt w:val="decimal"/>
      <w:lvlText w:val="(%1)"/>
      <w:lvlJc w:val="left"/>
      <w:pPr>
        <w:tabs>
          <w:tab w:val="left" w:pos="397"/>
        </w:tabs>
        <w:ind w:left="454" w:hanging="454"/>
      </w:pPr>
      <w:rPr>
        <w:rFonts w:hint="default"/>
      </w:rPr>
    </w:lvl>
  </w:abstractNum>
  <w:abstractNum w:abstractNumId="9">
    <w:nsid w:val="F93D3436"/>
    <w:multiLevelType w:val="singleLevel"/>
    <w:tmpl w:val="F93D3436"/>
    <w:lvl w:ilvl="0" w:tentative="0">
      <w:start w:val="1"/>
      <w:numFmt w:val="decimal"/>
      <w:lvlText w:val="(%1)"/>
      <w:lvlJc w:val="left"/>
      <w:pPr>
        <w:ind w:left="425" w:hanging="425"/>
      </w:pPr>
      <w:rPr>
        <w:rFonts w:hint="default"/>
      </w:rPr>
    </w:lvl>
  </w:abstractNum>
  <w:abstractNum w:abstractNumId="10">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11">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12">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13">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4">
    <w:nsid w:val="545B0B64"/>
    <w:multiLevelType w:val="singleLevel"/>
    <w:tmpl w:val="545B0B64"/>
    <w:lvl w:ilvl="0" w:tentative="0">
      <w:start w:val="1"/>
      <w:numFmt w:val="decimalEnclosedCircleChinese"/>
      <w:suff w:val="nothing"/>
      <w:lvlText w:val="%1　"/>
      <w:lvlJc w:val="left"/>
      <w:pPr>
        <w:ind w:left="0" w:firstLine="400"/>
      </w:pPr>
      <w:rPr>
        <w:rFonts w:hint="eastAsia"/>
      </w:rPr>
    </w:lvl>
  </w:abstractNum>
  <w:abstractNum w:abstractNumId="15">
    <w:nsid w:val="5AD340B2"/>
    <w:multiLevelType w:val="singleLevel"/>
    <w:tmpl w:val="5AD340B2"/>
    <w:lvl w:ilvl="0" w:tentative="0">
      <w:start w:val="1"/>
      <w:numFmt w:val="decimalEnclosedCircleChinese"/>
      <w:suff w:val="nothing"/>
      <w:lvlText w:val="%1　"/>
      <w:lvlJc w:val="left"/>
      <w:pPr>
        <w:ind w:left="0" w:firstLine="400"/>
      </w:pPr>
      <w:rPr>
        <w:rFonts w:hint="eastAsia"/>
      </w:rPr>
    </w:lvl>
  </w:abstractNum>
  <w:abstractNum w:abstractNumId="16">
    <w:nsid w:val="6148EDFF"/>
    <w:multiLevelType w:val="singleLevel"/>
    <w:tmpl w:val="6148EDFF"/>
    <w:lvl w:ilvl="0" w:tentative="0">
      <w:start w:val="1"/>
      <w:numFmt w:val="decimalEnclosedCircleChinese"/>
      <w:suff w:val="nothing"/>
      <w:lvlText w:val="%1　"/>
      <w:lvlJc w:val="left"/>
      <w:pPr>
        <w:ind w:left="0" w:firstLine="400"/>
      </w:pPr>
      <w:rPr>
        <w:rFonts w:hint="eastAsia"/>
      </w:rPr>
    </w:lvl>
  </w:abstractNum>
  <w:abstractNum w:abstractNumId="17">
    <w:nsid w:val="6445E6DC"/>
    <w:multiLevelType w:val="singleLevel"/>
    <w:tmpl w:val="6445E6DC"/>
    <w:lvl w:ilvl="0" w:tentative="0">
      <w:start w:val="4"/>
      <w:numFmt w:val="decimal"/>
      <w:suff w:val="nothing"/>
      <w:lvlText w:val="%1."/>
      <w:lvlJc w:val="left"/>
    </w:lvl>
  </w:abstractNum>
  <w:abstractNum w:abstractNumId="18">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9">
    <w:nsid w:val="650276BC"/>
    <w:multiLevelType w:val="singleLevel"/>
    <w:tmpl w:val="650276BC"/>
    <w:lvl w:ilvl="0" w:tentative="0">
      <w:start w:val="1"/>
      <w:numFmt w:val="decimalEnclosedCircleChinese"/>
      <w:suff w:val="nothing"/>
      <w:lvlText w:val="%1　"/>
      <w:lvlJc w:val="left"/>
      <w:pPr>
        <w:ind w:left="0" w:firstLine="400"/>
      </w:pPr>
      <w:rPr>
        <w:rFonts w:hint="eastAsia"/>
      </w:rPr>
    </w:lvl>
  </w:abstractNum>
  <w:abstractNum w:abstractNumId="20">
    <w:nsid w:val="6502789B"/>
    <w:multiLevelType w:val="singleLevel"/>
    <w:tmpl w:val="6502789B"/>
    <w:lvl w:ilvl="0" w:tentative="0">
      <w:start w:val="1"/>
      <w:numFmt w:val="decimal"/>
      <w:suff w:val="nothing"/>
      <w:lvlText w:val="%1．"/>
      <w:lvlJc w:val="left"/>
      <w:pPr>
        <w:ind w:left="0" w:firstLine="400"/>
      </w:pPr>
      <w:rPr>
        <w:rFonts w:hint="default"/>
      </w:rPr>
    </w:lvl>
  </w:abstractNum>
  <w:abstractNum w:abstractNumId="21">
    <w:nsid w:val="6502A3EB"/>
    <w:multiLevelType w:val="singleLevel"/>
    <w:tmpl w:val="6502A3EB"/>
    <w:lvl w:ilvl="0" w:tentative="0">
      <w:start w:val="1"/>
      <w:numFmt w:val="decimal"/>
      <w:suff w:val="nothing"/>
      <w:lvlText w:val="%1．"/>
      <w:lvlJc w:val="left"/>
      <w:pPr>
        <w:ind w:left="0" w:firstLine="400"/>
      </w:pPr>
      <w:rPr>
        <w:rFonts w:hint="default"/>
      </w:rPr>
    </w:lvl>
  </w:abstractNum>
  <w:abstractNum w:abstractNumId="22">
    <w:nsid w:val="6502B651"/>
    <w:multiLevelType w:val="singleLevel"/>
    <w:tmpl w:val="6502B651"/>
    <w:lvl w:ilvl="0" w:tentative="0">
      <w:start w:val="1"/>
      <w:numFmt w:val="decimal"/>
      <w:suff w:val="nothing"/>
      <w:lvlText w:val="%1．"/>
      <w:lvlJc w:val="left"/>
      <w:pPr>
        <w:ind w:left="0" w:firstLine="400"/>
      </w:pPr>
      <w:rPr>
        <w:rFonts w:hint="default"/>
      </w:rPr>
    </w:lvl>
  </w:abstractNum>
  <w:abstractNum w:abstractNumId="23">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24">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25">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26">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27">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28">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29">
    <w:nsid w:val="650402AB"/>
    <w:multiLevelType w:val="singleLevel"/>
    <w:tmpl w:val="650402AB"/>
    <w:lvl w:ilvl="0" w:tentative="0">
      <w:start w:val="1"/>
      <w:numFmt w:val="decimal"/>
      <w:suff w:val="nothing"/>
      <w:lvlText w:val="%1．"/>
      <w:lvlJc w:val="left"/>
      <w:pPr>
        <w:ind w:left="0" w:firstLine="400"/>
      </w:pPr>
      <w:rPr>
        <w:rFonts w:hint="default"/>
      </w:rPr>
    </w:lvl>
  </w:abstractNum>
  <w:abstractNum w:abstractNumId="30">
    <w:nsid w:val="6524ECB5"/>
    <w:multiLevelType w:val="singleLevel"/>
    <w:tmpl w:val="6524ECB5"/>
    <w:lvl w:ilvl="0" w:tentative="0">
      <w:start w:val="1"/>
      <w:numFmt w:val="chineseCounting"/>
      <w:suff w:val="nothing"/>
      <w:lvlText w:val="%1、"/>
      <w:lvlJc w:val="left"/>
      <w:pPr>
        <w:ind w:left="0" w:firstLine="420"/>
      </w:pPr>
      <w:rPr>
        <w:rFonts w:hint="eastAsia"/>
      </w:rPr>
    </w:lvl>
  </w:abstractNum>
  <w:abstractNum w:abstractNumId="31">
    <w:nsid w:val="6524EDFB"/>
    <w:multiLevelType w:val="singleLevel"/>
    <w:tmpl w:val="6524EDFB"/>
    <w:lvl w:ilvl="0" w:tentative="0">
      <w:start w:val="1"/>
      <w:numFmt w:val="chineseCounting"/>
      <w:suff w:val="nothing"/>
      <w:lvlText w:val="（%1）"/>
      <w:lvlJc w:val="left"/>
      <w:pPr>
        <w:ind w:left="0" w:firstLine="420"/>
      </w:pPr>
      <w:rPr>
        <w:rFonts w:hint="eastAsia"/>
      </w:rPr>
    </w:lvl>
  </w:abstractNum>
  <w:abstractNum w:abstractNumId="32">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33">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34">
    <w:nsid w:val="6524F21A"/>
    <w:multiLevelType w:val="singleLevel"/>
    <w:tmpl w:val="6524F21A"/>
    <w:lvl w:ilvl="0" w:tentative="0">
      <w:start w:val="1"/>
      <w:numFmt w:val="decimalEnclosedCircleChinese"/>
      <w:suff w:val="nothing"/>
      <w:lvlText w:val="%1　"/>
      <w:lvlJc w:val="left"/>
      <w:pPr>
        <w:ind w:left="0" w:firstLine="400"/>
      </w:pPr>
      <w:rPr>
        <w:rFonts w:hint="eastAsia"/>
      </w:rPr>
    </w:lvl>
  </w:abstractNum>
  <w:abstractNum w:abstractNumId="35">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36">
    <w:nsid w:val="6524F2AF"/>
    <w:multiLevelType w:val="singleLevel"/>
    <w:tmpl w:val="6524F2AF"/>
    <w:lvl w:ilvl="0" w:tentative="0">
      <w:start w:val="1"/>
      <w:numFmt w:val="decimalEnclosedCircleChinese"/>
      <w:suff w:val="nothing"/>
      <w:lvlText w:val="%1　"/>
      <w:lvlJc w:val="left"/>
      <w:pPr>
        <w:ind w:left="0" w:firstLine="400"/>
      </w:pPr>
      <w:rPr>
        <w:rFonts w:hint="eastAsia"/>
      </w:rPr>
    </w:lvl>
  </w:abstractNum>
  <w:abstractNum w:abstractNumId="37">
    <w:nsid w:val="6524F2E0"/>
    <w:multiLevelType w:val="singleLevel"/>
    <w:tmpl w:val="6524F2E0"/>
    <w:lvl w:ilvl="0" w:tentative="0">
      <w:start w:val="1"/>
      <w:numFmt w:val="decimalEnclosedCircleChinese"/>
      <w:suff w:val="nothing"/>
      <w:lvlText w:val="%1　"/>
      <w:lvlJc w:val="left"/>
      <w:pPr>
        <w:ind w:left="0" w:firstLine="400"/>
      </w:pPr>
      <w:rPr>
        <w:rFonts w:hint="eastAsia"/>
      </w:rPr>
    </w:lvl>
  </w:abstractNum>
  <w:abstractNum w:abstractNumId="38">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39">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40">
    <w:nsid w:val="6524F44E"/>
    <w:multiLevelType w:val="singleLevel"/>
    <w:tmpl w:val="6524F44E"/>
    <w:lvl w:ilvl="0" w:tentative="0">
      <w:start w:val="1"/>
      <w:numFmt w:val="decimalEnclosedCircleChinese"/>
      <w:suff w:val="nothing"/>
      <w:lvlText w:val="%1　"/>
      <w:lvlJc w:val="left"/>
      <w:pPr>
        <w:ind w:left="0" w:firstLine="400"/>
      </w:pPr>
      <w:rPr>
        <w:rFonts w:hint="eastAsia"/>
      </w:rPr>
    </w:lvl>
  </w:abstractNum>
  <w:abstractNum w:abstractNumId="41">
    <w:nsid w:val="652CEFBF"/>
    <w:multiLevelType w:val="singleLevel"/>
    <w:tmpl w:val="652CEFBF"/>
    <w:lvl w:ilvl="0" w:tentative="0">
      <w:start w:val="1"/>
      <w:numFmt w:val="decimal"/>
      <w:suff w:val="nothing"/>
      <w:lvlText w:val="%1．"/>
      <w:lvlJc w:val="left"/>
      <w:pPr>
        <w:ind w:left="0" w:firstLine="400"/>
      </w:pPr>
      <w:rPr>
        <w:rFonts w:hint="default"/>
      </w:rPr>
    </w:lvl>
  </w:abstractNum>
  <w:abstractNum w:abstractNumId="42">
    <w:nsid w:val="6BB4052D"/>
    <w:multiLevelType w:val="singleLevel"/>
    <w:tmpl w:val="6BB4052D"/>
    <w:lvl w:ilvl="0" w:tentative="0">
      <w:start w:val="1"/>
      <w:numFmt w:val="decimalEnclosedCircleChinese"/>
      <w:suff w:val="nothing"/>
      <w:lvlText w:val="%1　"/>
      <w:lvlJc w:val="left"/>
      <w:pPr>
        <w:ind w:left="0" w:firstLine="400"/>
      </w:pPr>
      <w:rPr>
        <w:rFonts w:hint="eastAsia"/>
      </w:rPr>
    </w:lvl>
  </w:abstractNum>
  <w:abstractNum w:abstractNumId="43">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7"/>
  </w:num>
  <w:num w:numId="2">
    <w:abstractNumId w:val="30"/>
  </w:num>
  <w:num w:numId="3">
    <w:abstractNumId w:val="4"/>
  </w:num>
  <w:num w:numId="4">
    <w:abstractNumId w:val="1"/>
  </w:num>
  <w:num w:numId="5">
    <w:abstractNumId w:val="7"/>
  </w:num>
  <w:num w:numId="6">
    <w:abstractNumId w:val="13"/>
  </w:num>
  <w:num w:numId="7">
    <w:abstractNumId w:val="10"/>
  </w:num>
  <w:num w:numId="8">
    <w:abstractNumId w:val="8"/>
  </w:num>
  <w:num w:numId="9">
    <w:abstractNumId w:val="5"/>
  </w:num>
  <w:num w:numId="10">
    <w:abstractNumId w:val="19"/>
  </w:num>
  <w:num w:numId="11">
    <w:abstractNumId w:val="42"/>
  </w:num>
  <w:num w:numId="12">
    <w:abstractNumId w:val="6"/>
  </w:num>
  <w:num w:numId="13">
    <w:abstractNumId w:val="3"/>
  </w:num>
  <w:num w:numId="14">
    <w:abstractNumId w:val="12"/>
  </w:num>
  <w:num w:numId="15">
    <w:abstractNumId w:val="43"/>
  </w:num>
  <w:num w:numId="16">
    <w:abstractNumId w:val="9"/>
  </w:num>
  <w:num w:numId="17">
    <w:abstractNumId w:val="22"/>
  </w:num>
  <w:num w:numId="18">
    <w:abstractNumId w:val="20"/>
  </w:num>
  <w:num w:numId="19">
    <w:abstractNumId w:val="21"/>
  </w:num>
  <w:num w:numId="20">
    <w:abstractNumId w:val="23"/>
  </w:num>
  <w:num w:numId="21">
    <w:abstractNumId w:val="24"/>
  </w:num>
  <w:num w:numId="22">
    <w:abstractNumId w:val="31"/>
  </w:num>
  <w:num w:numId="23">
    <w:abstractNumId w:val="29"/>
  </w:num>
  <w:num w:numId="24">
    <w:abstractNumId w:val="32"/>
  </w:num>
  <w:num w:numId="25">
    <w:abstractNumId w:val="2"/>
  </w:num>
  <w:num w:numId="26">
    <w:abstractNumId w:val="25"/>
  </w:num>
  <w:num w:numId="27">
    <w:abstractNumId w:val="26"/>
  </w:num>
  <w:num w:numId="28">
    <w:abstractNumId w:val="16"/>
  </w:num>
  <w:num w:numId="29">
    <w:abstractNumId w:val="15"/>
  </w:num>
  <w:num w:numId="30">
    <w:abstractNumId w:val="0"/>
  </w:num>
  <w:num w:numId="31">
    <w:abstractNumId w:val="27"/>
  </w:num>
  <w:num w:numId="32">
    <w:abstractNumId w:val="41"/>
  </w:num>
  <w:num w:numId="33">
    <w:abstractNumId w:val="28"/>
  </w:num>
  <w:num w:numId="34">
    <w:abstractNumId w:val="11"/>
  </w:num>
  <w:num w:numId="35">
    <w:abstractNumId w:val="33"/>
  </w:num>
  <w:num w:numId="36">
    <w:abstractNumId w:val="34"/>
  </w:num>
  <w:num w:numId="37">
    <w:abstractNumId w:val="35"/>
  </w:num>
  <w:num w:numId="38">
    <w:abstractNumId w:val="14"/>
  </w:num>
  <w:num w:numId="39">
    <w:abstractNumId w:val="36"/>
  </w:num>
  <w:num w:numId="40">
    <w:abstractNumId w:val="37"/>
  </w:num>
  <w:num w:numId="41">
    <w:abstractNumId w:val="38"/>
  </w:num>
  <w:num w:numId="42">
    <w:abstractNumId w:val="39"/>
  </w:num>
  <w:num w:numId="43">
    <w:abstractNumId w:val="4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B"/>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E87C05"/>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A5532"/>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D0251"/>
    <w:rsid w:val="215F2324"/>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95393"/>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36545C"/>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10E20"/>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CB21C2"/>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8F456C0"/>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50FA2"/>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6E18E5"/>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4B3F"/>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102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100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2024-05-13T06:12:00Z</cp:lastPrinted>
  <dcterms:modified xsi:type="dcterms:W3CDTF">2024-05-14T03:10:15Z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