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杭州市余杭区五常中学2024年物业管理</w:t>
      </w: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服务采购项目</w:t>
      </w:r>
    </w:p>
    <w:p>
      <w:pPr>
        <w:adjustRightInd/>
        <w:spacing w:line="360" w:lineRule="auto"/>
        <w:jc w:val="center"/>
        <w:rPr>
          <w:rFonts w:hint="eastAsia" w:ascii="宋体" w:hAnsi="宋体" w:eastAsia="宋体" w:cs="宋体"/>
          <w:color w:val="auto"/>
          <w:sz w:val="48"/>
          <w:szCs w:val="48"/>
          <w:highlight w:val="none"/>
          <w:lang w:val="en-US" w:eastAsia="zh-CN"/>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：HZYHZFCG-2024-050</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杭州市余杭区五常中学</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 xml:space="preserve">月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杭州市余杭区五常中学2024年物业管理服务采购项目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Style w:val="77"/>
          <w:rFonts w:hint="eastAsia" w:ascii="宋体" w:hAnsi="宋体" w:eastAsia="宋体" w:cs="宋体"/>
          <w:b/>
          <w:bCs/>
          <w:color w:val="auto"/>
          <w:kern w:val="2"/>
          <w:sz w:val="24"/>
          <w:szCs w:val="24"/>
          <w:highlight w:val="none"/>
          <w:u w:val="single" w:color="auto"/>
        </w:rPr>
        <w:t>202</w:t>
      </w:r>
      <w:r>
        <w:rPr>
          <w:rStyle w:val="77"/>
          <w:rFonts w:hint="eastAsia" w:ascii="宋体" w:hAnsi="宋体" w:cs="宋体"/>
          <w:b/>
          <w:bCs/>
          <w:color w:val="auto"/>
          <w:kern w:val="2"/>
          <w:sz w:val="24"/>
          <w:szCs w:val="24"/>
          <w:highlight w:val="none"/>
          <w:u w:val="single" w:color="auto"/>
          <w:lang w:val="en-US" w:eastAsia="zh-CN"/>
        </w:rPr>
        <w:t>4</w:t>
      </w:r>
      <w:r>
        <w:rPr>
          <w:rStyle w:val="77"/>
          <w:rFonts w:hint="eastAsia" w:ascii="宋体" w:hAnsi="宋体" w:eastAsia="宋体" w:cs="宋体"/>
          <w:b/>
          <w:bCs/>
          <w:color w:val="auto"/>
          <w:kern w:val="2"/>
          <w:sz w:val="24"/>
          <w:szCs w:val="24"/>
          <w:highlight w:val="none"/>
          <w:u w:val="single" w:color="auto"/>
        </w:rPr>
        <w:t>年</w:t>
      </w:r>
      <w:r>
        <w:rPr>
          <w:rStyle w:val="77"/>
          <w:rFonts w:hint="eastAsia" w:ascii="宋体" w:hAnsi="宋体" w:cs="宋体"/>
          <w:b/>
          <w:bCs/>
          <w:color w:val="auto"/>
          <w:kern w:val="2"/>
          <w:sz w:val="24"/>
          <w:szCs w:val="24"/>
          <w:highlight w:val="none"/>
          <w:u w:val="single" w:color="auto"/>
          <w:lang w:val="en-US" w:eastAsia="zh-CN"/>
        </w:rPr>
        <w:t>4</w:t>
      </w:r>
      <w:r>
        <w:rPr>
          <w:rStyle w:val="77"/>
          <w:rFonts w:hint="eastAsia" w:ascii="宋体" w:hAnsi="宋体" w:eastAsia="宋体" w:cs="宋体"/>
          <w:b/>
          <w:bCs/>
          <w:color w:val="auto"/>
          <w:kern w:val="2"/>
          <w:sz w:val="24"/>
          <w:szCs w:val="24"/>
          <w:highlight w:val="none"/>
          <w:u w:val="single" w:color="auto"/>
        </w:rPr>
        <w:t>月</w:t>
      </w:r>
      <w:r>
        <w:rPr>
          <w:rStyle w:val="77"/>
          <w:rFonts w:hint="eastAsia" w:ascii="宋体" w:hAnsi="宋体" w:cs="宋体"/>
          <w:b/>
          <w:bCs/>
          <w:color w:val="auto"/>
          <w:kern w:val="2"/>
          <w:sz w:val="24"/>
          <w:szCs w:val="24"/>
          <w:highlight w:val="none"/>
          <w:u w:val="single" w:color="auto"/>
          <w:lang w:val="en-US" w:eastAsia="zh-CN"/>
        </w:rPr>
        <w:t>11</w:t>
      </w:r>
      <w:r>
        <w:rPr>
          <w:rStyle w:val="77"/>
          <w:rFonts w:hint="eastAsia" w:ascii="宋体" w:hAnsi="宋体" w:eastAsia="宋体" w:cs="宋体"/>
          <w:b/>
          <w:bCs/>
          <w:color w:val="auto"/>
          <w:kern w:val="2"/>
          <w:sz w:val="24"/>
          <w:szCs w:val="24"/>
          <w:highlight w:val="none"/>
          <w:u w:val="single" w:color="auto"/>
        </w:rPr>
        <w:t>日</w:t>
      </w:r>
      <w:r>
        <w:rPr>
          <w:rStyle w:val="77"/>
          <w:rFonts w:hint="eastAsia" w:ascii="宋体" w:hAnsi="宋体" w:cs="宋体"/>
          <w:b/>
          <w:bCs/>
          <w:color w:val="auto"/>
          <w:kern w:val="2"/>
          <w:sz w:val="24"/>
          <w:szCs w:val="24"/>
          <w:highlight w:val="none"/>
          <w:u w:val="single" w:color="auto"/>
          <w:lang w:val="en-US" w:eastAsia="zh-CN"/>
        </w:rPr>
        <w:t>14</w:t>
      </w:r>
      <w:r>
        <w:rPr>
          <w:rStyle w:val="77"/>
          <w:rFonts w:hint="eastAsia" w:ascii="宋体" w:hAnsi="宋体" w:eastAsia="宋体" w:cs="宋体"/>
          <w:b/>
          <w:bCs/>
          <w:color w:val="auto"/>
          <w:kern w:val="2"/>
          <w:sz w:val="24"/>
          <w:szCs w:val="24"/>
          <w:highlight w:val="none"/>
          <w:u w:val="single" w:color="auto"/>
        </w:rPr>
        <w:t>点</w:t>
      </w:r>
      <w:r>
        <w:rPr>
          <w:rStyle w:val="77"/>
          <w:rFonts w:hint="eastAsia" w:ascii="宋体" w:hAnsi="宋体" w:cs="宋体"/>
          <w:b/>
          <w:bCs/>
          <w:color w:val="auto"/>
          <w:kern w:val="2"/>
          <w:sz w:val="24"/>
          <w:szCs w:val="24"/>
          <w:highlight w:val="none"/>
          <w:u w:val="single" w:color="auto"/>
          <w:lang w:val="en-US" w:eastAsia="zh-CN"/>
        </w:rPr>
        <w:t>00</w:t>
      </w:r>
      <w:r>
        <w:rPr>
          <w:rStyle w:val="77"/>
          <w:rFonts w:hint="eastAsia" w:ascii="宋体" w:hAnsi="宋体" w:eastAsia="宋体" w:cs="宋体"/>
          <w:b/>
          <w:bCs/>
          <w:color w:val="auto"/>
          <w:kern w:val="2"/>
          <w:sz w:val="24"/>
          <w:szCs w:val="24"/>
          <w:highlight w:val="none"/>
          <w:u w:val="single" w:color="auto"/>
        </w:rPr>
        <w:t>分00秒</w:t>
      </w:r>
      <w:r>
        <w:rPr>
          <w:rStyle w:val="77"/>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HZYHZFCG-2024-050</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杭州市余杭区五常中学2024年物业管理服务采购项目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预算金额（元）：2353446</w:t>
      </w:r>
      <w:r>
        <w:rPr>
          <w:rFonts w:ascii="宋体" w:hAnsi="宋体" w:cs="宋体"/>
          <w:color w:val="auto"/>
          <w:sz w:val="24"/>
          <w:highlight w:val="none"/>
        </w:rPr>
        <w:t xml:space="preserve"> </w:t>
      </w:r>
    </w:p>
    <w:p>
      <w:pPr>
        <w:pStyle w:val="5"/>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val="en-US" w:eastAsia="zh-CN"/>
        </w:rPr>
        <w:t>本项目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包含保洁服务、安全消控服务、绿化服务、会务服务、工程设备维修、应急管理以及采购单位交办的其他工作。</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ind w:firstLine="482"/>
        <w:outlineLvl w:val="2"/>
        <w:rPr>
          <w:rFonts w:hint="eastAsia" w:ascii="宋体" w:hAnsi="宋体" w:eastAsia="宋体" w:cs="宋体"/>
          <w:bCs/>
          <w:snapToGrid w:val="0"/>
          <w:color w:val="auto"/>
          <w:kern w:val="2"/>
          <w:sz w:val="24"/>
          <w:szCs w:val="24"/>
          <w:highlight w:val="none"/>
          <w:lang w:val="en-US" w:eastAsia="zh-CN" w:bidi="ar-SA"/>
        </w:rPr>
      </w:pPr>
      <w:r>
        <w:rPr>
          <w:rFonts w:hint="eastAsia" w:ascii="宋体" w:hAnsi="宋体" w:cs="宋体"/>
          <w:b/>
          <w:color w:val="auto"/>
          <w:highlight w:val="none"/>
        </w:rPr>
        <w:t>合同履约期限：</w:t>
      </w:r>
      <w:r>
        <w:rPr>
          <w:rFonts w:hint="eastAsia" w:ascii="宋体" w:hAnsi="宋体" w:eastAsia="宋体" w:cs="宋体"/>
          <w:bCs/>
          <w:snapToGrid w:val="0"/>
          <w:color w:val="auto"/>
          <w:kern w:val="2"/>
          <w:sz w:val="24"/>
          <w:szCs w:val="24"/>
          <w:highlight w:val="none"/>
          <w:lang w:val="en-US" w:eastAsia="zh-CN" w:bidi="ar-SA"/>
        </w:rPr>
        <w:t xml:space="preserve">自合同签订生效之日起一年。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本项目不接受联合体投标或者投标人不以联合体形式投标的，则不需要提供</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 xml:space="preserve">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20" w:firstLineChars="200"/>
        <w:rPr>
          <w:rFonts w:ascii="宋体" w:hAnsi="宋体" w:cs="宋体"/>
          <w:color w:val="auto"/>
          <w:sz w:val="24"/>
          <w:highlight w:val="none"/>
        </w:rPr>
      </w:pPr>
      <w:r>
        <w:rPr>
          <w:rFonts w:hint="eastAsia"/>
          <w:color w:val="auto"/>
          <w:kern w:val="0"/>
          <w:highlight w:val="none"/>
        </w:rPr>
        <w:sym w:font="Wingdings" w:char="00FE"/>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785" w:firstLineChars="374"/>
        <w:rPr>
          <w:rFonts w:ascii="宋体" w:hAnsi="宋体" w:cs="宋体"/>
          <w:color w:val="auto"/>
          <w:sz w:val="24"/>
          <w:highlight w:val="none"/>
        </w:rPr>
      </w:pPr>
      <w:r>
        <w:rPr>
          <w:rFonts w:hint="eastAsia"/>
          <w:color w:val="auto"/>
          <w:kern w:val="0"/>
          <w:highlight w:val="none"/>
        </w:rPr>
        <w:sym w:font="Wingdings" w:char="00FE"/>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numPr>
          <w:ilvl w:val="0"/>
          <w:numId w:val="0"/>
        </w:numPr>
        <w:snapToGrid/>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11</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11</w:t>
      </w:r>
      <w:r>
        <w:rPr>
          <w:rFonts w:hint="eastAsia" w:ascii="宋体" w:hAnsi="宋体" w:cs="宋体"/>
          <w:b/>
          <w:bCs/>
          <w:color w:val="auto"/>
          <w:sz w:val="24"/>
          <w:highlight w:val="none"/>
          <w:u w:val="single"/>
        </w:rPr>
        <w:t xml:space="preserve">日 </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11</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询问列表</w:t>
      </w:r>
      <w:r>
        <w:rPr>
          <w:rFonts w:hint="eastAsia" w:ascii="宋体" w:hAnsi="宋体" w:cs="宋体"/>
          <w:color w:val="auto"/>
          <w:sz w:val="24"/>
          <w:highlight w:val="none"/>
          <w:lang w:eastAsia="zh-CN"/>
        </w:rPr>
        <w:t>：</w:t>
      </w:r>
      <w:r>
        <w:rPr>
          <w:rFonts w:hint="eastAsia" w:ascii="宋体" w:hAnsi="宋体" w:cs="宋体"/>
          <w:color w:val="auto"/>
          <w:sz w:val="24"/>
          <w:highlight w:val="none"/>
        </w:rPr>
        <w:t>鼓励供应商在线提起质疑，路径为：政采云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质疑列表。质疑供应商对在线质疑答复不满意的，可在线提起投诉，路径为：浙江政府服务网</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政府采购投诉处理</w:t>
      </w:r>
      <w:r>
        <w:rPr>
          <w:rFonts w:hint="eastAsia" w:ascii="宋体" w:hAnsi="宋体" w:cs="宋体"/>
          <w:color w:val="auto"/>
          <w:sz w:val="24"/>
          <w:highlight w:val="none"/>
          <w:lang w:eastAsia="zh-CN"/>
        </w:rPr>
        <w:t>－</w:t>
      </w:r>
      <w:r>
        <w:rPr>
          <w:rFonts w:hint="eastAsia" w:ascii="宋体" w:hAnsi="宋体" w:cs="宋体"/>
          <w:color w:val="auto"/>
          <w:sz w:val="24"/>
          <w:highlight w:val="none"/>
        </w:rPr>
        <w:t>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w:t>
      </w:r>
      <w:r>
        <w:rPr>
          <w:rFonts w:hint="eastAsia" w:ascii="宋体" w:hAnsi="宋体" w:cs="宋体"/>
          <w:color w:val="auto"/>
          <w:sz w:val="24"/>
          <w:highlight w:val="none"/>
          <w:lang w:eastAsia="zh-CN"/>
        </w:rPr>
        <w:t>－－</w:t>
      </w:r>
      <w:r>
        <w:rPr>
          <w:rFonts w:hint="eastAsia" w:ascii="宋体" w:hAnsi="宋体" w:cs="宋体"/>
          <w:color w:val="auto"/>
          <w:sz w:val="24"/>
          <w:highlight w:val="none"/>
        </w:rPr>
        <w:t>点击“商家入驻”，进行政府采购供应商资料填写；申领CA数字证书---申领流程详见“浙江政府采购网-下载专区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电子交易客户端-CA驱动和申领流程”；安装“政采云电子交易客户端”----前往“浙江政府采购网-下载专区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w:t>
      </w:r>
      <w:r>
        <w:rPr>
          <w:rFonts w:hint="eastAsia" w:ascii="宋体" w:hAnsi="宋体" w:cs="宋体"/>
          <w:color w:val="auto"/>
          <w:sz w:val="24"/>
          <w:highlight w:val="none"/>
          <w:lang w:eastAsia="zh-CN"/>
        </w:rPr>
        <w:t>”“</w:t>
      </w:r>
      <w:r>
        <w:rPr>
          <w:rFonts w:hint="eastAsia" w:ascii="宋体" w:hAnsi="宋体" w:cs="宋体"/>
          <w:color w:val="auto"/>
          <w:sz w:val="24"/>
          <w:highlight w:val="none"/>
        </w:rPr>
        <w:t>导入投标文件</w:t>
      </w:r>
      <w:r>
        <w:rPr>
          <w:rFonts w:hint="eastAsia" w:ascii="宋体" w:hAnsi="宋体" w:cs="宋体"/>
          <w:color w:val="auto"/>
          <w:sz w:val="24"/>
          <w:highlight w:val="none"/>
          <w:lang w:eastAsia="zh-CN"/>
        </w:rPr>
        <w:t>”“</w:t>
      </w:r>
      <w:r>
        <w:rPr>
          <w:rFonts w:hint="eastAsia" w:ascii="宋体" w:hAnsi="宋体" w:cs="宋体"/>
          <w:color w:val="auto"/>
          <w:sz w:val="24"/>
          <w:highlight w:val="none"/>
        </w:rPr>
        <w:t>标书关联</w:t>
      </w:r>
      <w:r>
        <w:rPr>
          <w:rFonts w:hint="eastAsia" w:ascii="宋体" w:hAnsi="宋体" w:cs="宋体"/>
          <w:color w:val="auto"/>
          <w:sz w:val="24"/>
          <w:highlight w:val="none"/>
          <w:lang w:eastAsia="zh-CN"/>
        </w:rPr>
        <w:t>”“</w:t>
      </w:r>
      <w:r>
        <w:rPr>
          <w:rFonts w:hint="eastAsia" w:ascii="宋体" w:hAnsi="宋体" w:cs="宋体"/>
          <w:color w:val="auto"/>
          <w:sz w:val="24"/>
          <w:highlight w:val="none"/>
        </w:rPr>
        <w:t>标书检查</w:t>
      </w:r>
      <w:r>
        <w:rPr>
          <w:rFonts w:hint="eastAsia" w:ascii="宋体" w:hAnsi="宋体" w:cs="宋体"/>
          <w:color w:val="auto"/>
          <w:sz w:val="24"/>
          <w:highlight w:val="none"/>
          <w:lang w:eastAsia="zh-CN"/>
        </w:rPr>
        <w:t>”“</w:t>
      </w:r>
      <w:r>
        <w:rPr>
          <w:rFonts w:hint="eastAsia" w:ascii="宋体" w:hAnsi="宋体" w:cs="宋体"/>
          <w:color w:val="auto"/>
          <w:sz w:val="24"/>
          <w:highlight w:val="none"/>
        </w:rPr>
        <w:t>电子签名</w:t>
      </w:r>
      <w:r>
        <w:rPr>
          <w:rFonts w:hint="eastAsia" w:ascii="宋体" w:hAnsi="宋体" w:cs="宋体"/>
          <w:color w:val="auto"/>
          <w:sz w:val="24"/>
          <w:highlight w:val="none"/>
          <w:lang w:eastAsia="zh-CN"/>
        </w:rPr>
        <w:t>”“</w:t>
      </w:r>
      <w:r>
        <w:rPr>
          <w:rFonts w:hint="eastAsia" w:ascii="宋体" w:hAnsi="宋体" w:cs="宋体"/>
          <w:color w:val="auto"/>
          <w:sz w:val="24"/>
          <w:highlight w:val="none"/>
        </w:rPr>
        <w:t>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hint="eastAsia" w:ascii="宋体" w:hAnsi="宋体" w:cs="宋体"/>
          <w:color w:val="auto"/>
          <w:sz w:val="24"/>
          <w:highlight w:val="none"/>
          <w:lang w:eastAsia="zh-CN"/>
        </w:rPr>
        <w:t>－</w:t>
      </w:r>
      <w:r>
        <w:rPr>
          <w:rFonts w:hint="eastAsia" w:ascii="宋体" w:hAnsi="宋体" w:cs="宋体"/>
          <w:color w:val="auto"/>
          <w:sz w:val="24"/>
          <w:highlight w:val="none"/>
        </w:rPr>
        <w:t>帮助文档</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操作流程</w:t>
      </w:r>
      <w:r>
        <w:rPr>
          <w:rFonts w:hint="eastAsia" w:ascii="宋体" w:hAnsi="宋体" w:cs="宋体"/>
          <w:color w:val="auto"/>
          <w:sz w:val="24"/>
          <w:highlight w:val="none"/>
          <w:lang w:eastAsia="zh-CN"/>
        </w:rPr>
        <w:t>－</w:t>
      </w:r>
      <w:r>
        <w:rPr>
          <w:rFonts w:hint="eastAsia" w:ascii="宋体" w:hAnsi="宋体" w:cs="宋体"/>
          <w:color w:val="auto"/>
          <w:sz w:val="24"/>
          <w:highlight w:val="none"/>
        </w:rPr>
        <w:t>电子招投标</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政府采购项目电子交易管理操作指南</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名称：</w:t>
      </w:r>
      <w:r>
        <w:rPr>
          <w:rFonts w:hint="eastAsia" w:ascii="宋体" w:hAnsi="宋体" w:cs="宋体"/>
          <w:color w:val="auto"/>
          <w:sz w:val="24"/>
          <w:highlight w:val="none"/>
          <w:lang w:eastAsia="zh-CN"/>
        </w:rPr>
        <w:t>杭州市余杭区五常中学</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地址：</w:t>
      </w:r>
      <w:r>
        <w:rPr>
          <w:rFonts w:hint="eastAsia" w:ascii="宋体" w:hAnsi="宋体" w:cs="宋体"/>
          <w:color w:val="auto"/>
          <w:sz w:val="24"/>
          <w:highlight w:val="none"/>
          <w:lang w:eastAsia="zh-CN"/>
        </w:rPr>
        <w:t>杭州市余杭区五常街道荆长路520号</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传真： </w:t>
      </w:r>
      <w:r>
        <w:rPr>
          <w:rFonts w:hint="eastAsia" w:ascii="宋体" w:hAnsi="宋体" w:cs="宋体"/>
          <w:color w:val="auto"/>
          <w:sz w:val="24"/>
          <w:highlight w:val="none"/>
          <w:lang w:val="en-US" w:eastAsia="zh-CN"/>
        </w:rPr>
        <w:t>/</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项目联系人（询问）：沈老师</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18057107952</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质疑联系人：费建法 </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0571-88730672</w:t>
      </w:r>
      <w:r>
        <w:rPr>
          <w:rFonts w:hint="eastAsia" w:ascii="宋体" w:hAnsi="宋体" w:eastAsia="宋体" w:cs="宋体"/>
          <w:i w:val="0"/>
          <w:iCs w:val="0"/>
          <w:caps w:val="0"/>
          <w:color w:val="auto"/>
          <w:spacing w:val="0"/>
          <w:sz w:val="24"/>
          <w:szCs w:val="24"/>
          <w:highlight w:val="none"/>
          <w:shd w:val="clear"/>
        </w:rPr>
        <w:t>（请通过以下路径在线提起质疑：政采云-项目采购-询问质疑投诉-质疑列表）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eastAsia="zh-CN"/>
        </w:rPr>
        <w:t>杭州市公共资源交易中心余杭分中心</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rPr>
        <w:t>高乐怡</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陈苏琦</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0571-89395438</w:t>
      </w:r>
      <w:r>
        <w:rPr>
          <w:rFonts w:hint="eastAsia" w:ascii="宋体" w:hAnsi="宋体" w:eastAsia="宋体" w:cs="宋体"/>
          <w:i w:val="0"/>
          <w:iCs w:val="0"/>
          <w:caps w:val="0"/>
          <w:color w:val="auto"/>
          <w:spacing w:val="0"/>
          <w:sz w:val="24"/>
          <w:szCs w:val="24"/>
          <w:highlight w:val="none"/>
          <w:shd w:val="clear"/>
        </w:rPr>
        <w:t>（请通过以下路径在线提起质疑：政采云-项目采购-询问质疑投诉-质疑列表）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名称：</w:t>
      </w:r>
      <w:r>
        <w:rPr>
          <w:rFonts w:hint="eastAsia" w:ascii="宋体" w:hAnsi="宋体" w:eastAsia="宋体" w:cs="宋体"/>
          <w:i w:val="0"/>
          <w:iCs w:val="0"/>
          <w:caps w:val="0"/>
          <w:color w:val="auto"/>
          <w:spacing w:val="0"/>
          <w:sz w:val="24"/>
          <w:szCs w:val="24"/>
          <w:highlight w:val="none"/>
          <w:shd w:val="clear"/>
        </w:rPr>
        <w:t>杭州市余杭区财政局、浙江省政府采购行政裁决服务中心（杭州）</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地址：</w:t>
      </w:r>
      <w:r>
        <w:rPr>
          <w:rFonts w:hint="eastAsia" w:ascii="宋体" w:hAnsi="宋体" w:eastAsia="宋体" w:cs="宋体"/>
          <w:i w:val="0"/>
          <w:iCs w:val="0"/>
          <w:caps w:val="0"/>
          <w:color w:val="auto"/>
          <w:spacing w:val="0"/>
          <w:sz w:val="24"/>
          <w:szCs w:val="24"/>
          <w:highlight w:val="none"/>
          <w:shd w:val="clear"/>
        </w:rPr>
        <w:t>杭州市上城区四季青街道新业路市民之家G03办公室（快递仅限ems或顺丰）</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传真： </w:t>
      </w:r>
      <w:r>
        <w:rPr>
          <w:rFonts w:hint="eastAsia" w:ascii="宋体" w:hAnsi="宋体" w:cs="宋体"/>
          <w:color w:val="auto"/>
          <w:sz w:val="24"/>
          <w:highlight w:val="none"/>
          <w:lang w:val="en-US"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w:t>
      </w:r>
      <w:r>
        <w:rPr>
          <w:rFonts w:hint="eastAsia" w:ascii="宋体" w:hAnsi="宋体" w:eastAsia="宋体" w:cs="宋体"/>
          <w:i w:val="0"/>
          <w:iCs w:val="0"/>
          <w:caps w:val="0"/>
          <w:color w:val="auto"/>
          <w:spacing w:val="0"/>
          <w:sz w:val="24"/>
          <w:szCs w:val="24"/>
          <w:highlight w:val="none"/>
          <w:shd w:val="clear"/>
        </w:rPr>
        <w:t>朱女士、王女士</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w:t>
      </w:r>
      <w:r>
        <w:rPr>
          <w:rFonts w:hint="eastAsia" w:ascii="宋体" w:hAnsi="宋体" w:eastAsia="宋体" w:cs="宋体"/>
          <w:i w:val="0"/>
          <w:iCs w:val="0"/>
          <w:caps w:val="0"/>
          <w:color w:val="auto"/>
          <w:spacing w:val="0"/>
          <w:sz w:val="24"/>
          <w:szCs w:val="24"/>
          <w:highlight w:val="none"/>
          <w:shd w:val="clear"/>
        </w:rPr>
        <w:t>85252453</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物业管理服务 </w:t>
            </w:r>
            <w:r>
              <w:rPr>
                <w:rFonts w:hint="eastAsia" w:ascii="宋体" w:hAnsi="宋体" w:cs="宋体"/>
                <w:color w:val="auto"/>
                <w:kern w:val="0"/>
                <w:sz w:val="24"/>
                <w:highlight w:val="none"/>
              </w:rPr>
              <w:t>，属于</w:t>
            </w:r>
            <w:r>
              <w:rPr>
                <w:rFonts w:hint="eastAsia" w:ascii="宋体" w:hAnsi="宋体" w:eastAsia="宋体" w:cs="宋体"/>
                <w:color w:val="auto"/>
                <w:kern w:val="0"/>
                <w:sz w:val="24"/>
                <w:highlight w:val="none"/>
                <w:u w:val="single"/>
              </w:rPr>
              <w:t>物业管理</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color w:val="auto"/>
                <w:highlight w:val="none"/>
                <w:u w:val="single"/>
              </w:rPr>
              <w:t>外墙清洗、绿化租摆、电梯维护、消防设施设备维护、空调通风系统维护</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szCs w:val="20"/>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kern w:val="0"/>
                <w:sz w:val="24"/>
                <w:highlight w:val="none"/>
                <w:lang w:val="zh-CN"/>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ind w:left="0" w:leftChars="0" w:right="0" w:firstLine="480" w:firstLineChars="200"/>
              <w:jc w:val="both"/>
              <w:textAlignment w:val="auto"/>
              <w:outlineLvl w:val="9"/>
              <w:rPr>
                <w:rFonts w:hAnsi="宋体" w:cs="宋体"/>
                <w:color w:val="auto"/>
                <w:kern w:val="28"/>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5</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号开标室</w:t>
            </w:r>
            <w:r>
              <w:rPr>
                <w:rFonts w:hint="eastAsia" w:ascii="宋体" w:hAnsi="宋体" w:cs="宋体"/>
                <w:b/>
                <w:color w:val="auto"/>
                <w:kern w:val="0"/>
                <w:sz w:val="24"/>
                <w:highlight w:val="none"/>
                <w:lang w:eastAsia="zh-CN"/>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cs="宋体"/>
                <w:color w:val="auto"/>
                <w:sz w:val="24"/>
                <w:highlight w:val="none"/>
                <w:lang w:eastAsia="zh-CN"/>
              </w:rPr>
              <w:t>）</w:t>
            </w:r>
            <w:r>
              <w:rPr>
                <w:rFonts w:hint="eastAsia" w:ascii="宋体" w:hAnsi="宋体" w:eastAsia="宋体" w:cs="宋体"/>
                <w:color w:val="auto"/>
                <w:kern w:val="0"/>
                <w:sz w:val="24"/>
                <w:highlight w:val="none"/>
              </w:rPr>
              <w:t>，逾期送达或未密封将被拒收。</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rPr>
            </w:pPr>
            <w:r>
              <w:rPr>
                <w:rFonts w:hint="eastAsia" w:ascii="宋体" w:hAnsi="宋体" w:eastAsia="宋体" w:cs="Arial"/>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w:t>
      </w:r>
      <w:r>
        <w:rPr>
          <w:rFonts w:hint="eastAsia" w:ascii="宋体" w:hAnsi="宋体" w:cs="宋体"/>
          <w:color w:val="auto"/>
          <w:sz w:val="24"/>
          <w:highlight w:val="none"/>
          <w:lang w:eastAsia="zh-CN"/>
        </w:rPr>
        <w:t>法律法规</w:t>
      </w:r>
      <w:r>
        <w:rPr>
          <w:rFonts w:hint="eastAsia" w:ascii="宋体" w:hAnsi="宋体" w:cs="宋体"/>
          <w:color w:val="auto"/>
          <w:sz w:val="24"/>
          <w:highlight w:val="none"/>
        </w:rPr>
        <w:t>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是</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w:t>
      </w:r>
      <w:r>
        <w:rPr>
          <w:rFonts w:hint="eastAsia" w:ascii="宋体" w:hAnsi="宋体" w:cs="宋体"/>
          <w:color w:val="auto"/>
          <w:sz w:val="24"/>
          <w:highlight w:val="none"/>
          <w:lang w:eastAsia="zh-CN"/>
        </w:rPr>
        <w:t>》《</w:t>
      </w:r>
      <w:r>
        <w:rPr>
          <w:rFonts w:hint="eastAsia" w:ascii="宋体" w:hAnsi="宋体" w:cs="宋体"/>
          <w:color w:val="auto"/>
          <w:sz w:val="24"/>
          <w:highlight w:val="none"/>
        </w:rPr>
        <w:t>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hint="eastAsia" w:ascii="宋体" w:hAnsi="宋体" w:cs="宋体"/>
          <w:color w:val="auto"/>
          <w:sz w:val="24"/>
          <w:highlight w:val="none"/>
          <w:lang w:eastAsia="zh-CN"/>
        </w:rPr>
        <w:t>—</w:t>
      </w:r>
      <w:r>
        <w:rPr>
          <w:rFonts w:ascii="宋体" w:hAnsi="宋体" w:cs="宋体"/>
          <w:color w:val="auto"/>
          <w:sz w:val="24"/>
          <w:highlight w:val="none"/>
        </w:rPr>
        <w:t>20</w:t>
      </w:r>
      <w:r>
        <w:rPr>
          <w:rFonts w:hint="eastAsia" w:ascii="宋体" w:hAnsi="宋体" w:cs="宋体"/>
          <w:color w:val="auto"/>
          <w:sz w:val="24"/>
          <w:highlight w:val="none"/>
        </w:rPr>
        <w:t>%的扣除</w:t>
      </w:r>
    </w:p>
    <w:p>
      <w:pPr>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sz w:val="24"/>
          <w:highlight w:val="none"/>
          <w:lang w:eastAsia="zh-CN"/>
        </w:rPr>
        <w:t>—</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2"/>
        <w:rPr>
          <w:rFonts w:hint="default" w:ascii="宋体" w:hAnsi="宋体" w:eastAsia="宋体" w:cs="宋体"/>
          <w:b w:val="0"/>
          <w:bCs w:val="0"/>
          <w:color w:val="auto"/>
          <w:kern w:val="2"/>
          <w:sz w:val="24"/>
          <w:szCs w:val="24"/>
          <w:highlight w:val="none"/>
          <w:lang w:val="en-US" w:eastAsia="zh-CN" w:bidi="ar-SA"/>
        </w:rPr>
      </w:pPr>
      <w:r>
        <w:rPr>
          <w:rFonts w:hint="eastAsia" w:ascii="宋体" w:hAnsi="宋体" w:cs="宋体"/>
          <w:color w:val="auto"/>
          <w:sz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bidi="ar-SA"/>
        </w:rPr>
        <w:t>3.4.3 采购人应当贯彻落实知识产权保护相关法律法规，应当采购使用正版软件。</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w:t>
      </w:r>
      <w:r>
        <w:rPr>
          <w:rFonts w:hint="eastAsia"/>
          <w:color w:val="auto"/>
          <w:highlight w:val="none"/>
          <w:lang w:eastAsia="zh-CN"/>
        </w:rPr>
        <w:t>，</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t>投标人应对投标文件中材料的真实性、合法性负责。</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w:t>
      </w:r>
      <w:r>
        <w:rPr>
          <w:rFonts w:hint="eastAsia" w:hAnsi="宋体" w:cs="宋体"/>
          <w:color w:val="auto"/>
          <w:sz w:val="24"/>
          <w:szCs w:val="24"/>
          <w:highlight w:val="none"/>
          <w:lang w:eastAsia="zh-CN"/>
        </w:rPr>
        <w:t>（</w:t>
      </w:r>
      <w:r>
        <w:rPr>
          <w:rFonts w:hint="eastAsia" w:hAnsi="宋体" w:cs="宋体"/>
          <w:color w:val="auto"/>
          <w:sz w:val="24"/>
          <w:szCs w:val="24"/>
          <w:highlight w:val="none"/>
        </w:rPr>
        <w:t>联合体投标的，包装物封面需注明联合体投标，并注明联合体成员各方的名称和联合协议中约定的牵头人的名称</w:t>
      </w:r>
      <w:r>
        <w:rPr>
          <w:rFonts w:hint="eastAsia" w:hAnsi="宋体" w:cs="宋体"/>
          <w:color w:val="auto"/>
          <w:sz w:val="24"/>
          <w:szCs w:val="24"/>
          <w:highlight w:val="none"/>
          <w:lang w:eastAsia="zh-CN"/>
        </w:rPr>
        <w:t>）</w:t>
      </w:r>
      <w:r>
        <w:rPr>
          <w:rFonts w:hint="eastAsia" w:hAnsi="宋体" w:cs="宋体"/>
          <w:color w:val="auto"/>
          <w:sz w:val="24"/>
          <w:szCs w:val="24"/>
          <w:highlight w:val="none"/>
        </w:rPr>
        <w:t>。</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2"/>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www.creditchina.gov.cn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、中国政府采购网</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www.ccgp.gov.cn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w:t>
      </w:r>
      <w:r>
        <w:rPr>
          <w:rFonts w:hint="eastAsia" w:ascii="宋体" w:hAnsi="宋体" w:eastAsia="宋体" w:cs="宋体"/>
          <w:b w:val="0"/>
          <w:bCs w:val="0"/>
          <w:snapToGrid w:val="0"/>
          <w:color w:val="auto"/>
          <w:kern w:val="28"/>
          <w:sz w:val="24"/>
          <w:highlight w:val="none"/>
          <w:lang w:eastAsia="zh-CN"/>
        </w:rPr>
        <w:t>－</w:t>
      </w:r>
      <w:r>
        <w:rPr>
          <w:rFonts w:hint="eastAsia" w:ascii="宋体" w:hAnsi="宋体" w:eastAsia="宋体" w:cs="宋体"/>
          <w:b w:val="0"/>
          <w:bCs w:val="0"/>
          <w:snapToGrid w:val="0"/>
          <w:color w:val="auto"/>
          <w:kern w:val="28"/>
          <w:sz w:val="24"/>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3093"/>
      <w:bookmarkEnd w:id="15"/>
      <w:bookmarkStart w:id="16" w:name="_Hlt74714665"/>
      <w:bookmarkEnd w:id="16"/>
      <w:bookmarkStart w:id="17" w:name="_Hlt74729768"/>
      <w:bookmarkEnd w:id="17"/>
      <w:bookmarkStart w:id="18" w:name="_Hlt75236290"/>
      <w:bookmarkEnd w:id="18"/>
      <w:bookmarkStart w:id="19" w:name="_Hlt75236101"/>
      <w:bookmarkEnd w:id="19"/>
      <w:bookmarkStart w:id="20" w:name="_Hlt68057669"/>
      <w:bookmarkEnd w:id="20"/>
      <w:bookmarkStart w:id="21" w:name="_Hlt74707468"/>
      <w:bookmarkEnd w:id="21"/>
      <w:bookmarkStart w:id="22" w:name="_Hlt68072998"/>
      <w:bookmarkEnd w:id="22"/>
      <w:bookmarkStart w:id="23" w:name="_Hlt74730295"/>
      <w:bookmarkEnd w:id="23"/>
      <w:bookmarkStart w:id="24" w:name="_Hlt75236011"/>
      <w:bookmarkEnd w:id="24"/>
      <w:bookmarkStart w:id="25" w:name="_Hlt68403820"/>
      <w:bookmarkEnd w:id="25"/>
      <w:bookmarkStart w:id="26" w:name="_Hlt6807299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pStyle w:val="100"/>
        <w:widowControl/>
        <w:numPr>
          <w:ilvl w:val="0"/>
          <w:numId w:val="2"/>
        </w:numPr>
        <w:kinsoku w:val="0"/>
        <w:autoSpaceDE w:val="0"/>
        <w:autoSpaceDN w:val="0"/>
        <w:snapToGrid w:val="0"/>
        <w:ind w:left="0" w:firstLine="636" w:firstLineChars="0"/>
        <w:jc w:val="left"/>
        <w:textAlignment w:val="baseline"/>
        <w:rPr>
          <w:rFonts w:ascii="新宋体" w:hAnsi="新宋体" w:eastAsia="新宋体" w:cs="新宋体"/>
          <w:b/>
          <w:bCs w:val="0"/>
          <w:color w:val="auto"/>
          <w:highlight w:val="none"/>
        </w:rPr>
      </w:pPr>
      <w:r>
        <w:rPr>
          <w:rFonts w:hint="eastAsia" w:ascii="新宋体" w:hAnsi="新宋体" w:eastAsia="新宋体" w:cs="新宋体"/>
          <w:b/>
          <w:bCs w:val="0"/>
          <w:color w:val="auto"/>
          <w:highlight w:val="none"/>
        </w:rPr>
        <w:t>项目概况</w:t>
      </w:r>
    </w:p>
    <w:p>
      <w:pPr>
        <w:kinsoku w:val="0"/>
        <w:autoSpaceDE w:val="0"/>
        <w:autoSpaceDN w:val="0"/>
        <w:adjustRightInd w:val="0"/>
        <w:snapToGrid w:val="0"/>
        <w:spacing w:before="100" w:beforeAutospacing="1" w:after="100" w:afterAutospacing="1" w:line="360" w:lineRule="auto"/>
        <w:ind w:firstLine="528" w:firstLineChars="220"/>
        <w:textAlignment w:val="baseline"/>
        <w:rPr>
          <w:rFonts w:ascii="宋体" w:hAnsi="宋体" w:eastAsia="新宋体" w:cs="新宋体"/>
          <w:bCs/>
          <w:color w:val="auto"/>
          <w:kern w:val="0"/>
          <w:sz w:val="24"/>
          <w:szCs w:val="24"/>
          <w:highlight w:val="none"/>
          <w:lang w:val="en-US" w:eastAsia="zh-CN" w:bidi="ar-SA"/>
        </w:rPr>
      </w:pPr>
      <w:r>
        <w:rPr>
          <w:rFonts w:hint="eastAsia" w:ascii="新宋体" w:hAnsi="新宋体" w:eastAsia="新宋体" w:cs="新宋体"/>
          <w:bCs/>
          <w:color w:val="auto"/>
          <w:kern w:val="0"/>
          <w:sz w:val="24"/>
          <w:szCs w:val="24"/>
          <w:highlight w:val="none"/>
          <w:lang w:val="en-US" w:eastAsia="zh-CN" w:bidi="ar-SA"/>
        </w:rPr>
        <w:t>杭州市五常中学位于余杭区荆常大道520号，</w:t>
      </w:r>
      <w:r>
        <w:rPr>
          <w:rFonts w:hint="eastAsia" w:ascii="宋体" w:hAnsi="宋体" w:eastAsia="新宋体" w:cs="新宋体"/>
          <w:bCs/>
          <w:color w:val="auto"/>
          <w:kern w:val="0"/>
          <w:sz w:val="24"/>
          <w:szCs w:val="24"/>
          <w:highlight w:val="none"/>
          <w:lang w:val="en-US" w:eastAsia="zh-CN" w:bidi="ar-SA"/>
        </w:rPr>
        <w:t>学校总地上建筑面积57277平方米，总地下建筑面积10568平方米，总面积67845平方米，绿化面积23961.8平方米。</w:t>
      </w:r>
      <w:r>
        <w:rPr>
          <w:rFonts w:hint="eastAsia" w:ascii="新宋体" w:hAnsi="新宋体" w:eastAsia="新宋体" w:cs="新宋体"/>
          <w:bCs/>
          <w:snapToGrid w:val="0"/>
          <w:color w:val="auto"/>
          <w:kern w:val="28"/>
          <w:sz w:val="24"/>
          <w:szCs w:val="24"/>
          <w:highlight w:val="none"/>
          <w:lang w:val="en-US" w:eastAsia="zh-CN" w:bidi="ar-SA"/>
        </w:rPr>
        <w:t>有建筑物</w:t>
      </w:r>
      <w:r>
        <w:rPr>
          <w:rFonts w:ascii="新宋体" w:hAnsi="新宋体" w:eastAsia="新宋体" w:cs="新宋体"/>
          <w:bCs/>
          <w:snapToGrid w:val="0"/>
          <w:color w:val="auto"/>
          <w:kern w:val="28"/>
          <w:sz w:val="24"/>
          <w:szCs w:val="24"/>
          <w:highlight w:val="none"/>
          <w:lang w:val="en-US" w:eastAsia="zh-CN" w:bidi="ar-SA"/>
        </w:rPr>
        <w:t>11</w:t>
      </w:r>
      <w:r>
        <w:rPr>
          <w:rFonts w:hint="eastAsia" w:ascii="新宋体" w:hAnsi="新宋体" w:eastAsia="新宋体" w:cs="新宋体"/>
          <w:bCs/>
          <w:snapToGrid w:val="0"/>
          <w:color w:val="auto"/>
          <w:kern w:val="28"/>
          <w:sz w:val="24"/>
          <w:szCs w:val="24"/>
          <w:highlight w:val="none"/>
          <w:lang w:val="en-US" w:eastAsia="zh-CN" w:bidi="ar-SA"/>
        </w:rPr>
        <w:t>幢:包括教学楼</w:t>
      </w:r>
      <w:r>
        <w:rPr>
          <w:rFonts w:ascii="新宋体" w:hAnsi="新宋体" w:eastAsia="新宋体" w:cs="新宋体"/>
          <w:bCs/>
          <w:snapToGrid w:val="0"/>
          <w:color w:val="auto"/>
          <w:kern w:val="28"/>
          <w:sz w:val="24"/>
          <w:szCs w:val="24"/>
          <w:highlight w:val="none"/>
          <w:lang w:val="en-US" w:eastAsia="zh-CN" w:bidi="ar-SA"/>
        </w:rPr>
        <w:t>3</w:t>
      </w:r>
      <w:r>
        <w:rPr>
          <w:rFonts w:hint="eastAsia" w:ascii="新宋体" w:hAnsi="新宋体" w:eastAsia="新宋体" w:cs="新宋体"/>
          <w:bCs/>
          <w:snapToGrid w:val="0"/>
          <w:color w:val="auto"/>
          <w:kern w:val="28"/>
          <w:sz w:val="24"/>
          <w:szCs w:val="24"/>
          <w:highlight w:val="none"/>
          <w:lang w:val="en-US" w:eastAsia="zh-CN" w:bidi="ar-SA"/>
        </w:rPr>
        <w:t>幢、体育馆、报告厅、行政楼、科技楼、图书馆、食堂各1幢、宿舍</w:t>
      </w:r>
      <w:r>
        <w:rPr>
          <w:rFonts w:ascii="新宋体" w:hAnsi="新宋体" w:eastAsia="新宋体" w:cs="新宋体"/>
          <w:bCs/>
          <w:snapToGrid w:val="0"/>
          <w:color w:val="auto"/>
          <w:kern w:val="28"/>
          <w:sz w:val="24"/>
          <w:szCs w:val="24"/>
          <w:highlight w:val="none"/>
          <w:lang w:val="en-US" w:eastAsia="zh-CN" w:bidi="ar-SA"/>
        </w:rPr>
        <w:t>2</w:t>
      </w:r>
      <w:r>
        <w:rPr>
          <w:rFonts w:hint="eastAsia" w:ascii="新宋体" w:hAnsi="新宋体" w:eastAsia="新宋体" w:cs="新宋体"/>
          <w:bCs/>
          <w:snapToGrid w:val="0"/>
          <w:color w:val="auto"/>
          <w:kern w:val="28"/>
          <w:sz w:val="24"/>
          <w:szCs w:val="24"/>
          <w:highlight w:val="none"/>
          <w:lang w:val="en-US" w:eastAsia="zh-CN" w:bidi="ar-SA"/>
        </w:rPr>
        <w:t>幢，出入口2个；学校有2个配电房，1个地下水泵房，弱电机房</w:t>
      </w:r>
      <w:r>
        <w:rPr>
          <w:rFonts w:ascii="新宋体" w:hAnsi="新宋体" w:eastAsia="新宋体" w:cs="新宋体"/>
          <w:bCs/>
          <w:snapToGrid w:val="0"/>
          <w:color w:val="auto"/>
          <w:kern w:val="28"/>
          <w:sz w:val="24"/>
          <w:szCs w:val="24"/>
          <w:highlight w:val="none"/>
          <w:lang w:val="en-US" w:eastAsia="zh-CN" w:bidi="ar-SA"/>
        </w:rPr>
        <w:t>26</w:t>
      </w:r>
      <w:r>
        <w:rPr>
          <w:rFonts w:hint="eastAsia" w:ascii="新宋体" w:hAnsi="新宋体" w:eastAsia="新宋体" w:cs="新宋体"/>
          <w:bCs/>
          <w:snapToGrid w:val="0"/>
          <w:color w:val="auto"/>
          <w:kern w:val="28"/>
          <w:sz w:val="24"/>
          <w:szCs w:val="24"/>
          <w:highlight w:val="none"/>
          <w:lang w:val="en-US" w:eastAsia="zh-CN" w:bidi="ar-SA"/>
        </w:rPr>
        <w:t>个，1个消控室，空调6</w:t>
      </w:r>
      <w:r>
        <w:rPr>
          <w:rFonts w:ascii="新宋体" w:hAnsi="新宋体" w:eastAsia="新宋体" w:cs="新宋体"/>
          <w:bCs/>
          <w:snapToGrid w:val="0"/>
          <w:color w:val="auto"/>
          <w:kern w:val="28"/>
          <w:sz w:val="24"/>
          <w:szCs w:val="24"/>
          <w:highlight w:val="none"/>
          <w:lang w:val="en-US" w:eastAsia="zh-CN" w:bidi="ar-SA"/>
        </w:rPr>
        <w:t>16</w:t>
      </w:r>
      <w:r>
        <w:rPr>
          <w:rFonts w:hint="eastAsia" w:ascii="新宋体" w:hAnsi="新宋体" w:eastAsia="新宋体" w:cs="新宋体"/>
          <w:bCs/>
          <w:snapToGrid w:val="0"/>
          <w:color w:val="auto"/>
          <w:kern w:val="28"/>
          <w:sz w:val="24"/>
          <w:szCs w:val="24"/>
          <w:highlight w:val="none"/>
          <w:lang w:val="en-US" w:eastAsia="zh-CN" w:bidi="ar-SA"/>
        </w:rPr>
        <w:t>台，客梯</w:t>
      </w:r>
      <w:r>
        <w:rPr>
          <w:rFonts w:ascii="新宋体" w:hAnsi="新宋体" w:eastAsia="新宋体" w:cs="新宋体"/>
          <w:bCs/>
          <w:snapToGrid w:val="0"/>
          <w:color w:val="auto"/>
          <w:kern w:val="28"/>
          <w:sz w:val="24"/>
          <w:szCs w:val="24"/>
          <w:highlight w:val="none"/>
          <w:lang w:val="en-US" w:eastAsia="zh-CN" w:bidi="ar-SA"/>
        </w:rPr>
        <w:t>7</w:t>
      </w:r>
      <w:r>
        <w:rPr>
          <w:rFonts w:hint="eastAsia" w:ascii="新宋体" w:hAnsi="新宋体" w:eastAsia="新宋体" w:cs="新宋体"/>
          <w:bCs/>
          <w:snapToGrid w:val="0"/>
          <w:color w:val="auto"/>
          <w:kern w:val="28"/>
          <w:sz w:val="24"/>
          <w:szCs w:val="24"/>
          <w:highlight w:val="none"/>
          <w:lang w:val="en-US" w:eastAsia="zh-CN" w:bidi="ar-SA"/>
        </w:rPr>
        <w:t>部。</w:t>
      </w:r>
      <w:r>
        <w:rPr>
          <w:rFonts w:hint="eastAsia" w:ascii="宋体" w:hAnsi="宋体" w:eastAsia="新宋体" w:cs="新宋体"/>
          <w:bCs/>
          <w:color w:val="auto"/>
          <w:kern w:val="0"/>
          <w:sz w:val="24"/>
          <w:szCs w:val="24"/>
          <w:highlight w:val="none"/>
          <w:lang w:val="en-US" w:eastAsia="zh-CN" w:bidi="ar-SA"/>
        </w:rPr>
        <w:t>学校体育场地按要求向公众开放。</w:t>
      </w:r>
    </w:p>
    <w:p>
      <w:pPr>
        <w:widowControl/>
        <w:kinsoku w:val="0"/>
        <w:autoSpaceDE w:val="0"/>
        <w:autoSpaceDN w:val="0"/>
        <w:snapToGrid w:val="0"/>
        <w:spacing w:line="360" w:lineRule="auto"/>
        <w:ind w:firstLine="528" w:firstLineChars="2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snapToGrid w:val="0"/>
          <w:color w:val="auto"/>
          <w:sz w:val="24"/>
          <w:highlight w:val="none"/>
        </w:rPr>
        <w:t>本项目主要内容包括保洁服务、安全消控服务、绿化服务、工程设备维修、会务服务以及采购单位交办的其他工作。</w:t>
      </w:r>
    </w:p>
    <w:p>
      <w:pPr>
        <w:widowControl/>
        <w:kinsoku w:val="0"/>
        <w:autoSpaceDE w:val="0"/>
        <w:autoSpaceDN w:val="0"/>
        <w:snapToGrid w:val="0"/>
        <w:spacing w:line="360" w:lineRule="auto"/>
        <w:ind w:firstLine="528" w:firstLineChars="2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采购需求、评标标准中所称的“以上”“以下”“内”“以内”“不少于”“不超过”，包括本数；所称的“不足”“低于”，不包括本数。</w:t>
      </w:r>
    </w:p>
    <w:p>
      <w:pPr>
        <w:pStyle w:val="100"/>
        <w:widowControl/>
        <w:numPr>
          <w:ilvl w:val="0"/>
          <w:numId w:val="2"/>
        </w:numPr>
        <w:kinsoku w:val="0"/>
        <w:autoSpaceDE w:val="0"/>
        <w:autoSpaceDN w:val="0"/>
        <w:snapToGrid w:val="0"/>
        <w:ind w:left="0" w:firstLine="636" w:firstLineChars="0"/>
        <w:jc w:val="left"/>
        <w:textAlignment w:val="baseline"/>
        <w:rPr>
          <w:rFonts w:ascii="新宋体" w:hAnsi="新宋体" w:eastAsia="新宋体" w:cs="新宋体"/>
          <w:b/>
          <w:bCs w:val="0"/>
          <w:color w:val="auto"/>
          <w:highlight w:val="none"/>
        </w:rPr>
      </w:pPr>
      <w:r>
        <w:rPr>
          <w:rFonts w:hint="eastAsia" w:ascii="新宋体" w:hAnsi="新宋体" w:eastAsia="新宋体" w:cs="新宋体"/>
          <w:b/>
          <w:bCs w:val="0"/>
          <w:color w:val="auto"/>
          <w:highlight w:val="none"/>
        </w:rPr>
        <w:t>服务年限</w:t>
      </w:r>
    </w:p>
    <w:p>
      <w:pPr>
        <w:widowControl/>
        <w:kinsoku w:val="0"/>
        <w:autoSpaceDE w:val="0"/>
        <w:autoSpaceDN w:val="0"/>
        <w:snapToGrid w:val="0"/>
        <w:spacing w:line="360" w:lineRule="auto"/>
        <w:ind w:firstLine="528" w:firstLineChars="2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自合同签订生效之日起一年。</w:t>
      </w:r>
    </w:p>
    <w:p>
      <w:pPr>
        <w:pStyle w:val="100"/>
        <w:widowControl/>
        <w:numPr>
          <w:ilvl w:val="0"/>
          <w:numId w:val="2"/>
        </w:numPr>
        <w:kinsoku w:val="0"/>
        <w:autoSpaceDE w:val="0"/>
        <w:autoSpaceDN w:val="0"/>
        <w:snapToGrid w:val="0"/>
        <w:ind w:left="0" w:firstLine="636" w:firstLineChars="0"/>
        <w:jc w:val="left"/>
        <w:textAlignment w:val="baseline"/>
        <w:rPr>
          <w:rFonts w:ascii="新宋体" w:hAnsi="新宋体" w:eastAsia="新宋体" w:cs="新宋体"/>
          <w:b/>
          <w:bCs w:val="0"/>
          <w:color w:val="auto"/>
          <w:highlight w:val="none"/>
        </w:rPr>
      </w:pPr>
      <w:r>
        <w:rPr>
          <w:rFonts w:hint="eastAsia" w:ascii="新宋体" w:hAnsi="新宋体" w:eastAsia="新宋体" w:cs="新宋体"/>
          <w:b/>
          <w:bCs w:val="0"/>
          <w:color w:val="auto"/>
          <w:highlight w:val="none"/>
        </w:rPr>
        <w:t>具体服务内容和服务要求</w:t>
      </w:r>
    </w:p>
    <w:p>
      <w:pPr>
        <w:pStyle w:val="100"/>
        <w:widowControl/>
        <w:numPr>
          <w:ilvl w:val="0"/>
          <w:numId w:val="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保洁服务</w:t>
      </w:r>
    </w:p>
    <w:p>
      <w:pPr>
        <w:pStyle w:val="100"/>
        <w:widowControl/>
        <w:numPr>
          <w:ilvl w:val="0"/>
          <w:numId w:val="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val="0"/>
          <w:color w:val="auto"/>
          <w:highlight w:val="none"/>
        </w:rPr>
        <w:t>服务内容及范围：</w:t>
      </w:r>
      <w:r>
        <w:rPr>
          <w:rFonts w:hint="eastAsia" w:ascii="新宋体" w:hAnsi="新宋体" w:eastAsia="新宋体" w:cs="新宋体"/>
          <w:bCs/>
          <w:color w:val="auto"/>
          <w:highlight w:val="none"/>
        </w:rPr>
        <w:t>负责行政楼、会议室、报告厅、图书馆、运动馆等公共区域和室外广场、操场、绿化带、道路、停车场（库）、“门前三包”等公共区域的清卫保洁、垃圾清运和消杀灭害等。实行不间断保洁，走廊等人流量大的区域全面保洁要求每天不少于3次，卫生间保洁要求每节课不少于1次，行政楼副校级以上办公室、报告厅等区域保洁要求每天不少于1次。一般教师办公室不做要求。</w:t>
      </w:r>
    </w:p>
    <w:p>
      <w:pPr>
        <w:pStyle w:val="100"/>
        <w:widowControl/>
        <w:numPr>
          <w:ilvl w:val="0"/>
          <w:numId w:val="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服务基本要求：</w:t>
      </w:r>
    </w:p>
    <w:p>
      <w:pPr>
        <w:pStyle w:val="100"/>
        <w:widowControl/>
        <w:numPr>
          <w:ilvl w:val="0"/>
          <w:numId w:val="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根据保洁区域的不同，对所使用的清洁工具，应标记不同标识或颜色加以区分。</w:t>
      </w:r>
    </w:p>
    <w:p>
      <w:pPr>
        <w:pStyle w:val="100"/>
        <w:widowControl/>
        <w:numPr>
          <w:ilvl w:val="0"/>
          <w:numId w:val="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遇雨、雪、台风等特殊天气时应及时清扫道路，并在通道、台阶、出入口处放置警示标志，铺设防滑垫。</w:t>
      </w:r>
    </w:p>
    <w:p>
      <w:pPr>
        <w:pStyle w:val="100"/>
        <w:widowControl/>
        <w:numPr>
          <w:ilvl w:val="0"/>
          <w:numId w:val="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开展2米或2米以上高空保洁作业时，应采取安全防护措施。</w:t>
      </w:r>
    </w:p>
    <w:p>
      <w:pPr>
        <w:pStyle w:val="100"/>
        <w:widowControl/>
        <w:numPr>
          <w:ilvl w:val="0"/>
          <w:numId w:val="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定期对公共场所和周围环境进行预防性卫生消杀，适时投放消杀药物和设施。</w:t>
      </w:r>
    </w:p>
    <w:p>
      <w:pPr>
        <w:pStyle w:val="100"/>
        <w:widowControl/>
        <w:numPr>
          <w:ilvl w:val="0"/>
          <w:numId w:val="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定期采取综合措施消灭“四害”，达到基本无鼠、无蟑螂、无苍蝇和无蚊虫。</w:t>
      </w:r>
    </w:p>
    <w:p>
      <w:pPr>
        <w:pStyle w:val="100"/>
        <w:widowControl/>
        <w:numPr>
          <w:ilvl w:val="0"/>
          <w:numId w:val="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每学期开学前和放假后对校园内公共区域及相关附属设施设备开展一次全面消杀。</w:t>
      </w:r>
    </w:p>
    <w:p>
      <w:pPr>
        <w:pStyle w:val="100"/>
        <w:widowControl/>
        <w:numPr>
          <w:ilvl w:val="0"/>
          <w:numId w:val="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服务质量标准：</w:t>
      </w:r>
    </w:p>
    <w:p>
      <w:pPr>
        <w:pStyle w:val="100"/>
        <w:widowControl/>
        <w:numPr>
          <w:ilvl w:val="0"/>
          <w:numId w:val="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室内公共区域的地面、墙面、楼梯、扶手、大厅、玻璃、门及门窗框、天花板、栏杆、走廊等整洁干净，无垃圾、无积灰、无污渍、无手印。</w:t>
      </w:r>
    </w:p>
    <w:p>
      <w:pPr>
        <w:pStyle w:val="100"/>
        <w:widowControl/>
        <w:numPr>
          <w:ilvl w:val="0"/>
          <w:numId w:val="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室内卫生间、茶水间清洁，无垃圾、无污渍、无积水、无异味、无堆积杂物，洁具、台面、镜面光洁无水迹，电器设施外观清洁，物品摆放有序。室内卫生间符合“美丽厕所”标准。</w:t>
      </w:r>
    </w:p>
    <w:p>
      <w:pPr>
        <w:pStyle w:val="100"/>
        <w:widowControl/>
        <w:numPr>
          <w:ilvl w:val="0"/>
          <w:numId w:val="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室外广场、操场、绿化带、道路、停车场（库）、屋面、“门前三包”等公共区域的地面干净，无杂物、无积水、无淤泥、无污垢。</w:t>
      </w:r>
    </w:p>
    <w:p>
      <w:pPr>
        <w:pStyle w:val="100"/>
        <w:widowControl/>
        <w:numPr>
          <w:ilvl w:val="0"/>
          <w:numId w:val="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外墙应保持清洁，无明显污迹。</w:t>
      </w:r>
    </w:p>
    <w:p>
      <w:pPr>
        <w:pStyle w:val="100"/>
        <w:widowControl/>
        <w:numPr>
          <w:ilvl w:val="0"/>
          <w:numId w:val="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定期对喷泉、景观、照明灯设施设备进行清洁，确保表面干净无污渍。</w:t>
      </w:r>
    </w:p>
    <w:p>
      <w:pPr>
        <w:pStyle w:val="100"/>
        <w:widowControl/>
        <w:numPr>
          <w:ilvl w:val="0"/>
          <w:numId w:val="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垃圾、废弃物按分类要求及时收集、日产日清，化粪池及时清掏，垃圾箱（房）外侧表面清洁、内侧无残留物、无异味。</w:t>
      </w:r>
    </w:p>
    <w:p>
      <w:pPr>
        <w:pStyle w:val="100"/>
        <w:widowControl/>
        <w:numPr>
          <w:ilvl w:val="0"/>
          <w:numId w:val="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垃圾应按照可回收物、有害垃圾、易腐垃圾和其他垃圾进行分类，对应垃圾桶颜色分别为蓝色、红色、绿色和灰色。</w:t>
      </w:r>
    </w:p>
    <w:p>
      <w:pPr>
        <w:pStyle w:val="100"/>
        <w:widowControl/>
        <w:numPr>
          <w:ilvl w:val="0"/>
          <w:numId w:val="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安全消控服务</w:t>
      </w:r>
    </w:p>
    <w:p>
      <w:pPr>
        <w:pStyle w:val="100"/>
        <w:widowControl/>
        <w:numPr>
          <w:ilvl w:val="0"/>
          <w:numId w:val="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val="0"/>
          <w:color w:val="auto"/>
          <w:highlight w:val="none"/>
        </w:rPr>
        <w:t>服务内容</w:t>
      </w:r>
      <w:r>
        <w:rPr>
          <w:rFonts w:hint="eastAsia" w:ascii="新宋体" w:hAnsi="新宋体" w:eastAsia="新宋体" w:cs="新宋体"/>
          <w:b/>
          <w:bCs/>
          <w:color w:val="auto"/>
          <w:highlight w:val="none"/>
        </w:rPr>
        <w:t>：</w:t>
      </w:r>
      <w:r>
        <w:rPr>
          <w:rFonts w:hint="eastAsia" w:ascii="新宋体" w:hAnsi="新宋体" w:eastAsia="新宋体" w:cs="新宋体"/>
          <w:bCs/>
          <w:color w:val="auto"/>
          <w:highlight w:val="none"/>
        </w:rPr>
        <w:t>负责校园及周边安全保卫工作，保护师生人身财产安全，预防和制止违法犯罪活动，维护校园治安秩序；负责消控、监控设施设备运行管理等。</w:t>
      </w:r>
    </w:p>
    <w:p>
      <w:pPr>
        <w:pStyle w:val="100"/>
        <w:widowControl/>
        <w:numPr>
          <w:ilvl w:val="0"/>
          <w:numId w:val="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服务质量标准：</w:t>
      </w:r>
    </w:p>
    <w:p>
      <w:pPr>
        <w:pStyle w:val="100"/>
        <w:widowControl/>
        <w:numPr>
          <w:ilvl w:val="0"/>
          <w:numId w:val="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安保服务</w:t>
      </w:r>
    </w:p>
    <w:p>
      <w:pPr>
        <w:pStyle w:val="100"/>
        <w:widowControl/>
        <w:numPr>
          <w:ilvl w:val="0"/>
          <w:numId w:val="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值勤期间应按有关规定着制式保安服装，携带必要的安全防卫器械和应急处置装备，并熟悉使用方法。</w:t>
      </w:r>
    </w:p>
    <w:p>
      <w:pPr>
        <w:pStyle w:val="100"/>
        <w:widowControl/>
        <w:numPr>
          <w:ilvl w:val="0"/>
          <w:numId w:val="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应具备必要的防范知识和基本操作技能，会熟练操作视频图像采集设备、来访人员登记查验信息管理系统、一键式紧急报警等装置。</w:t>
      </w:r>
    </w:p>
    <w:p>
      <w:pPr>
        <w:pStyle w:val="100"/>
        <w:widowControl/>
        <w:numPr>
          <w:ilvl w:val="0"/>
          <w:numId w:val="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应按照问询、查验、核实、登记、放行要求，严格落实外来人员、车辆、物品的出入管理制度，严防可疑人员、车辆以及管制刀具、危险物品等带入学校。</w:t>
      </w:r>
    </w:p>
    <w:p>
      <w:pPr>
        <w:pStyle w:val="100"/>
        <w:widowControl/>
        <w:numPr>
          <w:ilvl w:val="0"/>
          <w:numId w:val="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在岗期间不与无关人员聊天，不干私活，不饮酒，不吸烟。不得在门卫室从事与工作无关的活动，不得存放或代人存放贵重物品、现金和危险品。</w:t>
      </w:r>
    </w:p>
    <w:p>
      <w:pPr>
        <w:pStyle w:val="100"/>
        <w:widowControl/>
        <w:numPr>
          <w:ilvl w:val="0"/>
          <w:numId w:val="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执行24小时值班制度，不得擅自离岗、脱岗，按时交接班并做好交接记录，发现问题及时报告。除学生上下学时间外，应严格落实校门封闭管理制度。上学期间，学生必须经校方允许，方可离校。</w:t>
      </w:r>
    </w:p>
    <w:p>
      <w:pPr>
        <w:pStyle w:val="100"/>
        <w:widowControl/>
        <w:numPr>
          <w:ilvl w:val="0"/>
          <w:numId w:val="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上下学重点时段，保安员应佩戴防爆头盔、防刺背心、橡胶警棍、强光手电、防护盾牌、催泪喷射器、防割手套、防护钢叉、哨子、橡胶长棍、伸缩甩棍等防护装备在校门口及校门外一定区域上岗执勤，会同学校值日教师、家长志愿者等护校力量，共同开展护校工作。</w:t>
      </w:r>
    </w:p>
    <w:p>
      <w:pPr>
        <w:pStyle w:val="100"/>
        <w:widowControl/>
        <w:numPr>
          <w:ilvl w:val="0"/>
          <w:numId w:val="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对学校重点部位及周边巡查每日不少于5次，一旦发现异常情况，应当及时报告并开展先期处置。</w:t>
      </w:r>
    </w:p>
    <w:p>
      <w:pPr>
        <w:pStyle w:val="100"/>
        <w:widowControl/>
        <w:numPr>
          <w:ilvl w:val="0"/>
          <w:numId w:val="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制止师生各种不安全或易造成伤害的行为，发生违反规定或不服从管理者，应严肃、礼貌劝阻并妥善处置，不听劝阻的及时上报。遇有火警或其它紧急情况，应迅速扑救或采取有效措施保护现场，并及时上报。</w:t>
      </w:r>
    </w:p>
    <w:p>
      <w:pPr>
        <w:pStyle w:val="100"/>
        <w:widowControl/>
        <w:numPr>
          <w:ilvl w:val="0"/>
          <w:numId w:val="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配合学校做好防火、防盗、防破坏、防地质灾害事故工作。对发现可疑人、事、物或其他治安信息，应及时向相关领导或部门汇报，必要时启动报警器或向110报警，并配合公安机关做好处置工作。</w:t>
      </w:r>
    </w:p>
    <w:p>
      <w:pPr>
        <w:pStyle w:val="100"/>
        <w:widowControl/>
        <w:numPr>
          <w:ilvl w:val="0"/>
          <w:numId w:val="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消控室管理</w:t>
      </w:r>
    </w:p>
    <w:p>
      <w:pPr>
        <w:pStyle w:val="100"/>
        <w:widowControl/>
        <w:numPr>
          <w:ilvl w:val="0"/>
          <w:numId w:val="1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配备完善的消防设施和器材，定期对消防设施进行巡查，确保运行正常。消防设施的维护管理及消防控制室应符合相关国标要求。</w:t>
      </w:r>
    </w:p>
    <w:p>
      <w:pPr>
        <w:pStyle w:val="100"/>
        <w:widowControl/>
        <w:numPr>
          <w:ilvl w:val="0"/>
          <w:numId w:val="1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应在各楼层明显位置张贴平面疏散示意图、引路标志及控烟标志。</w:t>
      </w:r>
    </w:p>
    <w:p>
      <w:pPr>
        <w:pStyle w:val="100"/>
        <w:widowControl/>
        <w:numPr>
          <w:ilvl w:val="0"/>
          <w:numId w:val="1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定期开展防火检查，保证疏散通道、安全出口、消防车道通畅。</w:t>
      </w:r>
    </w:p>
    <w:p>
      <w:pPr>
        <w:pStyle w:val="100"/>
        <w:widowControl/>
        <w:numPr>
          <w:ilvl w:val="0"/>
          <w:numId w:val="1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消控岗需24小时有人值班，消控人员按国家有关法律法规要求持消防设施操作员证或建（构）筑物消防员证上岗。</w:t>
      </w:r>
    </w:p>
    <w:p>
      <w:pPr>
        <w:pStyle w:val="100"/>
        <w:widowControl/>
        <w:numPr>
          <w:ilvl w:val="0"/>
          <w:numId w:val="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应急管理</w:t>
      </w:r>
    </w:p>
    <w:p>
      <w:pPr>
        <w:pStyle w:val="100"/>
        <w:widowControl/>
        <w:numPr>
          <w:ilvl w:val="0"/>
          <w:numId w:val="11"/>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建立突发事件应急预案体系，包括但不限于电梯困人、紧急会议、火警火灾、突发停电、水管破裂、意外伤害、群体性上访、台风、暴雨及雷电等应急预案。</w:t>
      </w:r>
    </w:p>
    <w:p>
      <w:pPr>
        <w:pStyle w:val="100"/>
        <w:widowControl/>
        <w:numPr>
          <w:ilvl w:val="0"/>
          <w:numId w:val="11"/>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突发事件发生时应立即启动应急预案，迅速展开指挥协调、信息报告、紧急处置、秩序维护、抢险救援、后勤保障等工作，并在第一时间内向有关部门汇报处理结果。</w:t>
      </w:r>
    </w:p>
    <w:p>
      <w:pPr>
        <w:pStyle w:val="100"/>
        <w:widowControl/>
        <w:numPr>
          <w:ilvl w:val="0"/>
          <w:numId w:val="11"/>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每年进行4次以上防火灾事故、防暴恐袭击等处置突发事件的培训和演练。</w:t>
      </w:r>
    </w:p>
    <w:p>
      <w:pPr>
        <w:pStyle w:val="100"/>
        <w:widowControl/>
        <w:numPr>
          <w:ilvl w:val="0"/>
          <w:numId w:val="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保安员专业技能培训</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对派驻保安员进行每学期不少于1次的专业技能培训，服从各学校对保安员的日常管理培训。培训应建立培训台账记录，并对保安员的培训效果进行相应的测试。培训方式可自行组织或采取委托保安培训机构集中授课进行，师资力量可以邀请属地公安机关民警或兼职法制副校长。</w:t>
      </w:r>
    </w:p>
    <w:p>
      <w:pPr>
        <w:pStyle w:val="100"/>
        <w:widowControl/>
        <w:numPr>
          <w:ilvl w:val="0"/>
          <w:numId w:val="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绿化服务</w:t>
      </w:r>
    </w:p>
    <w:p>
      <w:pPr>
        <w:pStyle w:val="100"/>
        <w:widowControl/>
        <w:numPr>
          <w:ilvl w:val="0"/>
          <w:numId w:val="1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服务内容：</w:t>
      </w:r>
    </w:p>
    <w:p>
      <w:pPr>
        <w:pStyle w:val="100"/>
        <w:widowControl/>
        <w:numPr>
          <w:ilvl w:val="0"/>
          <w:numId w:val="1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负责校园内树木、花草、绿地、操场草皮等绿化日常养护和管理。</w:t>
      </w:r>
    </w:p>
    <w:p>
      <w:pPr>
        <w:pStyle w:val="100"/>
        <w:widowControl/>
        <w:numPr>
          <w:ilvl w:val="0"/>
          <w:numId w:val="1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负责行政楼门厅、走廊、办公室等区域花木摆放、养护和管理等。</w:t>
      </w:r>
    </w:p>
    <w:p>
      <w:pPr>
        <w:pStyle w:val="100"/>
        <w:widowControl/>
        <w:numPr>
          <w:ilvl w:val="0"/>
          <w:numId w:val="1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服务质量标准：</w:t>
      </w:r>
    </w:p>
    <w:p>
      <w:pPr>
        <w:pStyle w:val="100"/>
        <w:widowControl/>
        <w:numPr>
          <w:ilvl w:val="0"/>
          <w:numId w:val="1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室内外绿化养护期内各类绿植应100%存活。</w:t>
      </w:r>
    </w:p>
    <w:p>
      <w:pPr>
        <w:pStyle w:val="100"/>
        <w:widowControl/>
        <w:numPr>
          <w:ilvl w:val="0"/>
          <w:numId w:val="1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根据季节和气候状况，进行浇灌、施肥、修剪和松土等养护。</w:t>
      </w:r>
    </w:p>
    <w:p>
      <w:pPr>
        <w:pStyle w:val="100"/>
        <w:widowControl/>
        <w:numPr>
          <w:ilvl w:val="0"/>
          <w:numId w:val="1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应选择观赏性强、观赏期长、方便管理的鲜活植物摆放室内，植株长势良好，无残枝、无黄叶、无积尘，花朵饱满、无萎蔫，托盘内无积水。</w:t>
      </w:r>
    </w:p>
    <w:p>
      <w:pPr>
        <w:pStyle w:val="100"/>
        <w:widowControl/>
        <w:numPr>
          <w:ilvl w:val="0"/>
          <w:numId w:val="1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室外乔木丰满健壮、生长良好，灌木枝叶紧密圆整，无脱节、无枯枝。草坪生长整齐，清洁美观，修剪高度一致，覆盖率高。花卉色彩鲜艳，摆放造型新颖，无杂草、无枯死。在大门口等显著位置设置一定数量的花境，每年更换花卉不少于四次，确保美观统一。</w:t>
      </w:r>
    </w:p>
    <w:p>
      <w:pPr>
        <w:pStyle w:val="100"/>
        <w:widowControl/>
        <w:numPr>
          <w:ilvl w:val="0"/>
          <w:numId w:val="1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雨、雪、台风等特殊天气前，应派专人巡查，及时加固、支撑、修剪高大乔木，排除安全隐患。</w:t>
      </w:r>
    </w:p>
    <w:p>
      <w:pPr>
        <w:pStyle w:val="100"/>
        <w:widowControl/>
        <w:numPr>
          <w:ilvl w:val="0"/>
          <w:numId w:val="1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定期检查病虫害情况，病虫害防治率100%，危害率低于5%。</w:t>
      </w:r>
    </w:p>
    <w:p>
      <w:pPr>
        <w:pStyle w:val="100"/>
        <w:widowControl/>
        <w:numPr>
          <w:ilvl w:val="0"/>
          <w:numId w:val="1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对失去观赏价值或严重病虫害的植物及时给予调换。</w:t>
      </w:r>
    </w:p>
    <w:p>
      <w:pPr>
        <w:pStyle w:val="100"/>
        <w:widowControl/>
        <w:numPr>
          <w:ilvl w:val="0"/>
          <w:numId w:val="1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绿植租赁清单（租赁费用包含在本次投标报价中）：</w:t>
      </w:r>
    </w:p>
    <w:tbl>
      <w:tblPr>
        <w:tblStyle w:val="62"/>
        <w:tblpPr w:leftFromText="180" w:rightFromText="180" w:vertAnchor="text" w:tblpXSpec="center" w:tblpY="1"/>
        <w:tblOverlap w:val="never"/>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567"/>
        <w:gridCol w:w="2386"/>
        <w:gridCol w:w="1100"/>
        <w:gridCol w:w="105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楼层</w:t>
            </w:r>
          </w:p>
        </w:tc>
        <w:tc>
          <w:tcPr>
            <w:tcW w:w="1567"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位置</w:t>
            </w:r>
          </w:p>
        </w:tc>
        <w:tc>
          <w:tcPr>
            <w:tcW w:w="2386"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品名</w:t>
            </w:r>
          </w:p>
        </w:tc>
        <w:tc>
          <w:tcPr>
            <w:tcW w:w="110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高度/米</w:t>
            </w:r>
          </w:p>
        </w:tc>
        <w:tc>
          <w:tcPr>
            <w:tcW w:w="105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规格</w:t>
            </w:r>
          </w:p>
        </w:tc>
        <w:tc>
          <w:tcPr>
            <w:tcW w:w="1122"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行政楼</w:t>
            </w:r>
          </w:p>
        </w:tc>
        <w:tc>
          <w:tcPr>
            <w:tcW w:w="1567" w:type="dxa"/>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校长室、副校长室</w:t>
            </w:r>
          </w:p>
        </w:tc>
        <w:tc>
          <w:tcPr>
            <w:tcW w:w="2386"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发财树、绿萝、巴西木、绿宝等但不限于</w:t>
            </w:r>
          </w:p>
        </w:tc>
        <w:tc>
          <w:tcPr>
            <w:tcW w:w="110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1.5</w:t>
            </w:r>
          </w:p>
        </w:tc>
        <w:tc>
          <w:tcPr>
            <w:tcW w:w="105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大盆</w:t>
            </w:r>
          </w:p>
        </w:tc>
        <w:tc>
          <w:tcPr>
            <w:tcW w:w="1122"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567" w:type="dxa"/>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386"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文竹、白掌、银皇后、芦荟、绿萝、红掌、多肉等但不限于</w:t>
            </w:r>
          </w:p>
        </w:tc>
        <w:tc>
          <w:tcPr>
            <w:tcW w:w="110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0.5</w:t>
            </w:r>
          </w:p>
        </w:tc>
        <w:tc>
          <w:tcPr>
            <w:tcW w:w="105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小盆</w:t>
            </w:r>
          </w:p>
        </w:tc>
        <w:tc>
          <w:tcPr>
            <w:tcW w:w="1122"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全校</w:t>
            </w:r>
          </w:p>
        </w:tc>
        <w:tc>
          <w:tcPr>
            <w:tcW w:w="1567"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教师办公室</w:t>
            </w:r>
          </w:p>
        </w:tc>
        <w:tc>
          <w:tcPr>
            <w:tcW w:w="2386"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文竹、白掌、银皇后、芦荟、绿萝、红掌、多肉等但不限于</w:t>
            </w:r>
          </w:p>
        </w:tc>
        <w:tc>
          <w:tcPr>
            <w:tcW w:w="110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0.5</w:t>
            </w:r>
          </w:p>
        </w:tc>
        <w:tc>
          <w:tcPr>
            <w:tcW w:w="105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小盆</w:t>
            </w:r>
          </w:p>
        </w:tc>
        <w:tc>
          <w:tcPr>
            <w:tcW w:w="1122"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其他</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1-4层</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1-4层</w:t>
            </w:r>
          </w:p>
        </w:tc>
        <w:tc>
          <w:tcPr>
            <w:tcW w:w="1567"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大厅、走廊</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、报告厅、会议室、接待室</w:t>
            </w:r>
          </w:p>
        </w:tc>
        <w:tc>
          <w:tcPr>
            <w:tcW w:w="2386"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女贞、绿宝、龙须树、三角梅等但不限于</w:t>
            </w:r>
          </w:p>
        </w:tc>
        <w:tc>
          <w:tcPr>
            <w:tcW w:w="110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1-1.5</w:t>
            </w:r>
          </w:p>
        </w:tc>
        <w:tc>
          <w:tcPr>
            <w:tcW w:w="105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大盆</w:t>
            </w:r>
          </w:p>
        </w:tc>
        <w:tc>
          <w:tcPr>
            <w:tcW w:w="1122"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567"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大厅、走廊</w:t>
            </w:r>
          </w:p>
          <w:p>
            <w:pPr>
              <w:kinsoku w:val="0"/>
              <w:autoSpaceDE w:val="0"/>
              <w:autoSpaceDN w:val="0"/>
              <w:adjustRightInd w:val="0"/>
              <w:snapToGrid w:val="0"/>
              <w:spacing w:before="100" w:beforeAutospacing="1" w:after="100" w:afterAutospacing="1" w:line="360" w:lineRule="auto"/>
              <w:ind w:firstLine="48" w:firstLineChars="20"/>
              <w:textAlignment w:val="baseline"/>
              <w:rPr>
                <w:rFonts w:ascii="宋体" w:hAnsi="宋体" w:eastAsia="新宋体" w:cs="新宋体"/>
                <w:bCs/>
                <w:color w:val="auto"/>
                <w:kern w:val="0"/>
                <w:sz w:val="24"/>
                <w:szCs w:val="24"/>
                <w:highlight w:val="none"/>
                <w:lang w:val="en-US" w:eastAsia="zh-CN" w:bidi="ar-SA"/>
              </w:rPr>
            </w:pPr>
            <w:r>
              <w:rPr>
                <w:rFonts w:hint="eastAsia" w:ascii="宋体" w:hAnsi="宋体" w:eastAsia="新宋体" w:cs="新宋体"/>
                <w:bCs/>
                <w:color w:val="auto"/>
                <w:kern w:val="0"/>
                <w:sz w:val="24"/>
                <w:szCs w:val="24"/>
                <w:highlight w:val="none"/>
                <w:lang w:val="en-US" w:eastAsia="zh-CN" w:bidi="ar-SA"/>
              </w:rPr>
              <w:t>、报告厅、会议室、接待室</w:t>
            </w:r>
          </w:p>
        </w:tc>
        <w:tc>
          <w:tcPr>
            <w:tcW w:w="2386"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万年青、也门铁、鸿运当头、蝴蝶兰、一品红等但不限于</w:t>
            </w:r>
          </w:p>
        </w:tc>
        <w:tc>
          <w:tcPr>
            <w:tcW w:w="110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0.5-1</w:t>
            </w:r>
          </w:p>
        </w:tc>
        <w:tc>
          <w:tcPr>
            <w:tcW w:w="105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中盆</w:t>
            </w:r>
          </w:p>
        </w:tc>
        <w:tc>
          <w:tcPr>
            <w:tcW w:w="1122"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567"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大厅、走廊</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、报告厅、会议室、接待室</w:t>
            </w:r>
          </w:p>
        </w:tc>
        <w:tc>
          <w:tcPr>
            <w:tcW w:w="2386"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文竹、白掌、银皇后、芦荟、绿萝、红掌、多肉等但不限于</w:t>
            </w:r>
          </w:p>
        </w:tc>
        <w:tc>
          <w:tcPr>
            <w:tcW w:w="110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0.2-0.5</w:t>
            </w:r>
          </w:p>
        </w:tc>
        <w:tc>
          <w:tcPr>
            <w:tcW w:w="1050"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小盆</w:t>
            </w:r>
          </w:p>
        </w:tc>
        <w:tc>
          <w:tcPr>
            <w:tcW w:w="1122"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200</w:t>
            </w:r>
          </w:p>
        </w:tc>
      </w:tr>
    </w:tbl>
    <w:p>
      <w:pPr>
        <w:pStyle w:val="100"/>
        <w:widowControl/>
        <w:numPr>
          <w:ilvl w:val="0"/>
          <w:numId w:val="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设施设备维护</w:t>
      </w:r>
    </w:p>
    <w:p>
      <w:pPr>
        <w:pStyle w:val="100"/>
        <w:widowControl/>
        <w:numPr>
          <w:ilvl w:val="0"/>
          <w:numId w:val="1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val="0"/>
          <w:color w:val="auto"/>
          <w:highlight w:val="none"/>
        </w:rPr>
        <w:t>服务内容：负责</w:t>
      </w:r>
      <w:r>
        <w:rPr>
          <w:rFonts w:hint="eastAsia" w:ascii="新宋体" w:hAnsi="新宋体" w:eastAsia="新宋体" w:cs="新宋体"/>
          <w:bCs/>
          <w:color w:val="auto"/>
          <w:highlight w:val="none"/>
        </w:rPr>
        <w:t>校园内给排水系统、供配电系统、空调通风系统、智能弱电系统、消防监控系统、电梯等设施设备的日常维修、维护、保养，做好房屋的日常维护。800元以下单个配件更换费用包含在物业外包费用内。</w:t>
      </w:r>
    </w:p>
    <w:p>
      <w:pPr>
        <w:pStyle w:val="100"/>
        <w:widowControl/>
        <w:numPr>
          <w:ilvl w:val="0"/>
          <w:numId w:val="1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服务质量标准：</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房屋地面、墙、台面、吊顶、门窗、楼梯、通风道、卫生洁具、大厅玻璃顶、外墙幕墙等完好，无霉变破损。</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至少每2小时巡视一次高配房设备运行情况，如实记录设备运行参数。定期对各类机房设备设施进行检查、维护、清洁，并做好记录。</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确保各类照明灯具、应急照明系统、供用电设备设施（包括配电箱、桥架、井道、开关、插座等）运行正常。</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每日检查污水泵、排水泵、生活水泵、阀门、管道、仪表等，确保给排水系统正常运行，无“跑”“冒”“滴”“漏”现象。</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定期对水泵、管道进行养护，每年对水箱进行全面清洗至少2次，并提供水质检测报告。</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由专业人员定期对监控系统、门禁系统、多媒体系统、会议系统等智能弱电设备进行巡查，定期清理设备机柜、控制箱、交换机等外表吸附的灰尘和絮状物。</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应配置持有特种设备作业人员证的电梯安全管理人员，对电梯保养、运行进行监督管理。</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消防设施设备应由专业资质维保单位至少每15日进行一次维护保养，建立台账并记录在案。消防重点单位每年应经有资质的检测机构检验合格，并出具《建筑消防设施年度检测报告》。</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定期对空调通风系统进行检查、维护、清洁，测试运行控制和安全控制功能，记录运行参数，分析运行记录，确保空调系统正常运行。每年冬夏两次对空调通风系统进行全面的维护保养。</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确保校园（区）零星维修的及时性，一般修理在两小时内处理完毕，小修在半个工作日内处理完毕，其他大修项目自受理之日起3个工作日内处理完毕，确保零星维修合格率达到100%。工程维修人员必须持有效期内相应证件上岗。</w:t>
      </w:r>
    </w:p>
    <w:p>
      <w:pPr>
        <w:pStyle w:val="100"/>
        <w:widowControl/>
        <w:numPr>
          <w:ilvl w:val="0"/>
          <w:numId w:val="1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定期对宿舍楼包括热水器、空调等设施设备进行安全排查，消除安全隐患。</w:t>
      </w:r>
    </w:p>
    <w:p>
      <w:pPr>
        <w:keepNext/>
        <w:keepLines/>
        <w:kinsoku w:val="0"/>
        <w:autoSpaceDE w:val="0"/>
        <w:autoSpaceDN w:val="0"/>
        <w:adjustRightInd/>
        <w:snapToGrid w:val="0"/>
        <w:spacing w:line="360" w:lineRule="auto"/>
        <w:ind w:left="0" w:firstLine="48" w:firstLineChars="20"/>
        <w:textAlignment w:val="baseline"/>
        <w:outlineLvl w:val="1"/>
        <w:rPr>
          <w:rFonts w:ascii="新宋体" w:hAnsi="新宋体" w:eastAsia="新宋体" w:cs="新宋体"/>
          <w:bCs w:val="0"/>
          <w:color w:val="auto"/>
          <w:kern w:val="2"/>
          <w:sz w:val="24"/>
          <w:szCs w:val="24"/>
          <w:highlight w:val="none"/>
          <w:lang w:val="en-US" w:eastAsia="zh-CN" w:bidi="ar-SA"/>
        </w:rPr>
      </w:pPr>
      <w:r>
        <w:rPr>
          <w:rFonts w:hint="eastAsia" w:ascii="Segoe UI Symbol" w:hAnsi="Segoe UI Symbol" w:eastAsia="宋体" w:cs="Segoe UI Symbol"/>
          <w:bCs w:val="0"/>
          <w:color w:val="auto"/>
          <w:kern w:val="0"/>
          <w:sz w:val="24"/>
          <w:szCs w:val="32"/>
          <w:highlight w:val="none"/>
          <w:lang w:val="zh-CN" w:eastAsia="zh-CN" w:bidi="ar-SA"/>
        </w:rPr>
        <w:t>（五）</w:t>
      </w:r>
      <w:r>
        <w:rPr>
          <w:rFonts w:hint="eastAsia" w:ascii="新宋体" w:hAnsi="新宋体" w:eastAsia="新宋体" w:cs="新宋体"/>
          <w:bCs w:val="0"/>
          <w:color w:val="auto"/>
          <w:kern w:val="2"/>
          <w:sz w:val="24"/>
          <w:szCs w:val="24"/>
          <w:highlight w:val="none"/>
          <w:lang w:val="en-US" w:eastAsia="zh-CN" w:bidi="ar-SA"/>
        </w:rPr>
        <w:t>会务服务</w:t>
      </w:r>
    </w:p>
    <w:p>
      <w:pPr>
        <w:widowControl w:val="0"/>
        <w:kinsoku/>
        <w:autoSpaceDE/>
        <w:autoSpaceDN/>
        <w:snapToGrid w:val="0"/>
        <w:spacing w:line="360" w:lineRule="auto"/>
        <w:ind w:firstLine="426" w:firstLineChars="0"/>
        <w:jc w:val="left"/>
        <w:textAlignment w:val="auto"/>
        <w:rPr>
          <w:rFonts w:ascii="宋体" w:hAnsi="宋体" w:eastAsia="宋体" w:cs="Times New Roman"/>
          <w:bCs w:val="0"/>
          <w:color w:val="auto"/>
          <w:kern w:val="0"/>
          <w:sz w:val="24"/>
          <w:szCs w:val="20"/>
          <w:highlight w:val="none"/>
        </w:rPr>
      </w:pPr>
      <w:r>
        <w:rPr>
          <w:rFonts w:hint="eastAsia" w:ascii="宋体" w:hAnsi="宋体" w:eastAsia="宋体" w:cs="Times New Roman"/>
          <w:bCs w:val="0"/>
          <w:color w:val="auto"/>
          <w:kern w:val="0"/>
          <w:sz w:val="24"/>
          <w:szCs w:val="20"/>
          <w:highlight w:val="none"/>
        </w:rPr>
        <w:t>1、服务内容：承担校内各类会议的接待、服务工作。</w:t>
      </w:r>
    </w:p>
    <w:p>
      <w:pPr>
        <w:widowControl w:val="0"/>
        <w:kinsoku/>
        <w:autoSpaceDE/>
        <w:autoSpaceDN/>
        <w:snapToGrid w:val="0"/>
        <w:spacing w:line="360" w:lineRule="auto"/>
        <w:ind w:firstLine="426" w:firstLineChars="0"/>
        <w:jc w:val="left"/>
        <w:textAlignment w:val="auto"/>
        <w:rPr>
          <w:rFonts w:ascii="宋体" w:hAnsi="宋体" w:eastAsia="宋体" w:cs="Times New Roman"/>
          <w:bCs w:val="0"/>
          <w:color w:val="auto"/>
          <w:kern w:val="0"/>
          <w:sz w:val="24"/>
          <w:szCs w:val="20"/>
          <w:highlight w:val="none"/>
        </w:rPr>
      </w:pPr>
      <w:r>
        <w:rPr>
          <w:rFonts w:hint="eastAsia" w:ascii="宋体" w:hAnsi="宋体" w:eastAsia="宋体" w:cs="Times New Roman"/>
          <w:bCs w:val="0"/>
          <w:color w:val="auto"/>
          <w:kern w:val="0"/>
          <w:sz w:val="24"/>
          <w:szCs w:val="20"/>
          <w:highlight w:val="none"/>
        </w:rPr>
        <w:t>2、服务质量标准：</w:t>
      </w:r>
    </w:p>
    <w:p>
      <w:pPr>
        <w:widowControl w:val="0"/>
        <w:kinsoku/>
        <w:autoSpaceDE/>
        <w:autoSpaceDN/>
        <w:snapToGrid w:val="0"/>
        <w:spacing w:line="360" w:lineRule="auto"/>
        <w:ind w:firstLine="426" w:firstLineChars="0"/>
        <w:jc w:val="left"/>
        <w:textAlignment w:val="auto"/>
        <w:rPr>
          <w:rFonts w:ascii="宋体" w:hAnsi="宋体" w:eastAsia="宋体" w:cs="Times New Roman"/>
          <w:bCs w:val="0"/>
          <w:color w:val="auto"/>
          <w:kern w:val="0"/>
          <w:sz w:val="24"/>
          <w:szCs w:val="20"/>
          <w:highlight w:val="none"/>
        </w:rPr>
      </w:pPr>
      <w:r>
        <w:rPr>
          <w:rFonts w:hint="eastAsia" w:ascii="宋体" w:hAnsi="宋体" w:eastAsia="宋体" w:cs="Times New Roman"/>
          <w:bCs w:val="0"/>
          <w:color w:val="auto"/>
          <w:kern w:val="0"/>
          <w:sz w:val="24"/>
          <w:szCs w:val="20"/>
          <w:highlight w:val="none"/>
        </w:rPr>
        <w:t>（1）按照会务服务的相关内容，配合有关部门做好会场布置及会前各项准备工作。</w:t>
      </w:r>
    </w:p>
    <w:p>
      <w:pPr>
        <w:widowControl w:val="0"/>
        <w:kinsoku/>
        <w:autoSpaceDE/>
        <w:autoSpaceDN/>
        <w:snapToGrid w:val="0"/>
        <w:spacing w:line="360" w:lineRule="auto"/>
        <w:ind w:firstLine="426" w:firstLineChars="0"/>
        <w:jc w:val="left"/>
        <w:textAlignment w:val="auto"/>
        <w:rPr>
          <w:rFonts w:ascii="宋体" w:hAnsi="宋体" w:eastAsia="宋体" w:cs="Times New Roman"/>
          <w:bCs w:val="0"/>
          <w:color w:val="auto"/>
          <w:kern w:val="0"/>
          <w:sz w:val="24"/>
          <w:szCs w:val="20"/>
          <w:highlight w:val="none"/>
        </w:rPr>
      </w:pPr>
      <w:r>
        <w:rPr>
          <w:rFonts w:hint="eastAsia" w:ascii="宋体" w:hAnsi="宋体" w:eastAsia="宋体" w:cs="Times New Roman"/>
          <w:bCs w:val="0"/>
          <w:color w:val="auto"/>
          <w:kern w:val="0"/>
          <w:sz w:val="24"/>
          <w:szCs w:val="20"/>
          <w:highlight w:val="none"/>
        </w:rPr>
        <w:t>（2）遵守服务规范，热情、主动、周到、细致、文明礼貌地接待与会人员，做好会务服务工作。</w:t>
      </w:r>
    </w:p>
    <w:p>
      <w:pPr>
        <w:widowControl w:val="0"/>
        <w:kinsoku/>
        <w:autoSpaceDE/>
        <w:autoSpaceDN/>
        <w:snapToGrid w:val="0"/>
        <w:spacing w:line="360" w:lineRule="auto"/>
        <w:ind w:firstLine="426" w:firstLineChars="0"/>
        <w:jc w:val="left"/>
        <w:textAlignment w:val="auto"/>
        <w:rPr>
          <w:rFonts w:ascii="宋体" w:hAnsi="宋体" w:eastAsia="宋体" w:cs="Times New Roman"/>
          <w:bCs w:val="0"/>
          <w:color w:val="auto"/>
          <w:kern w:val="0"/>
          <w:sz w:val="24"/>
          <w:szCs w:val="20"/>
          <w:highlight w:val="none"/>
        </w:rPr>
      </w:pPr>
      <w:r>
        <w:rPr>
          <w:rFonts w:hint="eastAsia" w:ascii="宋体" w:hAnsi="宋体" w:eastAsia="宋体" w:cs="Times New Roman"/>
          <w:bCs w:val="0"/>
          <w:color w:val="auto"/>
          <w:kern w:val="0"/>
          <w:sz w:val="24"/>
          <w:szCs w:val="20"/>
          <w:highlight w:val="none"/>
        </w:rPr>
        <w:t>（3）会议进行期间适时续水，动作轻、稳，按服务规范操作。</w:t>
      </w:r>
    </w:p>
    <w:p>
      <w:pPr>
        <w:widowControl w:val="0"/>
        <w:kinsoku/>
        <w:autoSpaceDE/>
        <w:autoSpaceDN/>
        <w:snapToGrid w:val="0"/>
        <w:spacing w:line="360" w:lineRule="auto"/>
        <w:ind w:firstLine="426" w:firstLineChars="0"/>
        <w:jc w:val="left"/>
        <w:textAlignment w:val="auto"/>
        <w:rPr>
          <w:rFonts w:ascii="宋体" w:hAnsi="宋体" w:eastAsia="宋体" w:cs="Times New Roman"/>
          <w:bCs w:val="0"/>
          <w:color w:val="auto"/>
          <w:kern w:val="0"/>
          <w:sz w:val="24"/>
          <w:szCs w:val="20"/>
          <w:highlight w:val="none"/>
        </w:rPr>
      </w:pPr>
      <w:r>
        <w:rPr>
          <w:rFonts w:hint="eastAsia" w:ascii="宋体" w:hAnsi="宋体" w:eastAsia="宋体" w:cs="Times New Roman"/>
          <w:bCs w:val="0"/>
          <w:color w:val="auto"/>
          <w:kern w:val="0"/>
          <w:sz w:val="24"/>
          <w:szCs w:val="20"/>
          <w:highlight w:val="none"/>
        </w:rPr>
        <w:t>（4）保持会议室环境的干净整洁，适时通风，保持室内空气清新。</w:t>
      </w:r>
    </w:p>
    <w:p>
      <w:pPr>
        <w:widowControl w:val="0"/>
        <w:kinsoku/>
        <w:autoSpaceDE/>
        <w:autoSpaceDN/>
        <w:snapToGrid w:val="0"/>
        <w:spacing w:line="360" w:lineRule="auto"/>
        <w:ind w:firstLine="426" w:firstLineChars="0"/>
        <w:jc w:val="left"/>
        <w:textAlignment w:val="auto"/>
        <w:rPr>
          <w:rFonts w:ascii="宋体" w:hAnsi="宋体" w:eastAsia="宋体" w:cs="Times New Roman"/>
          <w:bCs w:val="0"/>
          <w:color w:val="auto"/>
          <w:kern w:val="0"/>
          <w:sz w:val="24"/>
          <w:szCs w:val="20"/>
          <w:highlight w:val="none"/>
        </w:rPr>
      </w:pPr>
      <w:r>
        <w:rPr>
          <w:rFonts w:hint="eastAsia" w:ascii="宋体" w:hAnsi="宋体" w:eastAsia="宋体" w:cs="Times New Roman"/>
          <w:bCs w:val="0"/>
          <w:color w:val="auto"/>
          <w:kern w:val="0"/>
          <w:sz w:val="24"/>
          <w:szCs w:val="20"/>
          <w:highlight w:val="none"/>
        </w:rPr>
        <w:t>（5）负责会议室的设备、设施的管理和维护，确保正常使用。</w:t>
      </w:r>
    </w:p>
    <w:p>
      <w:pPr>
        <w:widowControl w:val="0"/>
        <w:kinsoku/>
        <w:autoSpaceDE/>
        <w:autoSpaceDN/>
        <w:snapToGrid w:val="0"/>
        <w:spacing w:line="360" w:lineRule="auto"/>
        <w:ind w:firstLine="426" w:firstLineChars="0"/>
        <w:jc w:val="left"/>
        <w:textAlignment w:val="auto"/>
        <w:rPr>
          <w:rFonts w:ascii="新宋体" w:hAnsi="新宋体" w:eastAsia="新宋体" w:cs="新宋体"/>
          <w:bCs/>
          <w:color w:val="auto"/>
          <w:sz w:val="24"/>
          <w:highlight w:val="none"/>
        </w:rPr>
      </w:pPr>
      <w:r>
        <w:rPr>
          <w:rFonts w:hint="eastAsia" w:ascii="宋体" w:hAnsi="宋体" w:eastAsia="宋体" w:cs="Times New Roman"/>
          <w:bCs w:val="0"/>
          <w:color w:val="auto"/>
          <w:kern w:val="0"/>
          <w:sz w:val="24"/>
          <w:szCs w:val="20"/>
          <w:highlight w:val="none"/>
        </w:rPr>
        <w:t>（6）发现参会人员遗留的物品，要及时收存保管，并向领导汇报。</w:t>
      </w:r>
    </w:p>
    <w:p>
      <w:pPr>
        <w:widowControl w:val="0"/>
        <w:kinsoku/>
        <w:autoSpaceDE/>
        <w:autoSpaceDN/>
        <w:snapToGrid w:val="0"/>
        <w:spacing w:line="360" w:lineRule="auto"/>
        <w:ind w:firstLine="426" w:firstLineChars="0"/>
        <w:jc w:val="left"/>
        <w:textAlignment w:val="auto"/>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（六）采购人交办的其他工作</w:t>
      </w:r>
    </w:p>
    <w:p>
      <w:pPr>
        <w:widowControl/>
        <w:kinsoku w:val="0"/>
        <w:autoSpaceDE w:val="0"/>
        <w:autoSpaceDN w:val="0"/>
        <w:snapToGrid w:val="0"/>
        <w:spacing w:line="360" w:lineRule="auto"/>
        <w:ind w:firstLine="528" w:firstLineChars="2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重大活动期间，根据采购人要求提供力所能及的服务。</w:t>
      </w:r>
    </w:p>
    <w:p>
      <w:pPr>
        <w:pStyle w:val="100"/>
        <w:widowControl/>
        <w:numPr>
          <w:ilvl w:val="0"/>
          <w:numId w:val="2"/>
        </w:numPr>
        <w:kinsoku w:val="0"/>
        <w:autoSpaceDE w:val="0"/>
        <w:autoSpaceDN w:val="0"/>
        <w:snapToGrid w:val="0"/>
        <w:ind w:firstLine="420" w:firstLineChars="0"/>
        <w:jc w:val="left"/>
        <w:textAlignment w:val="baseline"/>
        <w:rPr>
          <w:rFonts w:ascii="新宋体" w:hAnsi="新宋体" w:eastAsia="新宋体" w:cs="新宋体"/>
          <w:b/>
          <w:bCs w:val="0"/>
          <w:color w:val="auto"/>
          <w:highlight w:val="none"/>
        </w:rPr>
      </w:pPr>
      <w:r>
        <w:rPr>
          <w:rFonts w:hint="eastAsia" w:ascii="新宋体" w:hAnsi="新宋体" w:eastAsia="新宋体" w:cs="新宋体"/>
          <w:b/>
          <w:bCs w:val="0"/>
          <w:color w:val="auto"/>
          <w:highlight w:val="none"/>
        </w:rPr>
        <w:t>人员配置要求</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（一）总体要求</w:t>
      </w:r>
    </w:p>
    <w:p>
      <w:pPr>
        <w:pStyle w:val="100"/>
        <w:widowControl/>
        <w:numPr>
          <w:ilvl w:val="0"/>
          <w:numId w:val="1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▲岗位总人数不得低于2</w:t>
      </w:r>
      <w:r>
        <w:rPr>
          <w:rFonts w:ascii="新宋体" w:hAnsi="新宋体" w:eastAsia="新宋体" w:cs="新宋体"/>
          <w:bCs/>
          <w:color w:val="auto"/>
          <w:highlight w:val="none"/>
        </w:rPr>
        <w:t>8</w:t>
      </w:r>
      <w:r>
        <w:rPr>
          <w:rFonts w:hint="eastAsia" w:ascii="新宋体" w:hAnsi="新宋体" w:eastAsia="新宋体" w:cs="新宋体"/>
          <w:bCs/>
          <w:color w:val="auto"/>
          <w:highlight w:val="none"/>
        </w:rPr>
        <w:t>人，包括：项目经理1人，保洁主管1人，保洁员9人，会务1人，保安主管1人，保安员</w:t>
      </w:r>
      <w:r>
        <w:rPr>
          <w:rFonts w:ascii="新宋体" w:hAnsi="新宋体" w:eastAsia="新宋体" w:cs="新宋体"/>
          <w:bCs/>
          <w:color w:val="auto"/>
          <w:highlight w:val="none"/>
        </w:rPr>
        <w:t>8</w:t>
      </w:r>
      <w:r>
        <w:rPr>
          <w:rFonts w:hint="eastAsia" w:ascii="新宋体" w:hAnsi="新宋体" w:eastAsia="新宋体" w:cs="新宋体"/>
          <w:bCs/>
          <w:color w:val="auto"/>
          <w:highlight w:val="none"/>
        </w:rPr>
        <w:t>人，消控人员</w:t>
      </w:r>
      <w:r>
        <w:rPr>
          <w:rFonts w:ascii="新宋体" w:hAnsi="新宋体" w:eastAsia="新宋体" w:cs="新宋体"/>
          <w:bCs/>
          <w:color w:val="auto"/>
          <w:highlight w:val="none"/>
        </w:rPr>
        <w:t>3</w:t>
      </w:r>
      <w:r>
        <w:rPr>
          <w:rFonts w:hint="eastAsia" w:ascii="新宋体" w:hAnsi="新宋体" w:eastAsia="新宋体" w:cs="新宋体"/>
          <w:bCs/>
          <w:color w:val="auto"/>
          <w:highlight w:val="none"/>
        </w:rPr>
        <w:t>人，绿化工</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人，工程维修</w:t>
      </w:r>
      <w:r>
        <w:rPr>
          <w:rFonts w:ascii="新宋体" w:hAnsi="新宋体" w:eastAsia="新宋体" w:cs="新宋体"/>
          <w:bCs/>
          <w:color w:val="auto"/>
          <w:highlight w:val="none"/>
        </w:rPr>
        <w:t>3</w:t>
      </w:r>
      <w:r>
        <w:rPr>
          <w:rFonts w:hint="eastAsia" w:ascii="新宋体" w:hAnsi="新宋体" w:eastAsia="新宋体" w:cs="新宋体"/>
          <w:bCs/>
          <w:color w:val="auto"/>
          <w:highlight w:val="none"/>
        </w:rPr>
        <w:t>人。</w:t>
      </w:r>
    </w:p>
    <w:p>
      <w:pPr>
        <w:pStyle w:val="100"/>
        <w:widowControl/>
        <w:numPr>
          <w:ilvl w:val="0"/>
          <w:numId w:val="1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▲法律法规和政策文件要求必须持证上岗的岗位，所派人员必须满足相关规定，持证上岗。</w:t>
      </w:r>
    </w:p>
    <w:p>
      <w:pPr>
        <w:pStyle w:val="100"/>
        <w:widowControl/>
        <w:numPr>
          <w:ilvl w:val="0"/>
          <w:numId w:val="1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所有人员要求政治上可靠，无违法犯罪记录，身体健康，会说普通话，工作负责，吃苦耐劳。管理层人员应具有较强的组织领导能力和协调能力。</w:t>
      </w:r>
    </w:p>
    <w:p>
      <w:pPr>
        <w:pStyle w:val="100"/>
        <w:widowControl/>
        <w:numPr>
          <w:ilvl w:val="0"/>
          <w:numId w:val="1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管理服务人员应按规定统一着装，工作服样式要求能体现岗位特色和方便不同岗位作业。知晓本岗位服务礼仪，遵守《物业管理服务人员行为规范》要求。</w:t>
      </w:r>
    </w:p>
    <w:p>
      <w:pPr>
        <w:pStyle w:val="100"/>
        <w:widowControl/>
        <w:numPr>
          <w:ilvl w:val="0"/>
          <w:numId w:val="1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中标人应按招标要求，配备充足、能胜任各岗位的相关管理和服务人员，并保持人员稳定。遇调动或辞职等特殊情况确需更换人员的，项目经理至少提前20天、其他人员至少提前7天告知采购人并征得采购人同意后方可更换，中标人应及时替换、补充符合招标要求的相应人员，提前做好交接班，不得影响采购人正常工作秩序。对采购人认为无能力、工作失职或不合适人员，中标人应立即更换。岗位人数不足时，按相应岗位成本扣除服务费。</w:t>
      </w:r>
    </w:p>
    <w:p>
      <w:pPr>
        <w:pStyle w:val="100"/>
        <w:widowControl/>
        <w:numPr>
          <w:ilvl w:val="0"/>
          <w:numId w:val="1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中标人应做好保安员派驻前的背景审查工作，每学期不少于一次；对派驻保安员实行每月不少于一次的检查管理。</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（二）管理层人员要求</w:t>
      </w:r>
    </w:p>
    <w:p>
      <w:pPr>
        <w:pStyle w:val="100"/>
        <w:widowControl/>
        <w:numPr>
          <w:ilvl w:val="0"/>
          <w:numId w:val="1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项目经理：年龄50周岁以下；大学本科以上学历；具有物业项目经理工作经验；</w:t>
      </w:r>
    </w:p>
    <w:p>
      <w:pPr>
        <w:pStyle w:val="100"/>
        <w:widowControl/>
        <w:numPr>
          <w:ilvl w:val="0"/>
          <w:numId w:val="1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保洁主管：年龄50周岁以下；大专以上学历；具有保洁主管工作经验；</w:t>
      </w:r>
    </w:p>
    <w:p>
      <w:pPr>
        <w:pStyle w:val="100"/>
        <w:widowControl/>
        <w:numPr>
          <w:ilvl w:val="0"/>
          <w:numId w:val="1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保安主管：年龄50周岁以下；大专以上学历；具有保安主管工作经验；持有</w:t>
      </w:r>
      <w:r>
        <w:rPr>
          <w:rFonts w:ascii="新宋体" w:hAnsi="新宋体" w:eastAsia="新宋体" w:cs="新宋体"/>
          <w:bCs/>
          <w:color w:val="auto"/>
          <w:highlight w:val="none"/>
        </w:rPr>
        <w:t>三级/高级工（原高级保安员）以上职业技能等级证书</w:t>
      </w:r>
      <w:r>
        <w:rPr>
          <w:rFonts w:hint="eastAsia" w:ascii="新宋体" w:hAnsi="新宋体" w:eastAsia="新宋体" w:cs="新宋体"/>
          <w:bCs/>
          <w:color w:val="auto"/>
          <w:highlight w:val="none"/>
        </w:rPr>
        <w:t>；</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（三）其他服务人员要求</w:t>
      </w:r>
    </w:p>
    <w:p>
      <w:pPr>
        <w:pStyle w:val="100"/>
        <w:widowControl/>
        <w:numPr>
          <w:ilvl w:val="0"/>
          <w:numId w:val="1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保洁员：年龄55周岁以下；具有保洁工作经验；</w:t>
      </w:r>
    </w:p>
    <w:p>
      <w:pPr>
        <w:pStyle w:val="100"/>
        <w:widowControl/>
        <w:numPr>
          <w:ilvl w:val="0"/>
          <w:numId w:val="1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保安员：年龄5</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周岁以下；具有保安工作经验；持证上岗；学校保安员上岗前必须参加岗前培训，经培训合格后方可上岗；</w:t>
      </w:r>
    </w:p>
    <w:p>
      <w:pPr>
        <w:pStyle w:val="100"/>
        <w:widowControl/>
        <w:numPr>
          <w:ilvl w:val="0"/>
          <w:numId w:val="1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绿化工：年龄5</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周岁以下，</w:t>
      </w:r>
      <w:bookmarkStart w:id="28" w:name="_Hlk151739278"/>
      <w:r>
        <w:rPr>
          <w:rFonts w:hint="eastAsia" w:ascii="新宋体" w:hAnsi="新宋体" w:eastAsia="新宋体" w:cs="新宋体"/>
          <w:bCs/>
          <w:color w:val="auto"/>
          <w:highlight w:val="none"/>
        </w:rPr>
        <w:t>具有绿化养护工作经验</w:t>
      </w:r>
      <w:bookmarkEnd w:id="28"/>
      <w:r>
        <w:rPr>
          <w:rFonts w:hint="eastAsia" w:ascii="新宋体" w:hAnsi="新宋体" w:eastAsia="新宋体" w:cs="新宋体"/>
          <w:bCs/>
          <w:color w:val="auto"/>
          <w:highlight w:val="none"/>
        </w:rPr>
        <w:t>；</w:t>
      </w:r>
    </w:p>
    <w:p>
      <w:pPr>
        <w:pStyle w:val="100"/>
        <w:widowControl/>
        <w:numPr>
          <w:ilvl w:val="0"/>
          <w:numId w:val="1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工程维修人员：年龄5</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周岁以下；具有相关专业上岗证；具有工程维修工作经验；</w:t>
      </w:r>
    </w:p>
    <w:p>
      <w:pPr>
        <w:pStyle w:val="100"/>
        <w:widowControl/>
        <w:numPr>
          <w:ilvl w:val="0"/>
          <w:numId w:val="1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会务人员：年龄</w:t>
      </w:r>
      <w:r>
        <w:rPr>
          <w:rFonts w:ascii="新宋体" w:hAnsi="新宋体" w:eastAsia="新宋体" w:cs="新宋体"/>
          <w:bCs/>
          <w:color w:val="auto"/>
          <w:highlight w:val="none"/>
        </w:rPr>
        <w:t>45</w:t>
      </w:r>
      <w:r>
        <w:rPr>
          <w:rFonts w:hint="eastAsia" w:ascii="新宋体" w:hAnsi="新宋体" w:eastAsia="新宋体" w:cs="新宋体"/>
          <w:bCs/>
          <w:color w:val="auto"/>
          <w:highlight w:val="none"/>
        </w:rPr>
        <w:t>周岁以下，高中以上学历，具有会务工作经验；</w:t>
      </w:r>
    </w:p>
    <w:p>
      <w:pPr>
        <w:pStyle w:val="100"/>
        <w:widowControl/>
        <w:numPr>
          <w:ilvl w:val="0"/>
          <w:numId w:val="1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消控人员：年龄5</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周岁以下，持证上岗，具有消控工作经验；</w:t>
      </w:r>
      <w:r>
        <w:rPr>
          <w:rFonts w:hint="eastAsia" w:ascii="新宋体" w:hAnsi="新宋体" w:eastAsia="新宋体" w:cs="新宋体"/>
          <w:bCs/>
          <w:color w:val="auto"/>
          <w:highlight w:val="none"/>
        </w:rPr>
        <w:br w:type="page"/>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（四）工作时间要求</w:t>
      </w:r>
    </w:p>
    <w:tbl>
      <w:tblPr>
        <w:tblStyle w:val="62"/>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88"/>
        <w:gridCol w:w="2124"/>
        <w:gridCol w:w="24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序号</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snapToGrid w:val="0"/>
                <w:color w:val="auto"/>
                <w:sz w:val="24"/>
                <w:highlight w:val="none"/>
              </w:rPr>
              <w:t>岗位</w:t>
            </w:r>
          </w:p>
        </w:tc>
        <w:tc>
          <w:tcPr>
            <w:tcW w:w="21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工作日在岗时间</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color w:val="auto"/>
                <w:sz w:val="24"/>
                <w:highlight w:val="none"/>
              </w:rPr>
              <w:t>工作时间内应在岗人数（人）</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项目经理</w:t>
            </w:r>
          </w:p>
        </w:tc>
        <w:tc>
          <w:tcPr>
            <w:tcW w:w="2124"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8小时</w:t>
            </w:r>
          </w:p>
        </w:tc>
        <w:tc>
          <w:tcPr>
            <w:tcW w:w="2429"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1</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双休日和节假日至少工作一半时间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保洁主管</w:t>
            </w:r>
          </w:p>
        </w:tc>
        <w:tc>
          <w:tcPr>
            <w:tcW w:w="2124"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8小时</w:t>
            </w:r>
          </w:p>
        </w:tc>
        <w:tc>
          <w:tcPr>
            <w:tcW w:w="2429"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1</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双休日和节假日至少工作一半时间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保洁员</w:t>
            </w:r>
          </w:p>
        </w:tc>
        <w:tc>
          <w:tcPr>
            <w:tcW w:w="2124"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8小时</w:t>
            </w:r>
          </w:p>
        </w:tc>
        <w:tc>
          <w:tcPr>
            <w:tcW w:w="2429"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ascii="新宋体" w:hAnsi="新宋体" w:eastAsia="新宋体" w:cs="新宋体"/>
                <w:bCs/>
                <w:snapToGrid w:val="0"/>
                <w:color w:val="auto"/>
                <w:sz w:val="24"/>
                <w:highlight w:val="none"/>
              </w:rPr>
              <w:t>9</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双休日、法定节假日、寒暑假每天安排保洁值班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4</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保安主管</w:t>
            </w:r>
          </w:p>
        </w:tc>
        <w:tc>
          <w:tcPr>
            <w:tcW w:w="2124"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8小时</w:t>
            </w:r>
          </w:p>
        </w:tc>
        <w:tc>
          <w:tcPr>
            <w:tcW w:w="2429"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1</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双休日和节假日至少工作一半时间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5</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保安员</w:t>
            </w:r>
          </w:p>
        </w:tc>
        <w:tc>
          <w:tcPr>
            <w:tcW w:w="2124"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8小时</w:t>
            </w:r>
          </w:p>
        </w:tc>
        <w:tc>
          <w:tcPr>
            <w:tcW w:w="2429"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8</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轮班制，每人每天8小时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6</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消控员</w:t>
            </w:r>
          </w:p>
        </w:tc>
        <w:tc>
          <w:tcPr>
            <w:tcW w:w="2124"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lang w:val="en-US" w:eastAsia="zh-CN"/>
              </w:rPr>
              <w:t>24</w:t>
            </w:r>
            <w:r>
              <w:rPr>
                <w:rFonts w:hint="eastAsia" w:ascii="新宋体" w:hAnsi="新宋体" w:eastAsia="新宋体" w:cs="新宋体"/>
                <w:bCs/>
                <w:snapToGrid w:val="0"/>
                <w:color w:val="auto"/>
                <w:sz w:val="24"/>
                <w:highlight w:val="none"/>
              </w:rPr>
              <w:t>小时</w:t>
            </w:r>
          </w:p>
        </w:tc>
        <w:tc>
          <w:tcPr>
            <w:tcW w:w="2429"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ascii="新宋体" w:hAnsi="新宋体" w:eastAsia="新宋体" w:cs="新宋体"/>
                <w:bCs/>
                <w:snapToGrid w:val="0"/>
                <w:color w:val="auto"/>
                <w:sz w:val="24"/>
                <w:highlight w:val="none"/>
              </w:rPr>
              <w:t>1</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hint="eastAsia" w:ascii="新宋体" w:hAnsi="新宋体" w:eastAsia="新宋体" w:cs="新宋体"/>
                <w:bCs/>
                <w:snapToGrid w:val="0"/>
                <w:color w:val="auto"/>
                <w:sz w:val="24"/>
                <w:highlight w:val="none"/>
                <w:lang w:eastAsia="zh-CN"/>
              </w:rPr>
            </w:pPr>
            <w:r>
              <w:rPr>
                <w:rFonts w:hint="eastAsia" w:ascii="新宋体" w:hAnsi="新宋体" w:eastAsia="新宋体" w:cs="新宋体"/>
                <w:bCs/>
                <w:snapToGrid w:val="0"/>
                <w:color w:val="auto"/>
                <w:sz w:val="24"/>
                <w:highlight w:val="none"/>
              </w:rPr>
              <w:t>轮班制，每人每天8小时</w:t>
            </w:r>
            <w:r>
              <w:rPr>
                <w:rFonts w:hint="eastAsia" w:ascii="新宋体" w:hAnsi="新宋体" w:eastAsia="新宋体" w:cs="新宋体"/>
                <w:bCs/>
                <w:snapToGrid w:val="0"/>
                <w:color w:val="auto"/>
                <w:sz w:val="24"/>
                <w:highlight w:val="none"/>
                <w:lang w:eastAsia="zh-CN"/>
              </w:rPr>
              <w:t>，寒暑假、法定节假日、双休日正常上班。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7</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工程维修人员</w:t>
            </w:r>
          </w:p>
        </w:tc>
        <w:tc>
          <w:tcPr>
            <w:tcW w:w="2124"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lang w:val="en-US" w:eastAsia="zh-CN"/>
              </w:rPr>
              <w:t>24</w:t>
            </w:r>
            <w:r>
              <w:rPr>
                <w:rFonts w:hint="eastAsia" w:ascii="新宋体" w:hAnsi="新宋体" w:eastAsia="新宋体" w:cs="新宋体"/>
                <w:bCs/>
                <w:snapToGrid w:val="0"/>
                <w:color w:val="auto"/>
                <w:sz w:val="24"/>
                <w:highlight w:val="none"/>
              </w:rPr>
              <w:t>小时</w:t>
            </w:r>
          </w:p>
        </w:tc>
        <w:tc>
          <w:tcPr>
            <w:tcW w:w="2429" w:type="dxa"/>
            <w:vAlign w:val="center"/>
          </w:tcPr>
          <w:p>
            <w:pPr>
              <w:widowControl/>
              <w:kinsoku w:val="0"/>
              <w:autoSpaceDE w:val="0"/>
              <w:autoSpaceDN w:val="0"/>
              <w:snapToGrid w:val="0"/>
              <w:spacing w:line="360" w:lineRule="auto"/>
              <w:ind w:firstLine="48" w:firstLineChars="20"/>
              <w:jc w:val="center"/>
              <w:textAlignment w:val="baseline"/>
              <w:rPr>
                <w:rFonts w:hint="eastAsia" w:ascii="新宋体" w:hAnsi="新宋体" w:eastAsia="新宋体" w:cs="新宋体"/>
                <w:bCs/>
                <w:snapToGrid w:val="0"/>
                <w:color w:val="auto"/>
                <w:sz w:val="24"/>
                <w:highlight w:val="none"/>
                <w:lang w:eastAsia="zh-CN"/>
              </w:rPr>
            </w:pPr>
            <w:r>
              <w:rPr>
                <w:rFonts w:hint="eastAsia" w:ascii="新宋体" w:hAnsi="新宋体" w:eastAsia="新宋体" w:cs="新宋体"/>
                <w:bCs/>
                <w:snapToGrid w:val="0"/>
                <w:color w:val="auto"/>
                <w:sz w:val="24"/>
                <w:highlight w:val="none"/>
                <w:lang w:val="en-US" w:eastAsia="zh-CN"/>
              </w:rPr>
              <w:t>1</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hint="eastAsia" w:ascii="新宋体" w:hAnsi="新宋体" w:eastAsia="新宋体" w:cs="新宋体"/>
                <w:bCs/>
                <w:snapToGrid w:val="0"/>
                <w:color w:val="auto"/>
                <w:sz w:val="24"/>
                <w:highlight w:val="none"/>
                <w:lang w:val="en-US" w:eastAsia="zh-CN"/>
              </w:rPr>
            </w:pPr>
            <w:r>
              <w:rPr>
                <w:rFonts w:hint="eastAsia" w:ascii="新宋体" w:hAnsi="新宋体" w:eastAsia="新宋体" w:cs="新宋体"/>
                <w:bCs/>
                <w:snapToGrid w:val="0"/>
                <w:color w:val="auto"/>
                <w:sz w:val="24"/>
                <w:highlight w:val="none"/>
              </w:rPr>
              <w:t>轮班制，每人每天8小时</w:t>
            </w:r>
            <w:r>
              <w:rPr>
                <w:rFonts w:hint="eastAsia" w:ascii="新宋体" w:hAnsi="新宋体" w:eastAsia="新宋体" w:cs="新宋体"/>
                <w:bCs/>
                <w:snapToGrid w:val="0"/>
                <w:color w:val="auto"/>
                <w:sz w:val="24"/>
                <w:highlight w:val="none"/>
                <w:lang w:eastAsia="zh-CN"/>
              </w:rPr>
              <w:t>。</w:t>
            </w:r>
            <w:r>
              <w:rPr>
                <w:rFonts w:hint="eastAsia" w:ascii="新宋体" w:hAnsi="新宋体" w:eastAsia="新宋体" w:cs="新宋体"/>
                <w:bCs/>
                <w:snapToGrid w:val="0"/>
                <w:color w:val="auto"/>
                <w:sz w:val="24"/>
                <w:highlight w:val="none"/>
                <w:lang w:val="en-US" w:eastAsia="zh-CN"/>
              </w:rPr>
              <w:t>非值班期间因</w:t>
            </w:r>
            <w:r>
              <w:rPr>
                <w:rFonts w:hint="eastAsia" w:ascii="新宋体" w:hAnsi="新宋体" w:eastAsia="新宋体" w:cs="新宋体"/>
                <w:bCs/>
                <w:snapToGrid w:val="0"/>
                <w:color w:val="auto"/>
                <w:sz w:val="24"/>
                <w:highlight w:val="none"/>
              </w:rPr>
              <w:t>灾害性天气等</w:t>
            </w:r>
            <w:r>
              <w:rPr>
                <w:rFonts w:hint="eastAsia" w:ascii="新宋体" w:hAnsi="新宋体" w:eastAsia="新宋体" w:cs="新宋体"/>
                <w:bCs/>
                <w:snapToGrid w:val="0"/>
                <w:color w:val="auto"/>
                <w:sz w:val="24"/>
                <w:highlight w:val="none"/>
                <w:lang w:val="en-US" w:eastAsia="zh-CN"/>
              </w:rPr>
              <w:t>特殊情况</w:t>
            </w:r>
            <w:r>
              <w:rPr>
                <w:rFonts w:hint="eastAsia" w:ascii="新宋体" w:hAnsi="新宋体" w:eastAsia="新宋体" w:cs="新宋体"/>
                <w:bCs/>
                <w:snapToGrid w:val="0"/>
                <w:color w:val="auto"/>
                <w:sz w:val="24"/>
                <w:highlight w:val="none"/>
              </w:rPr>
              <w:t>需半小时内响应到场</w:t>
            </w:r>
            <w:r>
              <w:rPr>
                <w:rFonts w:hint="eastAsia" w:ascii="新宋体" w:hAnsi="新宋体" w:eastAsia="新宋体" w:cs="新宋体"/>
                <w:bCs/>
                <w:snapToGrid w:val="0"/>
                <w:color w:val="auto"/>
                <w:sz w:val="24"/>
                <w:highlight w:val="none"/>
                <w:lang w:eastAsia="zh-CN"/>
              </w:rPr>
              <w:t>，</w:t>
            </w:r>
            <w:r>
              <w:rPr>
                <w:rFonts w:hint="eastAsia" w:ascii="新宋体" w:hAnsi="新宋体" w:eastAsia="新宋体" w:cs="新宋体"/>
                <w:bCs/>
                <w:snapToGrid w:val="0"/>
                <w:color w:val="auto"/>
                <w:sz w:val="24"/>
                <w:highlight w:val="none"/>
                <w:lang w:val="en-US" w:eastAsia="zh-CN"/>
              </w:rPr>
              <w:t>进行</w:t>
            </w:r>
            <w:r>
              <w:rPr>
                <w:rFonts w:hint="eastAsia" w:ascii="新宋体" w:hAnsi="新宋体" w:eastAsia="新宋体" w:cs="新宋体"/>
                <w:bCs/>
                <w:snapToGrid w:val="0"/>
                <w:color w:val="auto"/>
                <w:sz w:val="24"/>
                <w:highlight w:val="none"/>
              </w:rPr>
              <w:t>应急维修</w:t>
            </w:r>
            <w:r>
              <w:rPr>
                <w:rFonts w:hint="eastAsia" w:ascii="新宋体" w:hAnsi="新宋体" w:eastAsia="新宋体" w:cs="新宋体"/>
                <w:bCs/>
                <w:snapToGrid w:val="0"/>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8</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绿化工</w:t>
            </w:r>
          </w:p>
        </w:tc>
        <w:tc>
          <w:tcPr>
            <w:tcW w:w="2124"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8小时</w:t>
            </w:r>
          </w:p>
        </w:tc>
        <w:tc>
          <w:tcPr>
            <w:tcW w:w="2429"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1</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双休日和节假日至少工作一半时间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9</w:t>
            </w:r>
          </w:p>
        </w:tc>
        <w:tc>
          <w:tcPr>
            <w:tcW w:w="1288"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会务员</w:t>
            </w:r>
          </w:p>
        </w:tc>
        <w:tc>
          <w:tcPr>
            <w:tcW w:w="2124"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8小时</w:t>
            </w:r>
          </w:p>
        </w:tc>
        <w:tc>
          <w:tcPr>
            <w:tcW w:w="2429" w:type="dxa"/>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1</w:t>
            </w:r>
          </w:p>
        </w:tc>
        <w:tc>
          <w:tcPr>
            <w:tcW w:w="2429" w:type="dxa"/>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双休日和节假日至少工作一半时间</w:t>
            </w:r>
          </w:p>
        </w:tc>
      </w:tr>
    </w:tbl>
    <w:p>
      <w:pPr>
        <w:ind w:left="0"/>
        <w:rPr>
          <w:color w:val="auto"/>
          <w:sz w:val="24"/>
          <w:szCs w:val="24"/>
          <w:highlight w:val="none"/>
        </w:rPr>
        <w:sectPr>
          <w:headerReference r:id="rId10" w:type="first"/>
          <w:footerReference r:id="rId13" w:type="first"/>
          <w:headerReference r:id="rId8" w:type="default"/>
          <w:footerReference r:id="rId11" w:type="default"/>
          <w:headerReference r:id="rId9" w:type="even"/>
          <w:footerReference r:id="rId12" w:type="even"/>
          <w:pgSz w:w="11900" w:h="16840"/>
          <w:pgMar w:top="1431" w:right="1599" w:bottom="0" w:left="1710" w:header="0" w:footer="0" w:gutter="0"/>
          <w:cols w:space="720" w:num="1"/>
          <w:titlePg/>
          <w:docGrid w:type="lines" w:linePitch="312" w:charSpace="0"/>
        </w:sectPr>
      </w:pPr>
      <w:r>
        <w:rPr>
          <w:rFonts w:hint="eastAsia" w:ascii="新宋体" w:hAnsi="新宋体" w:eastAsia="新宋体" w:cs="新宋体"/>
          <w:b/>
          <w:bCs w:val="0"/>
          <w:color w:val="auto"/>
          <w:kern w:val="0"/>
          <w:sz w:val="24"/>
          <w:szCs w:val="24"/>
          <w:highlight w:val="none"/>
          <w:lang w:val="en-US" w:eastAsia="zh-CN" w:bidi="ar-SA"/>
        </w:rPr>
        <w:t xml:space="preserve">    以上所有岗位的设置、排班，应符合《</w:t>
      </w:r>
      <w:r>
        <w:rPr>
          <w:rFonts w:ascii="新宋体" w:hAnsi="新宋体" w:eastAsia="新宋体" w:cs="新宋体"/>
          <w:b/>
          <w:bCs w:val="0"/>
          <w:color w:val="auto"/>
          <w:kern w:val="2"/>
          <w:sz w:val="32"/>
          <w:szCs w:val="32"/>
          <w:highlight w:val="none"/>
          <w:lang w:val="en-US" w:eastAsia="zh-CN" w:bidi="ar-SA"/>
        </w:rPr>
        <w:fldChar w:fldCharType="begin"/>
      </w:r>
      <w:r>
        <w:rPr>
          <w:rFonts w:ascii="新宋体" w:hAnsi="新宋体" w:eastAsia="新宋体" w:cs="新宋体"/>
          <w:b/>
          <w:bCs w:val="0"/>
          <w:color w:val="auto"/>
          <w:kern w:val="2"/>
          <w:sz w:val="32"/>
          <w:szCs w:val="32"/>
          <w:highlight w:val="none"/>
          <w:lang w:val="en-US" w:eastAsia="zh-CN" w:bidi="ar-SA"/>
        </w:rPr>
        <w:instrText xml:space="preserve"> HYPERLINK "http://www.baidu.com/link?url=F45hGkUIbBtxVnxPZATPQbkbwCTU3UxFBB4t-a-QSoW-3bIW4BtrL6FnbZHsoQuDz-Tl0uQwaqK33u1ssI-PWGeDOXSuPpiDhEwM8ziWofO" \t "https://www.baidu.com/_blank" </w:instrText>
      </w:r>
      <w:r>
        <w:rPr>
          <w:rFonts w:ascii="新宋体" w:hAnsi="新宋体" w:eastAsia="新宋体" w:cs="新宋体"/>
          <w:b/>
          <w:bCs w:val="0"/>
          <w:color w:val="auto"/>
          <w:kern w:val="2"/>
          <w:sz w:val="32"/>
          <w:szCs w:val="32"/>
          <w:highlight w:val="none"/>
          <w:lang w:val="en-US" w:eastAsia="zh-CN" w:bidi="ar-SA"/>
        </w:rPr>
        <w:fldChar w:fldCharType="separate"/>
      </w:r>
      <w:r>
        <w:rPr>
          <w:rFonts w:hint="eastAsia" w:ascii="新宋体" w:hAnsi="新宋体" w:eastAsia="新宋体" w:cs="新宋体"/>
          <w:b/>
          <w:bCs w:val="0"/>
          <w:color w:val="auto"/>
          <w:kern w:val="0"/>
          <w:sz w:val="24"/>
          <w:szCs w:val="24"/>
          <w:highlight w:val="none"/>
          <w:lang w:val="en-US" w:eastAsia="zh-CN" w:bidi="ar-SA"/>
        </w:rPr>
        <w:t>中华人民共和国劳动法</w:t>
      </w:r>
      <w:r>
        <w:rPr>
          <w:rFonts w:hint="eastAsia" w:ascii="新宋体" w:hAnsi="新宋体" w:eastAsia="新宋体" w:cs="新宋体"/>
          <w:b/>
          <w:bCs w:val="0"/>
          <w:color w:val="auto"/>
          <w:kern w:val="0"/>
          <w:sz w:val="24"/>
          <w:szCs w:val="24"/>
          <w:highlight w:val="none"/>
          <w:lang w:val="en-US" w:eastAsia="zh-CN" w:bidi="ar-SA"/>
        </w:rPr>
        <w:fldChar w:fldCharType="end"/>
      </w:r>
      <w:r>
        <w:rPr>
          <w:rFonts w:hint="eastAsia" w:ascii="新宋体" w:hAnsi="新宋体" w:eastAsia="新宋体" w:cs="新宋体"/>
          <w:b/>
          <w:bCs w:val="0"/>
          <w:color w:val="auto"/>
          <w:kern w:val="0"/>
          <w:sz w:val="24"/>
          <w:szCs w:val="24"/>
          <w:highlight w:val="none"/>
          <w:lang w:val="en-US" w:eastAsia="zh-CN" w:bidi="ar-SA"/>
        </w:rPr>
        <w:t>》相关规定，应满足采购人工作日、双休日、法定节假日的全部工作任务，投标人自行合理安排员工休息时间，如产生替班加班情况，均由投标人自行承担相应费用。</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（五）《物业管理服务人员行为规范》</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bl>
      <w:tblPr>
        <w:tblStyle w:val="962"/>
        <w:tblW w:w="145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2054"/>
        <w:gridCol w:w="117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790" w:type="dxa"/>
            <w:gridSpan w:val="2"/>
          </w:tcPr>
          <w:p>
            <w:pPr>
              <w:widowControl/>
              <w:kinsoku w:val="0"/>
              <w:autoSpaceDE w:val="0"/>
              <w:autoSpaceDN w:val="0"/>
              <w:snapToGrid w:val="0"/>
              <w:spacing w:line="360" w:lineRule="auto"/>
              <w:ind w:firstLine="52"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1"/>
                <w:sz w:val="24"/>
                <w:highlight w:val="none"/>
              </w:rPr>
              <w:t>项</w:t>
            </w:r>
            <w:r>
              <w:rPr>
                <w:rFonts w:hint="eastAsia" w:ascii="新宋体" w:hAnsi="新宋体" w:eastAsia="新宋体" w:cs="新宋体"/>
                <w:bCs/>
                <w:color w:val="auto"/>
                <w:sz w:val="24"/>
                <w:highlight w:val="none"/>
              </w:rPr>
              <w:t xml:space="preserve">   目</w:t>
            </w:r>
          </w:p>
        </w:tc>
        <w:tc>
          <w:tcPr>
            <w:tcW w:w="11777" w:type="dxa"/>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行</w:t>
            </w:r>
            <w:r>
              <w:rPr>
                <w:rFonts w:hint="eastAsia" w:ascii="新宋体" w:hAnsi="新宋体" w:eastAsia="新宋体" w:cs="新宋体"/>
                <w:bCs/>
                <w:color w:val="auto"/>
                <w:sz w:val="24"/>
                <w:highlight w:val="none"/>
              </w:rPr>
              <w:t>为参考规范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737" w:type="dxa"/>
            <w:vMerge w:val="restart"/>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仪容仪表</w:t>
            </w:r>
          </w:p>
        </w:tc>
        <w:tc>
          <w:tcPr>
            <w:tcW w:w="2053"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服饰着装</w:t>
            </w:r>
          </w:p>
        </w:tc>
        <w:tc>
          <w:tcPr>
            <w:tcW w:w="11777"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1、上班时间必须穿工作服，工作服穿戴整齐整洁</w:t>
            </w:r>
            <w:r>
              <w:rPr>
                <w:rFonts w:hint="eastAsia" w:ascii="新宋体" w:hAnsi="新宋体" w:eastAsia="新宋体" w:cs="新宋体"/>
                <w:bCs/>
                <w:color w:val="auto"/>
                <w:spacing w:val="-4"/>
                <w:sz w:val="24"/>
                <w:highlight w:val="none"/>
              </w:rPr>
              <w:t>；</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2、上班统一佩戴工作牌，工作牌应端正地戴在左胸襟处</w:t>
            </w:r>
            <w:r>
              <w:rPr>
                <w:rFonts w:hint="eastAsia" w:ascii="新宋体" w:hAnsi="新宋体" w:eastAsia="新宋体" w:cs="新宋体"/>
                <w:bCs/>
                <w:color w:val="auto"/>
                <w:spacing w:val="-2"/>
                <w:sz w:val="24"/>
                <w:highlight w:val="none"/>
              </w:rPr>
              <w:t>；</w:t>
            </w:r>
          </w:p>
          <w:p>
            <w:pPr>
              <w:widowControl/>
              <w:kinsoku w:val="0"/>
              <w:autoSpaceDE w:val="0"/>
              <w:autoSpaceDN w:val="0"/>
              <w:snapToGrid w:val="0"/>
              <w:spacing w:line="360" w:lineRule="auto"/>
              <w:ind w:firstLine="46"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5"/>
                <w:sz w:val="24"/>
                <w:highlight w:val="none"/>
              </w:rPr>
              <w:t>3</w:t>
            </w:r>
            <w:r>
              <w:rPr>
                <w:rFonts w:hint="eastAsia" w:ascii="新宋体" w:hAnsi="新宋体" w:eastAsia="新宋体" w:cs="新宋体"/>
                <w:bCs/>
                <w:color w:val="auto"/>
                <w:sz w:val="24"/>
                <w:highlight w:val="none"/>
              </w:rPr>
              <w:t>、鞋袜穿戴整齐清洁，非工作需要不允许打赤脚或穿雨鞋到处走。特殊工作完毕应在工作场所将鞋擦干净再走；</w:t>
            </w:r>
          </w:p>
          <w:p>
            <w:pPr>
              <w:widowControl/>
              <w:kinsoku w:val="0"/>
              <w:autoSpaceDE w:val="0"/>
              <w:autoSpaceDN w:val="0"/>
              <w:snapToGrid w:val="0"/>
              <w:spacing w:line="360" w:lineRule="auto"/>
              <w:ind w:firstLine="44"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0"/>
                <w:sz w:val="24"/>
                <w:highlight w:val="none"/>
              </w:rPr>
              <w:t>4、</w:t>
            </w:r>
            <w:r>
              <w:rPr>
                <w:rFonts w:hint="eastAsia" w:ascii="新宋体" w:hAnsi="新宋体" w:eastAsia="新宋体" w:cs="新宋体"/>
                <w:bCs/>
                <w:color w:val="auto"/>
                <w:sz w:val="24"/>
                <w:highlight w:val="none"/>
              </w:rPr>
              <w:t>非特殊情况不允许穿背心、短裤、拖鞋。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3"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须</w:t>
            </w:r>
            <w:r>
              <w:rPr>
                <w:rFonts w:hint="eastAsia" w:ascii="新宋体" w:hAnsi="新宋体" w:eastAsia="新宋体" w:cs="新宋体"/>
                <w:bCs/>
                <w:color w:val="auto"/>
                <w:sz w:val="24"/>
                <w:highlight w:val="none"/>
              </w:rPr>
              <w:t>发</w:t>
            </w:r>
          </w:p>
        </w:tc>
        <w:tc>
          <w:tcPr>
            <w:tcW w:w="11777" w:type="dxa"/>
          </w:tcPr>
          <w:p>
            <w:pPr>
              <w:widowControl/>
              <w:kinsoku w:val="0"/>
              <w:autoSpaceDE w:val="0"/>
              <w:autoSpaceDN w:val="0"/>
              <w:snapToGrid w:val="0"/>
              <w:spacing w:line="360" w:lineRule="auto"/>
              <w:ind w:firstLine="42"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4"/>
                <w:sz w:val="24"/>
                <w:highlight w:val="none"/>
              </w:rPr>
              <w:t>1</w:t>
            </w:r>
            <w:r>
              <w:rPr>
                <w:rFonts w:hint="eastAsia" w:ascii="新宋体" w:hAnsi="新宋体" w:eastAsia="新宋体" w:cs="新宋体"/>
                <w:bCs/>
                <w:color w:val="auto"/>
                <w:sz w:val="24"/>
                <w:highlight w:val="none"/>
              </w:rPr>
              <w:t>、女员工前发不遮眼，不梳怪异发型；</w:t>
            </w:r>
          </w:p>
          <w:p>
            <w:pPr>
              <w:widowControl/>
              <w:kinsoku w:val="0"/>
              <w:autoSpaceDE w:val="0"/>
              <w:autoSpaceDN w:val="0"/>
              <w:snapToGrid w:val="0"/>
              <w:spacing w:line="360" w:lineRule="auto"/>
              <w:ind w:firstLine="43"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2"/>
                <w:sz w:val="24"/>
                <w:highlight w:val="none"/>
              </w:rPr>
              <w:t>2</w:t>
            </w:r>
            <w:r>
              <w:rPr>
                <w:rFonts w:hint="eastAsia" w:ascii="新宋体" w:hAnsi="新宋体" w:eastAsia="新宋体" w:cs="新宋体"/>
                <w:bCs/>
                <w:color w:val="auto"/>
                <w:spacing w:val="-9"/>
                <w:sz w:val="24"/>
                <w:highlight w:val="none"/>
              </w:rPr>
              <w:t>、</w:t>
            </w:r>
            <w:r>
              <w:rPr>
                <w:rFonts w:hint="eastAsia" w:ascii="新宋体" w:hAnsi="新宋体" w:eastAsia="新宋体" w:cs="新宋体"/>
                <w:bCs/>
                <w:color w:val="auto"/>
                <w:sz w:val="24"/>
                <w:highlight w:val="none"/>
              </w:rPr>
              <w:t>男员工不留长发，不留胡须；</w:t>
            </w:r>
          </w:p>
          <w:p>
            <w:pPr>
              <w:widowControl/>
              <w:kinsoku w:val="0"/>
              <w:autoSpaceDE w:val="0"/>
              <w:autoSpaceDN w:val="0"/>
              <w:snapToGrid w:val="0"/>
              <w:spacing w:line="360" w:lineRule="auto"/>
              <w:ind w:firstLine="42"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4"/>
                <w:sz w:val="24"/>
                <w:highlight w:val="none"/>
              </w:rPr>
              <w:t>3</w:t>
            </w:r>
            <w:r>
              <w:rPr>
                <w:rFonts w:hint="eastAsia" w:ascii="新宋体" w:hAnsi="新宋体" w:eastAsia="新宋体" w:cs="新宋体"/>
                <w:bCs/>
                <w:color w:val="auto"/>
                <w:sz w:val="24"/>
                <w:highlight w:val="none"/>
              </w:rPr>
              <w:t>、所有员工头发应保持整洁。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3"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个人卫生</w:t>
            </w:r>
          </w:p>
        </w:tc>
        <w:tc>
          <w:tcPr>
            <w:tcW w:w="11777" w:type="dxa"/>
          </w:tcPr>
          <w:p>
            <w:pPr>
              <w:widowControl/>
              <w:kinsoku w:val="0"/>
              <w:autoSpaceDE w:val="0"/>
              <w:autoSpaceDN w:val="0"/>
              <w:snapToGrid w:val="0"/>
              <w:spacing w:line="360" w:lineRule="auto"/>
              <w:ind w:firstLine="42"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3"/>
                <w:sz w:val="24"/>
                <w:highlight w:val="none"/>
              </w:rPr>
              <w:t>1</w:t>
            </w:r>
            <w:r>
              <w:rPr>
                <w:rFonts w:hint="eastAsia" w:ascii="新宋体" w:hAnsi="新宋体" w:eastAsia="新宋体" w:cs="新宋体"/>
                <w:bCs/>
                <w:color w:val="auto"/>
                <w:sz w:val="24"/>
                <w:highlight w:val="none"/>
              </w:rPr>
              <w:t>、保持手部干净，经常修剪指甲；</w:t>
            </w:r>
          </w:p>
          <w:p>
            <w:pPr>
              <w:widowControl/>
              <w:kinsoku w:val="0"/>
              <w:autoSpaceDE w:val="0"/>
              <w:autoSpaceDN w:val="0"/>
              <w:snapToGrid w:val="0"/>
              <w:spacing w:line="360" w:lineRule="auto"/>
              <w:ind w:firstLine="46"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4"/>
                <w:sz w:val="24"/>
                <w:highlight w:val="none"/>
              </w:rPr>
              <w:t>2</w:t>
            </w:r>
            <w:r>
              <w:rPr>
                <w:rFonts w:hint="eastAsia" w:ascii="新宋体" w:hAnsi="新宋体" w:eastAsia="新宋体" w:cs="新宋体"/>
                <w:bCs/>
                <w:color w:val="auto"/>
                <w:sz w:val="24"/>
                <w:highlight w:val="none"/>
              </w:rPr>
              <w:t>、员工应经常洗澡防汗臭，勤换衣服。衣服因工作而弄湿、弄脏后应换洗；</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3、上班前和上班期间应注意饮食，保持口腔清洁、口气清新</w:t>
            </w:r>
            <w:r>
              <w:rPr>
                <w:rFonts w:hint="eastAsia" w:ascii="新宋体" w:hAnsi="新宋体" w:eastAsia="新宋体" w:cs="新宋体"/>
                <w:bCs/>
                <w:color w:val="auto"/>
                <w:spacing w:val="-6"/>
                <w:sz w:val="24"/>
                <w:highlight w:val="none"/>
              </w:rPr>
              <w:t>；</w:t>
            </w:r>
          </w:p>
          <w:p>
            <w:pPr>
              <w:widowControl/>
              <w:kinsoku w:val="0"/>
              <w:autoSpaceDE w:val="0"/>
              <w:autoSpaceDN w:val="0"/>
              <w:snapToGrid w:val="0"/>
              <w:spacing w:line="360" w:lineRule="auto"/>
              <w:ind w:firstLine="42"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4"/>
                <w:sz w:val="24"/>
                <w:highlight w:val="none"/>
              </w:rPr>
              <w:t>4</w:t>
            </w:r>
            <w:r>
              <w:rPr>
                <w:rFonts w:hint="eastAsia" w:ascii="新宋体" w:hAnsi="新宋体" w:eastAsia="新宋体" w:cs="新宋体"/>
                <w:bCs/>
                <w:color w:val="auto"/>
                <w:spacing w:val="-11"/>
                <w:sz w:val="24"/>
                <w:highlight w:val="none"/>
              </w:rPr>
              <w:t>、</w:t>
            </w:r>
            <w:r>
              <w:rPr>
                <w:rFonts w:hint="eastAsia" w:ascii="新宋体" w:hAnsi="新宋体" w:eastAsia="新宋体" w:cs="新宋体"/>
                <w:bCs/>
                <w:color w:val="auto"/>
                <w:sz w:val="24"/>
                <w:highlight w:val="none"/>
              </w:rPr>
              <w:t>保持眼部、耳部清洁；</w:t>
            </w:r>
          </w:p>
          <w:p>
            <w:pPr>
              <w:widowControl/>
              <w:kinsoku w:val="0"/>
              <w:autoSpaceDE w:val="0"/>
              <w:autoSpaceDN w:val="0"/>
              <w:snapToGrid w:val="0"/>
              <w:spacing w:line="360" w:lineRule="auto"/>
              <w:ind w:firstLine="43"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2"/>
                <w:sz w:val="24"/>
                <w:highlight w:val="none"/>
              </w:rPr>
              <w:t>5、</w:t>
            </w:r>
            <w:r>
              <w:rPr>
                <w:rFonts w:hint="eastAsia" w:ascii="新宋体" w:hAnsi="新宋体" w:eastAsia="新宋体" w:cs="新宋体"/>
                <w:bCs/>
                <w:color w:val="auto"/>
                <w:sz w:val="24"/>
                <w:highlight w:val="none"/>
              </w:rPr>
              <w:t>女员工应淡妆打扮，不允许浓妆艳抹，不宜使用味浓的化妆品；</w:t>
            </w:r>
          </w:p>
          <w:p>
            <w:pPr>
              <w:widowControl/>
              <w:kinsoku w:val="0"/>
              <w:autoSpaceDE w:val="0"/>
              <w:autoSpaceDN w:val="0"/>
              <w:snapToGrid w:val="0"/>
              <w:spacing w:line="360" w:lineRule="auto"/>
              <w:ind w:firstLine="43"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2"/>
                <w:sz w:val="24"/>
                <w:highlight w:val="none"/>
              </w:rPr>
              <w:t>6、</w:t>
            </w:r>
            <w:r>
              <w:rPr>
                <w:rFonts w:hint="eastAsia" w:ascii="新宋体" w:hAnsi="新宋体" w:eastAsia="新宋体" w:cs="新宋体"/>
                <w:bCs/>
                <w:color w:val="auto"/>
                <w:sz w:val="24"/>
                <w:highlight w:val="none"/>
              </w:rPr>
              <w:t>每天上班前应注意检查自己的仪表，必要时应到卫生间或工作间整理。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737" w:type="dxa"/>
            <w:vMerge w:val="restart"/>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行  为  举  止</w:t>
            </w:r>
          </w:p>
        </w:tc>
        <w:tc>
          <w:tcPr>
            <w:tcW w:w="2053"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服务态度</w:t>
            </w:r>
          </w:p>
        </w:tc>
        <w:tc>
          <w:tcPr>
            <w:tcW w:w="11777"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1、对客人服务应面带笑容，和颜悦色，热情主动，做到微笑服务</w:t>
            </w:r>
            <w:r>
              <w:rPr>
                <w:rFonts w:hint="eastAsia" w:ascii="新宋体" w:hAnsi="新宋体" w:eastAsia="新宋体" w:cs="新宋体"/>
                <w:bCs/>
                <w:color w:val="auto"/>
                <w:spacing w:val="-3"/>
                <w:sz w:val="24"/>
                <w:highlight w:val="none"/>
              </w:rPr>
              <w:t>；</w:t>
            </w:r>
          </w:p>
          <w:p>
            <w:pPr>
              <w:widowControl/>
              <w:kinsoku w:val="0"/>
              <w:autoSpaceDE w:val="0"/>
              <w:autoSpaceDN w:val="0"/>
              <w:snapToGrid w:val="0"/>
              <w:spacing w:line="360" w:lineRule="auto"/>
              <w:ind w:firstLine="40"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8"/>
                <w:sz w:val="24"/>
                <w:highlight w:val="none"/>
              </w:rPr>
              <w:t>2、</w:t>
            </w:r>
            <w:r>
              <w:rPr>
                <w:rFonts w:hint="eastAsia" w:ascii="新宋体" w:hAnsi="新宋体" w:eastAsia="新宋体" w:cs="新宋体"/>
                <w:bCs/>
                <w:color w:val="auto"/>
                <w:sz w:val="24"/>
                <w:highlight w:val="none"/>
              </w:rPr>
              <w:t>谦虚和悦接受客人的评价，耐心倾听客人的投诉，事后汇报。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3"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行</w:t>
            </w:r>
            <w:r>
              <w:rPr>
                <w:rFonts w:hint="eastAsia" w:ascii="新宋体" w:hAnsi="新宋体" w:eastAsia="新宋体" w:cs="新宋体"/>
                <w:bCs/>
                <w:color w:val="auto"/>
                <w:sz w:val="24"/>
                <w:highlight w:val="none"/>
              </w:rPr>
              <w:t>走姿态</w:t>
            </w:r>
          </w:p>
        </w:tc>
        <w:tc>
          <w:tcPr>
            <w:tcW w:w="11777" w:type="dxa"/>
          </w:tcPr>
          <w:p>
            <w:pPr>
              <w:widowControl/>
              <w:kinsoku w:val="0"/>
              <w:autoSpaceDE w:val="0"/>
              <w:autoSpaceDN w:val="0"/>
              <w:snapToGrid w:val="0"/>
              <w:spacing w:line="360" w:lineRule="auto"/>
              <w:ind w:firstLine="43"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2"/>
                <w:sz w:val="24"/>
                <w:highlight w:val="none"/>
              </w:rPr>
              <w:t>1</w:t>
            </w:r>
            <w:r>
              <w:rPr>
                <w:rFonts w:hint="eastAsia" w:ascii="新宋体" w:hAnsi="新宋体" w:eastAsia="新宋体" w:cs="新宋体"/>
                <w:bCs/>
                <w:color w:val="auto"/>
                <w:spacing w:val="-10"/>
                <w:sz w:val="24"/>
                <w:highlight w:val="none"/>
              </w:rPr>
              <w:t>、</w:t>
            </w:r>
            <w:r>
              <w:rPr>
                <w:rFonts w:hint="eastAsia" w:ascii="新宋体" w:hAnsi="新宋体" w:eastAsia="新宋体" w:cs="新宋体"/>
                <w:bCs/>
                <w:color w:val="auto"/>
                <w:sz w:val="24"/>
                <w:highlight w:val="none"/>
              </w:rPr>
              <w:t>行走时不宜双手抱胸或背手走路；</w:t>
            </w:r>
          </w:p>
          <w:p>
            <w:pPr>
              <w:widowControl/>
              <w:kinsoku w:val="0"/>
              <w:autoSpaceDE w:val="0"/>
              <w:autoSpaceDN w:val="0"/>
              <w:snapToGrid w:val="0"/>
              <w:spacing w:line="360" w:lineRule="auto"/>
              <w:ind w:firstLine="40"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8"/>
                <w:sz w:val="24"/>
                <w:highlight w:val="none"/>
              </w:rPr>
              <w:t>2</w:t>
            </w:r>
            <w:r>
              <w:rPr>
                <w:rFonts w:hint="eastAsia" w:ascii="新宋体" w:hAnsi="新宋体" w:eastAsia="新宋体" w:cs="新宋体"/>
                <w:bCs/>
                <w:color w:val="auto"/>
                <w:spacing w:val="-11"/>
                <w:sz w:val="24"/>
                <w:highlight w:val="none"/>
              </w:rPr>
              <w:t>、</w:t>
            </w:r>
            <w:r>
              <w:rPr>
                <w:rFonts w:hint="eastAsia" w:ascii="新宋体" w:hAnsi="新宋体" w:eastAsia="新宋体" w:cs="新宋体"/>
                <w:bCs/>
                <w:color w:val="auto"/>
                <w:sz w:val="24"/>
                <w:highlight w:val="none"/>
              </w:rPr>
              <w:t>在工作场合与他人同行时，不允许勾肩搭背，不允许同行时嬉戏打闹；</w:t>
            </w:r>
          </w:p>
          <w:p>
            <w:pPr>
              <w:widowControl/>
              <w:kinsoku w:val="0"/>
              <w:autoSpaceDE w:val="0"/>
              <w:autoSpaceDN w:val="0"/>
              <w:snapToGrid w:val="0"/>
              <w:spacing w:line="360" w:lineRule="auto"/>
              <w:ind w:firstLine="45"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6"/>
                <w:sz w:val="24"/>
                <w:highlight w:val="none"/>
              </w:rPr>
              <w:t>3、手</w:t>
            </w:r>
            <w:r>
              <w:rPr>
                <w:rFonts w:hint="eastAsia" w:ascii="新宋体" w:hAnsi="新宋体" w:eastAsia="新宋体" w:cs="新宋体"/>
                <w:bCs/>
                <w:color w:val="auto"/>
                <w:sz w:val="24"/>
                <w:highlight w:val="none"/>
              </w:rPr>
              <w:t>拉货物行走时应注意前方行人或障碍物，尽量靠路右侧行走；</w:t>
            </w:r>
          </w:p>
          <w:p>
            <w:pPr>
              <w:widowControl/>
              <w:kinsoku w:val="0"/>
              <w:autoSpaceDE w:val="0"/>
              <w:autoSpaceDN w:val="0"/>
              <w:snapToGrid w:val="0"/>
              <w:spacing w:line="360" w:lineRule="auto"/>
              <w:ind w:firstLine="40"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20"/>
                <w:sz w:val="24"/>
                <w:highlight w:val="none"/>
              </w:rPr>
              <w:t>4</w:t>
            </w:r>
            <w:r>
              <w:rPr>
                <w:rFonts w:hint="eastAsia" w:ascii="新宋体" w:hAnsi="新宋体" w:eastAsia="新宋体" w:cs="新宋体"/>
                <w:bCs/>
                <w:color w:val="auto"/>
                <w:spacing w:val="-13"/>
                <w:sz w:val="24"/>
                <w:highlight w:val="none"/>
              </w:rPr>
              <w:t>、</w:t>
            </w:r>
            <w:r>
              <w:rPr>
                <w:rFonts w:hint="eastAsia" w:ascii="新宋体" w:hAnsi="新宋体" w:eastAsia="新宋体" w:cs="新宋体"/>
                <w:bCs/>
                <w:color w:val="auto"/>
                <w:sz w:val="24"/>
                <w:highlight w:val="none"/>
              </w:rPr>
              <w:t>与客户相遇时，应主动点头示意。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3"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坐立姿态</w:t>
            </w:r>
          </w:p>
        </w:tc>
        <w:tc>
          <w:tcPr>
            <w:tcW w:w="11777" w:type="dxa"/>
          </w:tcPr>
          <w:p>
            <w:pPr>
              <w:widowControl/>
              <w:kinsoku w:val="0"/>
              <w:autoSpaceDE w:val="0"/>
              <w:autoSpaceDN w:val="0"/>
              <w:snapToGrid w:val="0"/>
              <w:spacing w:line="360" w:lineRule="auto"/>
              <w:ind w:firstLine="43"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2"/>
                <w:sz w:val="24"/>
                <w:highlight w:val="none"/>
              </w:rPr>
              <w:t>1、入</w:t>
            </w:r>
            <w:r>
              <w:rPr>
                <w:rFonts w:hint="eastAsia" w:ascii="新宋体" w:hAnsi="新宋体" w:eastAsia="新宋体" w:cs="新宋体"/>
                <w:bCs/>
                <w:color w:val="auto"/>
                <w:spacing w:val="-8"/>
                <w:sz w:val="24"/>
                <w:highlight w:val="none"/>
              </w:rPr>
              <w:t>坐</w:t>
            </w:r>
            <w:r>
              <w:rPr>
                <w:rFonts w:hint="eastAsia" w:ascii="新宋体" w:hAnsi="新宋体" w:eastAsia="新宋体" w:cs="新宋体"/>
                <w:bCs/>
                <w:color w:val="auto"/>
                <w:sz w:val="24"/>
                <w:highlight w:val="none"/>
              </w:rPr>
              <w:t>要轻缓，就坐时姿态要端正，上身要直，腰部挺起，双膝并拢，手自然放在双膝上，面带笑容；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37" w:type="dxa"/>
            <w:vMerge w:val="restart"/>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1781"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2、坐在椅子上不允许前俯后仰、摇腿跷脚或趴在工作台上或把脚放于工作台</w:t>
            </w:r>
            <w:r>
              <w:rPr>
                <w:rFonts w:hint="eastAsia" w:ascii="新宋体" w:hAnsi="新宋体" w:eastAsia="新宋体" w:cs="新宋体"/>
                <w:bCs/>
                <w:color w:val="auto"/>
                <w:spacing w:val="-1"/>
                <w:sz w:val="24"/>
                <w:highlight w:val="none"/>
              </w:rPr>
              <w:t>上</w:t>
            </w:r>
            <w:r>
              <w:rPr>
                <w:rFonts w:hint="eastAsia" w:ascii="新宋体" w:hAnsi="新宋体" w:eastAsia="新宋体" w:cs="新宋体"/>
                <w:bCs/>
                <w:color w:val="auto"/>
                <w:sz w:val="24"/>
                <w:highlight w:val="none"/>
              </w:rPr>
              <w:t>；</w:t>
            </w:r>
          </w:p>
          <w:p>
            <w:pPr>
              <w:widowControl/>
              <w:kinsoku w:val="0"/>
              <w:autoSpaceDE w:val="0"/>
              <w:autoSpaceDN w:val="0"/>
              <w:snapToGrid w:val="0"/>
              <w:spacing w:line="360" w:lineRule="auto"/>
              <w:ind w:firstLine="42"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4"/>
                <w:sz w:val="24"/>
                <w:highlight w:val="none"/>
              </w:rPr>
              <w:t>3、站</w:t>
            </w:r>
            <w:r>
              <w:rPr>
                <w:rFonts w:hint="eastAsia" w:ascii="新宋体" w:hAnsi="新宋体" w:eastAsia="新宋体" w:cs="新宋体"/>
                <w:bCs/>
                <w:color w:val="auto"/>
                <w:spacing w:val="-10"/>
                <w:sz w:val="24"/>
                <w:highlight w:val="none"/>
              </w:rPr>
              <w:t>立</w:t>
            </w:r>
            <w:r>
              <w:rPr>
                <w:rFonts w:hint="eastAsia" w:ascii="新宋体" w:hAnsi="新宋体" w:eastAsia="新宋体" w:cs="新宋体"/>
                <w:bCs/>
                <w:color w:val="auto"/>
                <w:sz w:val="24"/>
                <w:highlight w:val="none"/>
              </w:rPr>
              <w:t>时姿态要端正，上身要直，人体重心要稳，腰部挺起，双手自然下坠，双脚并拢，目光平视，面带笑容。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737" w:type="dxa"/>
            <w:vMerge w:val="continue"/>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其</w:t>
            </w:r>
            <w:r>
              <w:rPr>
                <w:rFonts w:hint="eastAsia" w:ascii="新宋体" w:hAnsi="新宋体" w:eastAsia="新宋体" w:cs="新宋体"/>
                <w:bCs/>
                <w:color w:val="auto"/>
                <w:sz w:val="24"/>
                <w:highlight w:val="none"/>
              </w:rPr>
              <w:t>他行为</w:t>
            </w:r>
          </w:p>
        </w:tc>
        <w:tc>
          <w:tcPr>
            <w:tcW w:w="11781" w:type="dxa"/>
          </w:tcPr>
          <w:p>
            <w:pPr>
              <w:widowControl/>
              <w:kinsoku w:val="0"/>
              <w:autoSpaceDE w:val="0"/>
              <w:autoSpaceDN w:val="0"/>
              <w:snapToGrid w:val="0"/>
              <w:spacing w:line="360" w:lineRule="auto"/>
              <w:ind w:firstLine="45"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6"/>
                <w:sz w:val="24"/>
                <w:highlight w:val="none"/>
              </w:rPr>
              <w:t>1、要注意</w:t>
            </w:r>
            <w:r>
              <w:rPr>
                <w:rFonts w:hint="eastAsia" w:ascii="新宋体" w:hAnsi="新宋体" w:eastAsia="新宋体" w:cs="新宋体"/>
                <w:bCs/>
                <w:color w:val="auto"/>
                <w:sz w:val="24"/>
                <w:highlight w:val="none"/>
              </w:rPr>
              <w:t>个人形象，不允许随地吐痰，乱扔果皮、纸屑；上班时间不允许吃零食，玩弄个人小物品或做与工作无关的事情；</w:t>
            </w:r>
          </w:p>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2</w:t>
            </w:r>
            <w:r>
              <w:rPr>
                <w:rFonts w:hint="eastAsia" w:ascii="新宋体" w:hAnsi="新宋体" w:eastAsia="新宋体" w:cs="新宋体"/>
                <w:bCs/>
                <w:color w:val="auto"/>
                <w:sz w:val="24"/>
                <w:highlight w:val="none"/>
              </w:rPr>
              <w:t>、到公共、工作场所（或客户处）进行工作时，不允许乱翻乱摸，更不允许随意拿走公用的（或客户的）东西；</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3、谈话时，手势不宜过多，幅度不宜太大</w:t>
            </w:r>
            <w:r>
              <w:rPr>
                <w:rFonts w:hint="eastAsia" w:ascii="新宋体" w:hAnsi="新宋体" w:eastAsia="新宋体" w:cs="新宋体"/>
                <w:bCs/>
                <w:color w:val="auto"/>
                <w:spacing w:val="-2"/>
                <w:sz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restart"/>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礼貌用语</w:t>
            </w: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问候语</w:t>
            </w:r>
          </w:p>
        </w:tc>
        <w:tc>
          <w:tcPr>
            <w:tcW w:w="11781"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您好、早安、午安、早、早上好、下午好、晚上好、路上辛苦了。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欢</w:t>
            </w:r>
            <w:r>
              <w:rPr>
                <w:rFonts w:hint="eastAsia" w:ascii="新宋体" w:hAnsi="新宋体" w:eastAsia="新宋体" w:cs="新宋体"/>
                <w:bCs/>
                <w:color w:val="auto"/>
                <w:sz w:val="24"/>
                <w:highlight w:val="none"/>
              </w:rPr>
              <w:t>迎语</w:t>
            </w:r>
          </w:p>
        </w:tc>
        <w:tc>
          <w:tcPr>
            <w:tcW w:w="11781" w:type="dxa"/>
          </w:tcPr>
          <w:p>
            <w:pPr>
              <w:widowControl/>
              <w:kinsoku w:val="0"/>
              <w:autoSpaceDE w:val="0"/>
              <w:autoSpaceDN w:val="0"/>
              <w:snapToGrid w:val="0"/>
              <w:spacing w:line="360" w:lineRule="auto"/>
              <w:ind w:firstLine="44"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8"/>
                <w:sz w:val="24"/>
                <w:highlight w:val="none"/>
              </w:rPr>
              <w:t>欢</w:t>
            </w:r>
            <w:r>
              <w:rPr>
                <w:rFonts w:hint="eastAsia" w:ascii="新宋体" w:hAnsi="新宋体" w:eastAsia="新宋体" w:cs="新宋体"/>
                <w:bCs/>
                <w:color w:val="auto"/>
                <w:sz w:val="24"/>
                <w:highlight w:val="none"/>
              </w:rPr>
              <w:t>迎光临、欢迎您来XX单位。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祝贺语</w:t>
            </w:r>
          </w:p>
        </w:tc>
        <w:tc>
          <w:tcPr>
            <w:tcW w:w="11781" w:type="dxa"/>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祝您节</w:t>
            </w:r>
            <w:r>
              <w:rPr>
                <w:rFonts w:hint="eastAsia" w:ascii="新宋体" w:hAnsi="新宋体" w:eastAsia="新宋体" w:cs="新宋体"/>
                <w:bCs/>
                <w:color w:val="auto"/>
                <w:sz w:val="24"/>
                <w:highlight w:val="none"/>
              </w:rPr>
              <w:t>日愉快、祝您新年快乐、祝您新春快乐。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告别语</w:t>
            </w:r>
          </w:p>
        </w:tc>
        <w:tc>
          <w:tcPr>
            <w:tcW w:w="11781" w:type="dxa"/>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再见、晚安</w:t>
            </w:r>
            <w:r>
              <w:rPr>
                <w:rFonts w:hint="eastAsia" w:ascii="新宋体" w:hAnsi="新宋体" w:eastAsia="新宋体" w:cs="新宋体"/>
                <w:bCs/>
                <w:color w:val="auto"/>
                <w:sz w:val="24"/>
                <w:highlight w:val="none"/>
              </w:rPr>
              <w:t>、明天见、祝您一路平安。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道歉语</w:t>
            </w:r>
          </w:p>
        </w:tc>
        <w:tc>
          <w:tcPr>
            <w:tcW w:w="11781" w:type="dxa"/>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对不起</w:t>
            </w:r>
            <w:r>
              <w:rPr>
                <w:rFonts w:hint="eastAsia" w:ascii="新宋体" w:hAnsi="新宋体" w:eastAsia="新宋体" w:cs="新宋体"/>
                <w:bCs/>
                <w:color w:val="auto"/>
                <w:sz w:val="24"/>
                <w:highlight w:val="none"/>
              </w:rPr>
              <w:t>、请原谅、打扰您了、失礼了。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道谢语</w:t>
            </w:r>
          </w:p>
        </w:tc>
        <w:tc>
          <w:tcPr>
            <w:tcW w:w="11781"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谢谢、非常感谢。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应答语</w:t>
            </w:r>
          </w:p>
        </w:tc>
        <w:tc>
          <w:tcPr>
            <w:tcW w:w="11781"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是的、好的、我明白了、谢谢您的好意、不要客气、没关系、这是我应该做的。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征询语</w:t>
            </w:r>
          </w:p>
        </w:tc>
        <w:tc>
          <w:tcPr>
            <w:tcW w:w="11781"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请问您有什么事？我能为您做什么吗？需要我帮您做什么吗？您有别的事吗？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请求语</w:t>
            </w:r>
          </w:p>
        </w:tc>
        <w:tc>
          <w:tcPr>
            <w:tcW w:w="11781" w:type="dxa"/>
          </w:tcPr>
          <w:p>
            <w:pPr>
              <w:widowControl/>
              <w:kinsoku w:val="0"/>
              <w:autoSpaceDE w:val="0"/>
              <w:autoSpaceDN w:val="0"/>
              <w:snapToGrid w:val="0"/>
              <w:spacing w:line="360" w:lineRule="auto"/>
              <w:ind w:firstLine="45"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6"/>
                <w:sz w:val="24"/>
                <w:highlight w:val="none"/>
              </w:rPr>
              <w:t>请您协</w:t>
            </w:r>
            <w:r>
              <w:rPr>
                <w:rFonts w:hint="eastAsia" w:ascii="新宋体" w:hAnsi="新宋体" w:eastAsia="新宋体" w:cs="新宋体"/>
                <w:bCs/>
                <w:color w:val="auto"/>
                <w:sz w:val="24"/>
                <w:highlight w:val="none"/>
              </w:rPr>
              <w:t>助我们……、请您……好吗？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2"/>
                <w:sz w:val="24"/>
                <w:highlight w:val="none"/>
              </w:rPr>
              <w:t>商</w:t>
            </w:r>
            <w:r>
              <w:rPr>
                <w:rFonts w:hint="eastAsia" w:ascii="新宋体" w:hAnsi="新宋体" w:eastAsia="新宋体" w:cs="新宋体"/>
                <w:bCs/>
                <w:color w:val="auto"/>
                <w:sz w:val="24"/>
                <w:highlight w:val="none"/>
              </w:rPr>
              <w:t>量语</w:t>
            </w:r>
          </w:p>
        </w:tc>
        <w:tc>
          <w:tcPr>
            <w:tcW w:w="11781" w:type="dxa"/>
          </w:tcPr>
          <w:p>
            <w:pPr>
              <w:widowControl/>
              <w:kinsoku w:val="0"/>
              <w:autoSpaceDE w:val="0"/>
              <w:autoSpaceDN w:val="0"/>
              <w:snapToGrid w:val="0"/>
              <w:spacing w:line="360" w:lineRule="auto"/>
              <w:ind w:firstLine="45"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6"/>
                <w:sz w:val="24"/>
                <w:highlight w:val="none"/>
              </w:rPr>
              <w:t>……您看</w:t>
            </w:r>
            <w:r>
              <w:rPr>
                <w:rFonts w:hint="eastAsia" w:ascii="新宋体" w:hAnsi="新宋体" w:eastAsia="新宋体" w:cs="新宋体"/>
                <w:bCs/>
                <w:color w:val="auto"/>
                <w:sz w:val="24"/>
                <w:highlight w:val="none"/>
              </w:rPr>
              <w:t>这样好不好？……您看这样可以吗？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054"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解</w:t>
            </w:r>
            <w:r>
              <w:rPr>
                <w:rFonts w:hint="eastAsia" w:ascii="新宋体" w:hAnsi="新宋体" w:eastAsia="新宋体" w:cs="新宋体"/>
                <w:bCs/>
                <w:color w:val="auto"/>
                <w:sz w:val="24"/>
                <w:highlight w:val="none"/>
              </w:rPr>
              <w:t>释语</w:t>
            </w:r>
          </w:p>
        </w:tc>
        <w:tc>
          <w:tcPr>
            <w:tcW w:w="11781" w:type="dxa"/>
          </w:tcPr>
          <w:p>
            <w:pPr>
              <w:widowControl/>
              <w:kinsoku w:val="0"/>
              <w:autoSpaceDE w:val="0"/>
              <w:autoSpaceDN w:val="0"/>
              <w:snapToGrid w:val="0"/>
              <w:spacing w:line="360" w:lineRule="auto"/>
              <w:ind w:firstLine="44"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0"/>
                <w:sz w:val="24"/>
                <w:highlight w:val="none"/>
              </w:rPr>
              <w:t>很抱</w:t>
            </w:r>
            <w:r>
              <w:rPr>
                <w:rFonts w:hint="eastAsia" w:ascii="新宋体" w:hAnsi="新宋体" w:eastAsia="新宋体" w:cs="新宋体"/>
                <w:bCs/>
                <w:color w:val="auto"/>
                <w:sz w:val="24"/>
                <w:highlight w:val="none"/>
              </w:rPr>
              <w:t>歉，这种情况，单位的规定是这样的。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2" w:hRule="atLeast"/>
        </w:trPr>
        <w:tc>
          <w:tcPr>
            <w:tcW w:w="737" w:type="dxa"/>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对来访人员</w:t>
            </w:r>
          </w:p>
        </w:tc>
        <w:tc>
          <w:tcPr>
            <w:tcW w:w="13835" w:type="dxa"/>
            <w:gridSpan w:val="2"/>
          </w:tcPr>
          <w:p>
            <w:pPr>
              <w:widowControl/>
              <w:kinsoku w:val="0"/>
              <w:autoSpaceDE w:val="0"/>
              <w:autoSpaceDN w:val="0"/>
              <w:snapToGrid w:val="0"/>
              <w:spacing w:line="360" w:lineRule="auto"/>
              <w:ind w:firstLine="46"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4"/>
                <w:sz w:val="24"/>
                <w:highlight w:val="none"/>
              </w:rPr>
              <w:t>1.主动说：“您好，请问您</w:t>
            </w:r>
            <w:r>
              <w:rPr>
                <w:rFonts w:hint="eastAsia" w:ascii="新宋体" w:hAnsi="新宋体" w:eastAsia="新宋体" w:cs="新宋体"/>
                <w:bCs/>
                <w:color w:val="auto"/>
                <w:spacing w:val="-3"/>
                <w:sz w:val="24"/>
                <w:highlight w:val="none"/>
              </w:rPr>
              <w:t>找</w:t>
            </w:r>
            <w:r>
              <w:rPr>
                <w:rFonts w:hint="eastAsia" w:ascii="新宋体" w:hAnsi="新宋体" w:eastAsia="新宋体" w:cs="新宋体"/>
                <w:bCs/>
                <w:color w:val="auto"/>
                <w:sz w:val="24"/>
                <w:highlight w:val="none"/>
              </w:rPr>
              <w:t>哪一位”或“我可以帮助您吗？”“请您出示证件。”（保安专用）</w:t>
            </w:r>
          </w:p>
          <w:p>
            <w:pPr>
              <w:widowControl/>
              <w:kinsoku w:val="0"/>
              <w:autoSpaceDE w:val="0"/>
              <w:autoSpaceDN w:val="0"/>
              <w:snapToGrid w:val="0"/>
              <w:spacing w:line="360" w:lineRule="auto"/>
              <w:ind w:firstLine="42"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4"/>
                <w:sz w:val="24"/>
                <w:highlight w:val="none"/>
              </w:rPr>
              <w:t>2.</w:t>
            </w:r>
            <w:r>
              <w:rPr>
                <w:rFonts w:hint="eastAsia" w:ascii="新宋体" w:hAnsi="新宋体" w:eastAsia="新宋体" w:cs="新宋体"/>
                <w:bCs/>
                <w:color w:val="auto"/>
                <w:spacing w:val="-8"/>
                <w:sz w:val="24"/>
                <w:highlight w:val="none"/>
              </w:rPr>
              <w:t>确</w:t>
            </w:r>
            <w:r>
              <w:rPr>
                <w:rFonts w:hint="eastAsia" w:ascii="新宋体" w:hAnsi="新宋体" w:eastAsia="新宋体" w:cs="新宋体"/>
                <w:bCs/>
                <w:color w:val="auto"/>
                <w:sz w:val="24"/>
                <w:highlight w:val="none"/>
              </w:rPr>
              <w:t>认来访人要求后，说“请稍等，我帮您联系”与被访人联系后告诉来访人“他马上来，请您先等一下，好吗？”</w:t>
            </w:r>
          </w:p>
          <w:p>
            <w:pPr>
              <w:widowControl/>
              <w:kinsoku w:val="0"/>
              <w:autoSpaceDE w:val="0"/>
              <w:autoSpaceDN w:val="0"/>
              <w:snapToGrid w:val="0"/>
              <w:spacing w:line="360" w:lineRule="auto"/>
              <w:ind w:firstLine="44"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8"/>
                <w:sz w:val="24"/>
                <w:highlight w:val="none"/>
              </w:rPr>
              <w:t>3.当</w:t>
            </w:r>
            <w:r>
              <w:rPr>
                <w:rFonts w:hint="eastAsia" w:ascii="新宋体" w:hAnsi="新宋体" w:eastAsia="新宋体" w:cs="新宋体"/>
                <w:bCs/>
                <w:color w:val="auto"/>
                <w:sz w:val="24"/>
                <w:highlight w:val="none"/>
              </w:rPr>
              <w:t>来访人员不理解或不愿意出示证件时，应说：“对不起，先生/小姐，这是单位规定，请理解！”（保安专用）。</w:t>
            </w:r>
          </w:p>
          <w:p>
            <w:pPr>
              <w:widowControl/>
              <w:kinsoku w:val="0"/>
              <w:autoSpaceDE w:val="0"/>
              <w:autoSpaceDN w:val="0"/>
              <w:snapToGrid w:val="0"/>
              <w:spacing w:line="360" w:lineRule="auto"/>
              <w:ind w:firstLine="41"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6"/>
                <w:sz w:val="24"/>
                <w:highlight w:val="none"/>
              </w:rPr>
              <w:t>4.</w:t>
            </w:r>
            <w:r>
              <w:rPr>
                <w:rFonts w:hint="eastAsia" w:ascii="新宋体" w:hAnsi="新宋体" w:eastAsia="新宋体" w:cs="新宋体"/>
                <w:bCs/>
                <w:color w:val="auto"/>
                <w:spacing w:val="-12"/>
                <w:sz w:val="24"/>
                <w:highlight w:val="none"/>
              </w:rPr>
              <w:t>当</w:t>
            </w:r>
            <w:r>
              <w:rPr>
                <w:rFonts w:hint="eastAsia" w:ascii="新宋体" w:hAnsi="新宋体" w:eastAsia="新宋体" w:cs="新宋体"/>
                <w:bCs/>
                <w:color w:val="auto"/>
                <w:sz w:val="24"/>
                <w:highlight w:val="none"/>
              </w:rPr>
              <w:t>来访人员忘记带证件必须进入区域时，应说：“先生/小姐，请稍候，让我请示一下好吗？”</w:t>
            </w:r>
          </w:p>
          <w:p>
            <w:pPr>
              <w:widowControl/>
              <w:kinsoku w:val="0"/>
              <w:autoSpaceDE w:val="0"/>
              <w:autoSpaceDN w:val="0"/>
              <w:snapToGrid w:val="0"/>
              <w:spacing w:line="360" w:lineRule="auto"/>
              <w:ind w:firstLine="43"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2"/>
                <w:sz w:val="24"/>
                <w:highlight w:val="none"/>
              </w:rPr>
              <w:t>5.当确认来访</w:t>
            </w:r>
            <w:r>
              <w:rPr>
                <w:rFonts w:hint="eastAsia" w:ascii="新宋体" w:hAnsi="新宋体" w:eastAsia="新宋体" w:cs="新宋体"/>
                <w:bCs/>
                <w:color w:val="auto"/>
                <w:sz w:val="24"/>
                <w:highlight w:val="none"/>
              </w:rPr>
              <w:t>人故意捣乱，耍横硬闯时，应先说：“对不起，按单位的规定，没有证件不允许进入办公区，请配合我的工作。”</w:t>
            </w:r>
          </w:p>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6.当来访人</w:t>
            </w:r>
            <w:r>
              <w:rPr>
                <w:rFonts w:hint="eastAsia" w:ascii="新宋体" w:hAnsi="新宋体" w:eastAsia="新宋体" w:cs="新宋体"/>
                <w:bCs/>
                <w:color w:val="auto"/>
                <w:sz w:val="24"/>
                <w:highlight w:val="none"/>
              </w:rPr>
              <w:t>员出示证件时，应说：“谢谢您的配合。”</w:t>
            </w:r>
          </w:p>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7.如</w:t>
            </w:r>
            <w:r>
              <w:rPr>
                <w:rFonts w:hint="eastAsia" w:ascii="新宋体" w:hAnsi="新宋体" w:eastAsia="新宋体" w:cs="新宋体"/>
                <w:bCs/>
                <w:color w:val="auto"/>
                <w:sz w:val="24"/>
                <w:highlight w:val="none"/>
              </w:rPr>
              <w:t>果要找的人不在或不想见时，应礼貌地对对方说“对不起，他现在不在，您能留下卡片或口信吗？”</w:t>
            </w:r>
          </w:p>
          <w:p>
            <w:pPr>
              <w:widowControl/>
              <w:kinsoku w:val="0"/>
              <w:autoSpaceDE w:val="0"/>
              <w:autoSpaceDN w:val="0"/>
              <w:snapToGrid w:val="0"/>
              <w:spacing w:line="360" w:lineRule="auto"/>
              <w:ind w:firstLine="44" w:firstLineChars="20"/>
              <w:jc w:val="left"/>
              <w:textAlignment w:val="baseline"/>
              <w:rPr>
                <w:rFonts w:ascii="新宋体" w:hAnsi="新宋体" w:eastAsia="新宋体" w:cs="新宋体"/>
                <w:bCs/>
                <w:color w:val="auto"/>
                <w:spacing w:val="-8"/>
                <w:sz w:val="24"/>
                <w:highlight w:val="none"/>
              </w:rPr>
            </w:pPr>
            <w:r>
              <w:rPr>
                <w:rFonts w:hint="eastAsia" w:ascii="新宋体" w:hAnsi="新宋体" w:eastAsia="新宋体" w:cs="新宋体"/>
                <w:bCs/>
                <w:color w:val="auto"/>
                <w:spacing w:val="-8"/>
                <w:sz w:val="24"/>
                <w:highlight w:val="none"/>
              </w:rPr>
              <w:t>8.当</w:t>
            </w:r>
            <w:r>
              <w:rPr>
                <w:rFonts w:hint="eastAsia" w:ascii="新宋体" w:hAnsi="新宋体" w:eastAsia="新宋体" w:cs="新宋体"/>
                <w:bCs/>
                <w:color w:val="auto"/>
                <w:spacing w:val="-5"/>
                <w:sz w:val="24"/>
                <w:highlight w:val="none"/>
              </w:rPr>
              <w:t>来</w:t>
            </w:r>
            <w:r>
              <w:rPr>
                <w:rFonts w:hint="eastAsia" w:ascii="新宋体" w:hAnsi="新宋体" w:eastAsia="新宋体" w:cs="新宋体"/>
                <w:bCs/>
                <w:color w:val="auto"/>
                <w:sz w:val="24"/>
                <w:highlight w:val="none"/>
              </w:rPr>
              <w:t>访人员离开时，应礼貌地说“再见！”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8" w:hRule="atLeast"/>
        </w:trPr>
        <w:tc>
          <w:tcPr>
            <w:tcW w:w="737" w:type="dxa"/>
            <w:textDirection w:val="tbRlV"/>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接听拨打电</w:t>
            </w:r>
            <w:r>
              <w:rPr>
                <w:rFonts w:hint="eastAsia" w:ascii="新宋体" w:hAnsi="新宋体" w:eastAsia="新宋体" w:cs="新宋体"/>
                <w:bCs/>
                <w:color w:val="auto"/>
                <w:spacing w:val="1"/>
                <w:sz w:val="24"/>
                <w:highlight w:val="none"/>
              </w:rPr>
              <w:t>话</w:t>
            </w:r>
          </w:p>
        </w:tc>
        <w:tc>
          <w:tcPr>
            <w:tcW w:w="13835" w:type="dxa"/>
            <w:gridSpan w:val="2"/>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1.接听电话时应清晰应答：“您好，××单位。</w:t>
            </w:r>
            <w:r>
              <w:rPr>
                <w:rFonts w:hint="eastAsia" w:ascii="新宋体" w:hAnsi="新宋体" w:eastAsia="新宋体" w:cs="新宋体"/>
                <w:bCs/>
                <w:color w:val="auto"/>
                <w:spacing w:val="-1"/>
                <w:sz w:val="24"/>
                <w:highlight w:val="none"/>
              </w:rPr>
              <w:t>”</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2.认真倾听对方的电话事由，若需传呼他人，应请对方稍候，然后轻轻搁下电话，去传呼他人：如对方有公事相告时，应将对方要求逐条记录</w:t>
            </w:r>
            <w:r>
              <w:rPr>
                <w:rFonts w:hint="eastAsia" w:ascii="新宋体" w:hAnsi="新宋体" w:eastAsia="新宋体" w:cs="新宋体"/>
                <w:bCs/>
                <w:color w:val="auto"/>
                <w:spacing w:val="-3"/>
                <w:sz w:val="24"/>
                <w:highlight w:val="none"/>
              </w:rPr>
              <w:t>在</w:t>
            </w:r>
            <w:r>
              <w:rPr>
                <w:rFonts w:hint="eastAsia" w:ascii="新宋体" w:hAnsi="新宋体" w:eastAsia="新宋体" w:cs="新宋体"/>
                <w:bCs/>
                <w:color w:val="auto"/>
                <w:sz w:val="24"/>
                <w:highlight w:val="none"/>
              </w:rPr>
              <w:t>《工</w:t>
            </w:r>
            <w:r>
              <w:rPr>
                <w:rFonts w:hint="eastAsia" w:ascii="新宋体" w:hAnsi="新宋体" w:eastAsia="新宋体" w:cs="新宋体"/>
                <w:bCs/>
                <w:color w:val="auto"/>
                <w:spacing w:val="-2"/>
                <w:sz w:val="24"/>
                <w:highlight w:val="none"/>
              </w:rPr>
              <w:t>作日记》内，并尽量详细回</w:t>
            </w:r>
            <w:r>
              <w:rPr>
                <w:rFonts w:hint="eastAsia" w:ascii="新宋体" w:hAnsi="新宋体" w:eastAsia="新宋体" w:cs="新宋体"/>
                <w:bCs/>
                <w:color w:val="auto"/>
                <w:spacing w:val="-1"/>
                <w:sz w:val="24"/>
                <w:highlight w:val="none"/>
              </w:rPr>
              <w:t>答。</w:t>
            </w:r>
          </w:p>
          <w:p>
            <w:pPr>
              <w:widowControl/>
              <w:kinsoku w:val="0"/>
              <w:autoSpaceDE w:val="0"/>
              <w:autoSpaceDN w:val="0"/>
              <w:snapToGrid w:val="0"/>
              <w:spacing w:line="360" w:lineRule="auto"/>
              <w:ind w:firstLine="42"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4"/>
                <w:sz w:val="24"/>
                <w:highlight w:val="none"/>
              </w:rPr>
              <w:t>3</w:t>
            </w:r>
            <w:r>
              <w:rPr>
                <w:rFonts w:hint="eastAsia" w:ascii="新宋体" w:hAnsi="新宋体" w:eastAsia="新宋体" w:cs="新宋体"/>
                <w:bCs/>
                <w:color w:val="auto"/>
                <w:spacing w:val="-13"/>
                <w:sz w:val="24"/>
                <w:highlight w:val="none"/>
              </w:rPr>
              <w:t>.</w:t>
            </w:r>
            <w:r>
              <w:rPr>
                <w:rFonts w:hint="eastAsia" w:ascii="新宋体" w:hAnsi="新宋体" w:eastAsia="新宋体" w:cs="新宋体"/>
                <w:bCs/>
                <w:color w:val="auto"/>
                <w:sz w:val="24"/>
                <w:highlight w:val="none"/>
              </w:rPr>
              <w:t>通话完毕，应说：“谢谢，再见！”语气平和，并在对方放下电话后再轻轻放下电话。</w:t>
            </w:r>
          </w:p>
          <w:p>
            <w:pPr>
              <w:widowControl/>
              <w:kinsoku w:val="0"/>
              <w:autoSpaceDE w:val="0"/>
              <w:autoSpaceDN w:val="0"/>
              <w:snapToGrid w:val="0"/>
              <w:spacing w:line="360" w:lineRule="auto"/>
              <w:ind w:firstLine="41"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6"/>
                <w:sz w:val="24"/>
                <w:highlight w:val="none"/>
              </w:rPr>
              <w:t>4.如</w:t>
            </w:r>
            <w:r>
              <w:rPr>
                <w:rFonts w:hint="eastAsia" w:ascii="新宋体" w:hAnsi="新宋体" w:eastAsia="新宋体" w:cs="新宋体"/>
                <w:bCs/>
                <w:color w:val="auto"/>
                <w:spacing w:val="-13"/>
                <w:sz w:val="24"/>
                <w:highlight w:val="none"/>
              </w:rPr>
              <w:t>接</w:t>
            </w:r>
            <w:r>
              <w:rPr>
                <w:rFonts w:hint="eastAsia" w:ascii="新宋体" w:hAnsi="新宋体" w:eastAsia="新宋体" w:cs="新宋体"/>
                <w:bCs/>
                <w:color w:val="auto"/>
                <w:sz w:val="24"/>
                <w:highlight w:val="none"/>
              </w:rPr>
              <w:t>电话听不懂对方语言时，应说：“对不起，请您用普通话，好吗？”或“不好意思，请稍候，我不会说当地话。”</w:t>
            </w:r>
          </w:p>
          <w:p>
            <w:pPr>
              <w:widowControl/>
              <w:kinsoku w:val="0"/>
              <w:autoSpaceDE w:val="0"/>
              <w:autoSpaceDN w:val="0"/>
              <w:snapToGrid w:val="0"/>
              <w:spacing w:line="360" w:lineRule="auto"/>
              <w:ind w:firstLine="45"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6"/>
                <w:sz w:val="24"/>
                <w:highlight w:val="none"/>
              </w:rPr>
              <w:t>5.中途若遇急事需暂时中</w:t>
            </w:r>
            <w:r>
              <w:rPr>
                <w:rFonts w:hint="eastAsia" w:ascii="新宋体" w:hAnsi="新宋体" w:eastAsia="新宋体" w:cs="新宋体"/>
                <w:bCs/>
                <w:color w:val="auto"/>
                <w:spacing w:val="-5"/>
                <w:sz w:val="24"/>
                <w:highlight w:val="none"/>
              </w:rPr>
              <w:t>断</w:t>
            </w:r>
            <w:r>
              <w:rPr>
                <w:rFonts w:hint="eastAsia" w:ascii="新宋体" w:hAnsi="新宋体" w:eastAsia="新宋体" w:cs="新宋体"/>
                <w:bCs/>
                <w:color w:val="auto"/>
                <w:sz w:val="24"/>
                <w:highlight w:val="none"/>
              </w:rPr>
              <w:t>与对方通话时，应先征得对方的同意，并表示感谢，恢复与对方通话时，切勿忘记向对方致歉。</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6.接听电话时，声调要自然清晰、柔和、亲切，音量要适宜，以免对方听不清楚。</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7.拨打电话接通后，应首先向对方致以问候，如：“您好”，并作自我介绍。使用敬语，将要找的通话人姓名及要做的事交待清</w:t>
            </w:r>
            <w:r>
              <w:rPr>
                <w:rFonts w:hint="eastAsia" w:ascii="新宋体" w:hAnsi="新宋体" w:eastAsia="新宋体" w:cs="新宋体"/>
                <w:bCs/>
                <w:color w:val="auto"/>
                <w:spacing w:val="-7"/>
                <w:sz w:val="24"/>
                <w:highlight w:val="none"/>
              </w:rPr>
              <w:t>楚</w:t>
            </w:r>
            <w:r>
              <w:rPr>
                <w:rFonts w:hint="eastAsia" w:ascii="新宋体" w:hAnsi="新宋体" w:eastAsia="新宋体" w:cs="新宋体"/>
                <w:bCs/>
                <w:color w:val="auto"/>
                <w:sz w:val="24"/>
                <w:highlight w:val="none"/>
              </w:rPr>
              <w:t>。</w:t>
            </w:r>
          </w:p>
          <w:p>
            <w:pPr>
              <w:widowControl/>
              <w:kinsoku w:val="0"/>
              <w:autoSpaceDE w:val="0"/>
              <w:autoSpaceDN w:val="0"/>
              <w:snapToGrid w:val="0"/>
              <w:spacing w:line="360" w:lineRule="auto"/>
              <w:ind w:firstLine="39"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22"/>
                <w:sz w:val="24"/>
                <w:highlight w:val="none"/>
              </w:rPr>
              <w:t>8</w:t>
            </w:r>
            <w:r>
              <w:rPr>
                <w:rFonts w:hint="eastAsia" w:ascii="新宋体" w:hAnsi="新宋体" w:eastAsia="新宋体" w:cs="新宋体"/>
                <w:bCs/>
                <w:color w:val="auto"/>
                <w:sz w:val="24"/>
                <w:highlight w:val="none"/>
              </w:rPr>
              <w:t>.通话完毕时，应说：“谢谢，再见。”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737" w:type="dxa"/>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同</w:t>
            </w:r>
            <w:r>
              <w:rPr>
                <w:rFonts w:hint="eastAsia" w:ascii="新宋体" w:hAnsi="新宋体" w:eastAsia="新宋体" w:cs="新宋体"/>
                <w:bCs/>
                <w:color w:val="auto"/>
                <w:spacing w:val="-2"/>
                <w:sz w:val="24"/>
                <w:highlight w:val="none"/>
              </w:rPr>
              <w:t>乘</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电</w:t>
            </w:r>
            <w:r>
              <w:rPr>
                <w:rFonts w:hint="eastAsia" w:ascii="新宋体" w:hAnsi="新宋体" w:eastAsia="新宋体" w:cs="新宋体"/>
                <w:bCs/>
                <w:color w:val="auto"/>
                <w:spacing w:val="-2"/>
                <w:sz w:val="24"/>
                <w:highlight w:val="none"/>
              </w:rPr>
              <w:t>梯</w:t>
            </w:r>
          </w:p>
        </w:tc>
        <w:tc>
          <w:tcPr>
            <w:tcW w:w="13835" w:type="dxa"/>
            <w:gridSpan w:val="2"/>
          </w:tcPr>
          <w:p>
            <w:pPr>
              <w:widowControl/>
              <w:kinsoku w:val="0"/>
              <w:autoSpaceDE w:val="0"/>
              <w:autoSpaceDN w:val="0"/>
              <w:snapToGrid w:val="0"/>
              <w:spacing w:line="360" w:lineRule="auto"/>
              <w:ind w:firstLine="45"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6"/>
                <w:sz w:val="24"/>
                <w:highlight w:val="none"/>
              </w:rPr>
              <w:t>1.主动按</w:t>
            </w:r>
            <w:r>
              <w:rPr>
                <w:rFonts w:hint="eastAsia" w:ascii="新宋体" w:hAnsi="新宋体" w:eastAsia="新宋体" w:cs="新宋体"/>
                <w:bCs/>
                <w:color w:val="auto"/>
                <w:sz w:val="24"/>
                <w:highlight w:val="none"/>
              </w:rPr>
              <w:t>“开门”钮，电梯到层时，应站在梯门边，一只手斜放在梯门上，以免梯门突然关闭，同时面带微笑地说“电梯来了，请进。”顾客进</w:t>
            </w:r>
            <w:r>
              <w:rPr>
                <w:rFonts w:hint="eastAsia" w:ascii="新宋体" w:hAnsi="新宋体" w:eastAsia="新宋体" w:cs="新宋体"/>
                <w:bCs/>
                <w:color w:val="auto"/>
                <w:spacing w:val="-10"/>
                <w:sz w:val="24"/>
                <w:highlight w:val="none"/>
              </w:rPr>
              <w:t>入</w:t>
            </w:r>
            <w:r>
              <w:rPr>
                <w:rFonts w:hint="eastAsia" w:ascii="新宋体" w:hAnsi="新宋体" w:eastAsia="新宋体" w:cs="新宋体"/>
                <w:bCs/>
                <w:color w:val="auto"/>
                <w:spacing w:val="-8"/>
                <w:sz w:val="24"/>
                <w:highlight w:val="none"/>
              </w:rPr>
              <w:t>电</w:t>
            </w:r>
            <w:r>
              <w:rPr>
                <w:rFonts w:hint="eastAsia" w:ascii="新宋体" w:hAnsi="新宋体" w:eastAsia="新宋体" w:cs="新宋体"/>
                <w:bCs/>
                <w:color w:val="auto"/>
                <w:spacing w:val="-5"/>
                <w:sz w:val="24"/>
                <w:highlight w:val="none"/>
              </w:rPr>
              <w:t>梯后再进电梯，面向电梯门，按“关门”钮。</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2.电梯停止梯门打开后，首先出去站立在梯门旁，一只手斜放在梯门上，同时另一只手指向通道</w:t>
            </w:r>
            <w:r>
              <w:rPr>
                <w:rFonts w:hint="eastAsia" w:ascii="新宋体" w:hAnsi="新宋体" w:eastAsia="新宋体" w:cs="新宋体"/>
                <w:bCs/>
                <w:color w:val="auto"/>
                <w:spacing w:val="-1"/>
                <w:sz w:val="24"/>
                <w:highlight w:val="none"/>
              </w:rPr>
              <w:t>，面带微笑地说：“到了，请走好。”</w:t>
            </w:r>
          </w:p>
        </w:tc>
      </w:tr>
    </w:tbl>
    <w:p>
      <w:pPr>
        <w:pStyle w:val="100"/>
        <w:widowControl/>
        <w:numPr>
          <w:ilvl w:val="0"/>
          <w:numId w:val="2"/>
        </w:numPr>
        <w:kinsoku w:val="0"/>
        <w:autoSpaceDE w:val="0"/>
        <w:autoSpaceDN w:val="0"/>
        <w:snapToGrid w:val="0"/>
        <w:ind w:firstLine="420" w:firstLineChars="0"/>
        <w:jc w:val="left"/>
        <w:textAlignment w:val="baseline"/>
        <w:rPr>
          <w:rFonts w:ascii="新宋体" w:hAnsi="新宋体" w:eastAsia="新宋体" w:cs="新宋体"/>
          <w:b/>
          <w:bCs w:val="0"/>
          <w:color w:val="auto"/>
          <w:highlight w:val="none"/>
        </w:rPr>
      </w:pPr>
      <w:r>
        <w:rPr>
          <w:rFonts w:hint="eastAsia" w:ascii="新宋体" w:hAnsi="新宋体" w:eastAsia="新宋体" w:cs="新宋体"/>
          <w:b/>
          <w:bCs w:val="0"/>
          <w:color w:val="auto"/>
          <w:highlight w:val="none"/>
        </w:rPr>
        <w:t>其他相关要求</w:t>
      </w:r>
    </w:p>
    <w:p>
      <w:pPr>
        <w:pStyle w:val="100"/>
        <w:widowControl/>
        <w:numPr>
          <w:ilvl w:val="0"/>
          <w:numId w:val="2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根据本项目物业使用特点，提出合理的物业管理服务理念、服务定位和服务目标。</w:t>
      </w:r>
    </w:p>
    <w:p>
      <w:pPr>
        <w:pStyle w:val="100"/>
        <w:widowControl/>
        <w:numPr>
          <w:ilvl w:val="0"/>
          <w:numId w:val="2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针对本项目有比较完善的组织架构、主要管理流程（包括：运作流程图、信息反馈及处理运作流程图、投诉处理运作流程图、紧急情况处理运作流程图）、主要管理机制（包括：激励机制、监督机制、约束机制）。</w:t>
      </w:r>
    </w:p>
    <w:p>
      <w:pPr>
        <w:pStyle w:val="100"/>
        <w:widowControl/>
        <w:numPr>
          <w:ilvl w:val="0"/>
          <w:numId w:val="2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有完善的物业管理制度，包括：考勤管理制度、财务管理制度、接待投诉制度、培训学习制度、监督考核制度、档案管理制度、各项工作制度等，体现标准化服务水平。</w:t>
      </w:r>
    </w:p>
    <w:p>
      <w:pPr>
        <w:pStyle w:val="100"/>
        <w:widowControl/>
        <w:numPr>
          <w:ilvl w:val="0"/>
          <w:numId w:val="2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针对本项目的员工培训方案，包括：培训目的、培训内容、培训时间、培训地点、培训者、培训对象、培训方式等。</w:t>
      </w:r>
    </w:p>
    <w:p>
      <w:pPr>
        <w:pStyle w:val="100"/>
        <w:widowControl/>
        <w:numPr>
          <w:ilvl w:val="0"/>
          <w:numId w:val="2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本项目投入设施设备等情况</w:t>
      </w:r>
    </w:p>
    <w:p>
      <w:pPr>
        <w:pStyle w:val="100"/>
        <w:widowControl/>
        <w:numPr>
          <w:ilvl w:val="0"/>
          <w:numId w:val="21"/>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采购人免费提供物业管理的办公场地，根据需要在适合的楼层配备洁具堆放间，其它房间（如工程管理需要的应急备件仓库、工程值班室、保洁仓库、员工的更衣室）进场后视情况协调解决。中标单位必须配置办公设备独立放置于采购人提供的办公区域内，不能与物管区域外单位、部门或团体共用，其办公用品所需耗材由中标单位自行承担。</w:t>
      </w:r>
    </w:p>
    <w:p>
      <w:pPr>
        <w:widowControl w:val="0"/>
        <w:numPr>
          <w:ilvl w:val="0"/>
          <w:numId w:val="21"/>
        </w:numPr>
        <w:kinsoku/>
        <w:autoSpaceDE/>
        <w:autoSpaceDN/>
        <w:snapToGrid/>
        <w:spacing w:line="360" w:lineRule="auto"/>
        <w:ind w:firstLine="480" w:firstLineChars="200"/>
        <w:jc w:val="both"/>
        <w:textAlignment w:val="auto"/>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中标单位应投入本项目的设备：割灌机、绿篱机、三轮垃圾清运车、高压清洗机、打药机各一台。</w:t>
      </w:r>
    </w:p>
    <w:p>
      <w:pPr>
        <w:pStyle w:val="100"/>
        <w:widowControl/>
        <w:numPr>
          <w:ilvl w:val="0"/>
          <w:numId w:val="21"/>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中标单位应提供保洁日常工具、厕纸、擦手纸、洗手液等耗材，配备防爆、防汛物资、工程维护部物料及器材消耗。</w:t>
      </w:r>
    </w:p>
    <w:p>
      <w:pPr>
        <w:pStyle w:val="100"/>
        <w:widowControl/>
        <w:numPr>
          <w:ilvl w:val="0"/>
          <w:numId w:val="2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投标人拥有智能化物业管理能力。</w:t>
      </w:r>
    </w:p>
    <w:p>
      <w:pPr>
        <w:pStyle w:val="100"/>
        <w:widowControl/>
        <w:numPr>
          <w:ilvl w:val="0"/>
          <w:numId w:val="2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投标人具有类似物业管理服务经验。</w:t>
      </w:r>
    </w:p>
    <w:p>
      <w:pPr>
        <w:pStyle w:val="100"/>
        <w:widowControl/>
        <w:numPr>
          <w:ilvl w:val="0"/>
          <w:numId w:val="2"/>
        </w:numPr>
        <w:kinsoku w:val="0"/>
        <w:autoSpaceDE w:val="0"/>
        <w:autoSpaceDN w:val="0"/>
        <w:snapToGrid w:val="0"/>
        <w:ind w:firstLine="420" w:firstLineChars="0"/>
        <w:jc w:val="left"/>
        <w:textAlignment w:val="baseline"/>
        <w:rPr>
          <w:rFonts w:ascii="新宋体" w:hAnsi="新宋体" w:eastAsia="新宋体" w:cs="新宋体"/>
          <w:b/>
          <w:bCs w:val="0"/>
          <w:color w:val="auto"/>
          <w:highlight w:val="none"/>
        </w:rPr>
      </w:pPr>
      <w:r>
        <w:rPr>
          <w:rFonts w:hint="eastAsia" w:ascii="新宋体" w:hAnsi="新宋体" w:eastAsia="新宋体" w:cs="新宋体"/>
          <w:b/>
          <w:bCs w:val="0"/>
          <w:color w:val="auto"/>
          <w:highlight w:val="none"/>
        </w:rPr>
        <w:t>管理服务费用及支付</w:t>
      </w:r>
    </w:p>
    <w:p>
      <w:pPr>
        <w:pStyle w:val="100"/>
        <w:widowControl/>
        <w:numPr>
          <w:ilvl w:val="0"/>
          <w:numId w:val="2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报价说明</w:t>
      </w:r>
    </w:p>
    <w:p>
      <w:pPr>
        <w:kinsoku w:val="0"/>
        <w:autoSpaceDE w:val="0"/>
        <w:autoSpaceDN w:val="0"/>
        <w:adjustRightInd w:val="0"/>
        <w:snapToGrid w:val="0"/>
        <w:spacing w:line="360" w:lineRule="auto"/>
        <w:ind w:firstLine="48" w:firstLineChars="20"/>
        <w:textAlignment w:val="baseline"/>
        <w:rPr>
          <w:rFonts w:hint="default" w:ascii="新宋体" w:hAnsi="新宋体" w:eastAsia="新宋体" w:cs="新宋体"/>
          <w:bCs/>
          <w:color w:val="auto"/>
          <w:kern w:val="2"/>
          <w:sz w:val="24"/>
          <w:szCs w:val="24"/>
          <w:highlight w:val="none"/>
          <w:lang w:val="en-US" w:eastAsia="zh-CN" w:bidi="ar-SA"/>
        </w:rPr>
      </w:pPr>
      <w:r>
        <w:rPr>
          <w:rFonts w:hint="eastAsia" w:ascii="新宋体" w:hAnsi="新宋体" w:eastAsia="新宋体" w:cs="新宋体"/>
          <w:bCs/>
          <w:color w:val="auto"/>
          <w:kern w:val="2"/>
          <w:sz w:val="24"/>
          <w:szCs w:val="24"/>
          <w:highlight w:val="none"/>
          <w:lang w:val="en-US" w:eastAsia="zh-CN" w:bidi="ar-SA"/>
        </w:rPr>
        <w:t>投标报价包含完成本项目招标要求的清洁保洁、安全消控管理</w:t>
      </w:r>
      <w:r>
        <w:rPr>
          <w:rFonts w:hint="eastAsia" w:ascii="Arial" w:hAnsi="Arial" w:eastAsia="宋体" w:cs="Arial"/>
          <w:bCs/>
          <w:i w:val="0"/>
          <w:iCs w:val="0"/>
          <w:caps w:val="0"/>
          <w:color w:val="auto"/>
          <w:spacing w:val="0"/>
          <w:kern w:val="2"/>
          <w:sz w:val="24"/>
          <w:szCs w:val="24"/>
          <w:highlight w:val="none"/>
          <w:shd w:val="clear" w:fill="FFFFFF"/>
          <w:lang w:val="en-US" w:eastAsia="zh-CN" w:bidi="ar-SA"/>
        </w:rPr>
        <w:t>（含</w:t>
      </w:r>
      <w:r>
        <w:rPr>
          <w:rFonts w:hint="eastAsia" w:ascii="Arial" w:hAnsi="Arial" w:eastAsia="Arial" w:cs="Arial"/>
          <w:bCs/>
          <w:i w:val="0"/>
          <w:iCs w:val="0"/>
          <w:caps w:val="0"/>
          <w:color w:val="auto"/>
          <w:spacing w:val="0"/>
          <w:kern w:val="2"/>
          <w:sz w:val="24"/>
          <w:szCs w:val="24"/>
          <w:highlight w:val="none"/>
          <w:shd w:val="clear" w:fill="FFFFFF"/>
          <w:lang w:val="en-US" w:eastAsia="zh-CN" w:bidi="ar-SA"/>
        </w:rPr>
        <w:t>消防远程监控系统联网</w:t>
      </w:r>
      <w:r>
        <w:rPr>
          <w:rFonts w:hint="eastAsia" w:ascii="Arial" w:hAnsi="Arial" w:eastAsia="宋体" w:cs="Arial"/>
          <w:bCs/>
          <w:i w:val="0"/>
          <w:iCs w:val="0"/>
          <w:caps w:val="0"/>
          <w:color w:val="auto"/>
          <w:spacing w:val="0"/>
          <w:kern w:val="2"/>
          <w:sz w:val="24"/>
          <w:szCs w:val="24"/>
          <w:highlight w:val="none"/>
          <w:shd w:val="clear" w:fill="FFFFFF"/>
          <w:lang w:val="en-US" w:eastAsia="zh-CN" w:bidi="ar-SA"/>
        </w:rPr>
        <w:t>费用）</w:t>
      </w:r>
      <w:r>
        <w:rPr>
          <w:rFonts w:hint="eastAsia" w:ascii="新宋体" w:hAnsi="新宋体" w:eastAsia="新宋体" w:cs="新宋体"/>
          <w:bCs/>
          <w:color w:val="auto"/>
          <w:kern w:val="2"/>
          <w:sz w:val="24"/>
          <w:szCs w:val="24"/>
          <w:highlight w:val="none"/>
          <w:lang w:val="en-US" w:eastAsia="zh-CN" w:bidi="ar-SA"/>
        </w:rPr>
        <w:t>、绿化养护、绿化租赁、工程设备维护、会务服务以及采购人交办的其他工作所产生的所有费用，包括但不限于人员工资、奖金、福利等以及人员服装费、设备维护费、设备使用费、维修配件费、保洁工具耗材费、管理费、税费等，采购人不再支付其他费用。</w:t>
      </w:r>
    </w:p>
    <w:p>
      <w:pPr>
        <w:pStyle w:val="100"/>
        <w:widowControl/>
        <w:numPr>
          <w:ilvl w:val="0"/>
          <w:numId w:val="2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中标单位应严格按照杭州市社保缴纳基数相关规定进行社保缴纳，并按规定缴纳住房公积金，做到合法用工。</w:t>
      </w:r>
    </w:p>
    <w:p>
      <w:pPr>
        <w:pStyle w:val="100"/>
        <w:widowControl/>
        <w:numPr>
          <w:ilvl w:val="0"/>
          <w:numId w:val="2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物业管理服务费用以签订的合同价为准，合同期内如遇工作人员的最低工资调整等其他因素，产生的费用由中标单位承担，采购人不追加因用工成本增加产生的费用。</w:t>
      </w:r>
    </w:p>
    <w:p>
      <w:pPr>
        <w:pStyle w:val="100"/>
        <w:widowControl/>
        <w:numPr>
          <w:ilvl w:val="0"/>
          <w:numId w:val="2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lang w:val="en-US" w:eastAsia="zh-CN"/>
        </w:rPr>
        <w:t>学校</w:t>
      </w:r>
      <w:r>
        <w:rPr>
          <w:rFonts w:hint="eastAsia" w:ascii="新宋体" w:hAnsi="新宋体" w:eastAsia="新宋体" w:cs="新宋体"/>
          <w:bCs/>
          <w:color w:val="auto"/>
          <w:highlight w:val="none"/>
        </w:rPr>
        <w:t>体育场地开放</w:t>
      </w:r>
      <w:r>
        <w:rPr>
          <w:rFonts w:hint="eastAsia" w:ascii="新宋体" w:hAnsi="新宋体" w:eastAsia="新宋体" w:cs="新宋体"/>
          <w:bCs/>
          <w:color w:val="auto"/>
          <w:highlight w:val="none"/>
          <w:lang w:val="en-US" w:eastAsia="zh-CN"/>
        </w:rPr>
        <w:t>产生的物业和安保费用包含在本项目中。</w:t>
      </w:r>
    </w:p>
    <w:p>
      <w:pPr>
        <w:pStyle w:val="100"/>
        <w:widowControl/>
        <w:numPr>
          <w:ilvl w:val="0"/>
          <w:numId w:val="2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费用支付</w:t>
      </w:r>
    </w:p>
    <w:p>
      <w:pPr>
        <w:pStyle w:val="100"/>
        <w:widowControl/>
        <w:numPr>
          <w:ilvl w:val="0"/>
          <w:numId w:val="2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采购人根据物业服务质量考核结果按每三个月支付物业管理服务费，自合同签订之日起5个工作日内支付一年合同价40%的预付款，经采购人考核合格后每三个月付款，按每三个月支付一年合同价的1</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 xml:space="preserve">%。物业公司因工作失误造成的扣款在付款时予以扣除。物业管理服务费用以签订的合同价为准。 </w:t>
      </w:r>
    </w:p>
    <w:p>
      <w:pPr>
        <w:pStyle w:val="100"/>
        <w:widowControl/>
        <w:numPr>
          <w:ilvl w:val="0"/>
          <w:numId w:val="24"/>
        </w:numPr>
        <w:kinsoku w:val="0"/>
        <w:autoSpaceDE w:val="0"/>
        <w:autoSpaceDN w:val="0"/>
        <w:snapToGrid w:val="0"/>
        <w:ind w:firstLine="420" w:firstLineChars="0"/>
        <w:jc w:val="left"/>
        <w:textAlignment w:val="baseline"/>
        <w:rPr>
          <w:rFonts w:ascii="新宋体" w:hAnsi="新宋体" w:eastAsia="新宋体" w:cs="新宋体"/>
          <w:bCs/>
          <w:color w:val="auto"/>
          <w:highlight w:val="none"/>
          <w:shd w:val="clear" w:color="040000" w:fill="FFFFFF"/>
        </w:rPr>
      </w:pPr>
      <w:r>
        <w:rPr>
          <w:rFonts w:hint="eastAsia" w:ascii="新宋体" w:hAnsi="新宋体" w:eastAsia="新宋体" w:cs="新宋体"/>
          <w:bCs/>
          <w:color w:val="auto"/>
          <w:highlight w:val="none"/>
          <w:shd w:val="clear" w:color="040000" w:fill="FFFFFF"/>
        </w:rPr>
        <w:t>中标人因合同违约、工作失误或根据考核结果造成的扣款，采购人在支付</w:t>
      </w:r>
      <w:r>
        <w:rPr>
          <w:rFonts w:hint="eastAsia" w:ascii="新宋体" w:hAnsi="新宋体" w:eastAsia="新宋体" w:cs="新宋体"/>
          <w:bCs/>
          <w:color w:val="auto"/>
          <w:highlight w:val="none"/>
        </w:rPr>
        <w:t>每三个月</w:t>
      </w:r>
      <w:r>
        <w:rPr>
          <w:rFonts w:hint="eastAsia" w:ascii="新宋体" w:hAnsi="新宋体" w:eastAsia="新宋体" w:cs="新宋体"/>
          <w:bCs/>
          <w:color w:val="auto"/>
          <w:highlight w:val="none"/>
          <w:shd w:val="clear" w:color="040000" w:fill="FFFFFF"/>
        </w:rPr>
        <w:t>服务费时在应支付的服务费中相应扣除。</w:t>
      </w:r>
    </w:p>
    <w:p>
      <w:pPr>
        <w:pStyle w:val="100"/>
        <w:widowControl/>
        <w:numPr>
          <w:ilvl w:val="0"/>
          <w:numId w:val="24"/>
        </w:numPr>
        <w:kinsoku w:val="0"/>
        <w:autoSpaceDE w:val="0"/>
        <w:autoSpaceDN w:val="0"/>
        <w:snapToGrid w:val="0"/>
        <w:ind w:firstLine="420" w:firstLineChars="0"/>
        <w:jc w:val="left"/>
        <w:textAlignment w:val="baseline"/>
        <w:rPr>
          <w:rFonts w:ascii="新宋体" w:hAnsi="新宋体" w:eastAsia="新宋体" w:cs="新宋体"/>
          <w:bCs/>
          <w:color w:val="auto"/>
          <w:highlight w:val="none"/>
          <w:shd w:val="clear" w:color="040000" w:fill="FFFFFF"/>
        </w:rPr>
      </w:pPr>
      <w:r>
        <w:rPr>
          <w:rFonts w:hint="eastAsia" w:ascii="新宋体" w:hAnsi="新宋体" w:eastAsia="新宋体" w:cs="新宋体"/>
          <w:bCs/>
          <w:color w:val="auto"/>
          <w:highlight w:val="none"/>
          <w:shd w:val="clear" w:color="040000" w:fill="FFFFFF"/>
        </w:rPr>
        <w:t>采购人每次付款前，中标人须提交对应金额的正规发票。</w:t>
      </w:r>
    </w:p>
    <w:p>
      <w:pPr>
        <w:rPr>
          <w:color w:val="auto"/>
          <w:highlight w:val="none"/>
        </w:rPr>
        <w:sectPr>
          <w:pgSz w:w="16839" w:h="11907" w:orient="landscape"/>
          <w:pgMar w:top="1012" w:right="938" w:bottom="0" w:left="1327" w:header="0" w:footer="0" w:gutter="0"/>
          <w:cols w:space="720" w:num="1"/>
          <w:docGrid w:type="lines" w:linePitch="319" w:charSpace="0"/>
        </w:sectPr>
      </w:pPr>
    </w:p>
    <w:p>
      <w:pPr>
        <w:pStyle w:val="100"/>
        <w:widowControl/>
        <w:numPr>
          <w:ilvl w:val="0"/>
          <w:numId w:val="2"/>
        </w:numPr>
        <w:kinsoku w:val="0"/>
        <w:autoSpaceDE w:val="0"/>
        <w:autoSpaceDN w:val="0"/>
        <w:snapToGrid w:val="0"/>
        <w:ind w:firstLine="420" w:firstLineChars="0"/>
        <w:jc w:val="left"/>
        <w:textAlignment w:val="baseline"/>
        <w:rPr>
          <w:rFonts w:ascii="新宋体" w:hAnsi="新宋体" w:eastAsia="新宋体" w:cs="新宋体"/>
          <w:b/>
          <w:bCs w:val="0"/>
          <w:color w:val="auto"/>
          <w:highlight w:val="none"/>
        </w:rPr>
      </w:pPr>
      <w:r>
        <w:rPr>
          <w:rFonts w:hint="eastAsia" w:ascii="新宋体" w:hAnsi="新宋体" w:eastAsia="新宋体" w:cs="新宋体"/>
          <w:b/>
          <w:bCs w:val="0"/>
          <w:color w:val="auto"/>
          <w:highlight w:val="none"/>
        </w:rPr>
        <w:t>物业服务质量考核标准</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shd w:val="clear" w:color="040000" w:fill="FFFFFF"/>
        </w:rPr>
      </w:pPr>
      <w:r>
        <w:rPr>
          <w:rFonts w:hint="eastAsia" w:ascii="新宋体" w:hAnsi="新宋体" w:eastAsia="新宋体" w:cs="新宋体"/>
          <w:bCs/>
          <w:color w:val="auto"/>
          <w:sz w:val="24"/>
          <w:highlight w:val="none"/>
          <w:shd w:val="clear" w:color="040000" w:fill="FFFFFF"/>
        </w:rPr>
        <w:t xml:space="preserve">本考核要求采用百分制，每年考核四次，每三个月考核一次，采购人可视情况增加考核次数，并按以下原则评定考核等级： </w:t>
      </w:r>
    </w:p>
    <w:p>
      <w:pPr>
        <w:pStyle w:val="100"/>
        <w:widowControl/>
        <w:numPr>
          <w:ilvl w:val="0"/>
          <w:numId w:val="25"/>
        </w:numPr>
        <w:kinsoku w:val="0"/>
        <w:autoSpaceDE w:val="0"/>
        <w:autoSpaceDN w:val="0"/>
        <w:snapToGrid w:val="0"/>
        <w:ind w:firstLine="420" w:firstLineChars="0"/>
        <w:jc w:val="left"/>
        <w:textAlignment w:val="baseline"/>
        <w:rPr>
          <w:rFonts w:ascii="新宋体" w:hAnsi="新宋体" w:eastAsia="新宋体" w:cs="新宋体"/>
          <w:bCs/>
          <w:color w:val="auto"/>
          <w:highlight w:val="none"/>
          <w:shd w:val="clear" w:color="040000" w:fill="FFFFFF"/>
        </w:rPr>
      </w:pPr>
      <w:r>
        <w:rPr>
          <w:rFonts w:hint="eastAsia" w:ascii="新宋体" w:hAnsi="新宋体" w:eastAsia="新宋体" w:cs="新宋体"/>
          <w:bCs/>
          <w:color w:val="auto"/>
          <w:highlight w:val="none"/>
          <w:shd w:val="clear" w:color="040000" w:fill="FFFFFF"/>
        </w:rPr>
        <w:t>考核分≥90分，视为优秀，全额拨付当期物业服务费用。</w:t>
      </w:r>
    </w:p>
    <w:p>
      <w:pPr>
        <w:pStyle w:val="100"/>
        <w:widowControl/>
        <w:numPr>
          <w:ilvl w:val="0"/>
          <w:numId w:val="25"/>
        </w:numPr>
        <w:kinsoku w:val="0"/>
        <w:autoSpaceDE w:val="0"/>
        <w:autoSpaceDN w:val="0"/>
        <w:snapToGrid w:val="0"/>
        <w:ind w:firstLine="420" w:firstLineChars="0"/>
        <w:jc w:val="left"/>
        <w:textAlignment w:val="baseline"/>
        <w:rPr>
          <w:rFonts w:ascii="新宋体" w:hAnsi="新宋体" w:eastAsia="新宋体" w:cs="新宋体"/>
          <w:bCs/>
          <w:color w:val="auto"/>
          <w:highlight w:val="none"/>
          <w:shd w:val="clear" w:color="040000" w:fill="FFFFFF"/>
        </w:rPr>
      </w:pPr>
      <w:r>
        <w:rPr>
          <w:rFonts w:hint="eastAsia" w:ascii="新宋体" w:hAnsi="新宋体" w:eastAsia="新宋体" w:cs="新宋体"/>
          <w:bCs/>
          <w:color w:val="auto"/>
          <w:highlight w:val="none"/>
          <w:shd w:val="clear" w:color="040000" w:fill="FFFFFF"/>
        </w:rPr>
        <w:t>80≤考核分＜90分，视为良好，扣除当期物业服务费用的2%；</w:t>
      </w:r>
    </w:p>
    <w:p>
      <w:pPr>
        <w:pStyle w:val="100"/>
        <w:widowControl/>
        <w:numPr>
          <w:ilvl w:val="0"/>
          <w:numId w:val="25"/>
        </w:numPr>
        <w:kinsoku w:val="0"/>
        <w:autoSpaceDE w:val="0"/>
        <w:autoSpaceDN w:val="0"/>
        <w:snapToGrid w:val="0"/>
        <w:ind w:firstLine="420" w:firstLineChars="0"/>
        <w:jc w:val="left"/>
        <w:textAlignment w:val="baseline"/>
        <w:rPr>
          <w:rFonts w:ascii="新宋体" w:hAnsi="新宋体" w:eastAsia="新宋体" w:cs="新宋体"/>
          <w:bCs/>
          <w:color w:val="auto"/>
          <w:highlight w:val="none"/>
          <w:shd w:val="clear" w:color="040000" w:fill="FFFFFF"/>
        </w:rPr>
      </w:pPr>
      <w:r>
        <w:rPr>
          <w:rFonts w:hint="eastAsia" w:ascii="新宋体" w:hAnsi="新宋体" w:eastAsia="新宋体" w:cs="新宋体"/>
          <w:bCs/>
          <w:color w:val="auto"/>
          <w:highlight w:val="none"/>
          <w:shd w:val="clear" w:color="040000" w:fill="FFFFFF"/>
        </w:rPr>
        <w:t>70≤考核分＜80分，视为合格，扣除当期物业服务费用的5%；</w:t>
      </w:r>
    </w:p>
    <w:p>
      <w:pPr>
        <w:pStyle w:val="100"/>
        <w:widowControl/>
        <w:numPr>
          <w:ilvl w:val="0"/>
          <w:numId w:val="25"/>
        </w:numPr>
        <w:kinsoku w:val="0"/>
        <w:autoSpaceDE w:val="0"/>
        <w:autoSpaceDN w:val="0"/>
        <w:snapToGrid w:val="0"/>
        <w:ind w:firstLine="420" w:firstLineChars="0"/>
        <w:jc w:val="left"/>
        <w:textAlignment w:val="baseline"/>
        <w:rPr>
          <w:rFonts w:ascii="新宋体" w:hAnsi="新宋体" w:eastAsia="新宋体" w:cs="新宋体"/>
          <w:bCs/>
          <w:color w:val="auto"/>
          <w:highlight w:val="none"/>
          <w:shd w:val="clear" w:color="040000" w:fill="FFFFFF"/>
        </w:rPr>
      </w:pPr>
      <w:r>
        <w:rPr>
          <w:rFonts w:hint="eastAsia" w:ascii="新宋体" w:hAnsi="新宋体" w:eastAsia="新宋体" w:cs="新宋体"/>
          <w:bCs/>
          <w:color w:val="auto"/>
          <w:highlight w:val="none"/>
          <w:shd w:val="clear" w:color="040000" w:fill="FFFFFF"/>
        </w:rPr>
        <w:t>考核分＜70分视为不合格，扣除当期物业服务费用的10%。如在考核中中标人连续二次考核分＜70分，采购人将通知中标人解除物业服务合同。</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（项目名称）物业服务质量考核标准</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考核人：                                                 考核时间：</w:t>
      </w:r>
    </w:p>
    <w:tbl>
      <w:tblPr>
        <w:tblStyle w:val="962"/>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44"/>
        <w:gridCol w:w="872"/>
        <w:gridCol w:w="7435"/>
        <w:gridCol w:w="9"/>
        <w:gridCol w:w="1059"/>
        <w:gridCol w:w="881"/>
        <w:gridCol w:w="35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blHeader/>
          <w:jc w:val="center"/>
        </w:trPr>
        <w:tc>
          <w:tcPr>
            <w:tcW w:w="255" w:type="pct"/>
            <w:tcBorders>
              <w:left w:val="single" w:color="000000" w:sz="6" w:space="0"/>
            </w:tcBorders>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序</w:t>
            </w:r>
            <w:r>
              <w:rPr>
                <w:rFonts w:hint="eastAsia" w:ascii="新宋体" w:hAnsi="新宋体" w:eastAsia="新宋体" w:cs="新宋体"/>
                <w:bCs/>
                <w:color w:val="auto"/>
                <w:sz w:val="24"/>
                <w:highlight w:val="none"/>
              </w:rPr>
              <w:t>号</w:t>
            </w:r>
          </w:p>
        </w:tc>
        <w:tc>
          <w:tcPr>
            <w:tcW w:w="299" w:type="pct"/>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项</w:t>
            </w:r>
            <w:r>
              <w:rPr>
                <w:rFonts w:hint="eastAsia" w:ascii="新宋体" w:hAnsi="新宋体" w:eastAsia="新宋体" w:cs="新宋体"/>
                <w:bCs/>
                <w:color w:val="auto"/>
                <w:sz w:val="24"/>
                <w:highlight w:val="none"/>
              </w:rPr>
              <w:t>目</w:t>
            </w:r>
          </w:p>
        </w:tc>
        <w:tc>
          <w:tcPr>
            <w:tcW w:w="2551" w:type="pct"/>
            <w:gridSpan w:val="2"/>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考核</w:t>
            </w:r>
            <w:r>
              <w:rPr>
                <w:rFonts w:hint="eastAsia" w:ascii="新宋体" w:hAnsi="新宋体" w:eastAsia="新宋体" w:cs="新宋体"/>
                <w:bCs/>
                <w:color w:val="auto"/>
                <w:sz w:val="24"/>
                <w:highlight w:val="none"/>
              </w:rPr>
              <w:t>标准</w:t>
            </w:r>
          </w:p>
        </w:tc>
        <w:tc>
          <w:tcPr>
            <w:tcW w:w="363" w:type="pct"/>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分</w:t>
            </w:r>
            <w:r>
              <w:rPr>
                <w:rFonts w:hint="eastAsia" w:ascii="新宋体" w:hAnsi="新宋体" w:eastAsia="新宋体" w:cs="新宋体"/>
                <w:bCs/>
                <w:color w:val="auto"/>
                <w:sz w:val="24"/>
                <w:highlight w:val="none"/>
              </w:rPr>
              <w:t>值</w:t>
            </w:r>
          </w:p>
        </w:tc>
        <w:tc>
          <w:tcPr>
            <w:tcW w:w="301" w:type="pct"/>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评</w:t>
            </w:r>
            <w:r>
              <w:rPr>
                <w:rFonts w:hint="eastAsia" w:ascii="新宋体" w:hAnsi="新宋体" w:eastAsia="新宋体" w:cs="新宋体"/>
                <w:bCs/>
                <w:color w:val="auto"/>
                <w:sz w:val="24"/>
                <w:highlight w:val="none"/>
              </w:rPr>
              <w:t>分</w:t>
            </w:r>
          </w:p>
        </w:tc>
        <w:tc>
          <w:tcPr>
            <w:tcW w:w="1230" w:type="pct"/>
            <w:tcBorders>
              <w:right w:val="single" w:color="000000" w:sz="6" w:space="0"/>
            </w:tcBorders>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评</w:t>
            </w:r>
            <w:r>
              <w:rPr>
                <w:rFonts w:hint="eastAsia" w:ascii="新宋体" w:hAnsi="新宋体" w:eastAsia="新宋体" w:cs="新宋体"/>
                <w:bCs/>
                <w:color w:val="auto"/>
                <w:sz w:val="24"/>
                <w:highlight w:val="none"/>
              </w:rPr>
              <w:t>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blHeader/>
          <w:jc w:val="center"/>
        </w:trPr>
        <w:tc>
          <w:tcPr>
            <w:tcW w:w="255" w:type="pct"/>
            <w:vMerge w:val="restart"/>
            <w:tcBorders>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299" w:type="pct"/>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人员</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管理</w:t>
            </w:r>
          </w:p>
        </w:tc>
        <w:tc>
          <w:tcPr>
            <w:tcW w:w="2551" w:type="pct"/>
            <w:gridSpan w:val="2"/>
            <w:vAlign w:val="center"/>
          </w:tcPr>
          <w:p>
            <w:pPr>
              <w:pStyle w:val="100"/>
              <w:widowControl/>
              <w:numPr>
                <w:ilvl w:val="0"/>
                <w:numId w:val="2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spacing w:val="-2"/>
                <w:highlight w:val="none"/>
              </w:rPr>
              <w:t>实行</w:t>
            </w:r>
            <w:r>
              <w:rPr>
                <w:rFonts w:hint="eastAsia" w:ascii="新宋体" w:hAnsi="新宋体" w:eastAsia="新宋体" w:cs="新宋体"/>
                <w:bCs/>
                <w:color w:val="auto"/>
                <w:highlight w:val="none"/>
              </w:rPr>
              <w:t>持证上岗制度。</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restart"/>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39"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22"/>
                <w:sz w:val="24"/>
                <w:highlight w:val="none"/>
              </w:rPr>
              <w:t>凡</w:t>
            </w:r>
            <w:r>
              <w:rPr>
                <w:rFonts w:hint="eastAsia" w:ascii="新宋体" w:hAnsi="新宋体" w:eastAsia="新宋体" w:cs="新宋体"/>
                <w:bCs/>
                <w:color w:val="auto"/>
                <w:spacing w:val="-14"/>
                <w:sz w:val="24"/>
                <w:highlight w:val="none"/>
              </w:rPr>
              <w:t>有</w:t>
            </w:r>
            <w:r>
              <w:rPr>
                <w:rFonts w:hint="eastAsia" w:ascii="新宋体" w:hAnsi="新宋体" w:eastAsia="新宋体" w:cs="新宋体"/>
                <w:bCs/>
                <w:color w:val="auto"/>
                <w:sz w:val="24"/>
                <w:highlight w:val="none"/>
              </w:rPr>
              <w:t xml:space="preserve"> 1 人不符合， 扣除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255" w:type="pct"/>
            <w:vMerge w:val="continue"/>
            <w:tcBorders>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51" w:type="pct"/>
            <w:gridSpan w:val="2"/>
            <w:vAlign w:val="center"/>
          </w:tcPr>
          <w:p>
            <w:pPr>
              <w:pStyle w:val="100"/>
              <w:widowControl/>
              <w:numPr>
                <w:ilvl w:val="0"/>
                <w:numId w:val="2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spacing w:val="-2"/>
                <w:highlight w:val="none"/>
              </w:rPr>
              <w:t>项目投标时所承诺的项目工作人员，</w:t>
            </w:r>
            <w:r>
              <w:rPr>
                <w:rFonts w:hint="eastAsia" w:ascii="新宋体" w:hAnsi="新宋体" w:eastAsia="新宋体" w:cs="新宋体"/>
                <w:bCs/>
                <w:color w:val="auto"/>
                <w:spacing w:val="-1"/>
                <w:highlight w:val="none"/>
              </w:rPr>
              <w:t>必须和承接此项目后开展工作的团队</w:t>
            </w:r>
            <w:r>
              <w:rPr>
                <w:rFonts w:hint="eastAsia" w:ascii="新宋体" w:hAnsi="新宋体" w:eastAsia="新宋体" w:cs="新宋体"/>
                <w:bCs/>
                <w:color w:val="auto"/>
                <w:highlight w:val="none"/>
              </w:rPr>
              <w:t>人员相符， 未征得采购人同意不得随意更换团队成员。</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255" w:type="pct"/>
            <w:vMerge w:val="continue"/>
            <w:tcBorders>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51" w:type="pct"/>
            <w:gridSpan w:val="2"/>
            <w:vAlign w:val="center"/>
          </w:tcPr>
          <w:p>
            <w:pPr>
              <w:pStyle w:val="100"/>
              <w:widowControl/>
              <w:numPr>
                <w:ilvl w:val="0"/>
                <w:numId w:val="26"/>
              </w:numPr>
              <w:kinsoku w:val="0"/>
              <w:autoSpaceDE w:val="0"/>
              <w:autoSpaceDN w:val="0"/>
              <w:snapToGrid w:val="0"/>
              <w:ind w:firstLine="420" w:firstLineChars="0"/>
              <w:jc w:val="left"/>
              <w:textAlignment w:val="baseline"/>
              <w:rPr>
                <w:rFonts w:ascii="新宋体" w:hAnsi="新宋体" w:eastAsia="新宋体" w:cs="新宋体"/>
                <w:bCs/>
                <w:color w:val="auto"/>
                <w:spacing w:val="-2"/>
                <w:highlight w:val="none"/>
              </w:rPr>
            </w:pPr>
            <w:r>
              <w:rPr>
                <w:rFonts w:hint="eastAsia" w:ascii="新宋体" w:hAnsi="新宋体" w:eastAsia="新宋体" w:cs="新宋体"/>
                <w:bCs/>
                <w:color w:val="auto"/>
                <w:highlight w:val="none"/>
              </w:rPr>
              <w:t>项目经理更换至少提前20天、其他人员更换至少提前7天告知采购人。</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255" w:type="pct"/>
            <w:vMerge w:val="continue"/>
            <w:tcBorders>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51" w:type="pct"/>
            <w:gridSpan w:val="2"/>
            <w:vAlign w:val="center"/>
          </w:tcPr>
          <w:p>
            <w:pPr>
              <w:pStyle w:val="100"/>
              <w:widowControl/>
              <w:numPr>
                <w:ilvl w:val="0"/>
                <w:numId w:val="2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保安员上岗前已参加岗前培训且培训合格。</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255" w:type="pct"/>
            <w:vMerge w:val="continue"/>
            <w:tcBorders>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51" w:type="pct"/>
            <w:gridSpan w:val="2"/>
            <w:vAlign w:val="center"/>
          </w:tcPr>
          <w:p>
            <w:pPr>
              <w:pStyle w:val="100"/>
              <w:widowControl/>
              <w:numPr>
                <w:ilvl w:val="0"/>
                <w:numId w:val="26"/>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保安员派驻前的背景审查工作，每学期不少于一次；对派驻保安员实行每月不少于一次的检查管理。</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255" w:type="pct"/>
            <w:vMerge w:val="restart"/>
            <w:tcBorders>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299" w:type="pct"/>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制度</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履约</w:t>
            </w:r>
          </w:p>
        </w:tc>
        <w:tc>
          <w:tcPr>
            <w:tcW w:w="2551" w:type="pct"/>
            <w:gridSpan w:val="2"/>
            <w:vAlign w:val="center"/>
          </w:tcPr>
          <w:p>
            <w:pPr>
              <w:pStyle w:val="100"/>
              <w:widowControl/>
              <w:numPr>
                <w:ilvl w:val="0"/>
                <w:numId w:val="2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遵守《物业管理服务人员行为规范》</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restart"/>
            <w:tcBorders>
              <w:right w:val="single" w:color="000000" w:sz="6" w:space="0"/>
            </w:tcBorders>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完全符合得</w:t>
            </w:r>
            <w:r>
              <w:rPr>
                <w:rFonts w:hint="eastAsia" w:ascii="新宋体" w:hAnsi="新宋体" w:eastAsia="新宋体" w:cs="新宋体"/>
                <w:bCs/>
                <w:color w:val="auto"/>
                <w:sz w:val="24"/>
                <w:highlight w:val="none"/>
              </w:rPr>
              <w:t>满分，部分符合相应</w:t>
            </w:r>
            <w:r>
              <w:rPr>
                <w:rFonts w:hint="eastAsia" w:ascii="新宋体" w:hAnsi="新宋体" w:eastAsia="新宋体" w:cs="新宋体"/>
                <w:bCs/>
                <w:color w:val="auto"/>
                <w:spacing w:val="-18"/>
                <w:sz w:val="24"/>
                <w:highlight w:val="none"/>
              </w:rPr>
              <w:t>递</w:t>
            </w:r>
            <w:r>
              <w:rPr>
                <w:rFonts w:hint="eastAsia" w:ascii="新宋体" w:hAnsi="新宋体" w:eastAsia="新宋体" w:cs="新宋体"/>
                <w:bCs/>
                <w:color w:val="auto"/>
                <w:sz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255" w:type="pct"/>
            <w:vMerge w:val="continue"/>
            <w:tcBorders>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51" w:type="pct"/>
            <w:gridSpan w:val="2"/>
            <w:vAlign w:val="center"/>
          </w:tcPr>
          <w:p>
            <w:pPr>
              <w:pStyle w:val="100"/>
              <w:widowControl/>
              <w:numPr>
                <w:ilvl w:val="0"/>
                <w:numId w:val="2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spacing w:val="-2"/>
                <w:highlight w:val="none"/>
              </w:rPr>
              <w:t>健全的管理流程、</w:t>
            </w:r>
            <w:r>
              <w:rPr>
                <w:rFonts w:hint="eastAsia" w:ascii="新宋体" w:hAnsi="新宋体" w:eastAsia="新宋体" w:cs="新宋体"/>
                <w:bCs/>
                <w:color w:val="auto"/>
                <w:highlight w:val="none"/>
              </w:rPr>
              <w:t>管理机制，运作规范。</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255" w:type="pct"/>
            <w:vMerge w:val="continue"/>
            <w:tcBorders>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51" w:type="pct"/>
            <w:gridSpan w:val="2"/>
            <w:vAlign w:val="center"/>
          </w:tcPr>
          <w:p>
            <w:pPr>
              <w:pStyle w:val="100"/>
              <w:widowControl/>
              <w:numPr>
                <w:ilvl w:val="0"/>
                <w:numId w:val="27"/>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健全的物业管理制度，遵守并执行。</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blHeader/>
          <w:jc w:val="center"/>
        </w:trPr>
        <w:tc>
          <w:tcPr>
            <w:tcW w:w="255" w:type="pct"/>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w:t>
            </w:r>
          </w:p>
        </w:tc>
        <w:tc>
          <w:tcPr>
            <w:tcW w:w="299" w:type="pct"/>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保洁服务</w:t>
            </w:r>
          </w:p>
        </w:tc>
        <w:tc>
          <w:tcPr>
            <w:tcW w:w="2551" w:type="pct"/>
            <w:gridSpan w:val="2"/>
            <w:vAlign w:val="center"/>
          </w:tcPr>
          <w:p>
            <w:pPr>
              <w:pStyle w:val="100"/>
              <w:widowControl/>
              <w:numPr>
                <w:ilvl w:val="0"/>
                <w:numId w:val="2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spacing w:val="4"/>
                <w:highlight w:val="none"/>
              </w:rPr>
              <w:t>室内公共区域的地面、墙面、楼梯、扶手、大厅、玻</w:t>
            </w:r>
            <w:r>
              <w:rPr>
                <w:rFonts w:hint="eastAsia" w:ascii="新宋体" w:hAnsi="新宋体" w:eastAsia="新宋体" w:cs="新宋体"/>
                <w:bCs/>
                <w:color w:val="auto"/>
                <w:highlight w:val="none"/>
              </w:rPr>
              <w:t>璃、门及门窗框、天花板、栏杆、走廊等整洁干净，无垃圾、</w:t>
            </w:r>
            <w:r>
              <w:rPr>
                <w:rFonts w:hint="eastAsia" w:ascii="新宋体" w:hAnsi="新宋体" w:eastAsia="新宋体" w:cs="新宋体"/>
                <w:bCs/>
                <w:color w:val="auto"/>
                <w:spacing w:val="-8"/>
                <w:highlight w:val="none"/>
              </w:rPr>
              <w:t>无积灰、无污渍、无手印。</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5</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完全符合得</w:t>
            </w:r>
            <w:r>
              <w:rPr>
                <w:rFonts w:hint="eastAsia" w:ascii="新宋体" w:hAnsi="新宋体" w:eastAsia="新宋体" w:cs="新宋体"/>
                <w:bCs/>
                <w:color w:val="auto"/>
                <w:sz w:val="24"/>
                <w:highlight w:val="none"/>
              </w:rPr>
              <w:t>满分，部分符合相应</w:t>
            </w:r>
            <w:r>
              <w:rPr>
                <w:rFonts w:hint="eastAsia" w:ascii="新宋体" w:hAnsi="新宋体" w:eastAsia="新宋体" w:cs="新宋体"/>
                <w:bCs/>
                <w:color w:val="auto"/>
                <w:spacing w:val="-18"/>
                <w:sz w:val="24"/>
                <w:highlight w:val="none"/>
              </w:rPr>
              <w:t>递</w:t>
            </w:r>
            <w:r>
              <w:rPr>
                <w:rFonts w:hint="eastAsia" w:ascii="新宋体" w:hAnsi="新宋体" w:eastAsia="新宋体" w:cs="新宋体"/>
                <w:bCs/>
                <w:color w:val="auto"/>
                <w:sz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blHeader/>
          <w:jc w:val="center"/>
        </w:trPr>
        <w:tc>
          <w:tcPr>
            <w:tcW w:w="255"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51" w:type="pct"/>
            <w:gridSpan w:val="2"/>
            <w:vAlign w:val="center"/>
          </w:tcPr>
          <w:p>
            <w:pPr>
              <w:pStyle w:val="100"/>
              <w:widowControl/>
              <w:numPr>
                <w:ilvl w:val="0"/>
                <w:numId w:val="2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spacing w:val="-4"/>
                <w:highlight w:val="none"/>
              </w:rPr>
              <w:t>室内卫生间、茶水间清洁，无垃圾、无污渍、无积水、</w:t>
            </w:r>
            <w:r>
              <w:rPr>
                <w:rFonts w:hint="eastAsia" w:ascii="新宋体" w:hAnsi="新宋体" w:eastAsia="新宋体" w:cs="新宋体"/>
                <w:bCs/>
                <w:color w:val="auto"/>
                <w:highlight w:val="none"/>
              </w:rPr>
              <w:t>无异味、无堆积杂物，洁具、台面、镜面光洁无水迹，电器设施</w:t>
            </w:r>
            <w:r>
              <w:rPr>
                <w:rFonts w:hint="eastAsia" w:ascii="新宋体" w:hAnsi="新宋体" w:eastAsia="新宋体" w:cs="新宋体"/>
                <w:bCs/>
                <w:color w:val="auto"/>
                <w:spacing w:val="-5"/>
                <w:highlight w:val="none"/>
              </w:rPr>
              <w:t>外观清洁，物品摆放有序。室内卫生间符合“美丽厕所”标准。</w:t>
            </w:r>
          </w:p>
        </w:tc>
        <w:tc>
          <w:tcPr>
            <w:tcW w:w="363" w:type="pct"/>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5</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blHeader/>
          <w:jc w:val="center"/>
        </w:trPr>
        <w:tc>
          <w:tcPr>
            <w:tcW w:w="255"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pStyle w:val="100"/>
              <w:widowControl/>
              <w:numPr>
                <w:ilvl w:val="0"/>
                <w:numId w:val="2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室外广场、道路、停车场（库）、屋面、“门前三包”等公共区域的地面干净，无杂物、无积水、无淤泥、无污垢。</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5</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restart"/>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完全符合得</w:t>
            </w:r>
            <w:r>
              <w:rPr>
                <w:rFonts w:hint="eastAsia" w:ascii="新宋体" w:hAnsi="新宋体" w:eastAsia="新宋体" w:cs="新宋体"/>
                <w:bCs/>
                <w:color w:val="auto"/>
                <w:sz w:val="24"/>
                <w:highlight w:val="none"/>
              </w:rPr>
              <w:t>满分，部分符合相应</w:t>
            </w:r>
            <w:r>
              <w:rPr>
                <w:rFonts w:hint="eastAsia" w:ascii="新宋体" w:hAnsi="新宋体" w:eastAsia="新宋体" w:cs="新宋体"/>
                <w:bCs/>
                <w:color w:val="auto"/>
                <w:spacing w:val="-18"/>
                <w:sz w:val="24"/>
                <w:highlight w:val="none"/>
              </w:rPr>
              <w:t>递</w:t>
            </w:r>
            <w:r>
              <w:rPr>
                <w:rFonts w:hint="eastAsia" w:ascii="新宋体" w:hAnsi="新宋体" w:eastAsia="新宋体" w:cs="新宋体"/>
                <w:bCs/>
                <w:color w:val="auto"/>
                <w:sz w:val="24"/>
                <w:highlight w:val="none"/>
              </w:rPr>
              <w:t>减， 不符合得 0 分</w:t>
            </w:r>
            <w:r>
              <w:rPr>
                <w:rFonts w:ascii="新宋体" w:hAnsi="新宋体" w:eastAsia="新宋体" w:cs="新宋体"/>
                <w:bCs/>
                <w:snapToGrid w:val="0"/>
                <w:color w:val="auto"/>
                <w:sz w:val="24"/>
                <w:highlight w:val="none"/>
              </w:rPr>
              <w:pict>
                <v:rect id="Rectangle 2" o:spid="_x0000_s1032" o:spt="1" style="position:absolute;left:0pt;margin-left:794.9pt;margin-top:0pt;height:232.05pt;width:0.5pt;mso-position-horizontal-relative:page;mso-position-vertical-relative:page;z-index:251661312;mso-width-relative:page;mso-height-relative:page;" fillcolor="#000000" filled="t" stroked="f" coordsize="21600,21600" o:gfxdata="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QWG+a1wAAAAoBAAAPAAAA&#10;AAAAAAEAIAAAACIAAABkcnMvZG93bnJldi54bWxQSwECFAAUAAAACACHTuJAvbTrW6QBAABgAwAA&#10;DgAAAAAAAAABACAAAAAmAQAAZHJzL2Uyb0RvYy54bWxQSwUGAAAAAAYABgBZAQAAPAUAAAAA&#1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blHeader/>
          <w:jc w:val="center"/>
        </w:trPr>
        <w:tc>
          <w:tcPr>
            <w:tcW w:w="255"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pStyle w:val="100"/>
              <w:widowControl/>
              <w:numPr>
                <w:ilvl w:val="0"/>
                <w:numId w:val="2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外墙应保持清洁，无明显污迹。</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 w:hRule="atLeast"/>
          <w:tblHeader/>
          <w:jc w:val="center"/>
        </w:trPr>
        <w:tc>
          <w:tcPr>
            <w:tcW w:w="255"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pStyle w:val="100"/>
              <w:widowControl/>
              <w:numPr>
                <w:ilvl w:val="0"/>
                <w:numId w:val="2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定期对喷泉、景观、照明灯设施设备进行清洁，确保表面干净无污渍。</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blHeader/>
          <w:jc w:val="center"/>
        </w:trPr>
        <w:tc>
          <w:tcPr>
            <w:tcW w:w="255"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pStyle w:val="100"/>
              <w:widowControl/>
              <w:numPr>
                <w:ilvl w:val="0"/>
                <w:numId w:val="2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垃圾、废弃物按分类要求及时收集、日产日清，化粪 池及时清掏，垃圾箱（房）外侧表面清洁、内侧无残留物、无异味。</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4</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blHeader/>
          <w:jc w:val="center"/>
        </w:trPr>
        <w:tc>
          <w:tcPr>
            <w:tcW w:w="255"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pStyle w:val="100"/>
              <w:widowControl/>
              <w:numPr>
                <w:ilvl w:val="0"/>
                <w:numId w:val="28"/>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垃圾应按照可回收物、有害垃圾、易腐垃圾和其他垃圾进行分类，对应垃圾桶颜色分别为蓝色、红色、绿色和灰色。</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5</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3" w:hRule="atLeast"/>
          <w:tblHeader/>
          <w:jc w:val="center"/>
        </w:trPr>
        <w:tc>
          <w:tcPr>
            <w:tcW w:w="255" w:type="pct"/>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4</w:t>
            </w:r>
          </w:p>
        </w:tc>
        <w:tc>
          <w:tcPr>
            <w:tcW w:w="299" w:type="pct"/>
            <w:vMerge w:val="restar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安保</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消控</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管理</w:t>
            </w:r>
          </w:p>
        </w:tc>
        <w:tc>
          <w:tcPr>
            <w:tcW w:w="2548"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安保服务：</w:t>
            </w:r>
          </w:p>
          <w:p>
            <w:pPr>
              <w:pStyle w:val="100"/>
              <w:widowControl/>
              <w:numPr>
                <w:ilvl w:val="0"/>
                <w:numId w:val="2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值勤期间应按有关规定着制式保安服装，携带必要的安全防卫器械和应急处置装备，并熟悉使用方法。</w:t>
            </w:r>
          </w:p>
          <w:p>
            <w:pPr>
              <w:pStyle w:val="100"/>
              <w:widowControl/>
              <w:numPr>
                <w:ilvl w:val="0"/>
                <w:numId w:val="2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应具备必要的防范知识和基本操作技能，会熟练操作视频图像采集设备、来访人员登记查验信息管理系统、一键式紧急报警等装置。</w:t>
            </w:r>
          </w:p>
          <w:p>
            <w:pPr>
              <w:pStyle w:val="100"/>
              <w:widowControl/>
              <w:numPr>
                <w:ilvl w:val="0"/>
                <w:numId w:val="2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应按照问询、查验、核实、登记、放行要求，严格落实外来人员、车辆、物品的出入管理制度，严防可疑人员、车辆以及管制刀具、危险物品等带入学校。</w:t>
            </w:r>
          </w:p>
          <w:p>
            <w:pPr>
              <w:pStyle w:val="100"/>
              <w:widowControl/>
              <w:numPr>
                <w:ilvl w:val="0"/>
                <w:numId w:val="2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在岗期间不与无关人员聊天，不干私活，不饮酒，不吸烟。不得在门卫室从事与工作无关的活动，不得存放或代人存放贵重物品、现金和危险品。</w:t>
            </w:r>
          </w:p>
          <w:p>
            <w:pPr>
              <w:pStyle w:val="100"/>
              <w:widowControl/>
              <w:numPr>
                <w:ilvl w:val="0"/>
                <w:numId w:val="2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执行24小时值班制度，不得擅自离岗、脱岗，按时交接班并做好交接记录，发现问题及时报告。除学生上下学时间外，应严格落实校门封闭管理制度。上学期间，学生必须经校方允许，方可离校。</w:t>
            </w:r>
          </w:p>
          <w:p>
            <w:pPr>
              <w:pStyle w:val="100"/>
              <w:widowControl/>
              <w:numPr>
                <w:ilvl w:val="0"/>
                <w:numId w:val="2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上下学重点时段，保安员应佩戴防爆头盔、防刺背心、橡胶警棍、强光手电、防护盾牌、催泪喷射器、防割手套、防护钢叉、哨子、橡胶长棍、伸缩甩棍等防护装备在校门口及校门外一定区域上岗执勤，会同学校值日教师、家长志愿者等护校力量，共同开展护校工作。</w:t>
            </w:r>
          </w:p>
          <w:p>
            <w:pPr>
              <w:pStyle w:val="100"/>
              <w:widowControl/>
              <w:numPr>
                <w:ilvl w:val="0"/>
                <w:numId w:val="2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对学校重点部位及周边巡查每日不少于5次，一旦发现异常情况，应当及时报告并开展先期处置。</w:t>
            </w:r>
          </w:p>
          <w:p>
            <w:pPr>
              <w:pStyle w:val="100"/>
              <w:widowControl/>
              <w:numPr>
                <w:ilvl w:val="0"/>
                <w:numId w:val="2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制止师生各种不安全或易造成伤害的行为，发生违反规定或不服从管理者，应严肃、礼貌劝阻并妥善处置，不听劝阻的及时上报。遇有火警或其它紧急情况，应迅速扑救或采取有效措施保护现场，并及时上报。</w:t>
            </w:r>
          </w:p>
          <w:p>
            <w:pPr>
              <w:pStyle w:val="100"/>
              <w:widowControl/>
              <w:numPr>
                <w:ilvl w:val="0"/>
                <w:numId w:val="29"/>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配合学校做好防火、防盗、防破坏、防地质灾害事故工作。对发现可疑人、事、物或其他治安信息，应及时向相关领导或部门汇报，必要时启动报警器或向110报警，并配合公安机关做好处置工作。</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r>
              <w:rPr>
                <w:rFonts w:ascii="新宋体" w:hAnsi="新宋体" w:eastAsia="新宋体" w:cs="新宋体"/>
                <w:bCs/>
                <w:color w:val="auto"/>
                <w:sz w:val="24"/>
                <w:highlight w:val="none"/>
              </w:rPr>
              <w:t>0</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restart"/>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完全符合得</w:t>
            </w:r>
            <w:r>
              <w:rPr>
                <w:rFonts w:hint="eastAsia" w:ascii="新宋体" w:hAnsi="新宋体" w:eastAsia="新宋体" w:cs="新宋体"/>
                <w:bCs/>
                <w:color w:val="auto"/>
                <w:sz w:val="24"/>
                <w:highlight w:val="none"/>
              </w:rPr>
              <w:t>满分，部分符合相应</w:t>
            </w:r>
            <w:r>
              <w:rPr>
                <w:rFonts w:hint="eastAsia" w:ascii="新宋体" w:hAnsi="新宋体" w:eastAsia="新宋体" w:cs="新宋体"/>
                <w:bCs/>
                <w:color w:val="auto"/>
                <w:spacing w:val="-18"/>
                <w:sz w:val="24"/>
                <w:highlight w:val="none"/>
              </w:rPr>
              <w:t>递</w:t>
            </w:r>
            <w:r>
              <w:rPr>
                <w:rFonts w:hint="eastAsia" w:ascii="新宋体" w:hAnsi="新宋体" w:eastAsia="新宋体" w:cs="新宋体"/>
                <w:bCs/>
                <w:color w:val="auto"/>
                <w:sz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255"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消控室管理：</w:t>
            </w:r>
          </w:p>
          <w:p>
            <w:pPr>
              <w:pStyle w:val="100"/>
              <w:widowControl/>
              <w:numPr>
                <w:ilvl w:val="0"/>
                <w:numId w:val="3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配备完善的消防设施和器材，定期对消防设施进行巡查，确保运行正常。消防设施的维护管理及消防控制室应符合相关国标要求。</w:t>
            </w:r>
          </w:p>
          <w:p>
            <w:pPr>
              <w:pStyle w:val="100"/>
              <w:widowControl/>
              <w:numPr>
                <w:ilvl w:val="0"/>
                <w:numId w:val="3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应在各楼层明显位置张贴平面疏散示意图、引路标志及控烟标志。</w:t>
            </w:r>
          </w:p>
          <w:p>
            <w:pPr>
              <w:pStyle w:val="100"/>
              <w:widowControl/>
              <w:numPr>
                <w:ilvl w:val="0"/>
                <w:numId w:val="3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定期开展防火检查，保证疏散通道、安全出口、消防车道通畅。</w:t>
            </w:r>
          </w:p>
          <w:p>
            <w:pPr>
              <w:pStyle w:val="100"/>
              <w:widowControl/>
              <w:numPr>
                <w:ilvl w:val="0"/>
                <w:numId w:val="30"/>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消控岗需24小时有人值班，消控人员按国家有关法律法规要求持消防设施操作员证或建（构）筑物消防员证上岗。</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5</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6" w:hRule="atLeast"/>
          <w:tblHeader/>
          <w:jc w:val="center"/>
        </w:trPr>
        <w:tc>
          <w:tcPr>
            <w:tcW w:w="255"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应急管理：</w:t>
            </w:r>
          </w:p>
          <w:p>
            <w:pPr>
              <w:pStyle w:val="100"/>
              <w:widowControl/>
              <w:numPr>
                <w:ilvl w:val="0"/>
                <w:numId w:val="31"/>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建立突发事件应急预案体系，包括但不限于电梯困人、紧急会议、火警火灾、突发停电、水管破裂、意外伤害、群体性上访、台风、暴雨及雷电等应急预案。</w:t>
            </w:r>
          </w:p>
          <w:p>
            <w:pPr>
              <w:pStyle w:val="100"/>
              <w:widowControl/>
              <w:numPr>
                <w:ilvl w:val="0"/>
                <w:numId w:val="31"/>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突发事件发生时应立即启动应急预案，迅速展开指挥协调、信息报告、紧急处置、秩序维护、抢险救援、后勤保障等工作，并在第一时间内向有关部门汇报处理结果。</w:t>
            </w:r>
          </w:p>
          <w:p>
            <w:pPr>
              <w:pStyle w:val="100"/>
              <w:widowControl/>
              <w:numPr>
                <w:ilvl w:val="0"/>
                <w:numId w:val="31"/>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每年进行4次以上防火灾事故、防暴恐袭击等处置突发事件的培训和演练。</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4</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255"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保安员专业技能培训：</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对派驻保安员进行每学期不少于1次的专业技能培训，服从各学校对保安员的日常管理培训。培训应建立培训台账记录，并对保安员的培训效果进行相应的测试。</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完全符合得</w:t>
            </w:r>
            <w:r>
              <w:rPr>
                <w:rFonts w:hint="eastAsia" w:ascii="新宋体" w:hAnsi="新宋体" w:eastAsia="新宋体" w:cs="新宋体"/>
                <w:bCs/>
                <w:color w:val="auto"/>
                <w:sz w:val="24"/>
                <w:highlight w:val="none"/>
              </w:rPr>
              <w:t>满分，部分符合相应</w:t>
            </w:r>
            <w:r>
              <w:rPr>
                <w:rFonts w:hint="eastAsia" w:ascii="新宋体" w:hAnsi="新宋体" w:eastAsia="新宋体" w:cs="新宋体"/>
                <w:bCs/>
                <w:color w:val="auto"/>
                <w:spacing w:val="-18"/>
                <w:sz w:val="24"/>
                <w:highlight w:val="none"/>
              </w:rPr>
              <w:t>递</w:t>
            </w:r>
            <w:r>
              <w:rPr>
                <w:rFonts w:hint="eastAsia" w:ascii="新宋体" w:hAnsi="新宋体" w:eastAsia="新宋体" w:cs="新宋体"/>
                <w:bCs/>
                <w:color w:val="auto"/>
                <w:sz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blHeader/>
          <w:jc w:val="center"/>
        </w:trPr>
        <w:tc>
          <w:tcPr>
            <w:tcW w:w="255" w:type="pct"/>
            <w:vMerge w:val="restart"/>
            <w:tcBorders>
              <w:left w:val="single" w:color="000000" w:sz="6"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5</w:t>
            </w:r>
          </w:p>
        </w:tc>
        <w:tc>
          <w:tcPr>
            <w:tcW w:w="299" w:type="pct"/>
            <w:vMerge w:val="restart"/>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绿化</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养护</w:t>
            </w:r>
          </w:p>
        </w:tc>
        <w:tc>
          <w:tcPr>
            <w:tcW w:w="2548" w:type="pct"/>
            <w:tcBorders>
              <w:left w:val="single" w:color="000000" w:sz="2" w:space="0"/>
              <w:right w:val="single" w:color="000000" w:sz="2" w:space="0"/>
            </w:tcBorders>
            <w:vAlign w:val="center"/>
          </w:tcPr>
          <w:p>
            <w:pPr>
              <w:pStyle w:val="100"/>
              <w:widowControl/>
              <w:numPr>
                <w:ilvl w:val="0"/>
                <w:numId w:val="3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室内外绿化养护期内各类绿植应100%存活。</w:t>
            </w:r>
          </w:p>
        </w:tc>
        <w:tc>
          <w:tcPr>
            <w:tcW w:w="366" w:type="pct"/>
            <w:gridSpan w:val="2"/>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301" w:type="pct"/>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restart"/>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完全符合得</w:t>
            </w:r>
            <w:r>
              <w:rPr>
                <w:rFonts w:hint="eastAsia" w:ascii="新宋体" w:hAnsi="新宋体" w:eastAsia="新宋体" w:cs="新宋体"/>
                <w:bCs/>
                <w:color w:val="auto"/>
                <w:sz w:val="24"/>
                <w:highlight w:val="none"/>
              </w:rPr>
              <w:t>满分，部分符合相应</w:t>
            </w:r>
            <w:r>
              <w:rPr>
                <w:rFonts w:hint="eastAsia" w:ascii="新宋体" w:hAnsi="新宋体" w:eastAsia="新宋体" w:cs="新宋体"/>
                <w:bCs/>
                <w:color w:val="auto"/>
                <w:spacing w:val="-18"/>
                <w:sz w:val="24"/>
                <w:highlight w:val="none"/>
              </w:rPr>
              <w:t>递</w:t>
            </w:r>
            <w:r>
              <w:rPr>
                <w:rFonts w:hint="eastAsia" w:ascii="新宋体" w:hAnsi="新宋体" w:eastAsia="新宋体" w:cs="新宋体"/>
                <w:bCs/>
                <w:color w:val="auto"/>
                <w:sz w:val="24"/>
                <w:highlight w:val="none"/>
              </w:rPr>
              <w:t>减， 不符合得 0 分</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blHeader/>
          <w:jc w:val="center"/>
        </w:trPr>
        <w:tc>
          <w:tcPr>
            <w:tcW w:w="255" w:type="pct"/>
            <w:vMerge w:val="continue"/>
            <w:tcBorders>
              <w:left w:val="single" w:color="000000" w:sz="6"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000000" w:sz="2" w:space="0"/>
              <w:right w:val="single" w:color="000000" w:sz="2" w:space="0"/>
            </w:tcBorders>
            <w:vAlign w:val="center"/>
          </w:tcPr>
          <w:p>
            <w:pPr>
              <w:pStyle w:val="100"/>
              <w:widowControl/>
              <w:numPr>
                <w:ilvl w:val="0"/>
                <w:numId w:val="3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根据季节和气候状况，进行浇灌、施肥、修剪和松土等养护。</w:t>
            </w:r>
          </w:p>
        </w:tc>
        <w:tc>
          <w:tcPr>
            <w:tcW w:w="366" w:type="pct"/>
            <w:gridSpan w:val="2"/>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255" w:type="pct"/>
            <w:vMerge w:val="continue"/>
            <w:tcBorders>
              <w:left w:val="single" w:color="000000" w:sz="6"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000000" w:sz="2" w:space="0"/>
              <w:right w:val="single" w:color="000000" w:sz="2" w:space="0"/>
            </w:tcBorders>
            <w:vAlign w:val="center"/>
          </w:tcPr>
          <w:p>
            <w:pPr>
              <w:pStyle w:val="100"/>
              <w:widowControl/>
              <w:numPr>
                <w:ilvl w:val="0"/>
                <w:numId w:val="3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应选择观赏性强、观赏期长、方便管理的鲜活植物摆 放室内，植株长势良好，无残枝、无黄叶、无积尘，花朵饱满、无萎蔫，托盘内无积水。</w:t>
            </w:r>
          </w:p>
        </w:tc>
        <w:tc>
          <w:tcPr>
            <w:tcW w:w="366" w:type="pct"/>
            <w:gridSpan w:val="2"/>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255" w:type="pct"/>
            <w:vMerge w:val="continue"/>
            <w:tcBorders>
              <w:left w:val="single" w:color="000000" w:sz="6"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000000" w:sz="2" w:space="0"/>
              <w:right w:val="single" w:color="000000" w:sz="2" w:space="0"/>
            </w:tcBorders>
            <w:vAlign w:val="center"/>
          </w:tcPr>
          <w:p>
            <w:pPr>
              <w:pStyle w:val="100"/>
              <w:widowControl/>
              <w:numPr>
                <w:ilvl w:val="0"/>
                <w:numId w:val="32"/>
              </w:numPr>
              <w:kinsoku w:val="0"/>
              <w:autoSpaceDE w:val="0"/>
              <w:autoSpaceDN w:val="0"/>
              <w:snapToGrid w:val="0"/>
              <w:ind w:firstLine="420" w:firstLineChars="0"/>
              <w:jc w:val="left"/>
              <w:textAlignment w:val="baseline"/>
              <w:rPr>
                <w:rFonts w:ascii="新宋体" w:hAnsi="新宋体" w:eastAsia="新宋体" w:cs="新宋体"/>
                <w:bCs/>
                <w:color w:val="auto"/>
                <w:spacing w:val="-6"/>
                <w:highlight w:val="none"/>
              </w:rPr>
            </w:pPr>
            <w:r>
              <w:rPr>
                <w:rFonts w:hint="eastAsia" w:ascii="新宋体" w:hAnsi="新宋体" w:eastAsia="新宋体" w:cs="新宋体"/>
                <w:bCs/>
                <w:color w:val="auto"/>
                <w:highlight w:val="none"/>
              </w:rPr>
              <w:t>室外乔木丰满健壮、生长良好，灌木枝叶紧密圆整， 无脱节、无枯枝。草坪生长整齐，清洁美观，修剪高度一致，覆盖率高。花卉色彩鲜艳，摆放造型新颖，无杂草、无枯死。</w:t>
            </w:r>
          </w:p>
        </w:tc>
        <w:tc>
          <w:tcPr>
            <w:tcW w:w="366" w:type="pct"/>
            <w:gridSpan w:val="2"/>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301" w:type="pct"/>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255" w:type="pct"/>
            <w:vMerge w:val="continue"/>
            <w:tcBorders>
              <w:left w:val="single" w:color="000000" w:sz="6"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000000" w:sz="2" w:space="0"/>
              <w:right w:val="single" w:color="000000" w:sz="2" w:space="0"/>
            </w:tcBorders>
            <w:vAlign w:val="center"/>
          </w:tcPr>
          <w:p>
            <w:pPr>
              <w:pStyle w:val="100"/>
              <w:widowControl/>
              <w:numPr>
                <w:ilvl w:val="0"/>
                <w:numId w:val="32"/>
              </w:numPr>
              <w:kinsoku w:val="0"/>
              <w:autoSpaceDE w:val="0"/>
              <w:autoSpaceDN w:val="0"/>
              <w:snapToGrid w:val="0"/>
              <w:ind w:firstLine="420" w:firstLineChars="0"/>
              <w:jc w:val="left"/>
              <w:textAlignment w:val="baseline"/>
              <w:rPr>
                <w:rFonts w:ascii="新宋体" w:hAnsi="新宋体" w:eastAsia="新宋体" w:cs="新宋体"/>
                <w:bCs/>
                <w:color w:val="auto"/>
                <w:spacing w:val="-6"/>
                <w:highlight w:val="none"/>
              </w:rPr>
            </w:pPr>
            <w:r>
              <w:rPr>
                <w:rFonts w:hint="eastAsia" w:ascii="新宋体" w:hAnsi="新宋体" w:eastAsia="新宋体" w:cs="新宋体"/>
                <w:bCs/>
                <w:color w:val="auto"/>
                <w:highlight w:val="none"/>
              </w:rPr>
              <w:t>雨、雪、台风等特殊天气前，应派专人巡查，及时加固、支撑、修剪高大乔木，排除安全隐患。</w:t>
            </w:r>
          </w:p>
        </w:tc>
        <w:tc>
          <w:tcPr>
            <w:tcW w:w="366" w:type="pct"/>
            <w:gridSpan w:val="2"/>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255" w:type="pct"/>
            <w:vMerge w:val="continue"/>
            <w:tcBorders>
              <w:left w:val="single" w:color="000000" w:sz="6"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000000" w:sz="2" w:space="0"/>
              <w:right w:val="single" w:color="000000" w:sz="2" w:space="0"/>
            </w:tcBorders>
            <w:vAlign w:val="center"/>
          </w:tcPr>
          <w:p>
            <w:pPr>
              <w:pStyle w:val="100"/>
              <w:widowControl/>
              <w:numPr>
                <w:ilvl w:val="0"/>
                <w:numId w:val="3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定期检查病虫害情况，病虫害防治率100%，危害率低于5%。</w:t>
            </w:r>
          </w:p>
        </w:tc>
        <w:tc>
          <w:tcPr>
            <w:tcW w:w="366" w:type="pct"/>
            <w:gridSpan w:val="2"/>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blHeader/>
          <w:jc w:val="center"/>
        </w:trPr>
        <w:tc>
          <w:tcPr>
            <w:tcW w:w="255" w:type="pct"/>
            <w:vMerge w:val="continue"/>
            <w:tcBorders>
              <w:left w:val="single" w:color="000000" w:sz="6"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000000" w:sz="2" w:space="0"/>
              <w:right w:val="single" w:color="000000" w:sz="2" w:space="0"/>
            </w:tcBorders>
            <w:vAlign w:val="center"/>
          </w:tcPr>
          <w:p>
            <w:pPr>
              <w:pStyle w:val="100"/>
              <w:widowControl/>
              <w:numPr>
                <w:ilvl w:val="0"/>
                <w:numId w:val="3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对失去观赏价值或严重病虫害的植物及时给予调换。</w:t>
            </w:r>
          </w:p>
        </w:tc>
        <w:tc>
          <w:tcPr>
            <w:tcW w:w="366" w:type="pct"/>
            <w:gridSpan w:val="2"/>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single" w:color="000000" w:sz="2"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blHeader/>
          <w:jc w:val="center"/>
        </w:trPr>
        <w:tc>
          <w:tcPr>
            <w:tcW w:w="255" w:type="pct"/>
            <w:vMerge w:val="continue"/>
            <w:tcBorders>
              <w:left w:val="single" w:color="000000" w:sz="6" w:space="0"/>
              <w:bottom w:val="single" w:color="auto" w:sz="4"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left w:val="single" w:color="000000" w:sz="2" w:space="0"/>
              <w:bottom w:val="single" w:color="auto" w:sz="4"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000000" w:sz="2" w:space="0"/>
              <w:bottom w:val="single" w:color="auto" w:sz="4" w:space="0"/>
              <w:right w:val="single" w:color="000000" w:sz="2" w:space="0"/>
            </w:tcBorders>
            <w:vAlign w:val="center"/>
          </w:tcPr>
          <w:p>
            <w:pPr>
              <w:pStyle w:val="100"/>
              <w:widowControl/>
              <w:numPr>
                <w:ilvl w:val="0"/>
                <w:numId w:val="32"/>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绿植租赁符合招标要求及投标承诺。</w:t>
            </w:r>
          </w:p>
        </w:tc>
        <w:tc>
          <w:tcPr>
            <w:tcW w:w="366" w:type="pct"/>
            <w:gridSpan w:val="2"/>
            <w:tcBorders>
              <w:left w:val="single" w:color="000000" w:sz="2" w:space="0"/>
              <w:bottom w:val="single" w:color="auto" w:sz="4" w:space="0"/>
              <w:right w:val="single" w:color="000000" w:sz="2"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left w:val="single" w:color="000000" w:sz="2" w:space="0"/>
              <w:bottom w:val="single" w:color="auto" w:sz="4"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single" w:color="000000" w:sz="2" w:space="0"/>
              <w:bottom w:val="single" w:color="auto" w:sz="4" w:space="0"/>
              <w:right w:val="single" w:color="000000" w:sz="2"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blHeader/>
          <w:jc w:val="center"/>
        </w:trPr>
        <w:tc>
          <w:tcPr>
            <w:tcW w:w="255" w:type="pct"/>
            <w:vMerge w:val="restar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6</w:t>
            </w:r>
          </w:p>
        </w:tc>
        <w:tc>
          <w:tcPr>
            <w:tcW w:w="299" w:type="pct"/>
            <w:vMerge w:val="restar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6"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3"/>
                <w:position w:val="9"/>
                <w:sz w:val="24"/>
                <w:highlight w:val="none"/>
              </w:rPr>
              <w:t>设施</w:t>
            </w:r>
            <w:r>
              <w:rPr>
                <w:rFonts w:hint="eastAsia" w:ascii="新宋体" w:hAnsi="新宋体" w:eastAsia="新宋体" w:cs="新宋体"/>
                <w:bCs/>
                <w:color w:val="auto"/>
                <w:sz w:val="24"/>
                <w:highlight w:val="none"/>
              </w:rPr>
              <w:t>设备维护</w:t>
            </w:r>
          </w:p>
        </w:tc>
        <w:tc>
          <w:tcPr>
            <w:tcW w:w="2548" w:type="pct"/>
            <w:tcBorders>
              <w:top w:val="single" w:color="auto" w:sz="4" w:space="0"/>
              <w:left w:val="single" w:color="auto" w:sz="4" w:space="0"/>
              <w:bottom w:val="single" w:color="auto" w:sz="4" w:space="0"/>
              <w:righ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房屋地面、墙、台面、吊顶、门窗、楼梯、通风道、卫生洁具、大厅玻璃顶、外墙幕墙等完好，无霉变破损。</w:t>
            </w:r>
          </w:p>
        </w:tc>
        <w:tc>
          <w:tcPr>
            <w:tcW w:w="366" w:type="pct"/>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restar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完全符合得</w:t>
            </w:r>
            <w:r>
              <w:rPr>
                <w:rFonts w:hint="eastAsia" w:ascii="新宋体" w:hAnsi="新宋体" w:eastAsia="新宋体" w:cs="新宋体"/>
                <w:bCs/>
                <w:color w:val="auto"/>
                <w:sz w:val="24"/>
                <w:highlight w:val="none"/>
              </w:rPr>
              <w:t>满分，部分符合相应</w:t>
            </w:r>
            <w:r>
              <w:rPr>
                <w:rFonts w:hint="eastAsia" w:ascii="新宋体" w:hAnsi="新宋体" w:eastAsia="新宋体" w:cs="新宋体"/>
                <w:bCs/>
                <w:color w:val="auto"/>
                <w:spacing w:val="-18"/>
                <w:sz w:val="24"/>
                <w:highlight w:val="none"/>
              </w:rPr>
              <w:t>递</w:t>
            </w:r>
            <w:r>
              <w:rPr>
                <w:rFonts w:hint="eastAsia" w:ascii="新宋体" w:hAnsi="新宋体" w:eastAsia="新宋体" w:cs="新宋体"/>
                <w:bCs/>
                <w:color w:val="auto"/>
                <w:sz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blHeader/>
          <w:jc w:val="center"/>
        </w:trPr>
        <w:tc>
          <w:tcPr>
            <w:tcW w:w="255"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top w:val="single" w:color="auto" w:sz="4" w:space="0"/>
              <w:left w:val="single" w:color="auto" w:sz="4" w:space="0"/>
              <w:bottom w:val="single" w:color="auto" w:sz="4" w:space="0"/>
              <w:righ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至少每2小时巡视一次高配房设备运行情况，如实记录设备运行参数。定期对各类机房设备设施进行检查、维护、清洁，并做好记录。</w:t>
            </w:r>
          </w:p>
        </w:tc>
        <w:tc>
          <w:tcPr>
            <w:tcW w:w="366" w:type="pct"/>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blHeader/>
          <w:jc w:val="center"/>
        </w:trPr>
        <w:tc>
          <w:tcPr>
            <w:tcW w:w="255"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top w:val="single" w:color="auto" w:sz="4" w:space="0"/>
              <w:left w:val="single" w:color="auto" w:sz="4" w:space="0"/>
              <w:bottom w:val="single" w:color="auto" w:sz="4" w:space="0"/>
              <w:righ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确保各类照明灯具、应急照明系统、供用电设备设施（包括配电箱、桥架、井道、开关、插座等）运行正常。</w:t>
            </w:r>
          </w:p>
        </w:tc>
        <w:tc>
          <w:tcPr>
            <w:tcW w:w="366" w:type="pct"/>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255"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top w:val="single" w:color="auto" w:sz="4" w:space="0"/>
              <w:left w:val="single" w:color="auto" w:sz="4" w:space="0"/>
              <w:bottom w:val="single" w:color="auto" w:sz="4" w:space="0"/>
              <w:righ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每日检查污水泵、排水泵、生活水泵、阀门、管道、仪表等，确保给排水系统正常运行，无“跑”“冒”“滴”“漏”现象。</w:t>
            </w:r>
          </w:p>
        </w:tc>
        <w:tc>
          <w:tcPr>
            <w:tcW w:w="366" w:type="pct"/>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blHeader/>
          <w:jc w:val="center"/>
        </w:trPr>
        <w:tc>
          <w:tcPr>
            <w:tcW w:w="255"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top w:val="single" w:color="auto" w:sz="4" w:space="0"/>
              <w:left w:val="single" w:color="auto" w:sz="4" w:space="0"/>
              <w:bottom w:val="single" w:color="auto" w:sz="4" w:space="0"/>
              <w:righ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定期对水泵、管道进行养护，每年至少两次对水箱进行全面清洗，并提供水质检测报告。</w:t>
            </w:r>
          </w:p>
        </w:tc>
        <w:tc>
          <w:tcPr>
            <w:tcW w:w="366" w:type="pct"/>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255"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top w:val="single" w:color="auto" w:sz="4" w:space="0"/>
              <w:left w:val="single" w:color="auto" w:sz="4" w:space="0"/>
              <w:bottom w:val="single" w:color="auto" w:sz="4" w:space="0"/>
              <w:righ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由专业人员定期对监控系统、门禁系统、多媒体系统、 会议系统等智能弱电设备进行巡查，定期清理设备机柜、控制箱、交换机等外表吸附的灰尘和絮状物。</w:t>
            </w:r>
          </w:p>
        </w:tc>
        <w:tc>
          <w:tcPr>
            <w:tcW w:w="366" w:type="pct"/>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255"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top w:val="single" w:color="auto" w:sz="4" w:space="0"/>
              <w:left w:val="single" w:color="auto" w:sz="4" w:space="0"/>
              <w:bottom w:val="single" w:color="auto" w:sz="4" w:space="0"/>
              <w:righ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366" w:type="pct"/>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tblHeader/>
          <w:jc w:val="center"/>
        </w:trPr>
        <w:tc>
          <w:tcPr>
            <w:tcW w:w="255"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top w:val="single" w:color="auto" w:sz="4" w:space="0"/>
              <w:left w:val="single" w:color="auto" w:sz="4" w:space="0"/>
              <w:bottom w:val="single" w:color="auto" w:sz="4" w:space="0"/>
              <w:righ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应配置持有特种设备作业人员证的电梯安全管理人员，对电梯保养、运行进行监督管理。</w:t>
            </w:r>
          </w:p>
        </w:tc>
        <w:tc>
          <w:tcPr>
            <w:tcW w:w="366" w:type="pct"/>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255" w:type="pct"/>
            <w:vMerge w:val="continue"/>
            <w:tcBorders>
              <w:top w:val="single" w:color="auto" w:sz="4" w:space="0"/>
              <w:left w:val="single" w:color="auto" w:sz="4" w:space="0"/>
              <w:bottom w:val="single" w:color="auto" w:sz="4" w:space="0"/>
              <w:right w:val="nil"/>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nil"/>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top w:val="single" w:color="auto" w:sz="4" w:space="0"/>
              <w:lef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消防设施设备应由专业资质维保单位至少每15日进行一次维护保养，建立台账并记录在案。消防重点单位每年应经有资质的检测机构检验合格，并出具《建筑消防设施年度检测报告》。</w:t>
            </w:r>
          </w:p>
        </w:tc>
        <w:tc>
          <w:tcPr>
            <w:tcW w:w="366" w:type="pct"/>
            <w:gridSpan w:val="2"/>
            <w:tcBorders>
              <w:top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tcBorders>
              <w:top w:val="single" w:color="auto" w:sz="4" w:space="0"/>
              <w:left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top w:val="single" w:color="auto" w:sz="4" w:space="0"/>
              <w:left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blHeader/>
          <w:jc w:val="center"/>
        </w:trPr>
        <w:tc>
          <w:tcPr>
            <w:tcW w:w="255" w:type="pct"/>
            <w:vMerge w:val="continue"/>
            <w:tcBorders>
              <w:top w:val="single" w:color="auto" w:sz="4" w:space="0"/>
              <w:left w:val="single" w:color="auto" w:sz="4" w:space="0"/>
              <w:bottom w:val="single" w:color="auto" w:sz="4" w:space="0"/>
              <w:right w:val="nil"/>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nil"/>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定期对空调通风系统进行检查、维护、清洁，测试运 行控制和安全控制功能，记录运行参数，分析运行记录，确保空调系统正常运行。每年冬夏两次对空调通风系统进行全面的维护保养。</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nil"/>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vMerge w:val="continue"/>
            <w:tcBorders>
              <w:top w:val="single" w:color="auto" w:sz="4" w:space="0"/>
              <w:left w:val="single" w:color="auto" w:sz="4" w:space="0"/>
              <w:bottom w:val="single" w:color="auto" w:sz="4" w:space="0"/>
              <w:right w:val="nil"/>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nil"/>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确保校园（区）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nil"/>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vMerge w:val="continue"/>
            <w:tcBorders>
              <w:top w:val="single" w:color="auto" w:sz="4" w:space="0"/>
              <w:left w:val="single" w:color="auto" w:sz="4" w:space="0"/>
              <w:bottom w:val="single" w:color="auto" w:sz="4" w:space="0"/>
              <w:right w:val="nil"/>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left w:val="nil"/>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tcBorders>
              <w:left w:val="single" w:color="auto" w:sz="4" w:space="0"/>
            </w:tcBorders>
            <w:vAlign w:val="center"/>
          </w:tcPr>
          <w:p>
            <w:pPr>
              <w:pStyle w:val="100"/>
              <w:widowControl/>
              <w:numPr>
                <w:ilvl w:val="0"/>
                <w:numId w:val="33"/>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定期对宿舍楼包括热水器、空调等设施设备进行安全排查，消除安全隐患。</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left w:val="nil"/>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7</w:t>
            </w:r>
          </w:p>
        </w:tc>
        <w:tc>
          <w:tcPr>
            <w:tcW w:w="299"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
                <w:bCs/>
                <w:color w:val="auto"/>
                <w:sz w:val="24"/>
                <w:highlight w:val="none"/>
              </w:rPr>
              <w:t>会务服务</w:t>
            </w:r>
          </w:p>
        </w:tc>
        <w:tc>
          <w:tcPr>
            <w:tcW w:w="2548" w:type="pct"/>
            <w:tcBorders>
              <w:left w:val="single" w:color="auto" w:sz="4" w:space="0"/>
            </w:tcBorders>
            <w:vAlign w:val="center"/>
          </w:tcPr>
          <w:p>
            <w:pPr>
              <w:widowControl/>
              <w:kinsoku w:val="0"/>
              <w:autoSpaceDE w:val="0"/>
              <w:autoSpaceDN w:val="0"/>
              <w:snapToGrid w:val="0"/>
              <w:spacing w:line="360" w:lineRule="auto"/>
              <w:ind w:left="400" w:firstLine="0" w:firstLineChars="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r>
              <w:rPr>
                <w:rFonts w:ascii="新宋体" w:hAnsi="新宋体" w:eastAsia="新宋体" w:cs="新宋体"/>
                <w:bCs/>
                <w:color w:val="auto"/>
                <w:sz w:val="24"/>
                <w:highlight w:val="none"/>
              </w:rPr>
              <w:t>1）按照会务服务的相关内容，配合有关部门做好会场布置及会前各项准备工作。</w:t>
            </w:r>
          </w:p>
          <w:p>
            <w:pPr>
              <w:widowControl/>
              <w:kinsoku w:val="0"/>
              <w:autoSpaceDE w:val="0"/>
              <w:autoSpaceDN w:val="0"/>
              <w:snapToGrid w:val="0"/>
              <w:spacing w:line="360" w:lineRule="auto"/>
              <w:ind w:left="400" w:firstLine="0" w:firstLineChars="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r>
              <w:rPr>
                <w:rFonts w:ascii="新宋体" w:hAnsi="新宋体" w:eastAsia="新宋体" w:cs="新宋体"/>
                <w:bCs/>
                <w:color w:val="auto"/>
                <w:sz w:val="24"/>
                <w:highlight w:val="none"/>
              </w:rPr>
              <w:t>2）遵守服务规范，热情、主动、周到、细致、文明礼貌地接待与会人员，做好会务服务工作。</w:t>
            </w:r>
          </w:p>
          <w:p>
            <w:pPr>
              <w:widowControl/>
              <w:kinsoku w:val="0"/>
              <w:autoSpaceDE w:val="0"/>
              <w:autoSpaceDN w:val="0"/>
              <w:snapToGrid w:val="0"/>
              <w:spacing w:line="360" w:lineRule="auto"/>
              <w:ind w:left="400" w:firstLine="0" w:firstLineChars="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r>
              <w:rPr>
                <w:rFonts w:ascii="新宋体" w:hAnsi="新宋体" w:eastAsia="新宋体" w:cs="新宋体"/>
                <w:bCs/>
                <w:color w:val="auto"/>
                <w:sz w:val="24"/>
                <w:highlight w:val="none"/>
              </w:rPr>
              <w:t>3）会议进行期间适时续水，动作轻、稳，按服务规范操作。</w:t>
            </w:r>
          </w:p>
          <w:p>
            <w:pPr>
              <w:widowControl/>
              <w:kinsoku w:val="0"/>
              <w:autoSpaceDE w:val="0"/>
              <w:autoSpaceDN w:val="0"/>
              <w:snapToGrid w:val="0"/>
              <w:spacing w:line="360" w:lineRule="auto"/>
              <w:ind w:left="400" w:firstLine="0" w:firstLineChars="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r>
              <w:rPr>
                <w:rFonts w:ascii="新宋体" w:hAnsi="新宋体" w:eastAsia="新宋体" w:cs="新宋体"/>
                <w:bCs/>
                <w:color w:val="auto"/>
                <w:sz w:val="24"/>
                <w:highlight w:val="none"/>
              </w:rPr>
              <w:t>4）保持会议室环境的干净整洁，适时通风，保持室内空气清新。</w:t>
            </w:r>
          </w:p>
          <w:p>
            <w:pPr>
              <w:widowControl/>
              <w:kinsoku w:val="0"/>
              <w:autoSpaceDE w:val="0"/>
              <w:autoSpaceDN w:val="0"/>
              <w:snapToGrid w:val="0"/>
              <w:spacing w:line="360" w:lineRule="auto"/>
              <w:ind w:left="400" w:firstLine="0" w:firstLineChars="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r>
              <w:rPr>
                <w:rFonts w:ascii="新宋体" w:hAnsi="新宋体" w:eastAsia="新宋体" w:cs="新宋体"/>
                <w:bCs/>
                <w:color w:val="auto"/>
                <w:sz w:val="24"/>
                <w:highlight w:val="none"/>
              </w:rPr>
              <w:t>5）负责会议室的设备、设施的管理和维护，确保正常使用。</w:t>
            </w:r>
          </w:p>
          <w:p>
            <w:pPr>
              <w:widowControl/>
              <w:kinsoku w:val="0"/>
              <w:autoSpaceDE w:val="0"/>
              <w:autoSpaceDN w:val="0"/>
              <w:snapToGrid w:val="0"/>
              <w:spacing w:line="360" w:lineRule="auto"/>
              <w:ind w:left="400" w:firstLine="0" w:firstLineChars="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r>
              <w:rPr>
                <w:rFonts w:ascii="新宋体" w:hAnsi="新宋体" w:eastAsia="新宋体" w:cs="新宋体"/>
                <w:bCs/>
                <w:color w:val="auto"/>
                <w:sz w:val="24"/>
                <w:highlight w:val="none"/>
              </w:rPr>
              <w:t>6）发现参会人员遗留的物品，要及时收存保管，并向领导汇报。</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2</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完全符合得</w:t>
            </w:r>
            <w:r>
              <w:rPr>
                <w:rFonts w:hint="eastAsia" w:ascii="新宋体" w:hAnsi="新宋体" w:eastAsia="新宋体" w:cs="新宋体"/>
                <w:bCs/>
                <w:color w:val="auto"/>
                <w:sz w:val="24"/>
                <w:highlight w:val="none"/>
              </w:rPr>
              <w:t>满分，部分符合相应</w:t>
            </w:r>
            <w:r>
              <w:rPr>
                <w:rFonts w:hint="eastAsia" w:ascii="新宋体" w:hAnsi="新宋体" w:eastAsia="新宋体" w:cs="新宋体"/>
                <w:bCs/>
                <w:color w:val="auto"/>
                <w:spacing w:val="-18"/>
                <w:sz w:val="24"/>
                <w:highlight w:val="none"/>
              </w:rPr>
              <w:t>递</w:t>
            </w:r>
            <w:r>
              <w:rPr>
                <w:rFonts w:hint="eastAsia" w:ascii="新宋体" w:hAnsi="新宋体" w:eastAsia="新宋体" w:cs="新宋体"/>
                <w:bCs/>
                <w:color w:val="auto"/>
                <w:spacing w:val="-12"/>
                <w:sz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vMerge w:val="restart"/>
            <w:tcBorders>
              <w:top w:val="single" w:color="auto" w:sz="4" w:space="0"/>
              <w:left w:val="single" w:color="000000" w:sz="6"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8</w:t>
            </w:r>
          </w:p>
        </w:tc>
        <w:tc>
          <w:tcPr>
            <w:tcW w:w="299" w:type="pct"/>
            <w:vMerge w:val="restart"/>
            <w:tcBorders>
              <w:top w:val="single" w:color="auto" w:sz="4"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投入设备、耗材情况</w:t>
            </w:r>
          </w:p>
        </w:tc>
        <w:tc>
          <w:tcPr>
            <w:tcW w:w="2548" w:type="pct"/>
            <w:vAlign w:val="center"/>
          </w:tcPr>
          <w:p>
            <w:pPr>
              <w:pStyle w:val="100"/>
              <w:widowControl/>
              <w:numPr>
                <w:ilvl w:val="0"/>
                <w:numId w:val="3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投入本项目的设备</w:t>
            </w:r>
            <w:r>
              <w:rPr>
                <w:rFonts w:hint="eastAsia" w:ascii="新宋体" w:hAnsi="新宋体" w:eastAsia="新宋体" w:cs="新宋体"/>
                <w:bCs/>
                <w:color w:val="auto"/>
                <w:highlight w:val="none"/>
                <w:lang w:eastAsia="zh-CN"/>
              </w:rPr>
              <w:t>、</w:t>
            </w:r>
            <w:r>
              <w:rPr>
                <w:rFonts w:hint="eastAsia" w:ascii="新宋体" w:hAnsi="新宋体" w:eastAsia="新宋体" w:cs="新宋体"/>
                <w:bCs/>
                <w:color w:val="auto"/>
                <w:highlight w:val="none"/>
                <w:lang w:val="en-US" w:eastAsia="zh-CN"/>
              </w:rPr>
              <w:t>管理软件</w:t>
            </w:r>
            <w:r>
              <w:rPr>
                <w:rFonts w:hint="eastAsia" w:ascii="新宋体" w:hAnsi="新宋体" w:eastAsia="新宋体" w:cs="新宋体"/>
                <w:bCs/>
                <w:color w:val="auto"/>
                <w:highlight w:val="none"/>
              </w:rPr>
              <w:t>情况与招标需求、投标承诺一致</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restart"/>
            <w:tcBorders>
              <w:right w:val="single" w:color="000000" w:sz="6" w:space="0"/>
            </w:tcBorders>
            <w:vAlign w:val="center"/>
          </w:tcPr>
          <w:p>
            <w:pPr>
              <w:widowControl/>
              <w:kinsoku w:val="0"/>
              <w:autoSpaceDE w:val="0"/>
              <w:autoSpaceDN w:val="0"/>
              <w:snapToGrid w:val="0"/>
              <w:spacing w:line="360" w:lineRule="auto"/>
              <w:ind w:firstLine="47"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pacing w:val="-1"/>
                <w:sz w:val="24"/>
                <w:highlight w:val="none"/>
              </w:rPr>
              <w:t>完全符合得</w:t>
            </w:r>
            <w:r>
              <w:rPr>
                <w:rFonts w:hint="eastAsia" w:ascii="新宋体" w:hAnsi="新宋体" w:eastAsia="新宋体" w:cs="新宋体"/>
                <w:bCs/>
                <w:color w:val="auto"/>
                <w:sz w:val="24"/>
                <w:highlight w:val="none"/>
              </w:rPr>
              <w:t xml:space="preserve">满分，部分符合相应 </w:t>
            </w:r>
            <w:r>
              <w:rPr>
                <w:rFonts w:hint="eastAsia" w:ascii="新宋体" w:hAnsi="新宋体" w:eastAsia="新宋体" w:cs="新宋体"/>
                <w:bCs/>
                <w:color w:val="auto"/>
                <w:spacing w:val="-18"/>
                <w:sz w:val="24"/>
                <w:highlight w:val="none"/>
              </w:rPr>
              <w:t>递</w:t>
            </w:r>
            <w:r>
              <w:rPr>
                <w:rFonts w:hint="eastAsia" w:ascii="新宋体" w:hAnsi="新宋体" w:eastAsia="新宋体" w:cs="新宋体"/>
                <w:bCs/>
                <w:color w:val="auto"/>
                <w:spacing w:val="-12"/>
                <w:sz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vMerge w:val="continue"/>
            <w:tcBorders>
              <w:top w:val="single" w:color="auto" w:sz="4" w:space="0"/>
              <w:left w:val="single" w:color="000000" w:sz="6"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pStyle w:val="100"/>
              <w:widowControl/>
              <w:numPr>
                <w:ilvl w:val="0"/>
                <w:numId w:val="3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投入本项目的保洁日常工具、厕纸、擦手纸、洗手液等耗材与招标需求、投标承诺一致</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2</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vMerge w:val="continue"/>
            <w:tcBorders>
              <w:top w:val="single" w:color="auto" w:sz="4" w:space="0"/>
              <w:left w:val="single" w:color="000000" w:sz="6"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pStyle w:val="100"/>
              <w:widowControl/>
              <w:numPr>
                <w:ilvl w:val="0"/>
                <w:numId w:val="34"/>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投入本项目防爆、防汛物资、器材等与招标需求、投标承诺一致</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vMerge w:val="restart"/>
            <w:tcBorders>
              <w:top w:val="single" w:color="auto" w:sz="4" w:space="0"/>
              <w:left w:val="single" w:color="000000" w:sz="6"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9</w:t>
            </w:r>
          </w:p>
        </w:tc>
        <w:tc>
          <w:tcPr>
            <w:tcW w:w="299" w:type="pct"/>
            <w:vMerge w:val="restart"/>
            <w:tcBorders>
              <w:top w:val="single" w:color="auto" w:sz="4"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投</w:t>
            </w:r>
            <w:r>
              <w:rPr>
                <w:rFonts w:hint="eastAsia" w:ascii="新宋体" w:hAnsi="新宋体" w:eastAsia="新宋体" w:cs="新宋体"/>
                <w:bCs/>
                <w:color w:val="auto"/>
                <w:spacing w:val="-2"/>
                <w:sz w:val="24"/>
                <w:highlight w:val="none"/>
              </w:rPr>
              <w:t>诉</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检</w:t>
            </w:r>
            <w:r>
              <w:rPr>
                <w:rFonts w:hint="eastAsia" w:ascii="新宋体" w:hAnsi="新宋体" w:eastAsia="新宋体" w:cs="新宋体"/>
                <w:bCs/>
                <w:color w:val="auto"/>
                <w:spacing w:val="-1"/>
                <w:sz w:val="24"/>
                <w:highlight w:val="none"/>
              </w:rPr>
              <w:t>查</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整改</w:t>
            </w:r>
          </w:p>
        </w:tc>
        <w:tc>
          <w:tcPr>
            <w:tcW w:w="2548" w:type="pct"/>
            <w:vAlign w:val="center"/>
          </w:tcPr>
          <w:p>
            <w:pPr>
              <w:pStyle w:val="100"/>
              <w:widowControl/>
              <w:numPr>
                <w:ilvl w:val="0"/>
                <w:numId w:val="3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spacing w:val="-8"/>
                <w:highlight w:val="none"/>
              </w:rPr>
              <w:t>建立完善</w:t>
            </w:r>
            <w:r>
              <w:rPr>
                <w:rFonts w:hint="eastAsia" w:ascii="新宋体" w:hAnsi="新宋体" w:eastAsia="新宋体" w:cs="新宋体"/>
                <w:bCs/>
                <w:color w:val="auto"/>
                <w:spacing w:val="-5"/>
                <w:highlight w:val="none"/>
              </w:rPr>
              <w:t>的</w:t>
            </w:r>
            <w:r>
              <w:rPr>
                <w:rFonts w:hint="eastAsia" w:ascii="新宋体" w:hAnsi="新宋体" w:eastAsia="新宋体" w:cs="新宋体"/>
                <w:bCs/>
                <w:color w:val="auto"/>
                <w:highlight w:val="none"/>
              </w:rPr>
              <w:t>投诉响应机制， 并能妥善处理各类投诉及建议，给予投诉客户</w:t>
            </w:r>
            <w:r>
              <w:rPr>
                <w:rFonts w:hint="eastAsia" w:ascii="新宋体" w:hAnsi="新宋体" w:eastAsia="新宋体" w:cs="新宋体"/>
                <w:bCs/>
                <w:color w:val="auto"/>
                <w:spacing w:val="-8"/>
                <w:highlight w:val="none"/>
              </w:rPr>
              <w:t>答复。</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restart"/>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ascii="新宋体" w:hAnsi="新宋体" w:eastAsia="新宋体" w:cs="新宋体"/>
                <w:bCs/>
                <w:snapToGrid w:val="0"/>
                <w:color w:val="auto"/>
                <w:kern w:val="0"/>
                <w:sz w:val="24"/>
                <w:highlight w:val="none"/>
              </w:rPr>
              <w:pict>
                <v:rect id="Rectangle 3" o:spid="_x0000_s1033" o:spt="1" style="position:absolute;left:0pt;margin-left:794.9pt;margin-top:0.4pt;height:80.6pt;width:0.5pt;mso-position-horizontal-relative:page;mso-position-vertical-relative:page;z-index:251664384;mso-width-relative:page;mso-height-relative:page;" fillcolor="#000000" filled="t" stroked="f" coordsize="21600,21600" o:gfxdata="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0hGNdgAAAAKAQAADwAA&#10;AAAAAAABACAAAAAiAAAAZHJzL2Rvd25yZXYueG1sUEsBAhQAFAAAAAgAh07iQMhUxEakAQAAYAMA&#10;AA4AAAAAAAAAAQAgAAAAJwEAAGRycy9lMm9Eb2MueG1sUEsFBgAAAAAGAAYAWQEAAD0FAAAAAA==&#10;">
                  <v:path/>
                  <v:fill on="t" focussize="0,0"/>
                  <v:stroke on="f"/>
                  <v:imagedata o:title=""/>
                  <o:lock v:ext="edit"/>
                </v:rect>
              </w:pict>
            </w:r>
            <w:r>
              <w:rPr>
                <w:rFonts w:hint="eastAsia" w:ascii="新宋体" w:hAnsi="新宋体" w:eastAsia="新宋体" w:cs="新宋体"/>
                <w:bCs/>
                <w:color w:val="auto"/>
                <w:spacing w:val="-2"/>
                <w:sz w:val="24"/>
                <w:highlight w:val="none"/>
              </w:rPr>
              <w:t>①</w:t>
            </w:r>
            <w:r>
              <w:rPr>
                <w:rFonts w:hint="eastAsia" w:ascii="新宋体" w:hAnsi="新宋体" w:eastAsia="新宋体" w:cs="新宋体"/>
                <w:bCs/>
                <w:color w:val="auto"/>
                <w:sz w:val="24"/>
                <w:highlight w:val="none"/>
              </w:rPr>
              <w:t>投诉事件经认定属实，未妥善</w:t>
            </w:r>
            <w:r>
              <w:rPr>
                <w:rFonts w:hint="eastAsia" w:ascii="新宋体" w:hAnsi="新宋体" w:eastAsia="新宋体" w:cs="新宋体"/>
                <w:bCs/>
                <w:color w:val="auto"/>
                <w:spacing w:val="-17"/>
                <w:sz w:val="24"/>
                <w:highlight w:val="none"/>
              </w:rPr>
              <w:t>处</w:t>
            </w:r>
            <w:r>
              <w:rPr>
                <w:rFonts w:hint="eastAsia" w:ascii="新宋体" w:hAnsi="新宋体" w:eastAsia="新宋体" w:cs="新宋体"/>
                <w:bCs/>
                <w:color w:val="auto"/>
                <w:spacing w:val="-12"/>
                <w:sz w:val="24"/>
                <w:highlight w:val="none"/>
              </w:rPr>
              <w:t>理或未答复，扣 1 分。</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②符合得 3 分，基本符合得 1 分</w:t>
            </w:r>
            <w:r>
              <w:rPr>
                <w:rFonts w:hint="eastAsia" w:ascii="新宋体" w:hAnsi="新宋体" w:eastAsia="新宋体" w:cs="新宋体"/>
                <w:bCs/>
                <w:color w:val="auto"/>
                <w:spacing w:val="-11"/>
                <w:sz w:val="24"/>
                <w:highlight w:val="none"/>
              </w:rPr>
              <w:t>，</w:t>
            </w:r>
            <w:r>
              <w:rPr>
                <w:rFonts w:hint="eastAsia" w:ascii="新宋体" w:hAnsi="新宋体" w:eastAsia="新宋体" w:cs="新宋体"/>
                <w:bCs/>
                <w:color w:val="auto"/>
                <w:spacing w:val="-10"/>
                <w:sz w:val="24"/>
                <w:highlight w:val="none"/>
              </w:rPr>
              <w:t>不</w:t>
            </w:r>
            <w:r>
              <w:rPr>
                <w:rFonts w:hint="eastAsia" w:ascii="新宋体" w:hAnsi="新宋体" w:eastAsia="新宋体" w:cs="新宋体"/>
                <w:bCs/>
                <w:color w:val="auto"/>
                <w:spacing w:val="-6"/>
                <w:sz w:val="24"/>
                <w:highlight w:val="none"/>
              </w:rPr>
              <w:t>符</w:t>
            </w:r>
            <w:r>
              <w:rPr>
                <w:rFonts w:hint="eastAsia" w:ascii="新宋体" w:hAnsi="新宋体" w:eastAsia="新宋体" w:cs="新宋体"/>
                <w:bCs/>
                <w:color w:val="auto"/>
                <w:spacing w:val="-5"/>
                <w:sz w:val="24"/>
                <w:highlight w:val="none"/>
              </w:rPr>
              <w:t>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vMerge w:val="continue"/>
            <w:tcBorders>
              <w:top w:val="single" w:color="auto" w:sz="4" w:space="0"/>
              <w:left w:val="single" w:color="000000" w:sz="6"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pStyle w:val="100"/>
              <w:widowControl/>
              <w:numPr>
                <w:ilvl w:val="0"/>
                <w:numId w:val="3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检查整改有效落实。</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vMerge w:val="continue"/>
            <w:tcBorders>
              <w:top w:val="single" w:color="auto" w:sz="4" w:space="0"/>
              <w:left w:val="single" w:color="000000" w:sz="6"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99" w:type="pct"/>
            <w:vMerge w:val="continue"/>
            <w:tcBorders>
              <w:top w:val="single" w:color="auto" w:sz="4" w:space="0"/>
              <w:bottom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2548" w:type="pct"/>
            <w:vAlign w:val="center"/>
          </w:tcPr>
          <w:p>
            <w:pPr>
              <w:pStyle w:val="100"/>
              <w:widowControl/>
              <w:numPr>
                <w:ilvl w:val="0"/>
                <w:numId w:val="35"/>
              </w:numPr>
              <w:kinsoku w:val="0"/>
              <w:autoSpaceDE w:val="0"/>
              <w:autoSpaceDN w:val="0"/>
              <w:snapToGrid w:val="0"/>
              <w:ind w:firstLine="420" w:firstLineChars="0"/>
              <w:jc w:val="left"/>
              <w:textAlignment w:val="baseline"/>
              <w:rPr>
                <w:rFonts w:ascii="新宋体" w:hAnsi="新宋体" w:eastAsia="新宋体" w:cs="新宋体"/>
                <w:bCs/>
                <w:color w:val="auto"/>
                <w:highlight w:val="none"/>
              </w:rPr>
            </w:pPr>
            <w:r>
              <w:rPr>
                <w:rFonts w:hint="eastAsia" w:ascii="新宋体" w:hAnsi="新宋体" w:eastAsia="新宋体" w:cs="新宋体"/>
                <w:bCs/>
                <w:color w:val="auto"/>
                <w:spacing w:val="-2"/>
                <w:highlight w:val="none"/>
              </w:rPr>
              <w:t>无其它</w:t>
            </w:r>
            <w:r>
              <w:rPr>
                <w:rFonts w:hint="eastAsia" w:ascii="新宋体" w:hAnsi="新宋体" w:eastAsia="新宋体" w:cs="新宋体"/>
                <w:bCs/>
                <w:color w:val="auto"/>
                <w:highlight w:val="none"/>
              </w:rPr>
              <w:t>违反采购人相关规定之事项。</w:t>
            </w:r>
          </w:p>
        </w:tc>
        <w:tc>
          <w:tcPr>
            <w:tcW w:w="366" w:type="pct"/>
            <w:gridSpan w:val="2"/>
            <w:vAlign w:val="center"/>
          </w:tcPr>
          <w:p>
            <w:pPr>
              <w:widowControl/>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301"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vMerge w:val="continue"/>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tcBorders>
              <w:top w:val="single" w:color="auto" w:sz="4" w:space="0"/>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10</w:t>
            </w:r>
          </w:p>
        </w:tc>
        <w:tc>
          <w:tcPr>
            <w:tcW w:w="299" w:type="pct"/>
            <w:tcBorders>
              <w:top w:val="single" w:color="auto" w:sz="4"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标准</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分</w:t>
            </w:r>
          </w:p>
        </w:tc>
        <w:tc>
          <w:tcPr>
            <w:tcW w:w="3216" w:type="pct"/>
            <w:gridSpan w:val="4"/>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napToGrid w:val="0"/>
                <w:color w:val="auto"/>
                <w:sz w:val="24"/>
                <w:highlight w:val="none"/>
              </w:rPr>
            </w:pPr>
            <w:r>
              <w:rPr>
                <w:rFonts w:hint="eastAsia" w:ascii="新宋体" w:hAnsi="新宋体" w:eastAsia="新宋体" w:cs="新宋体"/>
                <w:bCs/>
                <w:snapToGrid w:val="0"/>
                <w:color w:val="auto"/>
                <w:sz w:val="24"/>
                <w:highlight w:val="none"/>
              </w:rPr>
              <w:tab/>
            </w:r>
            <w:r>
              <w:rPr>
                <w:rFonts w:hint="eastAsia" w:ascii="新宋体" w:hAnsi="新宋体" w:eastAsia="新宋体" w:cs="新宋体"/>
                <w:bCs/>
                <w:snapToGrid w:val="0"/>
                <w:color w:val="auto"/>
                <w:sz w:val="24"/>
                <w:highlight w:val="none"/>
              </w:rPr>
              <w:t>100分</w:t>
            </w:r>
          </w:p>
        </w:tc>
        <w:tc>
          <w:tcPr>
            <w:tcW w:w="1230" w:type="pct"/>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255" w:type="pct"/>
            <w:tcBorders>
              <w:lef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1</w:t>
            </w:r>
          </w:p>
        </w:tc>
        <w:tc>
          <w:tcPr>
            <w:tcW w:w="299" w:type="pct"/>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总得</w:t>
            </w:r>
          </w:p>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分</w:t>
            </w:r>
          </w:p>
        </w:tc>
        <w:tc>
          <w:tcPr>
            <w:tcW w:w="3216" w:type="pct"/>
            <w:gridSpan w:val="4"/>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c>
          <w:tcPr>
            <w:tcW w:w="1230" w:type="pct"/>
            <w:tcBorders>
              <w:right w:val="single" w:color="000000"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p>
        </w:tc>
      </w:tr>
    </w:tbl>
    <w:p>
      <w:pPr>
        <w:rPr>
          <w:color w:val="auto"/>
          <w:highlight w:val="none"/>
        </w:rPr>
        <w:sectPr>
          <w:pgSz w:w="16839" w:h="11907" w:orient="landscape"/>
          <w:pgMar w:top="1012" w:right="938" w:bottom="0" w:left="1327" w:header="0" w:footer="0" w:gutter="0"/>
          <w:cols w:space="720" w:num="1"/>
          <w:docGrid w:type="lines" w:linePitch="319"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9" w:name="_Toc184313294"/>
      <w:bookmarkEnd w:id="29"/>
      <w:bookmarkStart w:id="30" w:name="_Toc184310276"/>
      <w:bookmarkEnd w:id="30"/>
      <w:bookmarkStart w:id="31" w:name="_Toc184308092"/>
      <w:bookmarkEnd w:id="31"/>
      <w:bookmarkStart w:id="32" w:name="_Toc184308072"/>
      <w:bookmarkEnd w:id="32"/>
      <w:bookmarkStart w:id="33" w:name="_Toc184314410"/>
      <w:bookmarkEnd w:id="33"/>
      <w:bookmarkStart w:id="34" w:name="_Toc184314453"/>
      <w:bookmarkEnd w:id="34"/>
      <w:bookmarkStart w:id="35" w:name="_Toc184312128"/>
      <w:bookmarkEnd w:id="35"/>
      <w:bookmarkStart w:id="36" w:name="_Toc184310277"/>
      <w:bookmarkEnd w:id="36"/>
      <w:bookmarkStart w:id="37" w:name="_Toc184314466"/>
      <w:bookmarkEnd w:id="37"/>
      <w:bookmarkStart w:id="38" w:name="_Toc184308078"/>
      <w:bookmarkEnd w:id="38"/>
      <w:bookmarkStart w:id="39" w:name="_Toc184312104"/>
      <w:bookmarkEnd w:id="39"/>
      <w:bookmarkStart w:id="40" w:name="_Toc184312076"/>
      <w:bookmarkEnd w:id="40"/>
      <w:bookmarkStart w:id="41" w:name="_Toc184310283"/>
      <w:bookmarkEnd w:id="41"/>
      <w:bookmarkStart w:id="42" w:name="_Toc184314456"/>
      <w:bookmarkEnd w:id="42"/>
      <w:bookmarkStart w:id="43" w:name="_Toc184313247"/>
      <w:bookmarkEnd w:id="43"/>
      <w:bookmarkStart w:id="44" w:name="_Toc184313293"/>
      <w:bookmarkEnd w:id="44"/>
      <w:bookmarkStart w:id="45" w:name="_Toc184310317"/>
      <w:bookmarkEnd w:id="45"/>
      <w:bookmarkStart w:id="46" w:name="_Toc184313279"/>
      <w:bookmarkEnd w:id="46"/>
      <w:bookmarkStart w:id="47" w:name="_Toc184308102"/>
      <w:bookmarkEnd w:id="47"/>
      <w:bookmarkStart w:id="48" w:name="_Toc184310303"/>
      <w:bookmarkEnd w:id="48"/>
      <w:bookmarkStart w:id="49" w:name="_Toc184313307"/>
      <w:bookmarkEnd w:id="49"/>
      <w:bookmarkStart w:id="50" w:name="_Toc184314468"/>
      <w:bookmarkEnd w:id="50"/>
      <w:bookmarkStart w:id="51" w:name="_Toc184314443"/>
      <w:bookmarkEnd w:id="51"/>
      <w:bookmarkStart w:id="52" w:name="_Toc184310292"/>
      <w:bookmarkEnd w:id="52"/>
      <w:bookmarkStart w:id="53" w:name="_Toc184310288"/>
      <w:bookmarkEnd w:id="53"/>
      <w:bookmarkStart w:id="54" w:name="_Toc184313266"/>
      <w:bookmarkEnd w:id="54"/>
      <w:bookmarkStart w:id="55" w:name="_Toc184312113"/>
      <w:bookmarkEnd w:id="55"/>
      <w:bookmarkStart w:id="56" w:name="_Toc184314426"/>
      <w:bookmarkEnd w:id="56"/>
      <w:bookmarkStart w:id="57" w:name="_Toc184310310"/>
      <w:bookmarkEnd w:id="57"/>
      <w:bookmarkStart w:id="58" w:name="_Toc184313268"/>
      <w:bookmarkEnd w:id="58"/>
      <w:bookmarkStart w:id="59" w:name="_Toc184312096"/>
      <w:bookmarkEnd w:id="59"/>
      <w:bookmarkStart w:id="60" w:name="_Toc184312115"/>
      <w:bookmarkEnd w:id="60"/>
      <w:bookmarkStart w:id="61" w:name="_Toc184314458"/>
      <w:bookmarkEnd w:id="61"/>
      <w:bookmarkStart w:id="62" w:name="_Toc184312067"/>
      <w:bookmarkEnd w:id="62"/>
      <w:bookmarkStart w:id="63" w:name="_Toc184313304"/>
      <w:bookmarkEnd w:id="63"/>
      <w:bookmarkStart w:id="64" w:name="_Toc184308049"/>
      <w:bookmarkEnd w:id="64"/>
      <w:bookmarkStart w:id="65" w:name="_Toc184310321"/>
      <w:bookmarkEnd w:id="65"/>
      <w:bookmarkStart w:id="66" w:name="_Toc184312110"/>
      <w:bookmarkEnd w:id="66"/>
      <w:bookmarkStart w:id="67" w:name="_Toc184310293"/>
      <w:bookmarkEnd w:id="67"/>
      <w:bookmarkStart w:id="68" w:name="_Toc184313254"/>
      <w:bookmarkEnd w:id="68"/>
      <w:bookmarkStart w:id="69" w:name="_Toc184313286"/>
      <w:bookmarkEnd w:id="69"/>
      <w:bookmarkStart w:id="70" w:name="_Toc184314446"/>
      <w:bookmarkEnd w:id="70"/>
      <w:bookmarkStart w:id="71" w:name="_Toc184313275"/>
      <w:bookmarkEnd w:id="71"/>
      <w:bookmarkStart w:id="72" w:name="_Toc184312107"/>
      <w:bookmarkEnd w:id="72"/>
      <w:bookmarkStart w:id="73" w:name="_Toc184312080"/>
      <w:bookmarkEnd w:id="73"/>
      <w:bookmarkStart w:id="74" w:name="_Toc184310291"/>
      <w:bookmarkEnd w:id="74"/>
      <w:bookmarkStart w:id="75" w:name="_Toc184313242"/>
      <w:bookmarkEnd w:id="75"/>
      <w:bookmarkStart w:id="76" w:name="_Toc184314457"/>
      <w:bookmarkEnd w:id="76"/>
      <w:bookmarkStart w:id="77" w:name="_Toc184308105"/>
      <w:bookmarkEnd w:id="77"/>
      <w:bookmarkStart w:id="78" w:name="_Toc184313276"/>
      <w:bookmarkEnd w:id="78"/>
      <w:bookmarkStart w:id="79" w:name="_Toc184313271"/>
      <w:bookmarkEnd w:id="79"/>
      <w:bookmarkStart w:id="80" w:name="_Toc184313240"/>
      <w:bookmarkEnd w:id="80"/>
      <w:bookmarkStart w:id="81" w:name="_Toc184314429"/>
      <w:bookmarkEnd w:id="81"/>
      <w:bookmarkStart w:id="82" w:name="_Toc184310337"/>
      <w:bookmarkEnd w:id="82"/>
      <w:bookmarkStart w:id="83" w:name="_Toc184310319"/>
      <w:bookmarkEnd w:id="83"/>
      <w:bookmarkStart w:id="84" w:name="_Toc184308066"/>
      <w:bookmarkEnd w:id="84"/>
      <w:bookmarkStart w:id="85" w:name="_Toc184310300"/>
      <w:bookmarkEnd w:id="85"/>
      <w:bookmarkStart w:id="86" w:name="_Toc184310338"/>
      <w:bookmarkEnd w:id="86"/>
      <w:bookmarkStart w:id="87" w:name="_Toc184308045"/>
      <w:bookmarkEnd w:id="87"/>
      <w:bookmarkStart w:id="88" w:name="_Toc184308099"/>
      <w:bookmarkEnd w:id="88"/>
      <w:bookmarkStart w:id="89" w:name="_Toc184312105"/>
      <w:bookmarkEnd w:id="89"/>
      <w:bookmarkStart w:id="90" w:name="_Toc184312074"/>
      <w:bookmarkEnd w:id="90"/>
      <w:bookmarkStart w:id="91" w:name="_Toc184308071"/>
      <w:bookmarkEnd w:id="91"/>
      <w:bookmarkStart w:id="92" w:name="_Toc184308097"/>
      <w:bookmarkEnd w:id="92"/>
      <w:bookmarkStart w:id="93" w:name="_Toc184312139"/>
      <w:bookmarkEnd w:id="93"/>
      <w:bookmarkStart w:id="94" w:name="_Toc184310322"/>
      <w:bookmarkEnd w:id="94"/>
      <w:bookmarkStart w:id="95" w:name="_Toc184310343"/>
      <w:bookmarkEnd w:id="95"/>
      <w:bookmarkStart w:id="96" w:name="_Toc184308044"/>
      <w:bookmarkEnd w:id="96"/>
      <w:bookmarkStart w:id="97" w:name="_Toc184308080"/>
      <w:bookmarkEnd w:id="97"/>
      <w:bookmarkStart w:id="98" w:name="_Toc184313259"/>
      <w:bookmarkEnd w:id="98"/>
      <w:bookmarkStart w:id="99" w:name="_Toc184313305"/>
      <w:bookmarkEnd w:id="99"/>
      <w:bookmarkStart w:id="100" w:name="_Toc184310287"/>
      <w:bookmarkEnd w:id="100"/>
      <w:bookmarkStart w:id="101" w:name="_Toc184308060"/>
      <w:bookmarkEnd w:id="101"/>
      <w:bookmarkStart w:id="102" w:name="_Toc184308076"/>
      <w:bookmarkEnd w:id="102"/>
      <w:bookmarkStart w:id="103" w:name="_Toc184312068"/>
      <w:bookmarkEnd w:id="103"/>
      <w:bookmarkStart w:id="104" w:name="_Toc184313241"/>
      <w:bookmarkEnd w:id="104"/>
      <w:bookmarkStart w:id="105" w:name="_Toc184308104"/>
      <w:bookmarkEnd w:id="105"/>
      <w:bookmarkStart w:id="106" w:name="_Toc184313280"/>
      <w:bookmarkEnd w:id="106"/>
      <w:bookmarkStart w:id="107" w:name="_Toc184310307"/>
      <w:bookmarkEnd w:id="107"/>
      <w:bookmarkStart w:id="108" w:name="_Toc184308056"/>
      <w:bookmarkEnd w:id="108"/>
      <w:bookmarkStart w:id="109" w:name="_Toc184314422"/>
      <w:bookmarkEnd w:id="109"/>
      <w:bookmarkStart w:id="110" w:name="_Toc184312135"/>
      <w:bookmarkEnd w:id="110"/>
      <w:bookmarkStart w:id="111" w:name="_Toc184308050"/>
      <w:bookmarkEnd w:id="111"/>
      <w:bookmarkStart w:id="112" w:name="_Toc184313253"/>
      <w:bookmarkEnd w:id="112"/>
      <w:bookmarkStart w:id="113" w:name="_Toc184312070"/>
      <w:bookmarkEnd w:id="113"/>
      <w:bookmarkStart w:id="114" w:name="_Toc184314425"/>
      <w:bookmarkEnd w:id="114"/>
      <w:bookmarkStart w:id="115" w:name="_Toc184308082"/>
      <w:bookmarkEnd w:id="115"/>
      <w:bookmarkStart w:id="116" w:name="_Toc184313257"/>
      <w:bookmarkEnd w:id="116"/>
      <w:bookmarkStart w:id="117" w:name="_Toc184314464"/>
      <w:bookmarkEnd w:id="117"/>
      <w:bookmarkStart w:id="118" w:name="_Toc184314461"/>
      <w:bookmarkEnd w:id="118"/>
      <w:bookmarkStart w:id="119" w:name="_Toc184313270"/>
      <w:bookmarkEnd w:id="119"/>
      <w:bookmarkStart w:id="120" w:name="_Toc184312103"/>
      <w:bookmarkEnd w:id="120"/>
      <w:bookmarkStart w:id="121" w:name="_Toc184308070"/>
      <w:bookmarkEnd w:id="121"/>
      <w:bookmarkStart w:id="122" w:name="_Toc184310302"/>
      <w:bookmarkEnd w:id="122"/>
      <w:bookmarkStart w:id="123" w:name="_Toc184314449"/>
      <w:bookmarkEnd w:id="123"/>
      <w:bookmarkStart w:id="124" w:name="_Toc184313263"/>
      <w:bookmarkEnd w:id="124"/>
      <w:bookmarkStart w:id="125" w:name="_Toc184312138"/>
      <w:bookmarkEnd w:id="125"/>
      <w:bookmarkStart w:id="126" w:name="_Toc184314430"/>
      <w:bookmarkEnd w:id="126"/>
      <w:bookmarkStart w:id="127" w:name="_Toc184310336"/>
      <w:bookmarkEnd w:id="127"/>
      <w:bookmarkStart w:id="128" w:name="_Toc184312079"/>
      <w:bookmarkEnd w:id="128"/>
      <w:bookmarkStart w:id="129" w:name="_Toc184310294"/>
      <w:bookmarkEnd w:id="129"/>
      <w:bookmarkStart w:id="130" w:name="_Toc184312127"/>
      <w:bookmarkEnd w:id="130"/>
      <w:bookmarkStart w:id="131" w:name="_Toc184310281"/>
      <w:bookmarkEnd w:id="131"/>
      <w:bookmarkStart w:id="132" w:name="_Toc184313251"/>
      <w:bookmarkEnd w:id="132"/>
      <w:bookmarkStart w:id="133" w:name="_Toc184308054"/>
      <w:bookmarkEnd w:id="133"/>
      <w:bookmarkStart w:id="134" w:name="_Toc184312081"/>
      <w:bookmarkEnd w:id="134"/>
      <w:bookmarkStart w:id="135" w:name="_Toc184312122"/>
      <w:bookmarkEnd w:id="135"/>
      <w:bookmarkStart w:id="136" w:name="_Toc184312133"/>
      <w:bookmarkEnd w:id="136"/>
      <w:bookmarkStart w:id="137" w:name="_Toc184312102"/>
      <w:bookmarkEnd w:id="137"/>
      <w:bookmarkStart w:id="138" w:name="_Toc184313258"/>
      <w:bookmarkEnd w:id="138"/>
      <w:bookmarkStart w:id="139" w:name="_Toc184314438"/>
      <w:bookmarkEnd w:id="139"/>
      <w:bookmarkStart w:id="140" w:name="_Toc184312069"/>
      <w:bookmarkEnd w:id="140"/>
      <w:bookmarkStart w:id="141" w:name="_Toc184308046"/>
      <w:bookmarkEnd w:id="141"/>
      <w:bookmarkStart w:id="142" w:name="_Toc184308058"/>
      <w:bookmarkEnd w:id="142"/>
      <w:bookmarkStart w:id="143" w:name="_Toc184313289"/>
      <w:bookmarkEnd w:id="143"/>
      <w:bookmarkStart w:id="144" w:name="_Toc184312095"/>
      <w:bookmarkEnd w:id="144"/>
      <w:bookmarkStart w:id="145" w:name="_Toc184312083"/>
      <w:bookmarkEnd w:id="145"/>
      <w:bookmarkStart w:id="146" w:name="_Toc184310309"/>
      <w:bookmarkEnd w:id="146"/>
      <w:bookmarkStart w:id="147" w:name="_Toc184310299"/>
      <w:bookmarkEnd w:id="147"/>
      <w:bookmarkStart w:id="148" w:name="_Toc184310279"/>
      <w:bookmarkEnd w:id="148"/>
      <w:bookmarkStart w:id="149" w:name="_Toc184313303"/>
      <w:bookmarkEnd w:id="149"/>
      <w:bookmarkStart w:id="150" w:name="_Toc184310333"/>
      <w:bookmarkEnd w:id="150"/>
      <w:bookmarkStart w:id="151" w:name="_Toc184312087"/>
      <w:bookmarkEnd w:id="151"/>
      <w:bookmarkStart w:id="152" w:name="_Toc184310344"/>
      <w:bookmarkEnd w:id="152"/>
      <w:bookmarkStart w:id="153" w:name="_Toc184314420"/>
      <w:bookmarkEnd w:id="153"/>
      <w:bookmarkStart w:id="154" w:name="_Toc184308053"/>
      <w:bookmarkEnd w:id="154"/>
      <w:bookmarkStart w:id="155" w:name="_Toc184313309"/>
      <w:bookmarkEnd w:id="155"/>
      <w:bookmarkStart w:id="156" w:name="_Toc184313239"/>
      <w:bookmarkEnd w:id="156"/>
      <w:bookmarkStart w:id="157" w:name="_Toc184312118"/>
      <w:bookmarkEnd w:id="157"/>
      <w:bookmarkStart w:id="158" w:name="_Toc184308093"/>
      <w:bookmarkEnd w:id="158"/>
      <w:bookmarkStart w:id="159" w:name="_Toc184313252"/>
      <w:bookmarkEnd w:id="159"/>
      <w:bookmarkStart w:id="160" w:name="_Toc184314477"/>
      <w:bookmarkEnd w:id="160"/>
      <w:bookmarkStart w:id="161" w:name="_Toc184313261"/>
      <w:bookmarkEnd w:id="161"/>
      <w:bookmarkStart w:id="162" w:name="_Toc184308094"/>
      <w:bookmarkEnd w:id="162"/>
      <w:bookmarkStart w:id="163" w:name="_Toc184312077"/>
      <w:bookmarkEnd w:id="163"/>
      <w:bookmarkStart w:id="164" w:name="_Toc184312125"/>
      <w:bookmarkEnd w:id="164"/>
      <w:bookmarkStart w:id="165" w:name="_Toc184310339"/>
      <w:bookmarkEnd w:id="165"/>
      <w:bookmarkStart w:id="166" w:name="_Toc184308081"/>
      <w:bookmarkEnd w:id="166"/>
      <w:bookmarkStart w:id="167" w:name="_Toc184313285"/>
      <w:bookmarkEnd w:id="167"/>
      <w:bookmarkStart w:id="168" w:name="_Toc184310298"/>
      <w:bookmarkEnd w:id="168"/>
      <w:bookmarkStart w:id="169" w:name="_Toc184312073"/>
      <w:bookmarkEnd w:id="169"/>
      <w:bookmarkStart w:id="170" w:name="_Toc184313284"/>
      <w:bookmarkEnd w:id="170"/>
      <w:bookmarkStart w:id="171" w:name="_Toc184313249"/>
      <w:bookmarkEnd w:id="171"/>
      <w:bookmarkStart w:id="172" w:name="_Toc184313238"/>
      <w:bookmarkEnd w:id="172"/>
      <w:bookmarkStart w:id="173" w:name="_Toc184314455"/>
      <w:bookmarkEnd w:id="173"/>
      <w:bookmarkStart w:id="174" w:name="_Toc184313287"/>
      <w:bookmarkEnd w:id="174"/>
      <w:bookmarkStart w:id="175" w:name="_Toc184313255"/>
      <w:bookmarkEnd w:id="175"/>
      <w:bookmarkStart w:id="176" w:name="_Toc184314454"/>
      <w:bookmarkEnd w:id="176"/>
      <w:bookmarkStart w:id="177" w:name="_Toc184314441"/>
      <w:bookmarkEnd w:id="177"/>
      <w:bookmarkStart w:id="178" w:name="_Toc184312091"/>
      <w:bookmarkEnd w:id="178"/>
      <w:bookmarkStart w:id="179" w:name="_Toc184314416"/>
      <w:bookmarkEnd w:id="179"/>
      <w:bookmarkStart w:id="180" w:name="_Toc184312136"/>
      <w:bookmarkEnd w:id="180"/>
      <w:bookmarkStart w:id="181" w:name="_Toc184312098"/>
      <w:bookmarkEnd w:id="181"/>
      <w:bookmarkStart w:id="182" w:name="_Toc184313256"/>
      <w:bookmarkEnd w:id="182"/>
      <w:bookmarkStart w:id="183" w:name="_Toc184310286"/>
      <w:bookmarkEnd w:id="183"/>
      <w:bookmarkStart w:id="184" w:name="_Toc184310315"/>
      <w:bookmarkEnd w:id="184"/>
      <w:bookmarkStart w:id="185" w:name="_Toc184310282"/>
      <w:bookmarkEnd w:id="185"/>
      <w:bookmarkStart w:id="186" w:name="_Toc184310329"/>
      <w:bookmarkEnd w:id="186"/>
      <w:bookmarkStart w:id="187" w:name="_Toc184313245"/>
      <w:bookmarkEnd w:id="187"/>
      <w:bookmarkStart w:id="188" w:name="_Toc184312084"/>
      <w:bookmarkEnd w:id="188"/>
      <w:bookmarkStart w:id="189" w:name="_Toc184310304"/>
      <w:bookmarkEnd w:id="189"/>
      <w:bookmarkStart w:id="190" w:name="_Toc184310295"/>
      <w:bookmarkEnd w:id="190"/>
      <w:bookmarkStart w:id="191" w:name="_Toc184308039"/>
      <w:bookmarkEnd w:id="191"/>
      <w:bookmarkStart w:id="192" w:name="_Toc184310340"/>
      <w:bookmarkEnd w:id="192"/>
      <w:bookmarkStart w:id="193" w:name="_Toc184314467"/>
      <w:bookmarkEnd w:id="193"/>
      <w:bookmarkStart w:id="194" w:name="_Toc184308040"/>
      <w:bookmarkEnd w:id="194"/>
      <w:bookmarkStart w:id="195" w:name="_Toc184314459"/>
      <w:bookmarkEnd w:id="195"/>
      <w:bookmarkStart w:id="196" w:name="_Toc184314414"/>
      <w:bookmarkEnd w:id="196"/>
      <w:bookmarkStart w:id="197" w:name="_Toc184308107"/>
      <w:bookmarkEnd w:id="197"/>
      <w:bookmarkStart w:id="198" w:name="_Toc184310311"/>
      <w:bookmarkEnd w:id="198"/>
      <w:bookmarkStart w:id="199" w:name="_Toc184313283"/>
      <w:bookmarkEnd w:id="199"/>
      <w:bookmarkStart w:id="200" w:name="_Toc184312120"/>
      <w:bookmarkEnd w:id="200"/>
      <w:bookmarkStart w:id="201" w:name="_Toc184313296"/>
      <w:bookmarkEnd w:id="201"/>
      <w:bookmarkStart w:id="202" w:name="_Toc184312086"/>
      <w:bookmarkEnd w:id="202"/>
      <w:bookmarkStart w:id="203" w:name="_Toc184314415"/>
      <w:bookmarkEnd w:id="203"/>
      <w:bookmarkStart w:id="204" w:name="_Toc184313302"/>
      <w:bookmarkEnd w:id="204"/>
      <w:bookmarkStart w:id="205" w:name="_Toc184313272"/>
      <w:bookmarkEnd w:id="205"/>
      <w:bookmarkStart w:id="206" w:name="_Toc184313250"/>
      <w:bookmarkEnd w:id="206"/>
      <w:bookmarkStart w:id="207" w:name="_Toc184308073"/>
      <w:bookmarkEnd w:id="207"/>
      <w:bookmarkStart w:id="208" w:name="_Toc184308086"/>
      <w:bookmarkEnd w:id="208"/>
      <w:bookmarkStart w:id="209" w:name="_Toc184313295"/>
      <w:bookmarkEnd w:id="209"/>
      <w:bookmarkStart w:id="210" w:name="_Toc184308103"/>
      <w:bookmarkEnd w:id="210"/>
      <w:bookmarkStart w:id="211" w:name="_Toc184310285"/>
      <w:bookmarkEnd w:id="211"/>
      <w:bookmarkStart w:id="212" w:name="_Toc184308061"/>
      <w:bookmarkEnd w:id="212"/>
      <w:bookmarkStart w:id="213" w:name="_Toc184313300"/>
      <w:bookmarkEnd w:id="213"/>
      <w:bookmarkStart w:id="214" w:name="_Toc184312137"/>
      <w:bookmarkEnd w:id="214"/>
      <w:bookmarkStart w:id="215" w:name="_Toc184312100"/>
      <w:bookmarkEnd w:id="215"/>
      <w:bookmarkStart w:id="216" w:name="_Toc184310331"/>
      <w:bookmarkEnd w:id="216"/>
      <w:bookmarkStart w:id="217" w:name="_Toc184314471"/>
      <w:bookmarkEnd w:id="217"/>
      <w:bookmarkStart w:id="218" w:name="_Toc184308038"/>
      <w:bookmarkEnd w:id="218"/>
      <w:bookmarkStart w:id="219" w:name="_Toc184313273"/>
      <w:bookmarkEnd w:id="219"/>
      <w:bookmarkStart w:id="220" w:name="_Toc184314440"/>
      <w:bookmarkEnd w:id="220"/>
      <w:bookmarkStart w:id="221" w:name="_Toc184313277"/>
      <w:bookmarkEnd w:id="221"/>
      <w:bookmarkStart w:id="222" w:name="_Toc184312089"/>
      <w:bookmarkEnd w:id="222"/>
      <w:bookmarkStart w:id="223" w:name="_Toc184308100"/>
      <w:bookmarkEnd w:id="223"/>
      <w:bookmarkStart w:id="224" w:name="_Toc184312108"/>
      <w:bookmarkEnd w:id="224"/>
      <w:bookmarkStart w:id="225" w:name="_Toc184312094"/>
      <w:bookmarkEnd w:id="225"/>
      <w:bookmarkStart w:id="226" w:name="_Toc184313292"/>
      <w:bookmarkEnd w:id="226"/>
      <w:bookmarkStart w:id="227" w:name="_Toc184314465"/>
      <w:bookmarkEnd w:id="227"/>
      <w:bookmarkStart w:id="228" w:name="_Toc184314433"/>
      <w:bookmarkEnd w:id="228"/>
      <w:bookmarkStart w:id="229" w:name="_Toc184312099"/>
      <w:bookmarkEnd w:id="229"/>
      <w:bookmarkStart w:id="230" w:name="_Toc184312112"/>
      <w:bookmarkEnd w:id="230"/>
      <w:bookmarkStart w:id="231" w:name="_Toc184310273"/>
      <w:bookmarkEnd w:id="231"/>
      <w:bookmarkStart w:id="232" w:name="_Toc184308037"/>
      <w:bookmarkEnd w:id="232"/>
      <w:bookmarkStart w:id="233" w:name="_Toc184312114"/>
      <w:bookmarkEnd w:id="233"/>
      <w:bookmarkStart w:id="234" w:name="_Toc184313260"/>
      <w:bookmarkEnd w:id="234"/>
      <w:bookmarkStart w:id="235" w:name="_Toc184308095"/>
      <w:bookmarkEnd w:id="235"/>
      <w:bookmarkStart w:id="236" w:name="_Toc184312090"/>
      <w:bookmarkEnd w:id="236"/>
      <w:bookmarkStart w:id="237" w:name="_Toc184312130"/>
      <w:bookmarkEnd w:id="237"/>
      <w:bookmarkStart w:id="238" w:name="_Toc184312092"/>
      <w:bookmarkEnd w:id="238"/>
      <w:bookmarkStart w:id="239" w:name="_Toc184312082"/>
      <w:bookmarkEnd w:id="239"/>
      <w:bookmarkStart w:id="240" w:name="_Toc184314434"/>
      <w:bookmarkEnd w:id="240"/>
      <w:bookmarkStart w:id="241" w:name="_Toc184314474"/>
      <w:bookmarkEnd w:id="241"/>
      <w:bookmarkStart w:id="242" w:name="_Toc184312116"/>
      <w:bookmarkEnd w:id="242"/>
      <w:bookmarkStart w:id="243" w:name="_Toc184312109"/>
      <w:bookmarkEnd w:id="243"/>
      <w:bookmarkStart w:id="244" w:name="_Toc184308052"/>
      <w:bookmarkEnd w:id="244"/>
      <w:bookmarkStart w:id="245" w:name="_Toc184312124"/>
      <w:bookmarkEnd w:id="245"/>
      <w:bookmarkStart w:id="246" w:name="_Toc184312078"/>
      <w:bookmarkEnd w:id="246"/>
      <w:bookmarkStart w:id="247" w:name="_Toc184314444"/>
      <w:bookmarkEnd w:id="247"/>
      <w:bookmarkStart w:id="248" w:name="_Toc184314419"/>
      <w:bookmarkEnd w:id="248"/>
      <w:bookmarkStart w:id="249" w:name="_Toc184310275"/>
      <w:bookmarkEnd w:id="249"/>
      <w:bookmarkStart w:id="250" w:name="_Toc184313288"/>
      <w:bookmarkEnd w:id="250"/>
      <w:bookmarkStart w:id="251" w:name="_Toc184310313"/>
      <w:bookmarkEnd w:id="251"/>
      <w:bookmarkStart w:id="252" w:name="_Toc184310334"/>
      <w:bookmarkEnd w:id="252"/>
      <w:bookmarkStart w:id="253" w:name="_Toc184314428"/>
      <w:bookmarkEnd w:id="253"/>
      <w:bookmarkStart w:id="254" w:name="_Toc184314469"/>
      <w:bookmarkEnd w:id="254"/>
      <w:bookmarkStart w:id="255" w:name="_Toc184310306"/>
      <w:bookmarkEnd w:id="255"/>
      <w:bookmarkStart w:id="256" w:name="_Toc184314412"/>
      <w:bookmarkEnd w:id="256"/>
      <w:bookmarkStart w:id="257" w:name="_Toc184314450"/>
      <w:bookmarkEnd w:id="257"/>
      <w:bookmarkStart w:id="258" w:name="_Toc184314463"/>
      <w:bookmarkEnd w:id="258"/>
      <w:bookmarkStart w:id="259" w:name="_Toc184314460"/>
      <w:bookmarkEnd w:id="259"/>
      <w:bookmarkStart w:id="260" w:name="_Toc184314451"/>
      <w:bookmarkEnd w:id="260"/>
      <w:bookmarkStart w:id="261" w:name="_Toc184313297"/>
      <w:bookmarkEnd w:id="261"/>
      <w:bookmarkStart w:id="262" w:name="_Toc184308051"/>
      <w:bookmarkEnd w:id="262"/>
      <w:bookmarkStart w:id="263" w:name="_Toc184313244"/>
      <w:bookmarkEnd w:id="263"/>
      <w:bookmarkStart w:id="264" w:name="_Toc184308069"/>
      <w:bookmarkEnd w:id="264"/>
      <w:bookmarkStart w:id="265" w:name="_Toc184310323"/>
      <w:bookmarkEnd w:id="265"/>
      <w:bookmarkStart w:id="266" w:name="_Toc184312121"/>
      <w:bookmarkEnd w:id="266"/>
      <w:bookmarkStart w:id="267" w:name="_Toc184314437"/>
      <w:bookmarkEnd w:id="267"/>
      <w:bookmarkStart w:id="268" w:name="_Toc184313290"/>
      <w:bookmarkEnd w:id="268"/>
      <w:bookmarkStart w:id="269" w:name="_Toc184314436"/>
      <w:bookmarkEnd w:id="269"/>
      <w:bookmarkStart w:id="270" w:name="_Toc184308074"/>
      <w:bookmarkEnd w:id="270"/>
      <w:bookmarkStart w:id="271" w:name="_Toc184308088"/>
      <w:bookmarkEnd w:id="271"/>
      <w:bookmarkStart w:id="272" w:name="_Toc184308065"/>
      <w:bookmarkEnd w:id="272"/>
      <w:bookmarkStart w:id="273" w:name="_Toc184310341"/>
      <w:bookmarkEnd w:id="273"/>
      <w:bookmarkStart w:id="274" w:name="_Toc184310308"/>
      <w:bookmarkEnd w:id="274"/>
      <w:bookmarkStart w:id="275" w:name="_Toc184314448"/>
      <w:bookmarkEnd w:id="275"/>
      <w:bookmarkStart w:id="276" w:name="_Toc184314413"/>
      <w:bookmarkEnd w:id="276"/>
      <w:bookmarkStart w:id="277" w:name="_Toc184308087"/>
      <w:bookmarkEnd w:id="277"/>
      <w:bookmarkStart w:id="278" w:name="_Toc184310301"/>
      <w:bookmarkEnd w:id="278"/>
      <w:bookmarkStart w:id="279" w:name="_Toc184314442"/>
      <w:bookmarkEnd w:id="279"/>
      <w:bookmarkStart w:id="280" w:name="_Toc184314481"/>
      <w:bookmarkEnd w:id="280"/>
      <w:bookmarkStart w:id="281" w:name="_Toc184312119"/>
      <w:bookmarkEnd w:id="281"/>
      <w:bookmarkStart w:id="282" w:name="_Toc184308063"/>
      <w:bookmarkEnd w:id="282"/>
      <w:bookmarkStart w:id="283" w:name="_Toc184314447"/>
      <w:bookmarkEnd w:id="283"/>
      <w:bookmarkStart w:id="284" w:name="_Toc184312123"/>
      <w:bookmarkEnd w:id="284"/>
      <w:bookmarkStart w:id="285" w:name="_Toc184308083"/>
      <w:bookmarkEnd w:id="285"/>
      <w:bookmarkStart w:id="286" w:name="_Toc184308055"/>
      <w:bookmarkEnd w:id="286"/>
      <w:bookmarkStart w:id="287" w:name="_Toc184313248"/>
      <w:bookmarkEnd w:id="287"/>
      <w:bookmarkStart w:id="288" w:name="_Toc184310325"/>
      <w:bookmarkEnd w:id="288"/>
      <w:bookmarkStart w:id="289" w:name="_Toc184308041"/>
      <w:bookmarkEnd w:id="289"/>
      <w:bookmarkStart w:id="290" w:name="_Toc184308089"/>
      <w:bookmarkEnd w:id="290"/>
      <w:bookmarkStart w:id="291" w:name="_Toc184313298"/>
      <w:bookmarkEnd w:id="291"/>
      <w:bookmarkStart w:id="292" w:name="_Toc184308067"/>
      <w:bookmarkEnd w:id="292"/>
      <w:bookmarkStart w:id="293" w:name="_Toc184312134"/>
      <w:bookmarkEnd w:id="293"/>
      <w:bookmarkStart w:id="294" w:name="_Toc184310290"/>
      <w:bookmarkEnd w:id="294"/>
      <w:bookmarkStart w:id="295" w:name="_Toc184313269"/>
      <w:bookmarkEnd w:id="295"/>
      <w:bookmarkStart w:id="296" w:name="_Toc184312088"/>
      <w:bookmarkEnd w:id="296"/>
      <w:bookmarkStart w:id="297" w:name="_Toc184308085"/>
      <w:bookmarkEnd w:id="297"/>
      <w:bookmarkStart w:id="298" w:name="_Toc184310296"/>
      <w:bookmarkEnd w:id="298"/>
      <w:bookmarkStart w:id="299" w:name="_Toc184314431"/>
      <w:bookmarkEnd w:id="299"/>
      <w:bookmarkStart w:id="300" w:name="_Toc184310332"/>
      <w:bookmarkEnd w:id="300"/>
      <w:bookmarkStart w:id="301" w:name="_Toc184314470"/>
      <w:bookmarkEnd w:id="301"/>
      <w:bookmarkStart w:id="302" w:name="_Toc184310330"/>
      <w:bookmarkEnd w:id="302"/>
      <w:bookmarkStart w:id="303" w:name="_Toc184312071"/>
      <w:bookmarkEnd w:id="303"/>
      <w:bookmarkStart w:id="304" w:name="_Toc184312072"/>
      <w:bookmarkEnd w:id="304"/>
      <w:bookmarkStart w:id="305" w:name="_Toc184308084"/>
      <w:bookmarkEnd w:id="305"/>
      <w:bookmarkStart w:id="306" w:name="_Toc184313310"/>
      <w:bookmarkEnd w:id="306"/>
      <w:bookmarkStart w:id="307" w:name="_Toc184312111"/>
      <w:bookmarkEnd w:id="307"/>
      <w:bookmarkStart w:id="308" w:name="_Toc184313299"/>
      <w:bookmarkEnd w:id="308"/>
      <w:bookmarkStart w:id="309" w:name="_Toc184314417"/>
      <w:bookmarkEnd w:id="309"/>
      <w:bookmarkStart w:id="310" w:name="_Toc184314475"/>
      <w:bookmarkEnd w:id="310"/>
      <w:bookmarkStart w:id="311" w:name="_Toc184308098"/>
      <w:bookmarkEnd w:id="311"/>
      <w:bookmarkStart w:id="312" w:name="_Toc184313278"/>
      <w:bookmarkEnd w:id="312"/>
      <w:bookmarkStart w:id="313" w:name="_Toc184312097"/>
      <w:bookmarkEnd w:id="313"/>
      <w:bookmarkStart w:id="314" w:name="_Toc184308068"/>
      <w:bookmarkEnd w:id="314"/>
      <w:bookmarkStart w:id="315" w:name="_Toc184310278"/>
      <w:bookmarkEnd w:id="315"/>
      <w:bookmarkStart w:id="316" w:name="_Toc184312101"/>
      <w:bookmarkEnd w:id="316"/>
      <w:bookmarkStart w:id="317" w:name="_Toc184310305"/>
      <w:bookmarkEnd w:id="317"/>
      <w:bookmarkStart w:id="318" w:name="_Toc184314423"/>
      <w:bookmarkEnd w:id="318"/>
      <w:bookmarkStart w:id="319" w:name="_Toc184308042"/>
      <w:bookmarkEnd w:id="319"/>
      <w:bookmarkStart w:id="320" w:name="_Toc184313262"/>
      <w:bookmarkEnd w:id="320"/>
      <w:bookmarkStart w:id="321" w:name="_Toc184310274"/>
      <w:bookmarkEnd w:id="321"/>
      <w:bookmarkStart w:id="322" w:name="_Toc184313265"/>
      <w:bookmarkEnd w:id="322"/>
      <w:bookmarkStart w:id="323" w:name="_Toc184314424"/>
      <w:bookmarkEnd w:id="323"/>
      <w:bookmarkStart w:id="324" w:name="_Toc184308047"/>
      <w:bookmarkEnd w:id="324"/>
      <w:bookmarkStart w:id="325" w:name="_Toc184312117"/>
      <w:bookmarkEnd w:id="325"/>
      <w:bookmarkStart w:id="326" w:name="_Toc184314435"/>
      <w:bookmarkEnd w:id="326"/>
      <w:bookmarkStart w:id="327" w:name="_Toc184313308"/>
      <w:bookmarkEnd w:id="327"/>
      <w:bookmarkStart w:id="328" w:name="_Toc184313264"/>
      <w:bookmarkEnd w:id="328"/>
      <w:bookmarkStart w:id="329" w:name="_Toc184308077"/>
      <w:bookmarkEnd w:id="329"/>
      <w:bookmarkStart w:id="330" w:name="_Toc184308090"/>
      <w:bookmarkEnd w:id="330"/>
      <w:bookmarkStart w:id="331" w:name="_Toc184312131"/>
      <w:bookmarkEnd w:id="331"/>
      <w:bookmarkStart w:id="332" w:name="_Toc184310335"/>
      <w:bookmarkEnd w:id="332"/>
      <w:bookmarkStart w:id="333" w:name="_Toc184312085"/>
      <w:bookmarkEnd w:id="333"/>
      <w:bookmarkStart w:id="334" w:name="_Toc184308079"/>
      <w:bookmarkEnd w:id="334"/>
      <w:bookmarkStart w:id="335" w:name="_Toc184310297"/>
      <w:bookmarkEnd w:id="335"/>
      <w:bookmarkStart w:id="336" w:name="_Toc184314462"/>
      <w:bookmarkEnd w:id="336"/>
      <w:bookmarkStart w:id="337" w:name="_Toc184310328"/>
      <w:bookmarkEnd w:id="337"/>
      <w:bookmarkStart w:id="338" w:name="_Toc184314480"/>
      <w:bookmarkEnd w:id="338"/>
      <w:bookmarkStart w:id="339" w:name="_Toc184313282"/>
      <w:bookmarkEnd w:id="339"/>
      <w:bookmarkStart w:id="340" w:name="_Toc184314479"/>
      <w:bookmarkEnd w:id="340"/>
      <w:bookmarkStart w:id="341" w:name="_Toc184310327"/>
      <w:bookmarkEnd w:id="341"/>
      <w:bookmarkStart w:id="342" w:name="_Toc184312093"/>
      <w:bookmarkEnd w:id="342"/>
      <w:bookmarkStart w:id="343" w:name="_Toc184308101"/>
      <w:bookmarkEnd w:id="343"/>
      <w:bookmarkStart w:id="344" w:name="_Toc184313301"/>
      <w:bookmarkEnd w:id="344"/>
      <w:bookmarkStart w:id="345" w:name="_Toc184308091"/>
      <w:bookmarkEnd w:id="345"/>
      <w:bookmarkStart w:id="346" w:name="_Toc184308064"/>
      <w:bookmarkEnd w:id="346"/>
      <w:bookmarkStart w:id="347" w:name="_Toc184310324"/>
      <w:bookmarkEnd w:id="347"/>
      <w:bookmarkStart w:id="348" w:name="_Toc184308106"/>
      <w:bookmarkEnd w:id="348"/>
      <w:bookmarkStart w:id="349" w:name="_Toc184312106"/>
      <w:bookmarkEnd w:id="349"/>
      <w:bookmarkStart w:id="350" w:name="_Toc184312132"/>
      <w:bookmarkEnd w:id="350"/>
      <w:bookmarkStart w:id="351" w:name="_Toc184314473"/>
      <w:bookmarkEnd w:id="351"/>
      <w:bookmarkStart w:id="352" w:name="_Toc184314452"/>
      <w:bookmarkEnd w:id="352"/>
      <w:bookmarkStart w:id="353" w:name="_Toc184310312"/>
      <w:bookmarkEnd w:id="353"/>
      <w:bookmarkStart w:id="354" w:name="_Toc184310289"/>
      <w:bookmarkEnd w:id="354"/>
      <w:bookmarkStart w:id="355" w:name="_Toc184314482"/>
      <w:bookmarkEnd w:id="355"/>
      <w:bookmarkStart w:id="356" w:name="_Toc184313306"/>
      <w:bookmarkEnd w:id="356"/>
      <w:bookmarkStart w:id="357" w:name="_Toc184313274"/>
      <w:bookmarkEnd w:id="357"/>
      <w:bookmarkStart w:id="358" w:name="_Toc184314445"/>
      <w:bookmarkEnd w:id="358"/>
      <w:bookmarkStart w:id="359" w:name="_Toc184308036"/>
      <w:bookmarkEnd w:id="359"/>
      <w:bookmarkStart w:id="360" w:name="_Toc184310320"/>
      <w:bookmarkEnd w:id="360"/>
      <w:bookmarkStart w:id="361" w:name="_Toc184310284"/>
      <w:bookmarkEnd w:id="361"/>
      <w:bookmarkStart w:id="362" w:name="_Toc184313246"/>
      <w:bookmarkEnd w:id="362"/>
      <w:bookmarkStart w:id="363" w:name="_Toc184310326"/>
      <w:bookmarkEnd w:id="363"/>
      <w:bookmarkStart w:id="364" w:name="_Toc184314432"/>
      <w:bookmarkEnd w:id="364"/>
      <w:bookmarkStart w:id="365" w:name="_Toc184310272"/>
      <w:bookmarkEnd w:id="365"/>
      <w:bookmarkStart w:id="366" w:name="_Toc184313291"/>
      <w:bookmarkEnd w:id="366"/>
      <w:bookmarkStart w:id="367" w:name="_Toc184313243"/>
      <w:bookmarkEnd w:id="367"/>
      <w:bookmarkStart w:id="368" w:name="_Toc184314427"/>
      <w:bookmarkEnd w:id="368"/>
      <w:bookmarkStart w:id="369" w:name="_Toc184310318"/>
      <w:bookmarkEnd w:id="369"/>
      <w:bookmarkStart w:id="370" w:name="_Toc184314478"/>
      <w:bookmarkEnd w:id="370"/>
      <w:bookmarkStart w:id="371" w:name="_Toc184314472"/>
      <w:bookmarkEnd w:id="371"/>
      <w:bookmarkStart w:id="372" w:name="_Toc184313281"/>
      <w:bookmarkEnd w:id="372"/>
      <w:bookmarkStart w:id="373" w:name="_Toc184314418"/>
      <w:bookmarkEnd w:id="373"/>
      <w:bookmarkStart w:id="374" w:name="_Toc184312129"/>
      <w:bookmarkEnd w:id="374"/>
      <w:bookmarkStart w:id="375" w:name="_Toc184308059"/>
      <w:bookmarkEnd w:id="375"/>
      <w:bookmarkStart w:id="376" w:name="_Toc184308075"/>
      <w:bookmarkEnd w:id="376"/>
      <w:bookmarkStart w:id="377" w:name="_Toc184314421"/>
      <w:bookmarkEnd w:id="377"/>
      <w:bookmarkStart w:id="378" w:name="_Toc184308057"/>
      <w:bookmarkEnd w:id="378"/>
      <w:bookmarkStart w:id="379" w:name="_Toc184312075"/>
      <w:bookmarkEnd w:id="379"/>
      <w:bookmarkStart w:id="380" w:name="_Toc184310280"/>
      <w:bookmarkEnd w:id="380"/>
      <w:bookmarkStart w:id="381" w:name="_Toc184310316"/>
      <w:bookmarkEnd w:id="381"/>
      <w:bookmarkStart w:id="382" w:name="_Toc184314411"/>
      <w:bookmarkEnd w:id="382"/>
      <w:bookmarkStart w:id="383" w:name="_Toc184308108"/>
      <w:bookmarkEnd w:id="383"/>
      <w:bookmarkStart w:id="384" w:name="_Toc184308048"/>
      <w:bookmarkEnd w:id="384"/>
      <w:bookmarkStart w:id="385" w:name="_Toc184308062"/>
      <w:bookmarkEnd w:id="385"/>
      <w:bookmarkStart w:id="386" w:name="_Toc184314476"/>
      <w:bookmarkEnd w:id="386"/>
      <w:bookmarkStart w:id="387" w:name="_Toc184313267"/>
      <w:bookmarkEnd w:id="387"/>
      <w:bookmarkStart w:id="388" w:name="_Toc184308043"/>
      <w:bookmarkEnd w:id="388"/>
      <w:bookmarkStart w:id="389" w:name="_Toc184308096"/>
      <w:bookmarkEnd w:id="389"/>
      <w:bookmarkStart w:id="390" w:name="_Toc184310314"/>
      <w:bookmarkEnd w:id="390"/>
      <w:bookmarkStart w:id="391" w:name="_Toc184312126"/>
      <w:bookmarkEnd w:id="391"/>
      <w:bookmarkStart w:id="392" w:name="_Toc184310342"/>
      <w:bookmarkEnd w:id="392"/>
      <w:bookmarkStart w:id="393" w:name="_Toc184314439"/>
      <w:bookmarkEnd w:id="393"/>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431"/>
        <w:gridCol w:w="555"/>
        <w:gridCol w:w="100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序号</w:t>
            </w:r>
          </w:p>
        </w:tc>
        <w:tc>
          <w:tcPr>
            <w:tcW w:w="5431"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评标标准</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最高分值</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主观分/客观分属性</w:t>
            </w:r>
          </w:p>
        </w:tc>
        <w:tc>
          <w:tcPr>
            <w:tcW w:w="1372" w:type="dxa"/>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5431"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根据本项目物业使用特点提出合理的物业管理服务理念、服务定位和服务目标。</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全部符合得</w:t>
            </w:r>
            <w:r>
              <w:rPr>
                <w:rFonts w:ascii="新宋体" w:hAnsi="新宋体" w:eastAsia="新宋体" w:cs="新宋体"/>
                <w:bCs/>
                <w:color w:val="auto"/>
                <w:sz w:val="24"/>
                <w:highlight w:val="none"/>
              </w:rPr>
              <w:t>2</w:t>
            </w:r>
            <w:r>
              <w:rPr>
                <w:rFonts w:hint="eastAsia" w:ascii="新宋体" w:hAnsi="新宋体" w:eastAsia="新宋体" w:cs="新宋体"/>
                <w:bCs/>
                <w:color w:val="auto"/>
                <w:sz w:val="24"/>
                <w:highlight w:val="none"/>
              </w:rPr>
              <w:t>分，部分符合得1分，不符合不得分。内容完整合理、有针对性，视为符合要求。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2</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服务理念、定位、目标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5431" w:type="dxa"/>
            <w:vAlign w:val="center"/>
          </w:tcPr>
          <w:p>
            <w:pPr>
              <w:pStyle w:val="100"/>
              <w:widowControl w:val="0"/>
              <w:numPr>
                <w:ilvl w:val="0"/>
                <w:numId w:val="36"/>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针对本项目有比较完善的组织架构（0-2分）；</w:t>
            </w:r>
          </w:p>
          <w:p>
            <w:pPr>
              <w:pStyle w:val="100"/>
              <w:widowControl w:val="0"/>
              <w:numPr>
                <w:ilvl w:val="0"/>
                <w:numId w:val="36"/>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清晰简练地列出主要管理流程，包括：运作流程图、信息反馈及处理运作流程图、投诉处理运作流程图、紧急情况处理运作流程图（0-2分）；</w:t>
            </w:r>
          </w:p>
          <w:p>
            <w:pPr>
              <w:pStyle w:val="100"/>
              <w:widowControl w:val="0"/>
              <w:numPr>
                <w:ilvl w:val="0"/>
                <w:numId w:val="36"/>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列出主要管理机制，包括：激励机制、监督机制、自我约束机制（0-2分）；</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每小点内容全部符合得</w:t>
            </w:r>
            <w:r>
              <w:rPr>
                <w:rFonts w:ascii="新宋体" w:hAnsi="新宋体" w:eastAsia="新宋体" w:cs="新宋体"/>
                <w:bCs/>
                <w:color w:val="auto"/>
                <w:sz w:val="24"/>
                <w:highlight w:val="none"/>
              </w:rPr>
              <w:t>2</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6</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组织架构、管理流程、管理机制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w:t>
            </w:r>
          </w:p>
        </w:tc>
        <w:tc>
          <w:tcPr>
            <w:tcW w:w="5431"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具有健全的物业管理制度，体现标准化服务水平，包括：考勤管理制度、财务管理制度、接待投诉制度、培训学习制度、监督考核制度、档案管理制度、各项工作制度（应包含保洁、保安、消控、绿化、会务、设施设备管理）。</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每提供一条符合要求的制度，得1分，部分符合得0.5分，不符合不得分。内容完整合理、有针对性视为符合要求。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7</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4</w:t>
            </w:r>
          </w:p>
        </w:tc>
        <w:tc>
          <w:tcPr>
            <w:tcW w:w="5431"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针对本项目的员工培训方案，包括：培训目的、培训内容、培训时间、培训地点、培训者、培训对象、培训方式等。</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全部符合得</w:t>
            </w:r>
            <w:r>
              <w:rPr>
                <w:rFonts w:ascii="新宋体" w:hAnsi="新宋体" w:eastAsia="新宋体" w:cs="新宋体"/>
                <w:bCs/>
                <w:color w:val="auto"/>
                <w:sz w:val="24"/>
                <w:highlight w:val="none"/>
              </w:rPr>
              <w:t>2</w:t>
            </w:r>
            <w:r>
              <w:rPr>
                <w:rFonts w:hint="eastAsia" w:ascii="新宋体" w:hAnsi="新宋体" w:eastAsia="新宋体" w:cs="新宋体"/>
                <w:bCs/>
                <w:color w:val="auto"/>
                <w:sz w:val="24"/>
                <w:highlight w:val="none"/>
              </w:rPr>
              <w:t>分，部分符合得1分，不符合不得分。内容完整合理、有针对性视为符合要求。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2</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5</w:t>
            </w:r>
          </w:p>
        </w:tc>
        <w:tc>
          <w:tcPr>
            <w:tcW w:w="5431" w:type="dxa"/>
            <w:vAlign w:val="center"/>
          </w:tcPr>
          <w:p>
            <w:pPr>
              <w:pStyle w:val="100"/>
              <w:widowControl w:val="0"/>
              <w:numPr>
                <w:ilvl w:val="0"/>
                <w:numId w:val="37"/>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详细说明投入的设备、工具、药剂、耗材的环保性和优越性，提供相关设备、工具、材料的品牌、型号、产地、数量等清单；</w:t>
            </w:r>
          </w:p>
          <w:p>
            <w:pPr>
              <w:pStyle w:val="100"/>
              <w:widowControl w:val="0"/>
              <w:numPr>
                <w:ilvl w:val="0"/>
                <w:numId w:val="37"/>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配备防爆、防汛物资、工程维护部物料及器材消耗。</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每小点内容全部符合得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0.5</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2</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投入的设备、耗材等情况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6</w:t>
            </w:r>
          </w:p>
        </w:tc>
        <w:tc>
          <w:tcPr>
            <w:tcW w:w="5431" w:type="dxa"/>
            <w:vAlign w:val="center"/>
          </w:tcPr>
          <w:p>
            <w:pPr>
              <w:pStyle w:val="100"/>
              <w:widowControl w:val="0"/>
              <w:numPr>
                <w:ilvl w:val="0"/>
                <w:numId w:val="38"/>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不同区域保洁标准、频次、工具区分；</w:t>
            </w:r>
          </w:p>
          <w:p>
            <w:pPr>
              <w:pStyle w:val="100"/>
              <w:widowControl w:val="0"/>
              <w:numPr>
                <w:ilvl w:val="0"/>
                <w:numId w:val="38"/>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特殊天气清扫；</w:t>
            </w:r>
          </w:p>
          <w:p>
            <w:pPr>
              <w:pStyle w:val="100"/>
              <w:widowControl w:val="0"/>
              <w:numPr>
                <w:ilvl w:val="0"/>
                <w:numId w:val="38"/>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高空保洁作业防护措施；</w:t>
            </w:r>
          </w:p>
          <w:p>
            <w:pPr>
              <w:pStyle w:val="100"/>
              <w:widowControl w:val="0"/>
              <w:numPr>
                <w:ilvl w:val="0"/>
                <w:numId w:val="38"/>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预防性卫生消杀；</w:t>
            </w:r>
          </w:p>
          <w:p>
            <w:pPr>
              <w:pStyle w:val="100"/>
              <w:widowControl w:val="0"/>
              <w:numPr>
                <w:ilvl w:val="0"/>
                <w:numId w:val="38"/>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消灭“四害”；</w:t>
            </w:r>
          </w:p>
          <w:p>
            <w:pPr>
              <w:pStyle w:val="100"/>
              <w:widowControl w:val="0"/>
              <w:numPr>
                <w:ilvl w:val="0"/>
                <w:numId w:val="38"/>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定期全面消杀。</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kern w:val="0"/>
                <w:sz w:val="24"/>
                <w:highlight w:val="none"/>
              </w:rPr>
            </w:pPr>
            <w:r>
              <w:rPr>
                <w:rFonts w:hint="eastAsia" w:ascii="新宋体" w:hAnsi="新宋体" w:eastAsia="新宋体" w:cs="新宋体"/>
                <w:bCs/>
                <w:color w:val="auto"/>
                <w:sz w:val="24"/>
                <w:highlight w:val="none"/>
              </w:rPr>
              <w:t xml:space="preserve">    每小点内容全部符合得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0.5</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6</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保洁服务方案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7</w:t>
            </w:r>
          </w:p>
        </w:tc>
        <w:tc>
          <w:tcPr>
            <w:tcW w:w="5431" w:type="dxa"/>
            <w:vAlign w:val="center"/>
          </w:tcPr>
          <w:p>
            <w:pPr>
              <w:pStyle w:val="100"/>
              <w:widowControl w:val="0"/>
              <w:numPr>
                <w:ilvl w:val="0"/>
                <w:numId w:val="39"/>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遵纪守规文明履职；</w:t>
            </w:r>
          </w:p>
          <w:p>
            <w:pPr>
              <w:pStyle w:val="100"/>
              <w:widowControl w:val="0"/>
              <w:numPr>
                <w:ilvl w:val="0"/>
                <w:numId w:val="39"/>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门岗管理方案；</w:t>
            </w:r>
          </w:p>
          <w:p>
            <w:pPr>
              <w:pStyle w:val="100"/>
              <w:widowControl w:val="0"/>
              <w:numPr>
                <w:ilvl w:val="0"/>
                <w:numId w:val="39"/>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重点时段执勤方案；</w:t>
            </w:r>
          </w:p>
          <w:p>
            <w:pPr>
              <w:pStyle w:val="100"/>
              <w:widowControl w:val="0"/>
              <w:numPr>
                <w:ilvl w:val="0"/>
                <w:numId w:val="39"/>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重点部位及周边巡查；</w:t>
            </w:r>
          </w:p>
          <w:p>
            <w:pPr>
              <w:pStyle w:val="100"/>
              <w:widowControl w:val="0"/>
              <w:numPr>
                <w:ilvl w:val="0"/>
                <w:numId w:val="39"/>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紧急情况处置。</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每小点内容全部符合得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0.5</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5</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保安服务方案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8</w:t>
            </w:r>
          </w:p>
        </w:tc>
        <w:tc>
          <w:tcPr>
            <w:tcW w:w="5431" w:type="dxa"/>
            <w:vAlign w:val="center"/>
          </w:tcPr>
          <w:p>
            <w:pPr>
              <w:pStyle w:val="100"/>
              <w:widowControl w:val="0"/>
              <w:numPr>
                <w:ilvl w:val="0"/>
                <w:numId w:val="40"/>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定期巡查；</w:t>
            </w:r>
          </w:p>
          <w:p>
            <w:pPr>
              <w:pStyle w:val="100"/>
              <w:widowControl w:val="0"/>
              <w:numPr>
                <w:ilvl w:val="0"/>
                <w:numId w:val="40"/>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张贴平面疏散示意图、引路标志及控烟标志；</w:t>
            </w:r>
          </w:p>
          <w:p>
            <w:pPr>
              <w:pStyle w:val="100"/>
              <w:widowControl w:val="0"/>
              <w:numPr>
                <w:ilvl w:val="0"/>
                <w:numId w:val="40"/>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定期防火检查。</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每小点内容全部符合得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0.5</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3</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消控安全管理方案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9</w:t>
            </w:r>
          </w:p>
        </w:tc>
        <w:tc>
          <w:tcPr>
            <w:tcW w:w="5431" w:type="dxa"/>
            <w:vAlign w:val="center"/>
          </w:tcPr>
          <w:p>
            <w:pPr>
              <w:widowControl w:val="0"/>
              <w:numPr>
                <w:ilvl w:val="0"/>
                <w:numId w:val="41"/>
              </w:numPr>
              <w:kinsoku w:val="0"/>
              <w:autoSpaceDE w:val="0"/>
              <w:autoSpaceDN w:val="0"/>
              <w:snapToGrid w:val="0"/>
              <w:spacing w:line="360" w:lineRule="auto"/>
              <w:ind w:left="0" w:firstLine="400" w:firstLineChars="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会场布置</w:t>
            </w:r>
          </w:p>
          <w:p>
            <w:pPr>
              <w:widowControl w:val="0"/>
              <w:numPr>
                <w:ilvl w:val="0"/>
                <w:numId w:val="41"/>
              </w:numPr>
              <w:kinsoku w:val="0"/>
              <w:autoSpaceDE w:val="0"/>
              <w:autoSpaceDN w:val="0"/>
              <w:snapToGrid w:val="0"/>
              <w:spacing w:line="360" w:lineRule="auto"/>
              <w:ind w:left="0" w:firstLine="400" w:firstLineChars="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会议过程服务</w:t>
            </w:r>
          </w:p>
          <w:p>
            <w:pPr>
              <w:widowControl w:val="0"/>
              <w:numPr>
                <w:ilvl w:val="0"/>
                <w:numId w:val="41"/>
              </w:numPr>
              <w:kinsoku w:val="0"/>
              <w:autoSpaceDE w:val="0"/>
              <w:autoSpaceDN w:val="0"/>
              <w:snapToGrid w:val="0"/>
              <w:spacing w:line="360" w:lineRule="auto"/>
              <w:ind w:left="0" w:firstLine="400" w:firstLineChars="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会后场地整理服务。</w:t>
            </w:r>
          </w:p>
          <w:p>
            <w:pPr>
              <w:widowControl w:val="0"/>
              <w:kinsoku w:val="0"/>
              <w:autoSpaceDE w:val="0"/>
              <w:autoSpaceDN w:val="0"/>
              <w:snapToGrid w:val="0"/>
              <w:spacing w:line="360" w:lineRule="auto"/>
              <w:ind w:firstLine="480" w:firstLineChars="20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每小点内容全部符合得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0.5</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3</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会务服务方案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10</w:t>
            </w:r>
          </w:p>
        </w:tc>
        <w:tc>
          <w:tcPr>
            <w:tcW w:w="5431" w:type="dxa"/>
            <w:vAlign w:val="center"/>
          </w:tcPr>
          <w:p>
            <w:pPr>
              <w:pStyle w:val="100"/>
              <w:widowControl w:val="0"/>
              <w:numPr>
                <w:ilvl w:val="0"/>
                <w:numId w:val="42"/>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突发事件应急预案；</w:t>
            </w:r>
          </w:p>
          <w:p>
            <w:pPr>
              <w:pStyle w:val="100"/>
              <w:widowControl w:val="0"/>
              <w:numPr>
                <w:ilvl w:val="0"/>
                <w:numId w:val="42"/>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每年进行</w:t>
            </w:r>
            <w:r>
              <w:rPr>
                <w:rFonts w:ascii="新宋体" w:hAnsi="新宋体" w:eastAsia="新宋体" w:cs="新宋体"/>
                <w:bCs/>
                <w:color w:val="auto"/>
                <w:highlight w:val="none"/>
              </w:rPr>
              <w:t>4</w:t>
            </w:r>
            <w:r>
              <w:rPr>
                <w:rFonts w:hint="eastAsia" w:ascii="新宋体" w:hAnsi="新宋体" w:eastAsia="新宋体" w:cs="新宋体"/>
                <w:bCs/>
                <w:color w:val="auto"/>
                <w:highlight w:val="none"/>
              </w:rPr>
              <w:t>次以上防火灾事故、防暴恐袭击等处置突发事件的培训和演练。</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每小点内容全部符合得</w:t>
            </w:r>
            <w:r>
              <w:rPr>
                <w:rFonts w:ascii="新宋体" w:hAnsi="新宋体" w:eastAsia="新宋体" w:cs="新宋体"/>
                <w:bCs/>
                <w:color w:val="auto"/>
                <w:sz w:val="24"/>
                <w:highlight w:val="none"/>
              </w:rPr>
              <w:t>2</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4</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kern w:val="0"/>
                <w:sz w:val="24"/>
                <w:highlight w:val="none"/>
              </w:rPr>
            </w:pPr>
            <w:r>
              <w:rPr>
                <w:rFonts w:hint="eastAsia" w:ascii="新宋体" w:hAnsi="新宋体" w:eastAsia="新宋体" w:cs="新宋体"/>
                <w:bCs/>
                <w:color w:val="auto"/>
                <w:sz w:val="24"/>
                <w:highlight w:val="none"/>
              </w:rPr>
              <w:t>应急管理方案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1</w:t>
            </w:r>
          </w:p>
        </w:tc>
        <w:tc>
          <w:tcPr>
            <w:tcW w:w="5431" w:type="dxa"/>
            <w:vAlign w:val="center"/>
          </w:tcPr>
          <w:p>
            <w:pPr>
              <w:pStyle w:val="100"/>
              <w:widowControl w:val="0"/>
              <w:numPr>
                <w:ilvl w:val="0"/>
                <w:numId w:val="43"/>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绿化日常养护、管理；</w:t>
            </w:r>
          </w:p>
          <w:p>
            <w:pPr>
              <w:pStyle w:val="100"/>
              <w:widowControl w:val="0"/>
              <w:numPr>
                <w:ilvl w:val="0"/>
                <w:numId w:val="43"/>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特殊天气巡查、处理，排除安全隐患；</w:t>
            </w:r>
          </w:p>
          <w:p>
            <w:pPr>
              <w:pStyle w:val="100"/>
              <w:widowControl w:val="0"/>
              <w:numPr>
                <w:ilvl w:val="0"/>
                <w:numId w:val="43"/>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病虫害防治。</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每小点内容全部符合得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0.5</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绿化养护方案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2</w:t>
            </w:r>
          </w:p>
        </w:tc>
        <w:tc>
          <w:tcPr>
            <w:tcW w:w="5431"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绿化租赁方案，包括：植物摆放、养护和管理等，提供本项目拟租赁的绿植清单明细、照片等佐证材料。</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全部符合得</w:t>
            </w:r>
            <w:r>
              <w:rPr>
                <w:rFonts w:ascii="新宋体" w:hAnsi="新宋体" w:eastAsia="新宋体" w:cs="新宋体"/>
                <w:bCs/>
                <w:color w:val="auto"/>
                <w:sz w:val="24"/>
                <w:highlight w:val="none"/>
              </w:rPr>
              <w:t>2</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分，不符合不得分。符合招标需求、有针对性视为符合要求。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绿化租赁方案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3</w:t>
            </w:r>
          </w:p>
        </w:tc>
        <w:tc>
          <w:tcPr>
            <w:tcW w:w="5431" w:type="dxa"/>
            <w:vAlign w:val="center"/>
          </w:tcPr>
          <w:p>
            <w:pPr>
              <w:pStyle w:val="100"/>
              <w:widowControl w:val="0"/>
              <w:numPr>
                <w:ilvl w:val="0"/>
                <w:numId w:val="44"/>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房屋日常维护；</w:t>
            </w:r>
          </w:p>
          <w:p>
            <w:pPr>
              <w:pStyle w:val="100"/>
              <w:widowControl w:val="0"/>
              <w:numPr>
                <w:ilvl w:val="0"/>
                <w:numId w:val="44"/>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高配房巡视、各类机房设备设施巡检；</w:t>
            </w:r>
          </w:p>
          <w:p>
            <w:pPr>
              <w:pStyle w:val="100"/>
              <w:widowControl w:val="0"/>
              <w:numPr>
                <w:ilvl w:val="0"/>
                <w:numId w:val="44"/>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照明系统、供用电设备设施维护；</w:t>
            </w:r>
          </w:p>
          <w:p>
            <w:pPr>
              <w:pStyle w:val="100"/>
              <w:widowControl w:val="0"/>
              <w:numPr>
                <w:ilvl w:val="0"/>
                <w:numId w:val="44"/>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排水系统维护；</w:t>
            </w:r>
          </w:p>
          <w:p>
            <w:pPr>
              <w:pStyle w:val="100"/>
              <w:widowControl w:val="0"/>
              <w:numPr>
                <w:ilvl w:val="0"/>
                <w:numId w:val="44"/>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水泵、管道养护，每年至少两次水箱清洗，并提供水质检测报告；</w:t>
            </w:r>
          </w:p>
          <w:p>
            <w:pPr>
              <w:pStyle w:val="100"/>
              <w:widowControl w:val="0"/>
              <w:numPr>
                <w:ilvl w:val="0"/>
                <w:numId w:val="44"/>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智能弱电设备巡检；</w:t>
            </w:r>
          </w:p>
          <w:p>
            <w:pPr>
              <w:pStyle w:val="100"/>
              <w:widowControl w:val="0"/>
              <w:numPr>
                <w:ilvl w:val="0"/>
                <w:numId w:val="44"/>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零星维修、其他大修；</w:t>
            </w:r>
          </w:p>
          <w:p>
            <w:pPr>
              <w:pStyle w:val="100"/>
              <w:widowControl w:val="0"/>
              <w:numPr>
                <w:ilvl w:val="0"/>
                <w:numId w:val="44"/>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定期对宿舍楼设施设备安全排查，消除安全隐患。</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每小点内容全部符合得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0.5</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8</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设施设备维护方案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4</w:t>
            </w:r>
          </w:p>
        </w:tc>
        <w:tc>
          <w:tcPr>
            <w:tcW w:w="5431"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电梯定期检查、维护、应急维修等，建立台账并记录。</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全部符合得</w:t>
            </w:r>
            <w:r>
              <w:rPr>
                <w:rFonts w:ascii="新宋体" w:hAnsi="新宋体" w:eastAsia="新宋体" w:cs="新宋体"/>
                <w:bCs/>
                <w:color w:val="auto"/>
                <w:sz w:val="24"/>
                <w:highlight w:val="none"/>
              </w:rPr>
              <w:t>2</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电梯维护方案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5</w:t>
            </w:r>
          </w:p>
        </w:tc>
        <w:tc>
          <w:tcPr>
            <w:tcW w:w="5431" w:type="dxa"/>
            <w:vAlign w:val="center"/>
          </w:tcPr>
          <w:p>
            <w:pPr>
              <w:widowControl w:val="0"/>
              <w:kinsoku w:val="0"/>
              <w:autoSpaceDE w:val="0"/>
              <w:autoSpaceDN w:val="0"/>
              <w:snapToGrid w:val="0"/>
              <w:spacing w:line="360" w:lineRule="auto"/>
              <w:ind w:firstLine="528" w:firstLineChars="2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消防设施设备定期维护保养，建立台账并记录。  </w:t>
            </w:r>
          </w:p>
          <w:p>
            <w:pPr>
              <w:widowControl w:val="0"/>
              <w:kinsoku w:val="0"/>
              <w:autoSpaceDE w:val="0"/>
              <w:autoSpaceDN w:val="0"/>
              <w:snapToGrid w:val="0"/>
              <w:spacing w:line="360" w:lineRule="auto"/>
              <w:ind w:firstLine="528" w:firstLineChars="2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全部符合得</w:t>
            </w:r>
            <w:r>
              <w:rPr>
                <w:rFonts w:ascii="新宋体" w:hAnsi="新宋体" w:eastAsia="新宋体" w:cs="新宋体"/>
                <w:bCs/>
                <w:color w:val="auto"/>
                <w:sz w:val="24"/>
                <w:highlight w:val="none"/>
              </w:rPr>
              <w:t>2</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kern w:val="0"/>
                <w:sz w:val="24"/>
                <w:highlight w:val="none"/>
              </w:rPr>
            </w:pPr>
            <w:r>
              <w:rPr>
                <w:rFonts w:hint="eastAsia" w:ascii="新宋体" w:hAnsi="新宋体" w:eastAsia="新宋体" w:cs="新宋体"/>
                <w:bCs/>
                <w:color w:val="auto"/>
                <w:sz w:val="24"/>
                <w:highlight w:val="none"/>
              </w:rPr>
              <w:t>消防设施设备维护方案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6</w:t>
            </w:r>
          </w:p>
        </w:tc>
        <w:tc>
          <w:tcPr>
            <w:tcW w:w="5431"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定期对空调通风系统进行检查、维护、清洁，测试运行控制和安全控制功能，记录运行参数，分析运行记录，确保空调系统正常运行。每年冬夏两次对空调通风系统进行全面的维护保养。</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全部符合得</w:t>
            </w:r>
            <w:r>
              <w:rPr>
                <w:rFonts w:ascii="新宋体" w:hAnsi="新宋体" w:eastAsia="新宋体" w:cs="新宋体"/>
                <w:bCs/>
                <w:color w:val="auto"/>
                <w:sz w:val="24"/>
                <w:highlight w:val="none"/>
              </w:rPr>
              <w:t>2</w:t>
            </w:r>
            <w:r>
              <w:rPr>
                <w:rFonts w:hint="eastAsia" w:ascii="新宋体" w:hAnsi="新宋体" w:eastAsia="新宋体" w:cs="新宋体"/>
                <w:bCs/>
                <w:color w:val="auto"/>
                <w:sz w:val="24"/>
                <w:highlight w:val="none"/>
              </w:rPr>
              <w:t>分，部分符合得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分，不符合不得分。内容完整合理、有针对性视为符合要求。</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2</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空调通风系统维护方案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7</w:t>
            </w:r>
          </w:p>
        </w:tc>
        <w:tc>
          <w:tcPr>
            <w:tcW w:w="5431"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投标人拥有自主开发的或购买的软件或者APP等智能物业服务平台，含智慧报修、设备管理、巡更管理，满足业主方服务需求。</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提供相关</w:t>
            </w:r>
            <w:r>
              <w:rPr>
                <w:rFonts w:hint="eastAsia" w:ascii="新宋体" w:hAnsi="新宋体" w:eastAsia="新宋体" w:cs="新宋体"/>
                <w:bCs/>
                <w:color w:val="auto"/>
                <w:sz w:val="24"/>
                <w:highlight w:val="none"/>
              </w:rPr>
              <w:t>著作权证书扫描件或购买并应用于本项目的承诺函。每项功能得</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分，最高得</w:t>
            </w:r>
            <w:r>
              <w:rPr>
                <w:rFonts w:ascii="新宋体" w:hAnsi="新宋体" w:eastAsia="新宋体" w:cs="新宋体"/>
                <w:bCs/>
                <w:color w:val="auto"/>
                <w:sz w:val="24"/>
                <w:highlight w:val="none"/>
              </w:rPr>
              <w:t>3</w:t>
            </w:r>
            <w:r>
              <w:rPr>
                <w:rFonts w:hint="eastAsia" w:ascii="新宋体" w:hAnsi="新宋体" w:eastAsia="新宋体" w:cs="新宋体"/>
                <w:bCs/>
                <w:color w:val="auto"/>
                <w:sz w:val="24"/>
                <w:highlight w:val="none"/>
              </w:rPr>
              <w:t>分。</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3</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客观分</w:t>
            </w:r>
          </w:p>
        </w:tc>
        <w:tc>
          <w:tcPr>
            <w:tcW w:w="1372"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智能化系统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534" w:type="dxa"/>
            <w:vMerge w:val="restart"/>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8</w:t>
            </w:r>
          </w:p>
        </w:tc>
        <w:tc>
          <w:tcPr>
            <w:tcW w:w="5431" w:type="dxa"/>
            <w:vAlign w:val="center"/>
          </w:tcPr>
          <w:p>
            <w:pPr>
              <w:pStyle w:val="100"/>
              <w:widowControl w:val="0"/>
              <w:numPr>
                <w:ilvl w:val="0"/>
                <w:numId w:val="45"/>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拟派本项目的项目经理（3分）：年龄50周岁以下（</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分），大学本科以上学历（</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分），具有3年以上物业项目经理工作经验（</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w:t>
            </w:r>
          </w:p>
          <w:p>
            <w:pPr>
              <w:pStyle w:val="100"/>
              <w:widowControl w:val="0"/>
              <w:numPr>
                <w:ilvl w:val="0"/>
                <w:numId w:val="45"/>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拟派本项目保洁主管（</w:t>
            </w:r>
            <w:r>
              <w:rPr>
                <w:rFonts w:ascii="新宋体" w:hAnsi="新宋体" w:eastAsia="新宋体" w:cs="新宋体"/>
                <w:bCs/>
                <w:color w:val="auto"/>
                <w:highlight w:val="none"/>
              </w:rPr>
              <w:t>3</w:t>
            </w:r>
            <w:r>
              <w:rPr>
                <w:rFonts w:hint="eastAsia" w:ascii="新宋体" w:hAnsi="新宋体" w:eastAsia="新宋体" w:cs="新宋体"/>
                <w:bCs/>
                <w:color w:val="auto"/>
                <w:highlight w:val="none"/>
              </w:rPr>
              <w:t>分）：年龄50周岁以下（</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分），大专以上学历（</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分），具有2年以上保洁主管工作经验（1分）。</w:t>
            </w:r>
          </w:p>
          <w:p>
            <w:pPr>
              <w:pStyle w:val="100"/>
              <w:widowControl w:val="0"/>
              <w:numPr>
                <w:ilvl w:val="0"/>
                <w:numId w:val="45"/>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拟派本项目的保安主管（</w:t>
            </w:r>
            <w:r>
              <w:rPr>
                <w:rFonts w:ascii="新宋体" w:hAnsi="新宋体" w:eastAsia="新宋体" w:cs="新宋体"/>
                <w:bCs/>
                <w:color w:val="auto"/>
                <w:highlight w:val="none"/>
              </w:rPr>
              <w:t>3.5</w:t>
            </w:r>
            <w:r>
              <w:rPr>
                <w:rFonts w:hint="eastAsia" w:ascii="新宋体" w:hAnsi="新宋体" w:eastAsia="新宋体" w:cs="新宋体"/>
                <w:bCs/>
                <w:color w:val="auto"/>
                <w:highlight w:val="none"/>
              </w:rPr>
              <w:t>分）：年龄50周岁以下（</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分），大专以上学历（</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分），持有</w:t>
            </w:r>
            <w:r>
              <w:rPr>
                <w:rFonts w:ascii="新宋体" w:hAnsi="新宋体" w:eastAsia="新宋体" w:cs="新宋体"/>
                <w:bCs/>
                <w:color w:val="auto"/>
                <w:highlight w:val="none"/>
              </w:rPr>
              <w:t>三级/高级工（原高级保安员）以上职业技能等级证书</w:t>
            </w:r>
            <w:r>
              <w:rPr>
                <w:rFonts w:hint="eastAsia" w:ascii="新宋体" w:hAnsi="新宋体" w:eastAsia="新宋体" w:cs="新宋体"/>
                <w:bCs/>
                <w:color w:val="auto"/>
                <w:highlight w:val="none"/>
              </w:rPr>
              <w:t>（</w:t>
            </w:r>
            <w:r>
              <w:rPr>
                <w:rFonts w:ascii="新宋体" w:hAnsi="新宋体" w:eastAsia="新宋体" w:cs="新宋体"/>
                <w:bCs/>
                <w:color w:val="auto"/>
                <w:highlight w:val="none"/>
              </w:rPr>
              <w:t>0.5</w:t>
            </w:r>
            <w:r>
              <w:rPr>
                <w:rFonts w:hint="eastAsia" w:ascii="新宋体" w:hAnsi="新宋体" w:eastAsia="新宋体" w:cs="新宋体"/>
                <w:bCs/>
                <w:color w:val="auto"/>
                <w:highlight w:val="none"/>
              </w:rPr>
              <w:t>分），具有2年以上保安主管工作经验（</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w:t>
            </w:r>
          </w:p>
          <w:p>
            <w:pPr>
              <w:pStyle w:val="100"/>
              <w:widowControl w:val="0"/>
              <w:numPr>
                <w:ilvl w:val="0"/>
                <w:numId w:val="45"/>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拟派项目绿化工（</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分）：年龄</w:t>
            </w:r>
            <w:r>
              <w:rPr>
                <w:rFonts w:ascii="新宋体" w:hAnsi="新宋体" w:eastAsia="新宋体" w:cs="新宋体"/>
                <w:bCs/>
                <w:color w:val="auto"/>
                <w:highlight w:val="none"/>
              </w:rPr>
              <w:t>55</w:t>
            </w:r>
            <w:r>
              <w:rPr>
                <w:rFonts w:hint="eastAsia" w:ascii="新宋体" w:hAnsi="新宋体" w:eastAsia="新宋体" w:cs="新宋体"/>
                <w:bCs/>
                <w:color w:val="auto"/>
                <w:highlight w:val="none"/>
              </w:rPr>
              <w:t>周岁以下，1年以上绿化养护工作经验。完全符合得</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分，否则不得分。</w:t>
            </w:r>
          </w:p>
          <w:p>
            <w:pPr>
              <w:pStyle w:val="100"/>
              <w:widowControl w:val="0"/>
              <w:numPr>
                <w:ilvl w:val="0"/>
                <w:numId w:val="45"/>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拟派本项目的工程维修人员（</w:t>
            </w:r>
            <w:r>
              <w:rPr>
                <w:rFonts w:ascii="新宋体" w:hAnsi="新宋体" w:eastAsia="新宋体" w:cs="新宋体"/>
                <w:bCs/>
                <w:color w:val="auto"/>
                <w:highlight w:val="none"/>
              </w:rPr>
              <w:t>3</w:t>
            </w:r>
            <w:r>
              <w:rPr>
                <w:rFonts w:hint="eastAsia" w:ascii="新宋体" w:hAnsi="新宋体" w:eastAsia="新宋体" w:cs="新宋体"/>
                <w:bCs/>
                <w:color w:val="auto"/>
                <w:highlight w:val="none"/>
              </w:rPr>
              <w:t>分）：年龄5</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周岁以下（0</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分），1年以上工程维修工作经验（0</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分）。每符合1人得1分，最高得</w:t>
            </w:r>
            <w:r>
              <w:rPr>
                <w:rFonts w:ascii="新宋体" w:hAnsi="新宋体" w:eastAsia="新宋体" w:cs="新宋体"/>
                <w:bCs/>
                <w:color w:val="auto"/>
                <w:highlight w:val="none"/>
              </w:rPr>
              <w:t>3</w:t>
            </w:r>
            <w:r>
              <w:rPr>
                <w:rFonts w:hint="eastAsia" w:ascii="新宋体" w:hAnsi="新宋体" w:eastAsia="新宋体" w:cs="新宋体"/>
                <w:bCs/>
                <w:color w:val="auto"/>
                <w:highlight w:val="none"/>
              </w:rPr>
              <w:t>分</w:t>
            </w:r>
          </w:p>
          <w:p>
            <w:pPr>
              <w:pStyle w:val="100"/>
              <w:widowControl w:val="0"/>
              <w:numPr>
                <w:ilvl w:val="0"/>
                <w:numId w:val="45"/>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拟派本项目的消控人员（</w:t>
            </w:r>
            <w:r>
              <w:rPr>
                <w:rFonts w:ascii="新宋体" w:hAnsi="新宋体" w:eastAsia="新宋体" w:cs="新宋体"/>
                <w:bCs/>
                <w:color w:val="auto"/>
                <w:highlight w:val="none"/>
              </w:rPr>
              <w:t>3</w:t>
            </w:r>
            <w:r>
              <w:rPr>
                <w:rFonts w:hint="eastAsia" w:ascii="新宋体" w:hAnsi="新宋体" w:eastAsia="新宋体" w:cs="新宋体"/>
                <w:bCs/>
                <w:color w:val="auto"/>
                <w:highlight w:val="none"/>
              </w:rPr>
              <w:t>分）：年龄5</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周岁以下，具有1年以上消控工作经验。每符合1人得</w:t>
            </w:r>
            <w:r>
              <w:rPr>
                <w:rFonts w:ascii="新宋体" w:hAnsi="新宋体" w:eastAsia="新宋体" w:cs="新宋体"/>
                <w:bCs/>
                <w:color w:val="auto"/>
                <w:highlight w:val="none"/>
              </w:rPr>
              <w:t>1</w:t>
            </w:r>
            <w:r>
              <w:rPr>
                <w:rFonts w:hint="eastAsia" w:ascii="新宋体" w:hAnsi="新宋体" w:eastAsia="新宋体" w:cs="新宋体"/>
                <w:bCs/>
                <w:color w:val="auto"/>
                <w:highlight w:val="none"/>
              </w:rPr>
              <w:t>分，最高得</w:t>
            </w:r>
            <w:r>
              <w:rPr>
                <w:rFonts w:ascii="新宋体" w:hAnsi="新宋体" w:eastAsia="新宋体" w:cs="新宋体"/>
                <w:bCs/>
                <w:color w:val="auto"/>
                <w:highlight w:val="none"/>
              </w:rPr>
              <w:t>3</w:t>
            </w:r>
            <w:r>
              <w:rPr>
                <w:rFonts w:hint="eastAsia" w:ascii="新宋体" w:hAnsi="新宋体" w:eastAsia="新宋体" w:cs="新宋体"/>
                <w:bCs/>
                <w:color w:val="auto"/>
                <w:highlight w:val="none"/>
              </w:rPr>
              <w:t>分。</w:t>
            </w:r>
          </w:p>
          <w:p>
            <w:pPr>
              <w:pStyle w:val="100"/>
              <w:widowControl w:val="0"/>
              <w:numPr>
                <w:ilvl w:val="0"/>
                <w:numId w:val="45"/>
              </w:numPr>
              <w:kinsoku w:val="0"/>
              <w:autoSpaceDE w:val="0"/>
              <w:autoSpaceDN w:val="0"/>
              <w:snapToGrid w:val="0"/>
              <w:ind w:firstLine="420" w:firstLineChars="0"/>
              <w:jc w:val="both"/>
              <w:textAlignment w:val="baseline"/>
              <w:rPr>
                <w:rFonts w:ascii="新宋体" w:hAnsi="新宋体" w:eastAsia="新宋体" w:cs="新宋体"/>
                <w:bCs/>
                <w:color w:val="auto"/>
                <w:highlight w:val="none"/>
              </w:rPr>
            </w:pPr>
            <w:r>
              <w:rPr>
                <w:rFonts w:hint="eastAsia" w:ascii="新宋体" w:hAnsi="新宋体" w:eastAsia="新宋体" w:cs="新宋体"/>
                <w:bCs/>
                <w:color w:val="auto"/>
                <w:highlight w:val="none"/>
              </w:rPr>
              <w:t>拟派</w:t>
            </w:r>
            <w:bookmarkStart w:id="394" w:name="_Hlk151739264"/>
            <w:r>
              <w:rPr>
                <w:rFonts w:hint="eastAsia" w:ascii="新宋体" w:hAnsi="新宋体" w:eastAsia="新宋体" w:cs="新宋体"/>
                <w:bCs/>
                <w:color w:val="auto"/>
                <w:highlight w:val="none"/>
              </w:rPr>
              <w:t>本项目的会务人员（</w:t>
            </w:r>
            <w:r>
              <w:rPr>
                <w:rFonts w:ascii="新宋体" w:hAnsi="新宋体" w:eastAsia="新宋体" w:cs="新宋体"/>
                <w:bCs/>
                <w:color w:val="auto"/>
                <w:highlight w:val="none"/>
              </w:rPr>
              <w:t>1.5</w:t>
            </w:r>
            <w:r>
              <w:rPr>
                <w:rFonts w:hint="eastAsia" w:ascii="新宋体" w:hAnsi="新宋体" w:eastAsia="新宋体" w:cs="新宋体"/>
                <w:bCs/>
                <w:color w:val="auto"/>
                <w:highlight w:val="none"/>
              </w:rPr>
              <w:t>分）：年龄4</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周岁以下（0</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分），</w:t>
            </w:r>
            <w:bookmarkEnd w:id="394"/>
            <w:r>
              <w:rPr>
                <w:rFonts w:hint="eastAsia" w:ascii="新宋体" w:hAnsi="新宋体" w:eastAsia="新宋体" w:cs="新宋体"/>
                <w:bCs/>
                <w:color w:val="auto"/>
                <w:highlight w:val="none"/>
              </w:rPr>
              <w:t>高中以上学历（0</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分），具有1年以上会务工作经验（0</w:t>
            </w:r>
            <w:r>
              <w:rPr>
                <w:rFonts w:ascii="新宋体" w:hAnsi="新宋体" w:eastAsia="新宋体" w:cs="新宋体"/>
                <w:bCs/>
                <w:color w:val="auto"/>
                <w:highlight w:val="none"/>
              </w:rPr>
              <w:t>.5</w:t>
            </w:r>
            <w:r>
              <w:rPr>
                <w:rFonts w:hint="eastAsia" w:ascii="新宋体" w:hAnsi="新宋体" w:eastAsia="新宋体" w:cs="新宋体"/>
                <w:bCs/>
                <w:color w:val="auto"/>
                <w:highlight w:val="none"/>
              </w:rPr>
              <w:t>分）。</w:t>
            </w:r>
          </w:p>
          <w:p>
            <w:pPr>
              <w:pStyle w:val="100"/>
              <w:widowControl w:val="0"/>
              <w:kinsoku w:val="0"/>
              <w:autoSpaceDE w:val="0"/>
              <w:autoSpaceDN w:val="0"/>
              <w:snapToGrid w:val="0"/>
              <w:ind w:firstLine="480"/>
              <w:jc w:val="both"/>
              <w:textAlignment w:val="baseline"/>
              <w:rPr>
                <w:rFonts w:ascii="新宋体" w:hAnsi="新宋体" w:eastAsia="新宋体" w:cs="新宋体"/>
                <w:bCs/>
                <w:color w:val="auto"/>
                <w:highlight w:val="none"/>
              </w:rPr>
            </w:pPr>
            <w:r>
              <w:rPr>
                <w:rFonts w:ascii="新宋体" w:hAnsi="新宋体" w:eastAsia="新宋体" w:cs="新宋体"/>
                <w:bCs/>
                <w:color w:val="auto"/>
                <w:highlight w:val="none"/>
              </w:rPr>
              <w:t>年龄</w:t>
            </w:r>
            <w:r>
              <w:rPr>
                <w:rFonts w:hint="eastAsia" w:ascii="新宋体" w:hAnsi="新宋体" w:eastAsia="新宋体" w:cs="新宋体"/>
                <w:bCs/>
                <w:color w:val="auto"/>
                <w:highlight w:val="none"/>
              </w:rPr>
              <w:t>、工作经验计算截至投标截止时间。以上人员需提供身份证扫描件、在投标人单位的社保缴纳证明( 超过法定退休年龄的人员提供与投标人签订的劳务合同)，学历须提供相应证书，</w:t>
            </w:r>
            <w:r>
              <w:rPr>
                <w:rFonts w:ascii="新宋体" w:hAnsi="新宋体" w:eastAsia="新宋体" w:cs="新宋体"/>
                <w:bCs/>
                <w:color w:val="auto"/>
                <w:highlight w:val="none"/>
              </w:rPr>
              <w:t>职业技能等级</w:t>
            </w:r>
            <w:r>
              <w:rPr>
                <w:rFonts w:hint="eastAsia" w:ascii="新宋体" w:hAnsi="新宋体" w:eastAsia="新宋体" w:cs="新宋体"/>
                <w:bCs/>
                <w:color w:val="auto"/>
                <w:highlight w:val="none"/>
              </w:rPr>
              <w:t>须提供相应</w:t>
            </w:r>
            <w:r>
              <w:rPr>
                <w:rFonts w:ascii="新宋体" w:hAnsi="新宋体" w:eastAsia="新宋体" w:cs="新宋体"/>
                <w:bCs/>
                <w:color w:val="auto"/>
                <w:highlight w:val="none"/>
              </w:rPr>
              <w:t>证书</w:t>
            </w:r>
            <w:r>
              <w:rPr>
                <w:rFonts w:hint="eastAsia" w:ascii="新宋体" w:hAnsi="新宋体" w:eastAsia="新宋体" w:cs="新宋体"/>
                <w:bCs/>
                <w:color w:val="auto"/>
                <w:highlight w:val="none"/>
              </w:rPr>
              <w:t>，工作经验需提供显示职务的劳动合同或原服务业主出具的盖章证明，能清楚体现工作岗位及年限，否则不得分。</w:t>
            </w:r>
          </w:p>
        </w:tc>
        <w:tc>
          <w:tcPr>
            <w:tcW w:w="555" w:type="dxa"/>
            <w:vMerge w:val="restart"/>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r>
              <w:rPr>
                <w:rFonts w:ascii="新宋体" w:hAnsi="新宋体" w:eastAsia="新宋体" w:cs="新宋体"/>
                <w:bCs/>
                <w:color w:val="auto"/>
                <w:sz w:val="24"/>
                <w:highlight w:val="none"/>
              </w:rPr>
              <w:t>4</w:t>
            </w:r>
          </w:p>
        </w:tc>
        <w:tc>
          <w:tcPr>
            <w:tcW w:w="1005" w:type="dxa"/>
            <w:vMerge w:val="restart"/>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客观分</w:t>
            </w:r>
          </w:p>
        </w:tc>
        <w:tc>
          <w:tcPr>
            <w:tcW w:w="1372" w:type="dxa"/>
            <w:vMerge w:val="restart"/>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项目实施的拟派人员安排情况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534" w:type="dxa"/>
            <w:vMerge w:val="continue"/>
            <w:vAlign w:val="center"/>
          </w:tcPr>
          <w:p>
            <w:pPr>
              <w:pStyle w:val="100"/>
              <w:widowControl w:val="0"/>
              <w:kinsoku w:val="0"/>
              <w:autoSpaceDE w:val="0"/>
              <w:autoSpaceDN w:val="0"/>
              <w:snapToGrid w:val="0"/>
              <w:ind w:firstLine="480"/>
              <w:jc w:val="both"/>
              <w:textAlignment w:val="baseline"/>
              <w:rPr>
                <w:rFonts w:ascii="新宋体" w:hAnsi="新宋体" w:eastAsia="新宋体" w:cs="新宋体"/>
                <w:bCs/>
                <w:color w:val="auto"/>
                <w:highlight w:val="none"/>
              </w:rPr>
            </w:pPr>
          </w:p>
        </w:tc>
        <w:tc>
          <w:tcPr>
            <w:tcW w:w="5431" w:type="dxa"/>
            <w:vAlign w:val="center"/>
          </w:tcPr>
          <w:p>
            <w:pPr>
              <w:widowControl w:val="0"/>
              <w:kinsoku w:val="0"/>
              <w:autoSpaceDE w:val="0"/>
              <w:autoSpaceDN w:val="0"/>
              <w:adjustRightInd/>
              <w:snapToGrid w:val="0"/>
              <w:spacing w:line="360" w:lineRule="auto"/>
              <w:ind w:firstLine="424" w:firstLineChars="177"/>
              <w:jc w:val="both"/>
              <w:textAlignment w:val="baseline"/>
              <w:rPr>
                <w:rFonts w:ascii="宋体" w:hAnsi="宋体" w:eastAsia="宋体" w:cs="黑体"/>
                <w:b/>
                <w:bCs/>
                <w:color w:val="auto"/>
                <w:kern w:val="2"/>
                <w:sz w:val="24"/>
                <w:szCs w:val="24"/>
                <w:highlight w:val="none"/>
                <w:lang w:val="en-US" w:eastAsia="zh-CN" w:bidi="ar-SA"/>
              </w:rPr>
            </w:pPr>
            <w:r>
              <w:rPr>
                <w:rFonts w:hint="eastAsia" w:ascii="宋体" w:hAnsi="宋体" w:eastAsia="宋体" w:cs="新宋体"/>
                <w:bCs/>
                <w:color w:val="auto"/>
                <w:kern w:val="2"/>
                <w:sz w:val="24"/>
                <w:szCs w:val="24"/>
                <w:highlight w:val="none"/>
                <w:lang w:val="en-US" w:eastAsia="zh-CN" w:bidi="ar-SA"/>
              </w:rPr>
              <w:t>⑧拟派本项目保洁员（</w:t>
            </w:r>
            <w:r>
              <w:rPr>
                <w:rFonts w:ascii="宋体" w:hAnsi="宋体" w:eastAsia="宋体" w:cs="新宋体"/>
                <w:bCs/>
                <w:color w:val="auto"/>
                <w:kern w:val="2"/>
                <w:sz w:val="24"/>
                <w:szCs w:val="24"/>
                <w:highlight w:val="none"/>
                <w:lang w:val="en-US" w:eastAsia="zh-CN" w:bidi="ar-SA"/>
              </w:rPr>
              <w:t>3</w:t>
            </w:r>
            <w:r>
              <w:rPr>
                <w:rFonts w:hint="eastAsia" w:ascii="宋体" w:hAnsi="宋体" w:eastAsia="宋体" w:cs="新宋体"/>
                <w:bCs/>
                <w:color w:val="auto"/>
                <w:kern w:val="2"/>
                <w:sz w:val="24"/>
                <w:szCs w:val="24"/>
                <w:highlight w:val="none"/>
                <w:lang w:val="en-US" w:eastAsia="zh-CN" w:bidi="ar-SA"/>
              </w:rPr>
              <w:t>分）：年龄5</w:t>
            </w:r>
            <w:r>
              <w:rPr>
                <w:rFonts w:ascii="宋体" w:hAnsi="宋体" w:eastAsia="宋体" w:cs="新宋体"/>
                <w:bCs/>
                <w:color w:val="auto"/>
                <w:kern w:val="2"/>
                <w:sz w:val="24"/>
                <w:szCs w:val="24"/>
                <w:highlight w:val="none"/>
                <w:lang w:val="en-US" w:eastAsia="zh-CN" w:bidi="ar-SA"/>
              </w:rPr>
              <w:t>5</w:t>
            </w:r>
            <w:r>
              <w:rPr>
                <w:rFonts w:hint="eastAsia" w:ascii="宋体" w:hAnsi="宋体" w:eastAsia="宋体" w:cs="新宋体"/>
                <w:bCs/>
                <w:color w:val="auto"/>
                <w:kern w:val="2"/>
                <w:sz w:val="24"/>
                <w:szCs w:val="24"/>
                <w:highlight w:val="none"/>
                <w:lang w:val="en-US" w:eastAsia="zh-CN" w:bidi="ar-SA"/>
              </w:rPr>
              <w:t>周岁以下，具有1年以上保洁工作经验。承诺全部符合得</w:t>
            </w:r>
            <w:r>
              <w:rPr>
                <w:rFonts w:ascii="宋体" w:hAnsi="宋体" w:eastAsia="宋体" w:cs="新宋体"/>
                <w:bCs/>
                <w:color w:val="auto"/>
                <w:kern w:val="2"/>
                <w:sz w:val="24"/>
                <w:szCs w:val="24"/>
                <w:highlight w:val="none"/>
                <w:lang w:val="en-US" w:eastAsia="zh-CN" w:bidi="ar-SA"/>
              </w:rPr>
              <w:t>3</w:t>
            </w:r>
            <w:r>
              <w:rPr>
                <w:rFonts w:hint="eastAsia" w:ascii="宋体" w:hAnsi="宋体" w:eastAsia="宋体" w:cs="新宋体"/>
                <w:bCs/>
                <w:color w:val="auto"/>
                <w:kern w:val="2"/>
                <w:sz w:val="24"/>
                <w:szCs w:val="24"/>
                <w:highlight w:val="none"/>
                <w:lang w:val="en-US" w:eastAsia="zh-CN" w:bidi="ar-SA"/>
              </w:rPr>
              <w:t>分，未承诺或承诺不全不得分。</w:t>
            </w:r>
          </w:p>
          <w:p>
            <w:pPr>
              <w:pStyle w:val="100"/>
              <w:widowControl w:val="0"/>
              <w:kinsoku w:val="0"/>
              <w:autoSpaceDE w:val="0"/>
              <w:autoSpaceDN w:val="0"/>
              <w:snapToGrid w:val="0"/>
              <w:ind w:firstLine="398" w:firstLineChars="166"/>
              <w:jc w:val="both"/>
              <w:textAlignment w:val="baseline"/>
              <w:rPr>
                <w:rFonts w:ascii="新宋体" w:hAnsi="新宋体" w:eastAsia="新宋体" w:cs="新宋体"/>
                <w:bCs/>
                <w:color w:val="auto"/>
                <w:highlight w:val="none"/>
              </w:rPr>
            </w:pPr>
            <w:r>
              <w:rPr>
                <w:rFonts w:hint="eastAsia" w:ascii="宋体" w:hAnsi="宋体" w:eastAsia="宋体" w:cs="新宋体"/>
                <w:bCs/>
                <w:color w:val="auto"/>
                <w:highlight w:val="none"/>
              </w:rPr>
              <w:t>⑨拟派本项目保安员（</w:t>
            </w:r>
            <w:r>
              <w:rPr>
                <w:rFonts w:ascii="宋体" w:hAnsi="宋体" w:eastAsia="宋体" w:cs="新宋体"/>
                <w:bCs/>
                <w:color w:val="auto"/>
                <w:highlight w:val="none"/>
              </w:rPr>
              <w:t>3</w:t>
            </w:r>
            <w:r>
              <w:rPr>
                <w:rFonts w:hint="eastAsia" w:ascii="宋体" w:hAnsi="宋体" w:eastAsia="宋体" w:cs="新宋体"/>
                <w:bCs/>
                <w:color w:val="auto"/>
                <w:highlight w:val="none"/>
              </w:rPr>
              <w:t>分）：年龄5</w:t>
            </w:r>
            <w:r>
              <w:rPr>
                <w:rFonts w:ascii="宋体" w:hAnsi="宋体" w:eastAsia="宋体" w:cs="新宋体"/>
                <w:bCs/>
                <w:color w:val="auto"/>
                <w:highlight w:val="none"/>
              </w:rPr>
              <w:t>5</w:t>
            </w:r>
            <w:r>
              <w:rPr>
                <w:rFonts w:hint="eastAsia" w:ascii="宋体" w:hAnsi="宋体" w:eastAsia="宋体" w:cs="新宋体"/>
                <w:bCs/>
                <w:color w:val="auto"/>
                <w:highlight w:val="none"/>
              </w:rPr>
              <w:t>周岁以下，具有1年以上保安工作经验，承诺全部符合得</w:t>
            </w:r>
            <w:r>
              <w:rPr>
                <w:rFonts w:ascii="宋体" w:hAnsi="宋体" w:eastAsia="宋体" w:cs="新宋体"/>
                <w:bCs/>
                <w:color w:val="auto"/>
                <w:highlight w:val="none"/>
              </w:rPr>
              <w:t>3</w:t>
            </w:r>
            <w:r>
              <w:rPr>
                <w:rFonts w:hint="eastAsia" w:ascii="宋体" w:hAnsi="宋体" w:eastAsia="宋体" w:cs="新宋体"/>
                <w:bCs/>
                <w:color w:val="auto"/>
                <w:highlight w:val="none"/>
              </w:rPr>
              <w:t>分，未承诺或承诺不全不得分。</w:t>
            </w:r>
          </w:p>
        </w:tc>
        <w:tc>
          <w:tcPr>
            <w:tcW w:w="555" w:type="dxa"/>
            <w:vMerge w:val="continue"/>
            <w:vAlign w:val="center"/>
          </w:tcPr>
          <w:p>
            <w:pPr>
              <w:pStyle w:val="100"/>
              <w:widowControl w:val="0"/>
              <w:kinsoku w:val="0"/>
              <w:autoSpaceDE w:val="0"/>
              <w:autoSpaceDN w:val="0"/>
              <w:snapToGrid w:val="0"/>
              <w:ind w:firstLine="480"/>
              <w:jc w:val="both"/>
              <w:textAlignment w:val="baseline"/>
              <w:rPr>
                <w:rFonts w:ascii="新宋体" w:hAnsi="新宋体" w:eastAsia="新宋体" w:cs="新宋体"/>
                <w:bCs/>
                <w:color w:val="auto"/>
                <w:highlight w:val="none"/>
              </w:rPr>
            </w:pPr>
          </w:p>
        </w:tc>
        <w:tc>
          <w:tcPr>
            <w:tcW w:w="1005" w:type="dxa"/>
            <w:vMerge w:val="continue"/>
            <w:vAlign w:val="center"/>
          </w:tcPr>
          <w:p>
            <w:pPr>
              <w:pStyle w:val="100"/>
              <w:widowControl w:val="0"/>
              <w:kinsoku w:val="0"/>
              <w:autoSpaceDE w:val="0"/>
              <w:autoSpaceDN w:val="0"/>
              <w:snapToGrid w:val="0"/>
              <w:ind w:firstLine="480"/>
              <w:jc w:val="both"/>
              <w:textAlignment w:val="baseline"/>
              <w:rPr>
                <w:rFonts w:ascii="新宋体" w:hAnsi="新宋体" w:eastAsia="新宋体" w:cs="新宋体"/>
                <w:bCs/>
                <w:color w:val="auto"/>
                <w:highlight w:val="none"/>
              </w:rPr>
            </w:pPr>
          </w:p>
        </w:tc>
        <w:tc>
          <w:tcPr>
            <w:tcW w:w="1372" w:type="dxa"/>
            <w:vMerge w:val="continue"/>
            <w:vAlign w:val="center"/>
          </w:tcPr>
          <w:p>
            <w:pPr>
              <w:pStyle w:val="100"/>
              <w:widowControl w:val="0"/>
              <w:kinsoku w:val="0"/>
              <w:autoSpaceDE w:val="0"/>
              <w:autoSpaceDN w:val="0"/>
              <w:snapToGrid w:val="0"/>
              <w:ind w:firstLine="480"/>
              <w:jc w:val="both"/>
              <w:textAlignment w:val="baseline"/>
              <w:rPr>
                <w:rFonts w:ascii="新宋体" w:hAnsi="新宋体" w:eastAsia="新宋体" w:cs="新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9</w:t>
            </w:r>
          </w:p>
        </w:tc>
        <w:tc>
          <w:tcPr>
            <w:tcW w:w="5431"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投标人具有职业健康安全管理体系认证证书（1分）、质量管理体系认证证书（1分）、环境管理体系认证证书（1分）。</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提供有效期内的证书扫描件及全国认证认可信息公共服务平台网站http://www.cnca.gov.cn/查询页面截图，否则不得分。</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客观分</w:t>
            </w:r>
          </w:p>
        </w:tc>
        <w:tc>
          <w:tcPr>
            <w:tcW w:w="1372"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体系认证证书情况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ascii="新宋体" w:hAnsi="新宋体" w:eastAsia="新宋体" w:cs="新宋体"/>
                <w:bCs/>
                <w:color w:val="auto"/>
                <w:sz w:val="24"/>
                <w:highlight w:val="none"/>
              </w:rPr>
              <w:t>20</w:t>
            </w:r>
          </w:p>
        </w:tc>
        <w:tc>
          <w:tcPr>
            <w:tcW w:w="5431" w:type="dxa"/>
            <w:vAlign w:val="center"/>
          </w:tcPr>
          <w:p>
            <w:pPr>
              <w:widowControl w:val="0"/>
              <w:kinsoku w:val="0"/>
              <w:autoSpaceDE w:val="0"/>
              <w:autoSpaceDN w:val="0"/>
              <w:snapToGrid w:val="0"/>
              <w:spacing w:line="360" w:lineRule="auto"/>
              <w:ind w:firstLine="528" w:firstLineChars="2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投标人自202</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年1月1日以来的同类型物业管理服务的成功案例（含在管项目），以签订时间为准。</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提供合同扫描件。每提供1份得0.5分，最多得 1分。</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客观分</w:t>
            </w:r>
          </w:p>
        </w:tc>
        <w:tc>
          <w:tcPr>
            <w:tcW w:w="1372"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w:t>
            </w:r>
            <w:r>
              <w:rPr>
                <w:rFonts w:ascii="新宋体" w:hAnsi="新宋体" w:eastAsia="新宋体" w:cs="新宋体"/>
                <w:bCs/>
                <w:color w:val="auto"/>
                <w:sz w:val="24"/>
                <w:highlight w:val="none"/>
              </w:rPr>
              <w:t>1</w:t>
            </w:r>
          </w:p>
        </w:tc>
        <w:tc>
          <w:tcPr>
            <w:tcW w:w="5431"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有效投标报价的最低价作为评标基准价，其最低报价为满分；按［投标报价得分=（评标基准价/投标报价）*</w:t>
            </w:r>
            <w:r>
              <w:rPr>
                <w:rFonts w:ascii="新宋体" w:hAnsi="新宋体" w:eastAsia="新宋体" w:cs="新宋体"/>
                <w:bCs/>
                <w:color w:val="auto"/>
                <w:sz w:val="24"/>
                <w:highlight w:val="none"/>
              </w:rPr>
              <w:t>1</w:t>
            </w:r>
            <w:r>
              <w:rPr>
                <w:rFonts w:hint="eastAsia" w:ascii="新宋体" w:hAnsi="新宋体" w:eastAsia="新宋体" w:cs="新宋体"/>
                <w:bCs/>
                <w:color w:val="auto"/>
                <w:sz w:val="24"/>
                <w:highlight w:val="none"/>
              </w:rPr>
              <w:t>0 ］的计算公式计算。</w:t>
            </w:r>
          </w:p>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评标过程中，不得去掉报价中的最高报价和最低报价。</w:t>
            </w:r>
          </w:p>
        </w:tc>
        <w:tc>
          <w:tcPr>
            <w:tcW w:w="555"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w:t>
            </w:r>
            <w:r>
              <w:rPr>
                <w:rFonts w:ascii="新宋体" w:hAnsi="新宋体" w:eastAsia="新宋体" w:cs="新宋体"/>
                <w:bCs/>
                <w:color w:val="auto"/>
                <w:sz w:val="24"/>
                <w:highlight w:val="none"/>
              </w:rPr>
              <w:t>0</w:t>
            </w:r>
          </w:p>
        </w:tc>
        <w:tc>
          <w:tcPr>
            <w:tcW w:w="1005" w:type="dxa"/>
            <w:vAlign w:val="center"/>
          </w:tcPr>
          <w:p>
            <w:pPr>
              <w:widowControl w:val="0"/>
              <w:kinsoku w:val="0"/>
              <w:autoSpaceDE w:val="0"/>
              <w:autoSpaceDN w:val="0"/>
              <w:snapToGrid w:val="0"/>
              <w:spacing w:line="360" w:lineRule="auto"/>
              <w:ind w:firstLine="48" w:firstLineChars="20"/>
              <w:jc w:val="both"/>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p>
        </w:tc>
        <w:tc>
          <w:tcPr>
            <w:tcW w:w="1372" w:type="dxa"/>
            <w:vAlign w:val="center"/>
          </w:tcPr>
          <w:p>
            <w:pPr>
              <w:widowControl w:val="0"/>
              <w:kinsoku w:val="0"/>
              <w:autoSpaceDE w:val="0"/>
              <w:autoSpaceDN w:val="0"/>
              <w:snapToGrid w:val="0"/>
              <w:spacing w:line="360" w:lineRule="auto"/>
              <w:ind w:firstLine="48" w:firstLineChars="20"/>
              <w:jc w:val="center"/>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报价</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内容与投标文件中相应内容不一致的，以开标一览表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4</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eastAsia="zh-CN"/>
        </w:rPr>
        <w:t>法律法规</w:t>
      </w:r>
      <w:r>
        <w:rPr>
          <w:rFonts w:hint="eastAsia" w:ascii="宋体" w:hAnsi="宋体" w:cs="宋体"/>
          <w:color w:val="auto"/>
          <w:kern w:val="0"/>
          <w:sz w:val="24"/>
          <w:highlight w:val="none"/>
        </w:rPr>
        <w:t>、规章（适用本市的）及省级以上规范性文件（适用本市的）规定的其他无效情形。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ind w:firstLine="0" w:firstLineChars="0"/>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5" w:name="第五部分"/>
      <w:bookmarkStart w:id="396"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widowControl/>
        <w:adjustRightInd/>
        <w:spacing w:line="240" w:lineRule="auto"/>
        <w:ind w:left="0" w:leftChars="0" w:firstLine="0" w:firstLineChars="0"/>
        <w:jc w:val="center"/>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widowControl/>
        <w:adjustRightInd/>
        <w:spacing w:line="240" w:lineRule="auto"/>
        <w:ind w:left="0" w:leftChars="0" w:firstLine="0" w:firstLineChars="0"/>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b/>
          <w:color w:val="auto"/>
          <w:sz w:val="24"/>
          <w:highlight w:val="none"/>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4"/>
        <w:tabs>
          <w:tab w:val="left" w:pos="3213"/>
        </w:tabs>
        <w:ind w:firstLine="482"/>
        <w:jc w:val="center"/>
        <w:outlineLvl w:val="0"/>
        <w:rPr>
          <w:rFonts w:ascii="宋体" w:hAnsi="宋体" w:cs="宋体"/>
          <w:b/>
          <w:color w:val="auto"/>
          <w:szCs w:val="24"/>
          <w:highlight w:val="none"/>
        </w:rPr>
      </w:pPr>
      <w:r>
        <w:rPr>
          <w:rFonts w:hint="eastAsia" w:ascii="宋体" w:hAnsi="宋体" w:cs="宋体"/>
          <w:b/>
          <w:color w:val="auto"/>
          <w:szCs w:val="24"/>
          <w:highlight w:val="none"/>
        </w:rPr>
        <w:t>第一部</w:t>
      </w:r>
      <w:r>
        <w:rPr>
          <w:rFonts w:hint="eastAsia" w:ascii="宋体" w:hAnsi="宋体" w:cs="宋体"/>
          <w:b/>
          <w:color w:val="auto"/>
          <w:szCs w:val="24"/>
          <w:highlight w:val="none"/>
          <w:lang w:eastAsia="zh-CN"/>
        </w:rPr>
        <w:t>分</w:t>
      </w:r>
      <w:r>
        <w:rPr>
          <w:rFonts w:hint="eastAsia" w:ascii="宋体" w:hAnsi="宋体" w:cs="宋体"/>
          <w:b/>
          <w:color w:val="auto"/>
          <w:szCs w:val="24"/>
          <w:highlight w:val="none"/>
        </w:rPr>
        <w:t xml:space="preserve"> 合同书</w:t>
      </w:r>
    </w:p>
    <w:p>
      <w:pPr>
        <w:spacing w:before="120" w:line="22" w:lineRule="atLeast"/>
        <w:rPr>
          <w:rFonts w:ascii="宋体" w:hAnsi="宋体" w:cs="宋体"/>
          <w:color w:val="auto"/>
          <w:sz w:val="24"/>
          <w:highlight w:val="none"/>
        </w:rPr>
      </w:pPr>
    </w:p>
    <w:p>
      <w:pPr>
        <w:keepNext/>
        <w:keepLines/>
        <w:tabs>
          <w:tab w:val="left" w:pos="432"/>
        </w:tabs>
        <w:adjustRightInd/>
        <w:ind w:left="431" w:hanging="431"/>
        <w:rPr>
          <w:rFonts w:ascii="宋体" w:hAnsi="宋体" w:cs="宋体"/>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pStyle w:val="281"/>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headerReference r:id="rId15" w:type="first"/>
          <w:footerReference r:id="rId17" w:type="first"/>
          <w:headerReference r:id="rId14" w:type="default"/>
          <w:footerReference r:id="rId16" w:type="default"/>
          <w:pgSz w:w="11907" w:h="16840"/>
          <w:pgMar w:top="1474" w:right="1814" w:bottom="1474" w:left="1814" w:header="851" w:footer="851" w:gutter="0"/>
          <w:cols w:space="720" w:num="1"/>
          <w:titlePg/>
          <w:docGrid w:linePitch="312" w:charSpace="0"/>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杭州市余杭区五常中学</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w:t>
      </w:r>
      <w:r>
        <w:rPr>
          <w:rFonts w:hint="eastAsia" w:ascii="宋体" w:hAnsi="宋体"/>
          <w:color w:val="auto"/>
          <w:sz w:val="24"/>
          <w:highlight w:val="none"/>
          <w:u w:val="single"/>
          <w:lang w:eastAsia="zh-CN"/>
        </w:rPr>
        <w:t>公开招标方式</w:t>
      </w:r>
      <w:r>
        <w:rPr>
          <w:rFonts w:hint="eastAsia" w:ascii="宋体" w:hAnsi="宋体" w:cs="宋体"/>
          <w:color w:val="auto"/>
          <w:sz w:val="24"/>
          <w:highlight w:val="none"/>
        </w:rPr>
        <w:t>对</w:t>
      </w:r>
      <w:r>
        <w:rPr>
          <w:rFonts w:hint="eastAsia" w:ascii="宋体" w:hAnsi="宋体" w:cs="宋体"/>
          <w:color w:val="auto"/>
          <w:sz w:val="24"/>
          <w:highlight w:val="none"/>
          <w:u w:val="single"/>
          <w:lang w:eastAsia="zh-CN"/>
        </w:rPr>
        <w:t>杭州市余杭区五常中学2024年物业管理服务采购项目（HZYHZFCG-2024-050）</w:t>
      </w:r>
      <w:r>
        <w:rPr>
          <w:rFonts w:hint="eastAsia" w:ascii="宋体" w:hAnsi="宋体" w:cs="宋体"/>
          <w:color w:val="auto"/>
          <w:sz w:val="24"/>
          <w:highlight w:val="none"/>
        </w:rPr>
        <w:t>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rPr>
        <w:t>为该项目中标供应商。现于中标通知书发出之日起10个工作日内，按照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杭州市余杭区五常中学</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color w:val="auto"/>
          <w:sz w:val="24"/>
          <w:highlight w:val="none"/>
        </w:rPr>
      </w:pPr>
      <w:bookmarkStart w:id="397" w:name="_Toc15367"/>
      <w:bookmarkStart w:id="398" w:name="_Toc19273"/>
      <w:bookmarkStart w:id="399" w:name="_Toc22967"/>
      <w:bookmarkStart w:id="400" w:name="_Toc20421"/>
      <w:bookmarkStart w:id="401" w:name="_Toc28855"/>
      <w:r>
        <w:rPr>
          <w:rFonts w:hint="eastAsia" w:ascii="宋体" w:hAnsi="宋体" w:cs="宋体"/>
          <w:b/>
          <w:color w:val="auto"/>
          <w:sz w:val="24"/>
          <w:highlight w:val="none"/>
        </w:rPr>
        <w:t>1.1 合同组成部分</w:t>
      </w:r>
      <w:bookmarkEnd w:id="397"/>
      <w:bookmarkEnd w:id="398"/>
      <w:bookmarkEnd w:id="399"/>
      <w:bookmarkEnd w:id="400"/>
      <w:bookmarkEnd w:id="40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招标文件（含澄清或者修改文件）；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2" w:name="_Toc22185"/>
      <w:bookmarkStart w:id="403" w:name="_Toc6773"/>
      <w:bookmarkStart w:id="404" w:name="_Toc6311"/>
      <w:bookmarkStart w:id="405" w:name="_Toc18585"/>
      <w:bookmarkStart w:id="406" w:name="_Toc2918"/>
      <w:r>
        <w:rPr>
          <w:rFonts w:hint="eastAsia" w:ascii="宋体" w:hAnsi="宋体" w:cs="宋体"/>
          <w:b/>
          <w:color w:val="auto"/>
          <w:sz w:val="24"/>
          <w:highlight w:val="none"/>
        </w:rPr>
        <w:t>1.2 标的</w:t>
      </w:r>
      <w:bookmarkEnd w:id="402"/>
      <w:bookmarkEnd w:id="403"/>
      <w:bookmarkEnd w:id="404"/>
      <w:bookmarkEnd w:id="405"/>
      <w:bookmarkEnd w:id="406"/>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7" w:name="_Toc21124"/>
      <w:bookmarkStart w:id="408" w:name="_Toc1386"/>
      <w:bookmarkStart w:id="409" w:name="_Toc13918"/>
      <w:bookmarkStart w:id="410" w:name="_Toc4929"/>
      <w:bookmarkStart w:id="411" w:name="_Toc5635"/>
      <w:r>
        <w:rPr>
          <w:rFonts w:hint="eastAsia" w:ascii="宋体" w:hAnsi="宋体" w:cs="宋体"/>
          <w:b/>
          <w:color w:val="auto"/>
          <w:sz w:val="24"/>
          <w:highlight w:val="none"/>
        </w:rPr>
        <w:t>1.3 价款</w:t>
      </w:r>
      <w:bookmarkEnd w:id="407"/>
      <w:bookmarkEnd w:id="408"/>
      <w:bookmarkEnd w:id="409"/>
      <w:bookmarkEnd w:id="410"/>
      <w:bookmarkEnd w:id="411"/>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05"/>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12" w:name="_Toc30158"/>
      <w:bookmarkStart w:id="413" w:name="_Toc30506"/>
      <w:bookmarkStart w:id="414" w:name="_Toc26916"/>
      <w:bookmarkStart w:id="415" w:name="_Toc14993"/>
      <w:bookmarkStart w:id="416" w:name="_Toc3654"/>
      <w:r>
        <w:rPr>
          <w:rFonts w:hint="eastAsia" w:ascii="宋体" w:hAnsi="宋体" w:cs="宋体"/>
          <w:b/>
          <w:color w:val="auto"/>
          <w:sz w:val="24"/>
          <w:highlight w:val="none"/>
        </w:rPr>
        <w:t>1.4 付款方式和发票开具方式</w:t>
      </w:r>
      <w:bookmarkEnd w:id="412"/>
      <w:bookmarkEnd w:id="413"/>
      <w:bookmarkEnd w:id="414"/>
      <w:bookmarkEnd w:id="415"/>
      <w:bookmarkEnd w:id="416"/>
    </w:p>
    <w:p>
      <w:pPr>
        <w:pStyle w:val="616"/>
        <w:spacing w:before="0" w:beforeAutospacing="0" w:after="0" w:afterAutospacing="0" w:line="360" w:lineRule="auto"/>
        <w:ind w:firstLine="480"/>
        <w:rPr>
          <w:color w:val="auto"/>
          <w:highlight w:val="none"/>
        </w:rPr>
      </w:pPr>
      <w:r>
        <w:rPr>
          <w:rFonts w:hint="eastAsia"/>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 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1.4.5对于满足合同约定的采购资金支付条件的，乙方可通过政采云平台提起在线支付申请、查询支付结果，路径为政采云-我的工作台-合同管理-支付管理。对于乙方提起在线支付申请的，甲方应当按规定做好审核并完成支付。</w:t>
      </w:r>
    </w:p>
    <w:p>
      <w:pPr>
        <w:spacing w:line="560" w:lineRule="exact"/>
        <w:ind w:firstLine="482" w:firstLineChars="200"/>
        <w:outlineLvl w:val="0"/>
        <w:rPr>
          <w:rFonts w:ascii="宋体" w:hAnsi="宋体" w:cs="宋体"/>
          <w:b/>
          <w:color w:val="auto"/>
          <w:sz w:val="24"/>
          <w:highlight w:val="none"/>
        </w:rPr>
      </w:pPr>
      <w:bookmarkStart w:id="417" w:name="_Toc11108"/>
      <w:bookmarkStart w:id="418" w:name="_Toc3625"/>
      <w:bookmarkStart w:id="419" w:name="_Toc31421"/>
      <w:bookmarkStart w:id="420" w:name="_Toc4760"/>
      <w:bookmarkStart w:id="421" w:name="_Toc8772"/>
      <w:r>
        <w:rPr>
          <w:rFonts w:hint="eastAsia" w:ascii="宋体" w:hAnsi="宋体" w:cs="宋体"/>
          <w:b/>
          <w:color w:val="auto"/>
          <w:sz w:val="24"/>
          <w:highlight w:val="none"/>
        </w:rPr>
        <w:t>1.5 履行期限、地点和方式</w:t>
      </w:r>
      <w:bookmarkEnd w:id="417"/>
      <w:bookmarkEnd w:id="418"/>
      <w:bookmarkEnd w:id="419"/>
      <w:bookmarkEnd w:id="420"/>
      <w:bookmarkEnd w:id="421"/>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1.5.1 履行期限：</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 履行地点：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 履行方式：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color w:val="auto"/>
          <w:sz w:val="24"/>
          <w:highlight w:val="none"/>
          <w:u w:val="single"/>
        </w:rPr>
      </w:pPr>
      <w:bookmarkStart w:id="422" w:name="_Toc8586"/>
      <w:bookmarkStart w:id="423" w:name="_Toc24662"/>
      <w:bookmarkStart w:id="424" w:name="_Toc2375"/>
      <w:bookmarkStart w:id="425" w:name="_Toc3079"/>
      <w:bookmarkStart w:id="426" w:name="_Toc5698"/>
      <w:r>
        <w:rPr>
          <w:rFonts w:hint="eastAsia" w:ascii="宋体" w:hAnsi="宋体" w:cs="宋体"/>
          <w:b/>
          <w:color w:val="auto"/>
          <w:sz w:val="24"/>
          <w:highlight w:val="none"/>
        </w:rPr>
        <w:t>1.6 违约责任</w:t>
      </w:r>
      <w:bookmarkEnd w:id="422"/>
      <w:bookmarkEnd w:id="423"/>
      <w:bookmarkEnd w:id="424"/>
      <w:bookmarkEnd w:id="425"/>
      <w:bookmarkEnd w:id="42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除不可抗力外，如果乙方没有按照本合同约定的期限、地点和方式履行，那么甲方可要求乙方支付违约金，违约金按每迟延履行一日的应提供而未提供服务价格的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%；迟延履行的违约金计算数额达到前述最高限额之日起，甲方有权在要求乙方支付违约金的同时，书面通知乙方解除本合同；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cs="宋体"/>
          <w:color w:val="auto"/>
          <w:highlight w:val="none"/>
        </w:rPr>
      </w:pPr>
      <w:r>
        <w:rPr>
          <w:rFonts w:hint="eastAsia" w:ascii="宋体" w:hAnsi="宋体" w:cs="宋体"/>
          <w:color w:val="auto"/>
          <w:sz w:val="24"/>
          <w:highlight w:val="none"/>
        </w:rPr>
        <w:t>1.6.7违约责任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427" w:name="_Toc9497"/>
      <w:bookmarkStart w:id="428" w:name="_Toc18683"/>
      <w:bookmarkStart w:id="429" w:name="_Toc26807"/>
      <w:bookmarkStart w:id="430" w:name="_Toc30329"/>
      <w:bookmarkStart w:id="431" w:name="_Toc32454"/>
      <w:r>
        <w:rPr>
          <w:rFonts w:hint="eastAsia" w:ascii="宋体" w:hAnsi="宋体" w:cs="宋体"/>
          <w:b/>
          <w:color w:val="auto"/>
          <w:sz w:val="24"/>
          <w:highlight w:val="none"/>
        </w:rPr>
        <w:t>1.7 合同争议的解决</w:t>
      </w:r>
      <w:bookmarkEnd w:id="427"/>
      <w:bookmarkEnd w:id="428"/>
      <w:bookmarkEnd w:id="429"/>
      <w:bookmarkEnd w:id="430"/>
      <w:bookmarkEnd w:id="431"/>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241" w:firstLineChars="100"/>
        <w:outlineLvl w:val="0"/>
        <w:rPr>
          <w:rFonts w:ascii="宋体" w:hAnsi="宋体" w:cs="宋体"/>
          <w:b/>
          <w:color w:val="auto"/>
          <w:sz w:val="24"/>
          <w:highlight w:val="none"/>
        </w:rPr>
      </w:pPr>
      <w:bookmarkStart w:id="432" w:name="_Toc23784"/>
      <w:bookmarkStart w:id="433" w:name="_Toc12273"/>
      <w:bookmarkStart w:id="434" w:name="_Toc15827"/>
      <w:bookmarkStart w:id="435" w:name="_Toc16417"/>
      <w:bookmarkStart w:id="436" w:name="_Toc26227"/>
      <w:r>
        <w:rPr>
          <w:rFonts w:hint="eastAsia" w:ascii="宋体" w:hAnsi="宋体" w:cs="宋体"/>
          <w:b/>
          <w:color w:val="auto"/>
          <w:sz w:val="24"/>
          <w:highlight w:val="none"/>
        </w:rPr>
        <w:t>1.8 合同生效</w:t>
      </w:r>
      <w:bookmarkEnd w:id="432"/>
      <w:bookmarkEnd w:id="433"/>
      <w:bookmarkEnd w:id="434"/>
      <w:bookmarkEnd w:id="435"/>
      <w:bookmarkEnd w:id="436"/>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本合同自双方当事人盖章或者签字时生效。</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法定代表人或</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widowControl/>
        <w:spacing w:line="560" w:lineRule="exact"/>
        <w:jc w:val="left"/>
        <w:rPr>
          <w:rFonts w:ascii="宋体" w:hAnsi="宋体" w:cs="宋体"/>
          <w:b/>
          <w:color w:val="auto"/>
          <w:sz w:val="24"/>
          <w:highlight w:val="none"/>
        </w:rPr>
      </w:pPr>
    </w:p>
    <w:p>
      <w:pPr>
        <w:widowControl/>
        <w:adjustRightInd/>
        <w:jc w:val="left"/>
        <w:rPr>
          <w:rFonts w:ascii="宋体" w:hAnsi="宋体" w:cs="宋体"/>
          <w:b/>
          <w:color w:val="auto"/>
          <w:sz w:val="24"/>
          <w:highlight w:val="none"/>
        </w:rPr>
      </w:pPr>
      <w:r>
        <w:rPr>
          <w:rFonts w:hint="eastAsia" w:ascii="宋体" w:hAnsi="宋体" w:cs="宋体"/>
          <w:b/>
          <w:color w:val="auto"/>
          <w:highlight w:val="none"/>
        </w:rPr>
        <w:br w:type="page"/>
      </w:r>
    </w:p>
    <w:p>
      <w:pPr>
        <w:pStyle w:val="384"/>
        <w:spacing w:line="560" w:lineRule="exact"/>
        <w:ind w:firstLine="482"/>
        <w:jc w:val="center"/>
        <w:outlineLvl w:val="0"/>
        <w:rPr>
          <w:rFonts w:ascii="宋体" w:hAnsi="宋体" w:cs="宋体"/>
          <w:b/>
          <w:color w:val="auto"/>
          <w:szCs w:val="24"/>
          <w:highlight w:val="none"/>
        </w:rPr>
      </w:pPr>
      <w:r>
        <w:rPr>
          <w:rFonts w:hint="eastAsia" w:ascii="宋体" w:hAnsi="宋体" w:cs="宋体"/>
          <w:b/>
          <w:color w:val="auto"/>
          <w:szCs w:val="24"/>
          <w:highlight w:val="none"/>
        </w:rPr>
        <w:t>第二部</w:t>
      </w:r>
      <w:r>
        <w:rPr>
          <w:rFonts w:hint="eastAsia" w:ascii="宋体" w:hAnsi="宋体" w:cs="宋体"/>
          <w:b/>
          <w:color w:val="auto"/>
          <w:szCs w:val="24"/>
          <w:highlight w:val="none"/>
          <w:lang w:eastAsia="zh-CN"/>
        </w:rPr>
        <w:t>分</w:t>
      </w:r>
      <w:r>
        <w:rPr>
          <w:rFonts w:hint="eastAsia" w:ascii="宋体" w:hAnsi="宋体" w:cs="宋体"/>
          <w:b/>
          <w:color w:val="auto"/>
          <w:szCs w:val="24"/>
          <w:highlight w:val="none"/>
        </w:rPr>
        <w:t xml:space="preserve"> 合同一般条款</w:t>
      </w:r>
    </w:p>
    <w:p>
      <w:pPr>
        <w:spacing w:line="560" w:lineRule="exact"/>
        <w:ind w:firstLine="482" w:firstLineChars="200"/>
        <w:outlineLvl w:val="0"/>
        <w:rPr>
          <w:rFonts w:ascii="宋体" w:hAnsi="宋体" w:cs="宋体"/>
          <w:b/>
          <w:color w:val="auto"/>
          <w:sz w:val="24"/>
          <w:highlight w:val="none"/>
        </w:rPr>
      </w:pPr>
      <w:bookmarkStart w:id="437" w:name="_Toc14021"/>
      <w:bookmarkStart w:id="438" w:name="_Toc31297"/>
      <w:bookmarkStart w:id="439" w:name="_Toc25079"/>
      <w:bookmarkStart w:id="440" w:name="_Toc19680"/>
      <w:bookmarkStart w:id="441" w:name="_Toc5228"/>
      <w:r>
        <w:rPr>
          <w:rFonts w:hint="eastAsia" w:ascii="宋体" w:hAnsi="宋体" w:cs="宋体"/>
          <w:b/>
          <w:color w:val="auto"/>
          <w:sz w:val="24"/>
          <w:highlight w:val="none"/>
        </w:rPr>
        <w:t>2.1 定义</w:t>
      </w:r>
      <w:bookmarkEnd w:id="437"/>
      <w:bookmarkEnd w:id="438"/>
      <w:bookmarkEnd w:id="439"/>
      <w:bookmarkEnd w:id="440"/>
      <w:bookmarkEnd w:id="44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2.1.4 “甲方”系指与中标供应商签署合同的采购人；采购人委托采购代理机构代表其与乙方签订合同的，采购人的授权委托书作为合同附件。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 “现场”系指合同约定提供服务的地点。</w:t>
      </w:r>
    </w:p>
    <w:p>
      <w:pPr>
        <w:spacing w:line="560" w:lineRule="exact"/>
        <w:ind w:firstLine="482" w:firstLineChars="200"/>
        <w:outlineLvl w:val="0"/>
        <w:rPr>
          <w:rFonts w:ascii="宋体" w:hAnsi="宋体" w:cs="宋体"/>
          <w:b/>
          <w:color w:val="auto"/>
          <w:sz w:val="24"/>
          <w:highlight w:val="none"/>
        </w:rPr>
      </w:pPr>
      <w:bookmarkStart w:id="442" w:name="_Toc3769"/>
      <w:bookmarkStart w:id="443" w:name="_Toc16752"/>
      <w:bookmarkStart w:id="444" w:name="_Toc23289"/>
      <w:bookmarkStart w:id="445" w:name="_Toc31402"/>
      <w:bookmarkStart w:id="446" w:name="_Toc19539"/>
      <w:r>
        <w:rPr>
          <w:rFonts w:hint="eastAsia" w:ascii="宋体" w:hAnsi="宋体" w:cs="宋体"/>
          <w:b/>
          <w:color w:val="auto"/>
          <w:sz w:val="24"/>
          <w:highlight w:val="none"/>
        </w:rPr>
        <w:t>2.2 技术规范</w:t>
      </w:r>
      <w:bookmarkEnd w:id="442"/>
      <w:bookmarkEnd w:id="443"/>
      <w:bookmarkEnd w:id="444"/>
      <w:bookmarkEnd w:id="445"/>
      <w:bookmarkEnd w:id="44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服务所应遵守的技术规范应与</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规定的技术规范和技术规范附件</w:t>
      </w:r>
      <w:r>
        <w:rPr>
          <w:rFonts w:hint="eastAsia" w:ascii="宋体" w:hAnsi="宋体" w:cs="宋体"/>
          <w:color w:val="auto"/>
          <w:sz w:val="24"/>
          <w:highlight w:val="none"/>
          <w:lang w:eastAsia="zh-CN"/>
        </w:rPr>
        <w:t>（</w:t>
      </w:r>
      <w:r>
        <w:rPr>
          <w:rFonts w:hint="eastAsia" w:ascii="宋体" w:hAnsi="宋体" w:cs="宋体"/>
          <w:color w:val="auto"/>
          <w:sz w:val="24"/>
          <w:highlight w:val="none"/>
        </w:rPr>
        <w:t>如果有的话</w:t>
      </w:r>
      <w:r>
        <w:rPr>
          <w:rFonts w:hint="eastAsia" w:ascii="宋体" w:hAnsi="宋体" w:cs="宋体"/>
          <w:color w:val="auto"/>
          <w:sz w:val="24"/>
          <w:highlight w:val="none"/>
          <w:lang w:eastAsia="zh-CN"/>
        </w:rPr>
        <w:t>）</w:t>
      </w:r>
      <w:r>
        <w:rPr>
          <w:rFonts w:hint="eastAsia" w:ascii="宋体" w:hAnsi="宋体" w:cs="宋体"/>
          <w:color w:val="auto"/>
          <w:sz w:val="24"/>
          <w:highlight w:val="none"/>
        </w:rPr>
        <w:t>及其技术规范偏差表</w:t>
      </w:r>
      <w:r>
        <w:rPr>
          <w:rFonts w:hint="eastAsia" w:ascii="宋体" w:hAnsi="宋体" w:cs="宋体"/>
          <w:color w:val="auto"/>
          <w:sz w:val="24"/>
          <w:highlight w:val="none"/>
          <w:lang w:eastAsia="zh-CN"/>
        </w:rPr>
        <w:t>（</w:t>
      </w:r>
      <w:r>
        <w:rPr>
          <w:rFonts w:hint="eastAsia" w:ascii="宋体" w:hAnsi="宋体" w:cs="宋体"/>
          <w:color w:val="auto"/>
          <w:sz w:val="24"/>
          <w:highlight w:val="none"/>
        </w:rPr>
        <w:t>如果被甲方接受的话</w:t>
      </w:r>
      <w:r>
        <w:rPr>
          <w:rFonts w:hint="eastAsia" w:ascii="宋体" w:hAnsi="宋体" w:cs="宋体"/>
          <w:color w:val="auto"/>
          <w:sz w:val="24"/>
          <w:highlight w:val="none"/>
          <w:lang w:eastAsia="zh-CN"/>
        </w:rPr>
        <w:t>）</w:t>
      </w:r>
      <w:r>
        <w:rPr>
          <w:rFonts w:hint="eastAsia" w:ascii="宋体" w:hAnsi="宋体" w:cs="宋体"/>
          <w:color w:val="auto"/>
          <w:sz w:val="24"/>
          <w:highlight w:val="none"/>
        </w:rPr>
        <w:t>相一致；如果</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中没有技术规范的相应说明，那么应以国家有关部门最新颁布的相应标准和规范为准。</w:t>
      </w:r>
    </w:p>
    <w:p>
      <w:pPr>
        <w:spacing w:line="560" w:lineRule="exact"/>
        <w:ind w:firstLine="482" w:firstLineChars="200"/>
        <w:outlineLvl w:val="0"/>
        <w:rPr>
          <w:rFonts w:ascii="宋体" w:hAnsi="宋体" w:cs="宋体"/>
          <w:b/>
          <w:color w:val="auto"/>
          <w:sz w:val="24"/>
          <w:highlight w:val="none"/>
        </w:rPr>
      </w:pPr>
      <w:bookmarkStart w:id="447" w:name="_Toc12412"/>
      <w:bookmarkStart w:id="448" w:name="_Toc13673"/>
      <w:bookmarkStart w:id="449" w:name="_Toc9161"/>
      <w:bookmarkStart w:id="450" w:name="_Toc4133"/>
      <w:bookmarkStart w:id="451" w:name="_Toc27945"/>
      <w:r>
        <w:rPr>
          <w:rFonts w:hint="eastAsia" w:ascii="宋体" w:hAnsi="宋体" w:cs="宋体"/>
          <w:b/>
          <w:color w:val="auto"/>
          <w:sz w:val="24"/>
          <w:highlight w:val="none"/>
        </w:rPr>
        <w:t>2.3 知识产权</w:t>
      </w:r>
      <w:bookmarkEnd w:id="447"/>
      <w:bookmarkEnd w:id="448"/>
      <w:bookmarkEnd w:id="449"/>
      <w:bookmarkEnd w:id="450"/>
      <w:bookmarkEnd w:id="45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 合同涉及技术成果的归属和收益的分成办法的，详见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2.4 履约检查和问题反馈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cs="宋体"/>
          <w:b/>
          <w:color w:val="auto"/>
          <w:sz w:val="24"/>
          <w:highlight w:val="none"/>
        </w:rPr>
      </w:pPr>
      <w:bookmarkStart w:id="452" w:name="_Toc30507"/>
      <w:bookmarkStart w:id="453" w:name="_Toc13467"/>
      <w:bookmarkStart w:id="454" w:name="_Toc16163"/>
      <w:bookmarkStart w:id="455" w:name="_Toc13154"/>
      <w:bookmarkStart w:id="456" w:name="_Toc18990"/>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 xml:space="preserve"> 技术资料和保密义务</w:t>
      </w:r>
      <w:bookmarkEnd w:id="452"/>
      <w:bookmarkEnd w:id="453"/>
      <w:bookmarkEnd w:id="454"/>
      <w:bookmarkEnd w:id="455"/>
      <w:bookmarkEnd w:id="45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.1 乙方有权依据合同约定和项目需要，向甲方了解有关情况，调阅有关资料等，甲方应予积极配合；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 乙方有义务妥善保管和保护由甲方提供的前款信息和资料等；</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auto"/>
          <w:sz w:val="24"/>
          <w:highlight w:val="none"/>
        </w:rPr>
      </w:pPr>
      <w:bookmarkStart w:id="457" w:name="_Toc19069"/>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 xml:space="preserve"> 质量保证</w:t>
      </w:r>
      <w:bookmarkEnd w:id="45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auto"/>
          <w:sz w:val="24"/>
          <w:highlight w:val="none"/>
        </w:rPr>
      </w:pPr>
      <w:bookmarkStart w:id="458" w:name="_Toc22267"/>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 xml:space="preserve"> 延迟履行</w:t>
      </w:r>
      <w:bookmarkEnd w:id="45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宋体" w:hAnsi="宋体" w:cs="宋体"/>
          <w:b/>
          <w:color w:val="auto"/>
          <w:sz w:val="24"/>
          <w:highlight w:val="none"/>
        </w:rPr>
      </w:pPr>
      <w:bookmarkStart w:id="459" w:name="_Toc10611"/>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 xml:space="preserve"> 合同变更</w:t>
      </w:r>
      <w:bookmarkEnd w:id="45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460" w:name="_Toc10663"/>
      <w:bookmarkStart w:id="461" w:name="_Toc23368"/>
      <w:bookmarkStart w:id="462" w:name="_Toc42"/>
      <w:bookmarkStart w:id="463" w:name="_Toc26689"/>
      <w:bookmarkStart w:id="464" w:name="_Toc21830"/>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9</w:t>
      </w:r>
      <w:r>
        <w:rPr>
          <w:rFonts w:hint="eastAsia" w:ascii="宋体" w:hAnsi="宋体" w:cs="宋体"/>
          <w:b/>
          <w:color w:val="auto"/>
          <w:sz w:val="24"/>
          <w:highlight w:val="none"/>
        </w:rPr>
        <w:t xml:space="preserve"> 合同转让和分包</w:t>
      </w:r>
      <w:bookmarkEnd w:id="460"/>
      <w:bookmarkEnd w:id="461"/>
      <w:bookmarkEnd w:id="462"/>
      <w:bookmarkEnd w:id="463"/>
      <w:bookmarkEnd w:id="46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宋体" w:hAnsi="宋体" w:cs="宋体"/>
          <w:b/>
          <w:color w:val="auto"/>
          <w:sz w:val="24"/>
          <w:highlight w:val="none"/>
        </w:rPr>
      </w:pPr>
      <w:bookmarkStart w:id="465" w:name="_Toc14371"/>
      <w:bookmarkStart w:id="466" w:name="_Toc25571"/>
      <w:bookmarkStart w:id="467" w:name="_Toc26633"/>
      <w:bookmarkStart w:id="468" w:name="_Toc4720"/>
      <w:bookmarkStart w:id="469" w:name="_Toc32494"/>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 xml:space="preserve"> 不可抗力</w:t>
      </w:r>
      <w:bookmarkEnd w:id="465"/>
      <w:bookmarkEnd w:id="466"/>
      <w:bookmarkEnd w:id="467"/>
      <w:bookmarkEnd w:id="468"/>
      <w:bookmarkEnd w:id="46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 因不可抗力致使不能实现合同目的的，当事人可以解除合同；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auto"/>
          <w:sz w:val="24"/>
          <w:highlight w:val="none"/>
        </w:rPr>
      </w:pPr>
      <w:bookmarkStart w:id="470" w:name="_Toc23854"/>
      <w:bookmarkStart w:id="471" w:name="_Toc25783"/>
      <w:bookmarkStart w:id="472" w:name="_Toc14115"/>
      <w:bookmarkStart w:id="473" w:name="_Toc3638"/>
      <w:bookmarkStart w:id="474" w:name="_Toc24465"/>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 xml:space="preserve"> 税费</w:t>
      </w:r>
      <w:bookmarkEnd w:id="470"/>
      <w:bookmarkEnd w:id="471"/>
      <w:bookmarkEnd w:id="472"/>
      <w:bookmarkEnd w:id="473"/>
      <w:bookmarkEnd w:id="47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与合同有关的一切税费，均按照中华人民共和国法律的相关规定缴纳。</w:t>
      </w:r>
    </w:p>
    <w:p>
      <w:pPr>
        <w:spacing w:line="560" w:lineRule="exact"/>
        <w:ind w:firstLine="482" w:firstLineChars="200"/>
        <w:outlineLvl w:val="0"/>
        <w:rPr>
          <w:rFonts w:ascii="宋体" w:hAnsi="宋体" w:cs="宋体"/>
          <w:b/>
          <w:color w:val="auto"/>
          <w:sz w:val="24"/>
          <w:highlight w:val="none"/>
        </w:rPr>
      </w:pPr>
      <w:bookmarkStart w:id="475" w:name="_Toc25525"/>
      <w:bookmarkStart w:id="476" w:name="_Toc7315"/>
      <w:bookmarkStart w:id="477" w:name="_Toc26883"/>
      <w:bookmarkStart w:id="478" w:name="_Toc30105"/>
      <w:bookmarkStart w:id="479" w:name="_Toc14814"/>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乙方破产</w:t>
      </w:r>
      <w:bookmarkEnd w:id="475"/>
      <w:bookmarkEnd w:id="476"/>
      <w:bookmarkEnd w:id="477"/>
      <w:bookmarkEnd w:id="478"/>
      <w:bookmarkEnd w:id="47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auto"/>
          <w:sz w:val="24"/>
          <w:highlight w:val="none"/>
        </w:rPr>
      </w:pPr>
      <w:bookmarkStart w:id="480" w:name="_Toc2016"/>
      <w:bookmarkStart w:id="481" w:name="_Toc23323"/>
      <w:bookmarkStart w:id="482" w:name="_Toc1123"/>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 xml:space="preserve"> 合同中止、终止</w:t>
      </w:r>
      <w:bookmarkEnd w:id="480"/>
      <w:bookmarkEnd w:id="481"/>
      <w:bookmarkEnd w:id="48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.1 双方当事人不得擅自中止或者终止合同；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483" w:name="_Toc1969"/>
      <w:bookmarkStart w:id="484" w:name="_Toc17363"/>
      <w:bookmarkStart w:id="485" w:name="_Toc14525"/>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 xml:space="preserve"> 检验和验收</w:t>
      </w:r>
      <w:bookmarkEnd w:id="483"/>
      <w:bookmarkEnd w:id="484"/>
      <w:bookmarkEnd w:id="485"/>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.1 乙方按照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的约定，定期提交服务报告，甲方按照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的约定进行定期验收；</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86" w:name="_Toc2308"/>
      <w:bookmarkStart w:id="487" w:name="_Toc31892"/>
      <w:bookmarkStart w:id="488" w:name="_Toc12666"/>
      <w:bookmarkStart w:id="489" w:name="_Toc25198"/>
      <w:bookmarkStart w:id="490" w:name="_Toc9808"/>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 xml:space="preserve"> 通知和送达</w:t>
      </w:r>
      <w:bookmarkEnd w:id="486"/>
      <w:bookmarkEnd w:id="487"/>
      <w:bookmarkEnd w:id="488"/>
      <w:bookmarkEnd w:id="489"/>
      <w:bookmarkEnd w:id="490"/>
    </w:p>
    <w:p>
      <w:pPr>
        <w:spacing w:line="560" w:lineRule="exact"/>
        <w:ind w:firstLine="480" w:firstLineChars="200"/>
        <w:rPr>
          <w:rFonts w:ascii="宋体" w:hAnsi="宋体" w:cs="宋体"/>
          <w:color w:val="auto"/>
          <w:sz w:val="24"/>
          <w:highlight w:val="none"/>
        </w:rPr>
      </w:pPr>
      <w:bookmarkStart w:id="491" w:name="_Toc27674"/>
      <w:bookmarkStart w:id="492" w:name="_Toc18401"/>
      <w:r>
        <w:rPr>
          <w:rFonts w:hint="eastAsia" w:ascii="宋体" w:hAnsi="宋体" w:cs="宋体"/>
          <w:color w:val="auto"/>
          <w:sz w:val="24"/>
          <w:highlight w:val="none"/>
        </w:rPr>
        <w:t>2.1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 xml:space="preserve">.1任何一方因履行合同而以合同第一部分尾部所列明的传真或电子邮件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1"/>
      <w:bookmarkEnd w:id="492"/>
    </w:p>
    <w:p>
      <w:pPr>
        <w:spacing w:line="560" w:lineRule="exact"/>
        <w:ind w:firstLine="482" w:firstLineChars="200"/>
        <w:outlineLvl w:val="0"/>
        <w:rPr>
          <w:rFonts w:ascii="宋体" w:hAnsi="宋体" w:cs="宋体"/>
          <w:b/>
          <w:color w:val="auto"/>
          <w:sz w:val="24"/>
          <w:highlight w:val="none"/>
        </w:rPr>
      </w:pPr>
      <w:bookmarkStart w:id="493" w:name="_Toc20808"/>
      <w:bookmarkStart w:id="494" w:name="_Toc5063"/>
      <w:bookmarkStart w:id="495" w:name="_Toc12254"/>
      <w:bookmarkStart w:id="496" w:name="_Toc28906"/>
      <w:bookmarkStart w:id="497" w:name="_Toc27644"/>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 xml:space="preserve"> 合同使用的文字和适用的法律</w:t>
      </w:r>
      <w:bookmarkEnd w:id="493"/>
      <w:bookmarkEnd w:id="494"/>
      <w:bookmarkEnd w:id="495"/>
      <w:bookmarkEnd w:id="496"/>
      <w:bookmarkEnd w:id="49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合同使用汉语书就、变更和解释；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 合同适用中华人民共和国法律。</w:t>
      </w:r>
    </w:p>
    <w:p>
      <w:pPr>
        <w:spacing w:line="560" w:lineRule="exact"/>
        <w:ind w:firstLine="482" w:firstLineChars="200"/>
        <w:outlineLvl w:val="0"/>
        <w:rPr>
          <w:rFonts w:ascii="宋体" w:hAnsi="宋体" w:cs="宋体"/>
          <w:b/>
          <w:color w:val="auto"/>
          <w:sz w:val="24"/>
          <w:highlight w:val="none"/>
        </w:rPr>
      </w:pPr>
      <w:bookmarkStart w:id="498" w:name="_Toc22266"/>
      <w:bookmarkStart w:id="499" w:name="_Toc27403"/>
      <w:bookmarkStart w:id="500" w:name="_Toc1492"/>
      <w:bookmarkStart w:id="501" w:name="_Toc30096"/>
      <w:bookmarkStart w:id="502" w:name="_Toc27127"/>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 xml:space="preserve"> 履约保证金</w:t>
      </w:r>
      <w:bookmarkEnd w:id="498"/>
      <w:bookmarkEnd w:id="499"/>
      <w:bookmarkEnd w:id="500"/>
      <w:bookmarkEnd w:id="501"/>
      <w:bookmarkEnd w:id="502"/>
    </w:p>
    <w:p>
      <w:pPr>
        <w:pStyle w:val="616"/>
        <w:spacing w:before="0" w:beforeAutospacing="0" w:after="0" w:afterAutospacing="0" w:line="360" w:lineRule="auto"/>
        <w:ind w:firstLine="420"/>
        <w:rPr>
          <w:color w:val="auto"/>
          <w:highlight w:val="none"/>
        </w:rPr>
      </w:pPr>
      <w:r>
        <w:rPr>
          <w:rFonts w:hint="eastAsia"/>
          <w:color w:val="auto"/>
          <w:highlight w:val="none"/>
        </w:rPr>
        <w:t>2.1</w:t>
      </w:r>
      <w:r>
        <w:rPr>
          <w:rFonts w:hint="eastAsia"/>
          <w:color w:val="auto"/>
          <w:highlight w:val="none"/>
          <w:lang w:val="en-US" w:eastAsia="zh-CN"/>
        </w:rPr>
        <w:t>7</w:t>
      </w:r>
      <w:r>
        <w:rPr>
          <w:rFonts w:hint="eastAsia"/>
          <w:color w:val="auto"/>
          <w:highlight w:val="none"/>
        </w:rPr>
        <w:t xml:space="preserve">.1 </w:t>
      </w:r>
      <w:r>
        <w:rPr>
          <w:rFonts w:hint="eastAsia"/>
          <w:color w:val="auto"/>
          <w:highlight w:val="none"/>
          <w:lang w:eastAsia="zh-CN"/>
        </w:rPr>
        <w:t>招标文件</w:t>
      </w:r>
      <w:r>
        <w:rPr>
          <w:rFonts w:hint="eastAsia"/>
          <w:color w:val="auto"/>
          <w:highlight w:val="none"/>
        </w:rPr>
        <w:t>要求乙方提交履约保证金的，乙方应按</w:t>
      </w:r>
      <w:r>
        <w:rPr>
          <w:rFonts w:hint="eastAsia"/>
          <w:b/>
          <w:i/>
          <w:color w:val="auto"/>
          <w:highlight w:val="none"/>
          <w:u w:val="single"/>
        </w:rPr>
        <w:t>合同专用条款</w:t>
      </w:r>
      <w:r>
        <w:rPr>
          <w:rFonts w:hint="eastAsia"/>
          <w:color w:val="auto"/>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.2  甲方在项目验收结束后及时退还履约保证金。甲方在项目通过验收之日起</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个工作日内将履约保证金退还乙方，逾期退还的，乙方可要求甲方支付违约金，违约金按每迟延退还一日的应退还而未退还金额的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 xml:space="preserve">%；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auto"/>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.4 甲方在乙方履行完合同约定义务事项后及时退还，延迟退还的，应当按照合同约定和法律规定承担相应的赔偿责任。</w:t>
      </w:r>
    </w:p>
    <w:p>
      <w:pPr>
        <w:spacing w:line="56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2.1</w:t>
      </w:r>
      <w:r>
        <w:rPr>
          <w:rFonts w:hint="eastAsia" w:ascii="宋体" w:hAnsi="宋体" w:cs="宋体"/>
          <w:b/>
          <w:bCs/>
          <w:color w:val="auto"/>
          <w:sz w:val="24"/>
          <w:highlight w:val="none"/>
          <w:lang w:val="en-US" w:eastAsia="zh-CN"/>
        </w:rPr>
        <w:t>8</w:t>
      </w:r>
      <w:r>
        <w:rPr>
          <w:rFonts w:hint="eastAsia" w:ascii="宋体" w:hAnsi="宋体" w:cs="宋体"/>
          <w:color w:val="auto"/>
          <w:sz w:val="24"/>
          <w:highlight w:val="none"/>
        </w:rPr>
        <w:t>对于因甲方原因导致变更、中止或者终止政府采购合同的，甲方应当依照合同约定对供应商受到的损失予以赔偿或者补偿。</w:t>
      </w:r>
    </w:p>
    <w:p>
      <w:pPr>
        <w:spacing w:line="5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19</w:t>
      </w:r>
      <w:r>
        <w:rPr>
          <w:rFonts w:hint="eastAsia" w:ascii="宋体" w:hAnsi="宋体" w:cs="宋体"/>
          <w:b/>
          <w:color w:val="auto"/>
          <w:sz w:val="24"/>
          <w:highlight w:val="none"/>
        </w:rPr>
        <w:t>合同份数</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3" w:name="_Toc331685784"/>
      <w:r>
        <w:rPr>
          <w:rFonts w:hint="eastAsia" w:ascii="宋体" w:hAnsi="宋体" w:cs="宋体"/>
          <w:b/>
          <w:color w:val="auto"/>
          <w:sz w:val="24"/>
          <w:highlight w:val="none"/>
        </w:rPr>
        <w:t xml:space="preserve"> </w:t>
      </w:r>
      <w:bookmarkEnd w:id="503"/>
      <w:r>
        <w:rPr>
          <w:rFonts w:hint="eastAsia" w:ascii="宋体" w:hAnsi="宋体" w:cs="宋体"/>
          <w:b/>
          <w:color w:val="auto"/>
          <w:sz w:val="24"/>
          <w:highlight w:val="none"/>
        </w:rPr>
        <w:t>第三部</w:t>
      </w:r>
      <w:r>
        <w:rPr>
          <w:rFonts w:hint="eastAsia" w:ascii="宋体" w:hAnsi="宋体" w:cs="宋体"/>
          <w:b/>
          <w:color w:val="auto"/>
          <w:sz w:val="24"/>
          <w:highlight w:val="none"/>
          <w:lang w:eastAsia="zh-CN"/>
        </w:rPr>
        <w:t>分</w:t>
      </w:r>
      <w:r>
        <w:rPr>
          <w:rFonts w:hint="eastAsia" w:ascii="宋体" w:hAnsi="宋体" w:cs="宋体"/>
          <w:b/>
          <w:color w:val="auto"/>
          <w:sz w:val="24"/>
          <w:highlight w:val="none"/>
        </w:rPr>
        <w:t xml:space="preserve"> 合同专用条款</w:t>
      </w:r>
    </w:p>
    <w:p>
      <w:pPr>
        <w:spacing w:line="560" w:lineRule="exact"/>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66"/>
        <w:gridCol w:w="8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条款号</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1.4.4</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甲方根据物业服务质量考核结果按每三个月支付物业管理服务费，自合同签订之日起</w:t>
            </w:r>
            <w:r>
              <w:rPr>
                <w:rFonts w:ascii="新宋体" w:hAnsi="新宋体" w:eastAsia="新宋体" w:cs="新宋体"/>
                <w:bCs/>
                <w:color w:val="auto"/>
                <w:sz w:val="24"/>
                <w:highlight w:val="none"/>
              </w:rPr>
              <w:t>5个工作日内支付一年合同价</w:t>
            </w:r>
            <w:r>
              <w:rPr>
                <w:rFonts w:hint="eastAsia" w:ascii="新宋体" w:hAnsi="新宋体" w:eastAsia="新宋体" w:cs="新宋体"/>
                <w:bCs/>
                <w:color w:val="auto"/>
                <w:sz w:val="24"/>
                <w:highlight w:val="none"/>
              </w:rPr>
              <w:t>40%的预付款</w:t>
            </w:r>
            <w:r>
              <w:rPr>
                <w:rFonts w:ascii="新宋体" w:hAnsi="新宋体" w:eastAsia="新宋体" w:cs="新宋体"/>
                <w:bCs/>
                <w:color w:val="auto"/>
                <w:sz w:val="24"/>
                <w:highlight w:val="none"/>
              </w:rPr>
              <w:t>，经采购人考核合格后每三个月付款，按每三个月支付一年合同价的15%。</w:t>
            </w:r>
            <w:r>
              <w:rPr>
                <w:rFonts w:hint="eastAsia" w:ascii="新宋体" w:hAnsi="新宋体" w:eastAsia="新宋体" w:cs="新宋体"/>
                <w:bCs/>
                <w:color w:val="auto"/>
                <w:sz w:val="24"/>
                <w:highlight w:val="none"/>
              </w:rPr>
              <w:t>乙方因工作失误造成的扣款在付款时予以扣除。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1.5.1 </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自合同签订生效之日起一年。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1.5.2</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杭州市余杭区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1.5.3 </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物业服务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1.6.7</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1.7</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1.7.1</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1.7.2</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杭州市余杭区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2.3.2</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2.10.3</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2.10.4</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30天，30天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2.14.1</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2.14.3</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2.17.1</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合同金额的1%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2.17.2</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2.19</w:t>
            </w:r>
          </w:p>
        </w:tc>
        <w:tc>
          <w:tcPr>
            <w:tcW w:w="8060" w:type="dxa"/>
            <w:tcBorders>
              <w:top w:val="single" w:color="auto" w:sz="6" w:space="0"/>
              <w:left w:val="single" w:color="auto" w:sz="6" w:space="0"/>
              <w:bottom w:val="single" w:color="auto" w:sz="6" w:space="0"/>
              <w:right w:val="single" w:color="auto" w:sz="6" w:space="0"/>
            </w:tcBorders>
            <w:vAlign w:val="center"/>
          </w:tcPr>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合同一式肆份，甲乙双方各贰份</w:t>
            </w:r>
          </w:p>
        </w:tc>
      </w:tr>
    </w:tbl>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5"/>
      <w:r>
        <w:rPr>
          <w:rFonts w:hint="eastAsia" w:ascii="宋体" w:hAnsi="宋体" w:cs="宋体"/>
          <w:b/>
          <w:color w:val="auto"/>
          <w:sz w:val="36"/>
          <w:szCs w:val="20"/>
          <w:highlight w:val="none"/>
        </w:rPr>
        <w:t xml:space="preserve"> </w:t>
      </w:r>
      <w:bookmarkEnd w:id="396"/>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杭州市余杭区五常中学</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杭州市余杭区五常中学2024年物业管理服务采购项目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HZYHZFCG-2024-050</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w:t>
      </w:r>
      <w:r>
        <w:rPr>
          <w:rFonts w:hint="eastAsia" w:ascii="宋体" w:hAnsi="宋体" w:cs="宋体"/>
          <w:color w:val="auto"/>
          <w:sz w:val="24"/>
          <w:highlight w:val="none"/>
          <w:lang w:eastAsia="zh-CN"/>
        </w:rPr>
        <w:t>）</w:t>
      </w:r>
      <w:r>
        <w:rPr>
          <w:rFonts w:hint="eastAsia" w:ascii="宋体" w:hAnsi="宋体" w:cs="宋体"/>
          <w:color w:val="auto"/>
          <w:sz w:val="24"/>
          <w:highlight w:val="none"/>
        </w:rPr>
        <w:t>、中国政府采购网（www.ccgp.gov.cn）列入失信被执行人、重大税收违法案件当事人名单、政府采购严重违法失信行为记录名单。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ascii="宋体" w:hAnsi="宋体" w:eastAsia="宋体" w:cs="仿宋_GB2312"/>
          <w:color w:val="auto"/>
          <w:sz w:val="24"/>
          <w:highlight w:val="none"/>
        </w:rPr>
        <w:t>注：根据《</w:t>
      </w:r>
      <w:r>
        <w:rPr>
          <w:rFonts w:ascii="宋体" w:hAnsi="宋体" w:eastAsia="宋体" w:cs="仿宋_GB2312"/>
          <w:color w:val="auto"/>
          <w:sz w:val="24"/>
          <w:highlight w:val="none"/>
        </w:rPr>
        <w:t>关于规范政府采购供应商资格设定及资格审查的通知</w:t>
      </w:r>
      <w:r>
        <w:rPr>
          <w:rFonts w:hint="eastAsia" w:ascii="宋体" w:hAnsi="宋体" w:eastAsia="宋体" w:cs="仿宋_GB2312"/>
          <w:color w:val="auto"/>
          <w:sz w:val="24"/>
          <w:highlight w:val="none"/>
        </w:rPr>
        <w:t>》（</w:t>
      </w:r>
      <w:r>
        <w:rPr>
          <w:rFonts w:ascii="宋体" w:hAnsi="宋体" w:eastAsia="宋体" w:cs="仿宋_GB2312"/>
          <w:color w:val="auto"/>
          <w:sz w:val="24"/>
          <w:highlight w:val="none"/>
        </w:rPr>
        <w:t>浙财采监[2013]24号</w:t>
      </w:r>
      <w:r>
        <w:rPr>
          <w:rFonts w:hint="eastAsia" w:ascii="宋体" w:hAnsi="宋体" w:eastAsia="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spacing w:line="240" w:lineRule="auto"/>
        <w:ind w:firstLine="0" w:firstLineChars="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杭州市余杭区五常中学</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杭州市余杭区五常中学2024年物业管理服务采购项目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HZYHZFCG-2024-050</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4" w:name="_Hlk101257010"/>
      <w:r>
        <w:rPr>
          <w:rFonts w:hint="eastAsia" w:ascii="宋体" w:hAnsi="宋体" w:cs="宋体"/>
          <w:color w:val="auto"/>
          <w:sz w:val="24"/>
          <w:highlight w:val="none"/>
        </w:rPr>
        <w:t>（如果有</w:t>
      </w:r>
      <w:r>
        <w:rPr>
          <w:rFonts w:hint="eastAsia" w:ascii="宋体" w:hAnsi="宋体" w:cs="宋体"/>
          <w:color w:val="auto"/>
          <w:sz w:val="24"/>
          <w:highlight w:val="none"/>
          <w:lang w:eastAsia="zh-CN"/>
        </w:rPr>
        <w:t>）</w:t>
      </w:r>
      <w:bookmarkEnd w:id="504"/>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3、我方承诺除商务技术偏离表列出的偏离外，我方响应招标文件的全部要求。对投标文件中材料的真实性、合法性负责。</w:t>
      </w:r>
      <w:bookmarkStart w:id="514" w:name="_GoBack"/>
      <w:bookmarkEnd w:id="514"/>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杭州市余杭区五常中学</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杭州市余杭区五常中学2024年物业管理服务采购项目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杭州市余杭区五常中学</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杭州市余杭区五常中学2024年物业管理服务采购项目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w:t>
      </w:r>
      <w:r>
        <w:rPr>
          <w:rFonts w:hint="eastAsia" w:ascii="宋体" w:hAnsi="宋体" w:cs="宋体"/>
          <w:b/>
          <w:color w:val="auto"/>
          <w:sz w:val="24"/>
          <w:highlight w:val="none"/>
          <w:lang w:eastAsia="zh-CN"/>
        </w:rPr>
        <w:t>（</w:t>
      </w:r>
      <w:r>
        <w:rPr>
          <w:rFonts w:hint="eastAsia" w:ascii="宋体" w:hAnsi="宋体" w:cs="宋体"/>
          <w:b/>
          <w:color w:val="auto"/>
          <w:sz w:val="24"/>
          <w:highlight w:val="none"/>
        </w:rPr>
        <w:t>附件6</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杭州市余杭区五常中学</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杭州市余杭区五常中学</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杭州市余杭区五常中学2024年物业管理服务采购项目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HZYHZFCG-2024-050</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numPr>
          <w:ilvl w:val="0"/>
          <w:numId w:val="46"/>
        </w:numPr>
        <w:ind w:left="0" w:leftChars="0" w:firstLine="4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numPr>
          <w:ilvl w:val="0"/>
          <w:numId w:val="46"/>
        </w:numPr>
        <w:spacing w:line="360" w:lineRule="auto"/>
        <w:ind w:left="0" w:leftChars="0" w:firstLine="400" w:firstLineChars="0"/>
        <w:rPr>
          <w:rFonts w:hint="eastAsia" w:ascii="宋体" w:hAnsi="宋体" w:cs="宋体"/>
          <w:b/>
          <w:color w:val="auto"/>
          <w:sz w:val="24"/>
          <w:highlight w:val="none"/>
        </w:rPr>
      </w:pPr>
      <w:r>
        <w:rPr>
          <w:rFonts w:hint="eastAsia" w:ascii="宋体" w:hAnsi="宋体" w:cs="宋体"/>
          <w:color w:val="auto"/>
          <w:kern w:val="0"/>
          <w:sz w:val="24"/>
          <w:highlight w:val="none"/>
          <w:lang w:val="zh-CN"/>
        </w:rPr>
        <w:t>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pStyle w:val="2"/>
        <w:numPr>
          <w:ilvl w:val="0"/>
          <w:numId w:val="46"/>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特别提示：采购代理机构将对项目名称和项目编号，中标供应商名称、地址和中标金额，主要中标标的名称、服务范围、服务要求、服务时间、服务标准等予以公示。</w:t>
      </w:r>
    </w:p>
    <w:p>
      <w:pPr>
        <w:pStyle w:val="2"/>
        <w:numPr>
          <w:ilvl w:val="0"/>
          <w:numId w:val="46"/>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numPr>
          <w:ilvl w:val="0"/>
          <w:numId w:val="46"/>
        </w:numPr>
        <w:spacing w:line="360" w:lineRule="auto"/>
        <w:ind w:left="0" w:leftChars="0" w:firstLine="400" w:firstLineChars="0"/>
        <w:rPr>
          <w:rFonts w:hint="eastAsia" w:ascii="宋体" w:hAnsi="宋体" w:eastAsia="宋体" w:cs="宋体"/>
          <w:b/>
          <w:bCs/>
          <w:color w:val="auto"/>
          <w:kern w:val="0"/>
          <w:sz w:val="24"/>
          <w:szCs w:val="24"/>
          <w:highlight w:val="none"/>
          <w:lang w:val="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b/>
          <w:bCs/>
          <w:color w:val="auto"/>
          <w:kern w:val="0"/>
          <w:sz w:val="24"/>
          <w:szCs w:val="24"/>
          <w:highlight w:val="none"/>
          <w:lang w:val="zh-CN"/>
        </w:rPr>
        <w:t>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5" w:name="OLE_LINK13"/>
      <w:bookmarkStart w:id="506" w:name="OLE_LINK14"/>
      <w:r>
        <w:rPr>
          <w:rFonts w:hint="eastAsia" w:ascii="宋体" w:hAnsi="宋体" w:cs="宋体"/>
          <w:b/>
          <w:color w:val="auto"/>
          <w:spacing w:val="6"/>
          <w:sz w:val="32"/>
          <w:szCs w:val="32"/>
          <w:highlight w:val="none"/>
        </w:rPr>
        <w:t>残疾人福利性单位声明函</w:t>
      </w:r>
    </w:p>
    <w:bookmarkEnd w:id="505"/>
    <w:bookmarkEnd w:id="506"/>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color="auto"/>
          <w:lang w:eastAsia="zh-CN"/>
        </w:rPr>
        <w:t>杭州市余杭区五常中学</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杭州市余杭区五常中学2024年物业管理服务采购项目</w:t>
      </w:r>
      <w:r>
        <w:rPr>
          <w:rFonts w:hint="eastAsia" w:ascii="宋体" w:hAnsi="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杭州市余杭区五常中学</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w:t>
      </w:r>
      <w:r>
        <w:rPr>
          <w:rFonts w:hint="eastAsia" w:ascii="宋体" w:hAnsi="宋体" w:cs="宋体"/>
          <w:color w:val="auto"/>
          <w:sz w:val="24"/>
          <w:highlight w:val="none"/>
          <w:lang w:eastAsia="zh-CN"/>
        </w:rPr>
        <w:t>）</w:t>
      </w:r>
      <w:r>
        <w:rPr>
          <w:rFonts w:hint="eastAsia" w:ascii="宋体" w:hAnsi="宋体" w:cs="宋体"/>
          <w:color w:val="auto"/>
          <w:sz w:val="24"/>
          <w:highlight w:val="none"/>
        </w:rPr>
        <w:t>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杭州市余杭区五常中学2024年物业管理服务采购项目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HZYHZFCG-2024-050</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杭州市余杭区五常中学2024年物业管理服务采购项目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07"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07"/>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08"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08"/>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09"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09"/>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杭州市余杭区五常中学2024年物业管理服务采购项目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杭州市余杭区五常中学</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杭州市余杭区五常中学2024年物业管理服务采购项目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lang w:val="en-US" w:eastAsia="zh-CN"/>
        </w:rPr>
        <w:t>物业管理服务</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物业管理服务行业</w:t>
      </w:r>
      <w:r>
        <w:rPr>
          <w:rFonts w:hint="eastAsia" w:ascii="宋体" w:hAnsi="宋体" w:cs="宋体"/>
          <w:color w:val="auto"/>
          <w:sz w:val="24"/>
          <w:highlight w:val="none"/>
        </w:rPr>
        <w:t xml:space="preserve">；承接企业为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w:t>
      </w:r>
      <w:r>
        <w:rPr>
          <w:rFonts w:hint="eastAsia" w:ascii="宋体" w:hAnsi="宋体" w:cs="宋体"/>
          <w:color w:val="auto"/>
          <w:sz w:val="24"/>
          <w:highlight w:val="none"/>
          <w:lang w:eastAsia="zh-CN"/>
        </w:rPr>
        <w:t>”“</w:t>
      </w:r>
      <w:r>
        <w:rPr>
          <w:rFonts w:hint="eastAsia" w:ascii="宋体" w:hAnsi="宋体" w:cs="宋体"/>
          <w:color w:val="auto"/>
          <w:sz w:val="24"/>
          <w:highlight w:val="none"/>
        </w:rPr>
        <w:t>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7" w:type="first"/>
      <w:footerReference r:id="rId30" w:type="first"/>
      <w:headerReference r:id="rId26" w:type="default"/>
      <w:footerReference r:id="rId28" w:type="default"/>
      <w:footerReference r:id="rId2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separate"/>
    </w:r>
    <w:r>
      <w:rPr>
        <w:rStyle w:val="73"/>
      </w:rPr>
      <w:t>2</w:t>
    </w:r>
    <w:r>
      <w:fldChar w:fldCharType="end"/>
    </w:r>
  </w:p>
  <w:p>
    <w:pPr>
      <w:pStyle w:val="39"/>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0" w:name="_Toc164085800"/>
    <w:bookmarkStart w:id="511" w:name="_Toc131845147"/>
    <w:bookmarkStart w:id="512" w:name="_Toc91899912"/>
    <w:bookmarkStart w:id="513" w:name="_Toc36110187"/>
    <w:r>
      <w:rPr>
        <w:rFonts w:hint="eastAsia" w:ascii="仿宋_GB2312" w:eastAsia="仿宋_GB2312"/>
        <w:kern w:val="0"/>
        <w:szCs w:val="21"/>
      </w:rPr>
      <w:t xml:space="preserve"> 页</w:t>
    </w:r>
    <w:bookmarkEnd w:id="510"/>
    <w:bookmarkEnd w:id="511"/>
    <w:bookmarkEnd w:id="512"/>
    <w:bookmarkEnd w:id="51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360" w:lineRule="auto"/>
      <w:ind w:firstLine="0" w:firstLineChars="0"/>
      <w:textAlignment w:val="baseline"/>
      <w:rPr>
        <w:rFonts w:ascii="新宋体" w:hAnsi="新宋体" w:eastAsia="新宋体" w:cs="新宋体"/>
        <w:bCs/>
        <w:kern w:val="2"/>
        <w:sz w:val="18"/>
        <w:szCs w:val="18"/>
        <w:lang w:val="en-US" w:eastAsia="zh-CN" w:bidi="ar-SA"/>
      </w:rPr>
    </w:pPr>
    <w:r>
      <w:rPr>
        <w:rFonts w:ascii="新宋体" w:hAnsi="新宋体" w:eastAsia="新宋体" w:cs="新宋体"/>
        <w:bCs/>
        <w:kern w:val="2"/>
        <w:sz w:val="18"/>
        <w:szCs w:val="18"/>
        <w:lang w:val="en-US" w:eastAsia="zh-CN" w:bidi="ar-SA"/>
      </w:rP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path/>
          <v:fill on="f" focussize="0,0"/>
          <v:stroke on="f" joinstyle="miter"/>
          <v:imagedata o:title=""/>
          <o:lock v:ext="edit"/>
          <v:textbox inset="0mm,0mm,0mm,0mm" style="mso-fit-shape-to-text:t;">
            <w:txbxContent>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z w:val="24"/>
                  </w:rPr>
                </w:pPr>
                <w:r>
                  <w:rPr>
                    <w:rFonts w:hint="eastAsia" w:ascii="新宋体" w:hAnsi="新宋体" w:eastAsia="新宋体" w:cs="新宋体"/>
                    <w:bCs/>
                    <w:sz w:val="24"/>
                  </w:rPr>
                  <w:t xml:space="preserve">第 </w:t>
                </w:r>
                <w:r>
                  <w:rPr>
                    <w:rFonts w:ascii="新宋体" w:hAnsi="新宋体" w:eastAsia="新宋体" w:cs="新宋体"/>
                    <w:bCs/>
                    <w:sz w:val="24"/>
                  </w:rPr>
                  <w:fldChar w:fldCharType="begin"/>
                </w:r>
                <w:r>
                  <w:rPr>
                    <w:rFonts w:ascii="新宋体" w:hAnsi="新宋体" w:eastAsia="新宋体" w:cs="新宋体"/>
                    <w:bCs/>
                    <w:sz w:val="24"/>
                  </w:rPr>
                  <w:instrText xml:space="preserve"> PAGE  \* MERGEFORMAT </w:instrText>
                </w:r>
                <w:r>
                  <w:rPr>
                    <w:rFonts w:ascii="新宋体" w:hAnsi="新宋体" w:eastAsia="新宋体" w:cs="新宋体"/>
                    <w:bCs/>
                    <w:sz w:val="24"/>
                  </w:rPr>
                  <w:fldChar w:fldCharType="separate"/>
                </w:r>
                <w:r>
                  <w:rPr>
                    <w:rFonts w:ascii="新宋体" w:hAnsi="新宋体" w:eastAsia="新宋体" w:cs="新宋体"/>
                    <w:bCs/>
                    <w:sz w:val="24"/>
                  </w:rPr>
                  <w:t>2</w:t>
                </w:r>
                <w:r>
                  <w:rPr>
                    <w:rFonts w:ascii="新宋体" w:hAnsi="新宋体" w:eastAsia="新宋体" w:cs="新宋体"/>
                    <w:bCs/>
                    <w:sz w:val="24"/>
                  </w:rPr>
                  <w:fldChar w:fldCharType="end"/>
                </w:r>
                <w:r>
                  <w:rPr>
                    <w:rFonts w:hint="eastAsia" w:ascii="新宋体" w:hAnsi="新宋体" w:eastAsia="新宋体" w:cs="新宋体"/>
                    <w:bCs/>
                    <w:sz w:val="24"/>
                  </w:rPr>
                  <w:t xml:space="preserve"> 页 共 </w:t>
                </w:r>
                <w:r>
                  <w:rPr>
                    <w:rFonts w:ascii="新宋体" w:hAnsi="新宋体" w:eastAsia="新宋体" w:cs="新宋体"/>
                    <w:bCs/>
                    <w:sz w:val="24"/>
                  </w:rPr>
                  <w:fldChar w:fldCharType="begin"/>
                </w:r>
                <w:r>
                  <w:rPr>
                    <w:rFonts w:ascii="新宋体" w:hAnsi="新宋体" w:eastAsia="新宋体" w:cs="新宋体"/>
                    <w:bCs/>
                    <w:sz w:val="24"/>
                  </w:rPr>
                  <w:instrText xml:space="preserve"> NUMPAGES  \* MERGEFORMAT </w:instrText>
                </w:r>
                <w:r>
                  <w:rPr>
                    <w:rFonts w:ascii="新宋体" w:hAnsi="新宋体" w:eastAsia="新宋体" w:cs="新宋体"/>
                    <w:bCs/>
                    <w:sz w:val="24"/>
                  </w:rPr>
                  <w:fldChar w:fldCharType="separate"/>
                </w:r>
                <w:r>
                  <w:rPr>
                    <w:rFonts w:ascii="新宋体" w:hAnsi="新宋体" w:eastAsia="新宋体" w:cs="新宋体"/>
                    <w:bCs/>
                    <w:sz w:val="24"/>
                  </w:rPr>
                  <w:t>44</w:t>
                </w:r>
                <w:r>
                  <w:rPr>
                    <w:rFonts w:ascii="新宋体" w:hAnsi="新宋体" w:eastAsia="新宋体" w:cs="新宋体"/>
                    <w:bCs/>
                    <w:sz w:val="24"/>
                  </w:rPr>
                  <w:fldChar w:fldCharType="end"/>
                </w:r>
                <w:r>
                  <w:rPr>
                    <w:rFonts w:hint="eastAsia" w:ascii="新宋体" w:hAnsi="新宋体" w:eastAsia="新宋体" w:cs="新宋体"/>
                    <w:bCs/>
                    <w:sz w:val="24"/>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360" w:lineRule="auto"/>
      <w:ind w:firstLine="36" w:firstLineChars="20"/>
      <w:textAlignment w:val="baseline"/>
      <w:rPr>
        <w:rFonts w:ascii="新宋体" w:hAnsi="新宋体" w:eastAsia="新宋体" w:cs="新宋体"/>
        <w:bCs/>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360" w:lineRule="auto"/>
      <w:ind w:firstLine="36" w:firstLineChars="20"/>
      <w:textAlignment w:val="baseline"/>
      <w:rPr>
        <w:rFonts w:ascii="新宋体" w:hAnsi="新宋体" w:eastAsia="新宋体" w:cs="新宋体"/>
        <w:bCs/>
        <w:kern w:val="2"/>
        <w:sz w:val="18"/>
        <w:szCs w:val="18"/>
        <w:lang w:val="en-US" w:eastAsia="zh-CN" w:bidi="ar-SA"/>
      </w:rPr>
    </w:pPr>
    <w:r>
      <w:rPr>
        <w:rFonts w:ascii="新宋体" w:hAnsi="新宋体" w:eastAsia="新宋体" w:cs="新宋体"/>
        <w:bCs/>
        <w:kern w:val="2"/>
        <w:sz w:val="18"/>
        <w:szCs w:val="18"/>
        <w:lang w:val="en-US" w:eastAsia="zh-CN" w:bidi="ar-SA"/>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path/>
          <v:fill on="f" focussize="0,0"/>
          <v:stroke on="f" joinstyle="miter"/>
          <v:imagedata o:title=""/>
          <o:lock v:ext="edit"/>
          <v:textbox inset="0mm,0mm,0mm,0mm" style="mso-fit-shape-to-text:t;">
            <w:txbxContent>
              <w:p>
                <w:pPr>
                  <w:widowControl/>
                  <w:kinsoku w:val="0"/>
                  <w:autoSpaceDE w:val="0"/>
                  <w:autoSpaceDN w:val="0"/>
                  <w:snapToGrid w:val="0"/>
                  <w:spacing w:line="360" w:lineRule="auto"/>
                  <w:ind w:firstLine="48" w:firstLineChars="20"/>
                  <w:jc w:val="left"/>
                  <w:textAlignment w:val="baseline"/>
                  <w:rPr>
                    <w:rFonts w:ascii="新宋体" w:hAnsi="新宋体" w:eastAsia="新宋体" w:cs="新宋体"/>
                    <w:bCs/>
                    <w:sz w:val="24"/>
                  </w:rPr>
                </w:pPr>
                <w:r>
                  <w:rPr>
                    <w:rFonts w:hint="eastAsia" w:ascii="新宋体" w:hAnsi="新宋体" w:eastAsia="新宋体" w:cs="新宋体"/>
                    <w:bCs/>
                    <w:sz w:val="24"/>
                  </w:rPr>
                  <w:t xml:space="preserve">第 </w:t>
                </w:r>
                <w:r>
                  <w:rPr>
                    <w:rFonts w:ascii="新宋体" w:hAnsi="新宋体" w:eastAsia="新宋体" w:cs="新宋体"/>
                    <w:bCs/>
                    <w:sz w:val="24"/>
                  </w:rPr>
                  <w:fldChar w:fldCharType="begin"/>
                </w:r>
                <w:r>
                  <w:rPr>
                    <w:rFonts w:ascii="新宋体" w:hAnsi="新宋体" w:eastAsia="新宋体" w:cs="新宋体"/>
                    <w:bCs/>
                    <w:sz w:val="24"/>
                  </w:rPr>
                  <w:instrText xml:space="preserve"> PAGE  \* MERGEFORMAT </w:instrText>
                </w:r>
                <w:r>
                  <w:rPr>
                    <w:rFonts w:ascii="新宋体" w:hAnsi="新宋体" w:eastAsia="新宋体" w:cs="新宋体"/>
                    <w:bCs/>
                    <w:sz w:val="24"/>
                  </w:rPr>
                  <w:fldChar w:fldCharType="separate"/>
                </w:r>
                <w:r>
                  <w:rPr>
                    <w:rFonts w:ascii="新宋体" w:hAnsi="新宋体" w:eastAsia="新宋体" w:cs="新宋体"/>
                    <w:bCs/>
                    <w:sz w:val="24"/>
                  </w:rPr>
                  <w:t>1</w:t>
                </w:r>
                <w:r>
                  <w:rPr>
                    <w:rFonts w:ascii="新宋体" w:hAnsi="新宋体" w:eastAsia="新宋体" w:cs="新宋体"/>
                    <w:bCs/>
                    <w:sz w:val="24"/>
                  </w:rPr>
                  <w:fldChar w:fldCharType="end"/>
                </w:r>
                <w:r>
                  <w:rPr>
                    <w:rFonts w:hint="eastAsia" w:ascii="新宋体" w:hAnsi="新宋体" w:eastAsia="新宋体" w:cs="新宋体"/>
                    <w:bCs/>
                    <w:sz w:val="24"/>
                  </w:rPr>
                  <w:t xml:space="preserve"> 页 共 </w:t>
                </w:r>
                <w:r>
                  <w:rPr>
                    <w:rFonts w:ascii="新宋体" w:hAnsi="新宋体" w:eastAsia="新宋体" w:cs="新宋体"/>
                    <w:bCs/>
                    <w:sz w:val="24"/>
                  </w:rPr>
                  <w:fldChar w:fldCharType="begin"/>
                </w:r>
                <w:r>
                  <w:rPr>
                    <w:rFonts w:ascii="新宋体" w:hAnsi="新宋体" w:eastAsia="新宋体" w:cs="新宋体"/>
                    <w:bCs/>
                    <w:sz w:val="24"/>
                  </w:rPr>
                  <w:instrText xml:space="preserve"> NUMPAGES  \* MERGEFORMAT </w:instrText>
                </w:r>
                <w:r>
                  <w:rPr>
                    <w:rFonts w:ascii="新宋体" w:hAnsi="新宋体" w:eastAsia="新宋体" w:cs="新宋体"/>
                    <w:bCs/>
                    <w:sz w:val="24"/>
                  </w:rPr>
                  <w:fldChar w:fldCharType="separate"/>
                </w:r>
                <w:r>
                  <w:rPr>
                    <w:rFonts w:ascii="新宋体" w:hAnsi="新宋体" w:eastAsia="新宋体" w:cs="新宋体"/>
                    <w:bCs/>
                    <w:sz w:val="24"/>
                  </w:rPr>
                  <w:t>44</w:t>
                </w:r>
                <w:r>
                  <w:rPr>
                    <w:rFonts w:ascii="新宋体" w:hAnsi="新宋体" w:eastAsia="新宋体" w:cs="新宋体"/>
                    <w:bCs/>
                    <w:sz w:val="24"/>
                  </w:rPr>
                  <w:fldChar w:fldCharType="end"/>
                </w:r>
                <w:r>
                  <w:rPr>
                    <w:rFonts w:hint="eastAsia" w:ascii="新宋体" w:hAnsi="新宋体" w:eastAsia="新宋体" w:cs="新宋体"/>
                    <w:bCs/>
                    <w:sz w:val="24"/>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
    </w:pPr>
    <w:r>
      <w:pict>
        <v:shape id="_x0000_s2051" o:spid="_x0000_s205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path/>
          <v:fill on="f" focussize="0,0"/>
          <v:stroke on="f" joinstyle="miter"/>
          <v:imagedata o:title=""/>
          <o:lock v:ext="edit"/>
          <v:textbox inset="0mm,0mm,0mm,0mm" style="mso-fit-shape-to-text:t;">
            <w:txbxContent>
              <w:p>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44</w:t>
                </w:r>
                <w:r>
                  <w:fldChar w:fldCharType="end"/>
                </w:r>
                <w:r>
                  <w:rPr>
                    <w:rFonts w:hint="eastAsia"/>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rPr>
        <w:rFonts w:hint="eastAsia"/>
        <w:lang w:eastAsia="zh-CN"/>
      </w:rPr>
      <w:t>余杭区政府采购公开招标文件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lang w:eastAsia="zh-CN"/>
      </w:rPr>
      <w:t>余杭区政府采购公开招标文件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rPr>
        <w:rFonts w:hint="eastAsia"/>
        <w:lang w:eastAsia="zh-CN"/>
      </w:rPr>
      <w:t>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kinsoku w:val="0"/>
      <w:autoSpaceDE w:val="0"/>
      <w:autoSpaceDN w:val="0"/>
      <w:adjustRightInd w:val="0"/>
      <w:snapToGrid w:val="0"/>
      <w:spacing w:line="360" w:lineRule="auto"/>
      <w:ind w:firstLine="36" w:firstLineChars="20"/>
      <w:jc w:val="center"/>
      <w:textAlignment w:val="baseline"/>
      <w:rPr>
        <w:rFonts w:ascii="新宋体" w:hAnsi="新宋体" w:eastAsia="新宋体" w:cs="新宋体"/>
        <w:bCs/>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kinsoku w:val="0"/>
      <w:autoSpaceDE w:val="0"/>
      <w:autoSpaceDN w:val="0"/>
      <w:adjustRightInd w:val="0"/>
      <w:snapToGrid w:val="0"/>
      <w:spacing w:line="360" w:lineRule="auto"/>
      <w:ind w:firstLine="36" w:firstLineChars="20"/>
      <w:jc w:val="center"/>
      <w:textAlignment w:val="baseline"/>
      <w:rPr>
        <w:rFonts w:ascii="新宋体" w:hAnsi="新宋体" w:eastAsia="新宋体" w:cs="新宋体"/>
        <w:bCs/>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kinsoku w:val="0"/>
      <w:autoSpaceDE w:val="0"/>
      <w:autoSpaceDN w:val="0"/>
      <w:adjustRightInd w:val="0"/>
      <w:snapToGrid w:val="0"/>
      <w:spacing w:line="360" w:lineRule="auto"/>
      <w:ind w:firstLine="36" w:firstLineChars="20"/>
      <w:jc w:val="center"/>
      <w:textAlignment w:val="baseline"/>
      <w:rPr>
        <w:rFonts w:ascii="新宋体" w:hAnsi="新宋体" w:eastAsia="新宋体" w:cs="新宋体"/>
        <w:bCs/>
        <w:kern w:val="2"/>
        <w:sz w:val="18"/>
        <w:szCs w:val="18"/>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w:t>
    </w:r>
    <w: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3D432"/>
    <w:multiLevelType w:val="singleLevel"/>
    <w:tmpl w:val="9DE3D432"/>
    <w:lvl w:ilvl="0" w:tentative="0">
      <w:start w:val="1"/>
      <w:numFmt w:val="decimalEnclosedCircleChinese"/>
      <w:suff w:val="nothing"/>
      <w:lvlText w:val="%1　"/>
      <w:lvlJc w:val="left"/>
      <w:pPr>
        <w:ind w:left="0" w:firstLine="400"/>
      </w:pPr>
      <w:rPr>
        <w:rFonts w:hint="eastAsia"/>
      </w:rPr>
    </w:lvl>
  </w:abstractNum>
  <w:abstractNum w:abstractNumId="1">
    <w:nsid w:val="ADEDFD4D"/>
    <w:multiLevelType w:val="singleLevel"/>
    <w:tmpl w:val="ADEDFD4D"/>
    <w:lvl w:ilvl="0" w:tentative="0">
      <w:start w:val="1"/>
      <w:numFmt w:val="decimal"/>
      <w:suff w:val="nothing"/>
      <w:lvlText w:val="%1．"/>
      <w:lvlJc w:val="left"/>
      <w:pPr>
        <w:ind w:left="0" w:firstLine="400"/>
      </w:pPr>
      <w:rPr>
        <w:rFonts w:hint="default"/>
      </w:rPr>
    </w:lvl>
  </w:abstractNum>
  <w:abstractNum w:abstractNumId="2">
    <w:nsid w:val="B294EE5E"/>
    <w:multiLevelType w:val="singleLevel"/>
    <w:tmpl w:val="B294EE5E"/>
    <w:lvl w:ilvl="0" w:tentative="0">
      <w:start w:val="1"/>
      <w:numFmt w:val="decimal"/>
      <w:suff w:val="nothing"/>
      <w:lvlText w:val="%1．"/>
      <w:lvlJc w:val="left"/>
      <w:pPr>
        <w:ind w:left="0" w:firstLine="400"/>
      </w:pPr>
      <w:rPr>
        <w:rFonts w:hint="default"/>
      </w:rPr>
    </w:lvl>
  </w:abstractNum>
  <w:abstractNum w:abstractNumId="3">
    <w:nsid w:val="B69EA048"/>
    <w:multiLevelType w:val="singleLevel"/>
    <w:tmpl w:val="B69EA048"/>
    <w:lvl w:ilvl="0" w:tentative="0">
      <w:start w:val="1"/>
      <w:numFmt w:val="decimal"/>
      <w:lvlText w:val="(%1)"/>
      <w:lvlJc w:val="left"/>
      <w:pPr>
        <w:tabs>
          <w:tab w:val="left" w:pos="397"/>
        </w:tabs>
        <w:ind w:left="454" w:hanging="454"/>
      </w:pPr>
      <w:rPr>
        <w:rFonts w:hint="default"/>
      </w:rPr>
    </w:lvl>
  </w:abstractNum>
  <w:abstractNum w:abstractNumId="4">
    <w:nsid w:val="B838DBF5"/>
    <w:multiLevelType w:val="singleLevel"/>
    <w:tmpl w:val="B838DBF5"/>
    <w:lvl w:ilvl="0" w:tentative="0">
      <w:start w:val="1"/>
      <w:numFmt w:val="chineseCounting"/>
      <w:suff w:val="nothing"/>
      <w:lvlText w:val="（%1）"/>
      <w:lvlJc w:val="left"/>
      <w:pPr>
        <w:ind w:left="0" w:firstLine="420"/>
      </w:pPr>
      <w:rPr>
        <w:rFonts w:hint="eastAsia"/>
      </w:rPr>
    </w:lvl>
  </w:abstractNum>
  <w:abstractNum w:abstractNumId="5">
    <w:nsid w:val="C3424699"/>
    <w:multiLevelType w:val="singleLevel"/>
    <w:tmpl w:val="C3424699"/>
    <w:lvl w:ilvl="0" w:tentative="0">
      <w:start w:val="1"/>
      <w:numFmt w:val="decimalEnclosedCircleChinese"/>
      <w:suff w:val="nothing"/>
      <w:lvlText w:val="%1　"/>
      <w:lvlJc w:val="left"/>
      <w:pPr>
        <w:ind w:left="0" w:firstLine="400"/>
      </w:pPr>
      <w:rPr>
        <w:rFonts w:hint="eastAsia"/>
      </w:rPr>
    </w:lvl>
  </w:abstractNum>
  <w:abstractNum w:abstractNumId="6">
    <w:nsid w:val="C6382930"/>
    <w:multiLevelType w:val="singleLevel"/>
    <w:tmpl w:val="C6382930"/>
    <w:lvl w:ilvl="0" w:tentative="0">
      <w:start w:val="1"/>
      <w:numFmt w:val="decimal"/>
      <w:suff w:val="nothing"/>
      <w:lvlText w:val="%1．"/>
      <w:lvlJc w:val="left"/>
      <w:pPr>
        <w:ind w:left="0" w:firstLine="400"/>
      </w:pPr>
      <w:rPr>
        <w:rFonts w:hint="default"/>
      </w:rPr>
    </w:lvl>
  </w:abstractNum>
  <w:abstractNum w:abstractNumId="7">
    <w:nsid w:val="E051C828"/>
    <w:multiLevelType w:val="singleLevel"/>
    <w:tmpl w:val="E051C828"/>
    <w:lvl w:ilvl="0" w:tentative="0">
      <w:start w:val="1"/>
      <w:numFmt w:val="decimal"/>
      <w:lvlText w:val="(%1)"/>
      <w:lvlJc w:val="left"/>
      <w:pPr>
        <w:ind w:left="425" w:hanging="425"/>
      </w:pPr>
      <w:rPr>
        <w:rFonts w:hint="default"/>
      </w:rPr>
    </w:lvl>
  </w:abstractNum>
  <w:abstractNum w:abstractNumId="8">
    <w:nsid w:val="E4EE60E1"/>
    <w:multiLevelType w:val="singleLevel"/>
    <w:tmpl w:val="E4EE60E1"/>
    <w:lvl w:ilvl="0" w:tentative="0">
      <w:start w:val="1"/>
      <w:numFmt w:val="decimal"/>
      <w:lvlText w:val="(%1)"/>
      <w:lvlJc w:val="left"/>
      <w:pPr>
        <w:tabs>
          <w:tab w:val="left" w:pos="397"/>
        </w:tabs>
        <w:ind w:left="454" w:hanging="454"/>
      </w:pPr>
      <w:rPr>
        <w:rFonts w:hint="default"/>
      </w:rPr>
    </w:lvl>
  </w:abstractNum>
  <w:abstractNum w:abstractNumId="9">
    <w:nsid w:val="F93D3436"/>
    <w:multiLevelType w:val="singleLevel"/>
    <w:tmpl w:val="F93D3436"/>
    <w:lvl w:ilvl="0" w:tentative="0">
      <w:start w:val="1"/>
      <w:numFmt w:val="decimal"/>
      <w:lvlText w:val="(%1)"/>
      <w:lvlJc w:val="left"/>
      <w:pPr>
        <w:ind w:left="425" w:hanging="425"/>
      </w:pPr>
      <w:rPr>
        <w:rFonts w:hint="default"/>
      </w:rPr>
    </w:lvl>
  </w:abstractNum>
  <w:abstractNum w:abstractNumId="10">
    <w:nsid w:val="00000024"/>
    <w:multiLevelType w:val="singleLevel"/>
    <w:tmpl w:val="00000024"/>
    <w:lvl w:ilvl="0" w:tentative="0">
      <w:start w:val="1"/>
      <w:numFmt w:val="decimalEnclosedCircleChinese"/>
      <w:suff w:val="nothing"/>
      <w:lvlText w:val="%1　"/>
      <w:lvlJc w:val="left"/>
      <w:pPr>
        <w:ind w:left="0" w:firstLine="400"/>
      </w:pPr>
      <w:rPr>
        <w:rFonts w:hint="eastAsia"/>
      </w:rPr>
    </w:lvl>
  </w:abstractNum>
  <w:abstractNum w:abstractNumId="11">
    <w:nsid w:val="06CA521B"/>
    <w:multiLevelType w:val="singleLevel"/>
    <w:tmpl w:val="06CA521B"/>
    <w:lvl w:ilvl="0" w:tentative="0">
      <w:start w:val="1"/>
      <w:numFmt w:val="decimal"/>
      <w:suff w:val="nothing"/>
      <w:lvlText w:val="%1．"/>
      <w:lvlJc w:val="left"/>
      <w:pPr>
        <w:ind w:left="0" w:firstLine="400"/>
      </w:pPr>
      <w:rPr>
        <w:rFonts w:hint="default"/>
      </w:rPr>
    </w:lvl>
  </w:abstractNum>
  <w:abstractNum w:abstractNumId="12">
    <w:nsid w:val="4765C4FC"/>
    <w:multiLevelType w:val="singleLevel"/>
    <w:tmpl w:val="4765C4FC"/>
    <w:lvl w:ilvl="0" w:tentative="0">
      <w:start w:val="1"/>
      <w:numFmt w:val="decimal"/>
      <w:suff w:val="nothing"/>
      <w:lvlText w:val="%1．"/>
      <w:lvlJc w:val="left"/>
      <w:pPr>
        <w:ind w:left="0" w:firstLine="400"/>
      </w:pPr>
      <w:rPr>
        <w:rFonts w:hint="default"/>
      </w:rPr>
    </w:lvl>
  </w:abstractNum>
  <w:abstractNum w:abstractNumId="13">
    <w:nsid w:val="48E61766"/>
    <w:multiLevelType w:val="singleLevel"/>
    <w:tmpl w:val="48E61766"/>
    <w:lvl w:ilvl="0" w:tentative="0">
      <w:start w:val="1"/>
      <w:numFmt w:val="decimal"/>
      <w:lvlText w:val="(%1)"/>
      <w:lvlJc w:val="left"/>
      <w:pPr>
        <w:tabs>
          <w:tab w:val="left" w:pos="397"/>
        </w:tabs>
        <w:ind w:left="454" w:hanging="454"/>
      </w:pPr>
      <w:rPr>
        <w:rFonts w:hint="default"/>
      </w:rPr>
    </w:lvl>
  </w:abstractNum>
  <w:abstractNum w:abstractNumId="14">
    <w:nsid w:val="4DAE7285"/>
    <w:multiLevelType w:val="singleLevel"/>
    <w:tmpl w:val="4DAE7285"/>
    <w:lvl w:ilvl="0" w:tentative="0">
      <w:start w:val="1"/>
      <w:numFmt w:val="decimal"/>
      <w:lvlText w:val="(%1)"/>
      <w:lvlJc w:val="left"/>
      <w:pPr>
        <w:tabs>
          <w:tab w:val="left" w:pos="397"/>
        </w:tabs>
        <w:ind w:left="454" w:hanging="454"/>
      </w:pPr>
      <w:rPr>
        <w:rFonts w:hint="default"/>
      </w:rPr>
    </w:lvl>
  </w:abstractNum>
  <w:abstractNum w:abstractNumId="15">
    <w:nsid w:val="545B0B64"/>
    <w:multiLevelType w:val="singleLevel"/>
    <w:tmpl w:val="545B0B64"/>
    <w:lvl w:ilvl="0" w:tentative="0">
      <w:start w:val="1"/>
      <w:numFmt w:val="decimalEnclosedCircleChinese"/>
      <w:suff w:val="nothing"/>
      <w:lvlText w:val="%1　"/>
      <w:lvlJc w:val="left"/>
      <w:pPr>
        <w:ind w:left="0" w:firstLine="400"/>
      </w:pPr>
      <w:rPr>
        <w:rFonts w:hint="eastAsia"/>
      </w:rPr>
    </w:lvl>
  </w:abstractNum>
  <w:abstractNum w:abstractNumId="16">
    <w:nsid w:val="5AD340B2"/>
    <w:multiLevelType w:val="singleLevel"/>
    <w:tmpl w:val="5AD340B2"/>
    <w:lvl w:ilvl="0" w:tentative="0">
      <w:start w:val="1"/>
      <w:numFmt w:val="decimalEnclosedCircleChinese"/>
      <w:suff w:val="nothing"/>
      <w:lvlText w:val="%1　"/>
      <w:lvlJc w:val="left"/>
      <w:pPr>
        <w:ind w:left="0" w:firstLine="400"/>
      </w:pPr>
      <w:rPr>
        <w:rFonts w:hint="eastAsia"/>
      </w:rPr>
    </w:lvl>
  </w:abstractNum>
  <w:abstractNum w:abstractNumId="17">
    <w:nsid w:val="6148EDFF"/>
    <w:multiLevelType w:val="singleLevel"/>
    <w:tmpl w:val="6148EDFF"/>
    <w:lvl w:ilvl="0" w:tentative="0">
      <w:start w:val="1"/>
      <w:numFmt w:val="decimalEnclosedCircleChinese"/>
      <w:suff w:val="nothing"/>
      <w:lvlText w:val="%1　"/>
      <w:lvlJc w:val="left"/>
      <w:pPr>
        <w:ind w:left="0" w:firstLine="400"/>
      </w:pPr>
      <w:rPr>
        <w:rFonts w:hint="eastAsia"/>
      </w:rPr>
    </w:lvl>
  </w:abstractNum>
  <w:abstractNum w:abstractNumId="18">
    <w:nsid w:val="6445E6DC"/>
    <w:multiLevelType w:val="singleLevel"/>
    <w:tmpl w:val="6445E6DC"/>
    <w:lvl w:ilvl="0" w:tentative="0">
      <w:start w:val="4"/>
      <w:numFmt w:val="decimal"/>
      <w:suff w:val="nothing"/>
      <w:lvlText w:val="%1."/>
      <w:lvlJc w:val="left"/>
    </w:lvl>
  </w:abstractNum>
  <w:abstractNum w:abstractNumId="19">
    <w:nsid w:val="6462F922"/>
    <w:multiLevelType w:val="singleLevel"/>
    <w:tmpl w:val="6462F922"/>
    <w:lvl w:ilvl="0" w:tentative="0">
      <w:start w:val="1"/>
      <w:numFmt w:val="decimal"/>
      <w:suff w:val="nothing"/>
      <w:lvlText w:val="%1．"/>
      <w:lvlJc w:val="left"/>
      <w:pPr>
        <w:ind w:left="0" w:leftChars="0" w:firstLine="400" w:firstLineChars="0"/>
      </w:pPr>
      <w:rPr>
        <w:rFonts w:hint="default"/>
      </w:rPr>
    </w:lvl>
  </w:abstractNum>
  <w:abstractNum w:abstractNumId="20">
    <w:nsid w:val="650276BC"/>
    <w:multiLevelType w:val="singleLevel"/>
    <w:tmpl w:val="650276BC"/>
    <w:lvl w:ilvl="0" w:tentative="0">
      <w:start w:val="1"/>
      <w:numFmt w:val="decimalEnclosedCircleChinese"/>
      <w:suff w:val="nothing"/>
      <w:lvlText w:val="%1　"/>
      <w:lvlJc w:val="left"/>
      <w:pPr>
        <w:ind w:left="0" w:firstLine="400"/>
      </w:pPr>
      <w:rPr>
        <w:rFonts w:hint="eastAsia"/>
      </w:rPr>
    </w:lvl>
  </w:abstractNum>
  <w:abstractNum w:abstractNumId="21">
    <w:nsid w:val="6502789B"/>
    <w:multiLevelType w:val="singleLevel"/>
    <w:tmpl w:val="6502789B"/>
    <w:lvl w:ilvl="0" w:tentative="0">
      <w:start w:val="1"/>
      <w:numFmt w:val="decimal"/>
      <w:suff w:val="nothing"/>
      <w:lvlText w:val="%1．"/>
      <w:lvlJc w:val="left"/>
      <w:pPr>
        <w:ind w:left="0" w:firstLine="400"/>
      </w:pPr>
      <w:rPr>
        <w:rFonts w:hint="default"/>
      </w:rPr>
    </w:lvl>
  </w:abstractNum>
  <w:abstractNum w:abstractNumId="22">
    <w:nsid w:val="6502A3EB"/>
    <w:multiLevelType w:val="singleLevel"/>
    <w:tmpl w:val="6502A3EB"/>
    <w:lvl w:ilvl="0" w:tentative="0">
      <w:start w:val="1"/>
      <w:numFmt w:val="decimal"/>
      <w:suff w:val="nothing"/>
      <w:lvlText w:val="%1．"/>
      <w:lvlJc w:val="left"/>
      <w:pPr>
        <w:ind w:left="0" w:firstLine="400"/>
      </w:pPr>
      <w:rPr>
        <w:rFonts w:hint="default"/>
      </w:rPr>
    </w:lvl>
  </w:abstractNum>
  <w:abstractNum w:abstractNumId="23">
    <w:nsid w:val="6502B651"/>
    <w:multiLevelType w:val="singleLevel"/>
    <w:tmpl w:val="6502B651"/>
    <w:lvl w:ilvl="0" w:tentative="0">
      <w:start w:val="1"/>
      <w:numFmt w:val="decimal"/>
      <w:suff w:val="nothing"/>
      <w:lvlText w:val="%1．"/>
      <w:lvlJc w:val="left"/>
      <w:pPr>
        <w:ind w:left="0" w:firstLine="400"/>
      </w:pPr>
      <w:rPr>
        <w:rFonts w:hint="default"/>
      </w:rPr>
    </w:lvl>
  </w:abstractNum>
  <w:abstractNum w:abstractNumId="24">
    <w:nsid w:val="6503C795"/>
    <w:multiLevelType w:val="singleLevel"/>
    <w:tmpl w:val="6503C795"/>
    <w:lvl w:ilvl="0" w:tentative="0">
      <w:start w:val="1"/>
      <w:numFmt w:val="chineseCounting"/>
      <w:suff w:val="nothing"/>
      <w:lvlText w:val="（%1）"/>
      <w:lvlJc w:val="left"/>
      <w:pPr>
        <w:ind w:left="0" w:firstLine="420"/>
      </w:pPr>
      <w:rPr>
        <w:rFonts w:hint="eastAsia"/>
      </w:rPr>
    </w:lvl>
  </w:abstractNum>
  <w:abstractNum w:abstractNumId="25">
    <w:nsid w:val="6503C7EE"/>
    <w:multiLevelType w:val="singleLevel"/>
    <w:tmpl w:val="6503C7EE"/>
    <w:lvl w:ilvl="0" w:tentative="0">
      <w:start w:val="1"/>
      <w:numFmt w:val="decimal"/>
      <w:suff w:val="nothing"/>
      <w:lvlText w:val="%1．"/>
      <w:lvlJc w:val="left"/>
      <w:pPr>
        <w:ind w:left="0" w:firstLine="400"/>
      </w:pPr>
      <w:rPr>
        <w:rFonts w:hint="default"/>
      </w:rPr>
    </w:lvl>
  </w:abstractNum>
  <w:abstractNum w:abstractNumId="26">
    <w:nsid w:val="6503FA08"/>
    <w:multiLevelType w:val="singleLevel"/>
    <w:tmpl w:val="6503FA08"/>
    <w:lvl w:ilvl="0" w:tentative="0">
      <w:start w:val="1"/>
      <w:numFmt w:val="decimal"/>
      <w:suff w:val="nothing"/>
      <w:lvlText w:val="%1．"/>
      <w:lvlJc w:val="left"/>
      <w:pPr>
        <w:ind w:left="0" w:firstLine="400"/>
      </w:pPr>
      <w:rPr>
        <w:rFonts w:hint="default"/>
      </w:rPr>
    </w:lvl>
  </w:abstractNum>
  <w:abstractNum w:abstractNumId="27">
    <w:nsid w:val="6503FA2B"/>
    <w:multiLevelType w:val="singleLevel"/>
    <w:tmpl w:val="6503FA2B"/>
    <w:lvl w:ilvl="0" w:tentative="0">
      <w:start w:val="1"/>
      <w:numFmt w:val="decimal"/>
      <w:suff w:val="nothing"/>
      <w:lvlText w:val="%1．"/>
      <w:lvlJc w:val="left"/>
      <w:pPr>
        <w:ind w:left="0" w:firstLine="400"/>
      </w:pPr>
      <w:rPr>
        <w:rFonts w:hint="default"/>
      </w:rPr>
    </w:lvl>
  </w:abstractNum>
  <w:abstractNum w:abstractNumId="28">
    <w:nsid w:val="6503FAEA"/>
    <w:multiLevelType w:val="singleLevel"/>
    <w:tmpl w:val="6503FAEA"/>
    <w:lvl w:ilvl="0" w:tentative="0">
      <w:start w:val="1"/>
      <w:numFmt w:val="decimal"/>
      <w:suff w:val="nothing"/>
      <w:lvlText w:val="%1．"/>
      <w:lvlJc w:val="left"/>
      <w:pPr>
        <w:ind w:left="0" w:firstLine="400"/>
      </w:pPr>
      <w:rPr>
        <w:rFonts w:hint="default"/>
      </w:rPr>
    </w:lvl>
  </w:abstractNum>
  <w:abstractNum w:abstractNumId="29">
    <w:nsid w:val="6503FB4F"/>
    <w:multiLevelType w:val="singleLevel"/>
    <w:tmpl w:val="6503FB4F"/>
    <w:lvl w:ilvl="0" w:tentative="0">
      <w:start w:val="1"/>
      <w:numFmt w:val="decimal"/>
      <w:suff w:val="nothing"/>
      <w:lvlText w:val="%1．"/>
      <w:lvlJc w:val="left"/>
      <w:pPr>
        <w:ind w:left="0" w:firstLine="400"/>
      </w:pPr>
      <w:rPr>
        <w:rFonts w:hint="default"/>
      </w:rPr>
    </w:lvl>
  </w:abstractNum>
  <w:abstractNum w:abstractNumId="30">
    <w:nsid w:val="65040292"/>
    <w:multiLevelType w:val="singleLevel"/>
    <w:tmpl w:val="65040292"/>
    <w:lvl w:ilvl="0" w:tentative="0">
      <w:start w:val="1"/>
      <w:numFmt w:val="decimal"/>
      <w:suff w:val="nothing"/>
      <w:lvlText w:val="%1．"/>
      <w:lvlJc w:val="left"/>
      <w:pPr>
        <w:ind w:left="0" w:firstLine="400"/>
      </w:pPr>
      <w:rPr>
        <w:rFonts w:hint="default"/>
      </w:rPr>
    </w:lvl>
  </w:abstractNum>
  <w:abstractNum w:abstractNumId="31">
    <w:nsid w:val="650402AB"/>
    <w:multiLevelType w:val="singleLevel"/>
    <w:tmpl w:val="650402AB"/>
    <w:lvl w:ilvl="0" w:tentative="0">
      <w:start w:val="1"/>
      <w:numFmt w:val="decimal"/>
      <w:suff w:val="nothing"/>
      <w:lvlText w:val="%1．"/>
      <w:lvlJc w:val="left"/>
      <w:pPr>
        <w:ind w:left="0" w:firstLine="400"/>
      </w:pPr>
      <w:rPr>
        <w:rFonts w:hint="default"/>
      </w:rPr>
    </w:lvl>
  </w:abstractNum>
  <w:abstractNum w:abstractNumId="32">
    <w:nsid w:val="6524ECB5"/>
    <w:multiLevelType w:val="singleLevel"/>
    <w:tmpl w:val="6524ECB5"/>
    <w:lvl w:ilvl="0" w:tentative="0">
      <w:start w:val="1"/>
      <w:numFmt w:val="chineseCounting"/>
      <w:suff w:val="nothing"/>
      <w:lvlText w:val="%1、"/>
      <w:lvlJc w:val="left"/>
      <w:pPr>
        <w:ind w:left="-210" w:firstLine="420"/>
      </w:pPr>
      <w:rPr>
        <w:rFonts w:hint="eastAsia"/>
      </w:rPr>
    </w:lvl>
  </w:abstractNum>
  <w:abstractNum w:abstractNumId="33">
    <w:nsid w:val="6524EDFB"/>
    <w:multiLevelType w:val="singleLevel"/>
    <w:tmpl w:val="6524EDFB"/>
    <w:lvl w:ilvl="0" w:tentative="0">
      <w:start w:val="1"/>
      <w:numFmt w:val="chineseCounting"/>
      <w:suff w:val="nothing"/>
      <w:lvlText w:val="（%1）"/>
      <w:lvlJc w:val="left"/>
      <w:pPr>
        <w:ind w:left="0" w:firstLine="420"/>
      </w:pPr>
      <w:rPr>
        <w:rFonts w:hint="eastAsia"/>
      </w:rPr>
    </w:lvl>
  </w:abstractNum>
  <w:abstractNum w:abstractNumId="34">
    <w:nsid w:val="6524EE33"/>
    <w:multiLevelType w:val="singleLevel"/>
    <w:tmpl w:val="6524EE33"/>
    <w:lvl w:ilvl="0" w:tentative="0">
      <w:start w:val="1"/>
      <w:numFmt w:val="decimal"/>
      <w:suff w:val="nothing"/>
      <w:lvlText w:val="%1．"/>
      <w:lvlJc w:val="left"/>
      <w:pPr>
        <w:ind w:left="0" w:firstLine="400"/>
      </w:pPr>
      <w:rPr>
        <w:rFonts w:hint="default"/>
      </w:rPr>
    </w:lvl>
  </w:abstractNum>
  <w:abstractNum w:abstractNumId="35">
    <w:nsid w:val="6524F034"/>
    <w:multiLevelType w:val="singleLevel"/>
    <w:tmpl w:val="6524F034"/>
    <w:lvl w:ilvl="0" w:tentative="0">
      <w:start w:val="1"/>
      <w:numFmt w:val="decimalEnclosedCircleChinese"/>
      <w:suff w:val="nothing"/>
      <w:lvlText w:val="%1　"/>
      <w:lvlJc w:val="left"/>
      <w:pPr>
        <w:ind w:left="0" w:firstLine="400"/>
      </w:pPr>
      <w:rPr>
        <w:rFonts w:hint="eastAsia"/>
      </w:rPr>
    </w:lvl>
  </w:abstractNum>
  <w:abstractNum w:abstractNumId="36">
    <w:nsid w:val="6524F21A"/>
    <w:multiLevelType w:val="singleLevel"/>
    <w:tmpl w:val="6524F21A"/>
    <w:lvl w:ilvl="0" w:tentative="0">
      <w:start w:val="1"/>
      <w:numFmt w:val="decimalEnclosedCircleChinese"/>
      <w:suff w:val="nothing"/>
      <w:lvlText w:val="%1　"/>
      <w:lvlJc w:val="left"/>
      <w:pPr>
        <w:ind w:left="0" w:firstLine="400"/>
      </w:pPr>
      <w:rPr>
        <w:rFonts w:hint="eastAsia"/>
      </w:rPr>
    </w:lvl>
  </w:abstractNum>
  <w:abstractNum w:abstractNumId="37">
    <w:nsid w:val="6524F26B"/>
    <w:multiLevelType w:val="singleLevel"/>
    <w:tmpl w:val="6524F26B"/>
    <w:lvl w:ilvl="0" w:tentative="0">
      <w:start w:val="1"/>
      <w:numFmt w:val="decimalEnclosedCircleChinese"/>
      <w:suff w:val="nothing"/>
      <w:lvlText w:val="%1　"/>
      <w:lvlJc w:val="left"/>
      <w:pPr>
        <w:ind w:left="0" w:firstLine="400"/>
      </w:pPr>
      <w:rPr>
        <w:rFonts w:hint="eastAsia"/>
      </w:rPr>
    </w:lvl>
  </w:abstractNum>
  <w:abstractNum w:abstractNumId="38">
    <w:nsid w:val="6524F2AF"/>
    <w:multiLevelType w:val="singleLevel"/>
    <w:tmpl w:val="6524F2AF"/>
    <w:lvl w:ilvl="0" w:tentative="0">
      <w:start w:val="1"/>
      <w:numFmt w:val="decimalEnclosedCircleChinese"/>
      <w:suff w:val="nothing"/>
      <w:lvlText w:val="%1　"/>
      <w:lvlJc w:val="left"/>
      <w:pPr>
        <w:ind w:left="0" w:firstLine="400"/>
      </w:pPr>
      <w:rPr>
        <w:rFonts w:hint="eastAsia"/>
      </w:rPr>
    </w:lvl>
  </w:abstractNum>
  <w:abstractNum w:abstractNumId="39">
    <w:nsid w:val="6524F2E0"/>
    <w:multiLevelType w:val="singleLevel"/>
    <w:tmpl w:val="6524F2E0"/>
    <w:lvl w:ilvl="0" w:tentative="0">
      <w:start w:val="1"/>
      <w:numFmt w:val="decimalEnclosedCircleChinese"/>
      <w:suff w:val="nothing"/>
      <w:lvlText w:val="%1　"/>
      <w:lvlJc w:val="left"/>
      <w:pPr>
        <w:ind w:left="0" w:firstLine="400"/>
      </w:pPr>
      <w:rPr>
        <w:rFonts w:hint="eastAsia"/>
      </w:rPr>
    </w:lvl>
  </w:abstractNum>
  <w:abstractNum w:abstractNumId="40">
    <w:nsid w:val="6524F31A"/>
    <w:multiLevelType w:val="singleLevel"/>
    <w:tmpl w:val="6524F31A"/>
    <w:lvl w:ilvl="0" w:tentative="0">
      <w:start w:val="1"/>
      <w:numFmt w:val="decimalEnclosedCircleChinese"/>
      <w:suff w:val="nothing"/>
      <w:lvlText w:val="%1　"/>
      <w:lvlJc w:val="left"/>
      <w:pPr>
        <w:ind w:left="0" w:firstLine="400"/>
      </w:pPr>
      <w:rPr>
        <w:rFonts w:hint="eastAsia"/>
      </w:rPr>
    </w:lvl>
  </w:abstractNum>
  <w:abstractNum w:abstractNumId="41">
    <w:nsid w:val="6524F358"/>
    <w:multiLevelType w:val="singleLevel"/>
    <w:tmpl w:val="6524F358"/>
    <w:lvl w:ilvl="0" w:tentative="0">
      <w:start w:val="1"/>
      <w:numFmt w:val="decimalEnclosedCircleChinese"/>
      <w:suff w:val="nothing"/>
      <w:lvlText w:val="%1　"/>
      <w:lvlJc w:val="left"/>
      <w:pPr>
        <w:ind w:left="0" w:firstLine="400"/>
      </w:pPr>
      <w:rPr>
        <w:rFonts w:hint="eastAsia"/>
      </w:rPr>
    </w:lvl>
  </w:abstractNum>
  <w:abstractNum w:abstractNumId="42">
    <w:nsid w:val="6524F44E"/>
    <w:multiLevelType w:val="singleLevel"/>
    <w:tmpl w:val="6524F44E"/>
    <w:lvl w:ilvl="0" w:tentative="0">
      <w:start w:val="1"/>
      <w:numFmt w:val="decimalEnclosedCircleChinese"/>
      <w:suff w:val="nothing"/>
      <w:lvlText w:val="%1　"/>
      <w:lvlJc w:val="left"/>
      <w:pPr>
        <w:ind w:left="0" w:firstLine="400"/>
      </w:pPr>
      <w:rPr>
        <w:rFonts w:hint="eastAsia"/>
      </w:rPr>
    </w:lvl>
  </w:abstractNum>
  <w:abstractNum w:abstractNumId="43">
    <w:nsid w:val="652CEFBF"/>
    <w:multiLevelType w:val="singleLevel"/>
    <w:tmpl w:val="652CEFBF"/>
    <w:lvl w:ilvl="0" w:tentative="0">
      <w:start w:val="1"/>
      <w:numFmt w:val="decimal"/>
      <w:suff w:val="nothing"/>
      <w:lvlText w:val="%1．"/>
      <w:lvlJc w:val="left"/>
      <w:pPr>
        <w:ind w:left="0" w:firstLine="400"/>
      </w:pPr>
      <w:rPr>
        <w:rFonts w:hint="default"/>
      </w:rPr>
    </w:lvl>
  </w:abstractNum>
  <w:abstractNum w:abstractNumId="44">
    <w:nsid w:val="6BB4052D"/>
    <w:multiLevelType w:val="singleLevel"/>
    <w:tmpl w:val="6BB4052D"/>
    <w:lvl w:ilvl="0" w:tentative="0">
      <w:start w:val="1"/>
      <w:numFmt w:val="decimalEnclosedCircleChinese"/>
      <w:suff w:val="nothing"/>
      <w:lvlText w:val="%1　"/>
      <w:lvlJc w:val="left"/>
      <w:pPr>
        <w:ind w:left="0" w:firstLine="400"/>
      </w:pPr>
      <w:rPr>
        <w:rFonts w:hint="eastAsia"/>
      </w:rPr>
    </w:lvl>
  </w:abstractNum>
  <w:abstractNum w:abstractNumId="45">
    <w:nsid w:val="790CFA89"/>
    <w:multiLevelType w:val="singleLevel"/>
    <w:tmpl w:val="790CFA89"/>
    <w:lvl w:ilvl="0" w:tentative="0">
      <w:start w:val="1"/>
      <w:numFmt w:val="decimal"/>
      <w:suff w:val="nothing"/>
      <w:lvlText w:val="%1．"/>
      <w:lvlJc w:val="left"/>
      <w:pPr>
        <w:ind w:left="0" w:firstLine="400"/>
      </w:pPr>
      <w:rPr>
        <w:rFonts w:hint="default"/>
      </w:rPr>
    </w:lvl>
  </w:abstractNum>
  <w:num w:numId="1">
    <w:abstractNumId w:val="18"/>
  </w:num>
  <w:num w:numId="2">
    <w:abstractNumId w:val="32"/>
  </w:num>
  <w:num w:numId="3">
    <w:abstractNumId w:val="4"/>
  </w:num>
  <w:num w:numId="4">
    <w:abstractNumId w:val="1"/>
  </w:num>
  <w:num w:numId="5">
    <w:abstractNumId w:val="7"/>
  </w:num>
  <w:num w:numId="6">
    <w:abstractNumId w:val="14"/>
  </w:num>
  <w:num w:numId="7">
    <w:abstractNumId w:val="11"/>
  </w:num>
  <w:num w:numId="8">
    <w:abstractNumId w:val="8"/>
  </w:num>
  <w:num w:numId="9">
    <w:abstractNumId w:val="5"/>
  </w:num>
  <w:num w:numId="10">
    <w:abstractNumId w:val="20"/>
  </w:num>
  <w:num w:numId="11">
    <w:abstractNumId w:val="44"/>
  </w:num>
  <w:num w:numId="12">
    <w:abstractNumId w:val="6"/>
  </w:num>
  <w:num w:numId="13">
    <w:abstractNumId w:val="3"/>
  </w:num>
  <w:num w:numId="14">
    <w:abstractNumId w:val="13"/>
  </w:num>
  <w:num w:numId="15">
    <w:abstractNumId w:val="45"/>
  </w:num>
  <w:num w:numId="16">
    <w:abstractNumId w:val="9"/>
  </w:num>
  <w:num w:numId="17">
    <w:abstractNumId w:val="23"/>
  </w:num>
  <w:num w:numId="18">
    <w:abstractNumId w:val="21"/>
  </w:num>
  <w:num w:numId="19">
    <w:abstractNumId w:val="22"/>
  </w:num>
  <w:num w:numId="20">
    <w:abstractNumId w:val="24"/>
  </w:num>
  <w:num w:numId="21">
    <w:abstractNumId w:val="25"/>
  </w:num>
  <w:num w:numId="22">
    <w:abstractNumId w:val="33"/>
  </w:num>
  <w:num w:numId="23">
    <w:abstractNumId w:val="30"/>
  </w:num>
  <w:num w:numId="24">
    <w:abstractNumId w:val="31"/>
  </w:num>
  <w:num w:numId="25">
    <w:abstractNumId w:val="34"/>
  </w:num>
  <w:num w:numId="26">
    <w:abstractNumId w:val="2"/>
  </w:num>
  <w:num w:numId="27">
    <w:abstractNumId w:val="26"/>
  </w:num>
  <w:num w:numId="28">
    <w:abstractNumId w:val="27"/>
  </w:num>
  <w:num w:numId="29">
    <w:abstractNumId w:val="17"/>
  </w:num>
  <w:num w:numId="30">
    <w:abstractNumId w:val="16"/>
  </w:num>
  <w:num w:numId="31">
    <w:abstractNumId w:val="0"/>
  </w:num>
  <w:num w:numId="32">
    <w:abstractNumId w:val="28"/>
  </w:num>
  <w:num w:numId="33">
    <w:abstractNumId w:val="43"/>
  </w:num>
  <w:num w:numId="34">
    <w:abstractNumId w:val="29"/>
  </w:num>
  <w:num w:numId="35">
    <w:abstractNumId w:val="12"/>
  </w:num>
  <w:num w:numId="36">
    <w:abstractNumId w:val="35"/>
  </w:num>
  <w:num w:numId="37">
    <w:abstractNumId w:val="36"/>
  </w:num>
  <w:num w:numId="38">
    <w:abstractNumId w:val="37"/>
  </w:num>
  <w:num w:numId="39">
    <w:abstractNumId w:val="15"/>
  </w:num>
  <w:num w:numId="40">
    <w:abstractNumId w:val="38"/>
  </w:num>
  <w:num w:numId="41">
    <w:abstractNumId w:val="10"/>
  </w:num>
  <w:num w:numId="42">
    <w:abstractNumId w:val="39"/>
  </w:num>
  <w:num w:numId="43">
    <w:abstractNumId w:val="40"/>
  </w:num>
  <w:num w:numId="44">
    <w:abstractNumId w:val="41"/>
  </w:num>
  <w:num w:numId="45">
    <w:abstractNumId w:val="4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EwZmNjOGJlZmNkODgzYmVjZDY3OTc4NGU5ZWQ4Nz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0E2F"/>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B19"/>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70C54"/>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20CD2"/>
    <w:rsid w:val="065A6178"/>
    <w:rsid w:val="066F1CF3"/>
    <w:rsid w:val="06930BB8"/>
    <w:rsid w:val="06FD67C2"/>
    <w:rsid w:val="07245D42"/>
    <w:rsid w:val="07264C62"/>
    <w:rsid w:val="0779354C"/>
    <w:rsid w:val="08061376"/>
    <w:rsid w:val="081D509F"/>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8958D8"/>
    <w:rsid w:val="09A92330"/>
    <w:rsid w:val="09B06B87"/>
    <w:rsid w:val="09C13146"/>
    <w:rsid w:val="09E04166"/>
    <w:rsid w:val="0A0B7FDE"/>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76534"/>
    <w:rsid w:val="0F4958DC"/>
    <w:rsid w:val="0F515DF7"/>
    <w:rsid w:val="0F596BA8"/>
    <w:rsid w:val="0F6248D2"/>
    <w:rsid w:val="0F693536"/>
    <w:rsid w:val="0F7B0511"/>
    <w:rsid w:val="0F7B76D9"/>
    <w:rsid w:val="0F816ACD"/>
    <w:rsid w:val="0F9832DB"/>
    <w:rsid w:val="0FBF3FD2"/>
    <w:rsid w:val="0FBF7FF3"/>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530213"/>
    <w:rsid w:val="127723A9"/>
    <w:rsid w:val="12862074"/>
    <w:rsid w:val="12883966"/>
    <w:rsid w:val="129E45B4"/>
    <w:rsid w:val="12D81596"/>
    <w:rsid w:val="13072A44"/>
    <w:rsid w:val="135F4BE2"/>
    <w:rsid w:val="13823448"/>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33280"/>
    <w:rsid w:val="16A8729C"/>
    <w:rsid w:val="16B33777"/>
    <w:rsid w:val="16B952DF"/>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06E9A"/>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2D0251"/>
    <w:rsid w:val="216133FC"/>
    <w:rsid w:val="21D56769"/>
    <w:rsid w:val="21E52EF3"/>
    <w:rsid w:val="21FB5D7B"/>
    <w:rsid w:val="22015E94"/>
    <w:rsid w:val="220B1C3D"/>
    <w:rsid w:val="221D1D20"/>
    <w:rsid w:val="22334A87"/>
    <w:rsid w:val="224A18DE"/>
    <w:rsid w:val="22BE6801"/>
    <w:rsid w:val="233500BF"/>
    <w:rsid w:val="23377FF7"/>
    <w:rsid w:val="236B425F"/>
    <w:rsid w:val="23836192"/>
    <w:rsid w:val="23901F29"/>
    <w:rsid w:val="239C0061"/>
    <w:rsid w:val="23B908A4"/>
    <w:rsid w:val="23E95BEF"/>
    <w:rsid w:val="23FD0064"/>
    <w:rsid w:val="241A5C0D"/>
    <w:rsid w:val="245375B0"/>
    <w:rsid w:val="24642C0A"/>
    <w:rsid w:val="24B22173"/>
    <w:rsid w:val="24B95AD9"/>
    <w:rsid w:val="24BE24DA"/>
    <w:rsid w:val="24CF5825"/>
    <w:rsid w:val="24D663E6"/>
    <w:rsid w:val="24D77F2B"/>
    <w:rsid w:val="256E7E76"/>
    <w:rsid w:val="258B00E2"/>
    <w:rsid w:val="25A917A6"/>
    <w:rsid w:val="25BE27CC"/>
    <w:rsid w:val="25F74A5C"/>
    <w:rsid w:val="26045D17"/>
    <w:rsid w:val="2628662C"/>
    <w:rsid w:val="262D45DE"/>
    <w:rsid w:val="264709A0"/>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53EA9"/>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B3099E"/>
    <w:rsid w:val="30DF1478"/>
    <w:rsid w:val="30EC586F"/>
    <w:rsid w:val="314550B7"/>
    <w:rsid w:val="319C6071"/>
    <w:rsid w:val="31AC537E"/>
    <w:rsid w:val="31B65BE1"/>
    <w:rsid w:val="31E3679B"/>
    <w:rsid w:val="31E732FD"/>
    <w:rsid w:val="32517576"/>
    <w:rsid w:val="32A90320"/>
    <w:rsid w:val="32BE5C2C"/>
    <w:rsid w:val="32C13B45"/>
    <w:rsid w:val="32FB6478"/>
    <w:rsid w:val="33263B3F"/>
    <w:rsid w:val="336963EB"/>
    <w:rsid w:val="33816EEB"/>
    <w:rsid w:val="33EB55CD"/>
    <w:rsid w:val="33EC4C02"/>
    <w:rsid w:val="340D2360"/>
    <w:rsid w:val="3410665D"/>
    <w:rsid w:val="34211214"/>
    <w:rsid w:val="342E63AB"/>
    <w:rsid w:val="34902C15"/>
    <w:rsid w:val="34950E68"/>
    <w:rsid w:val="34986E94"/>
    <w:rsid w:val="34AF62C9"/>
    <w:rsid w:val="34B721CC"/>
    <w:rsid w:val="34CB4388"/>
    <w:rsid w:val="34FA6E12"/>
    <w:rsid w:val="34FC44CA"/>
    <w:rsid w:val="354D7158"/>
    <w:rsid w:val="358D5588"/>
    <w:rsid w:val="363A3B40"/>
    <w:rsid w:val="365302AE"/>
    <w:rsid w:val="36607A0A"/>
    <w:rsid w:val="366E227C"/>
    <w:rsid w:val="366F2E0D"/>
    <w:rsid w:val="367B6A5C"/>
    <w:rsid w:val="36A74ADA"/>
    <w:rsid w:val="36AD60D5"/>
    <w:rsid w:val="36B224F9"/>
    <w:rsid w:val="36EC0CC9"/>
    <w:rsid w:val="37220D9B"/>
    <w:rsid w:val="373F410B"/>
    <w:rsid w:val="379F4F25"/>
    <w:rsid w:val="37EE7094"/>
    <w:rsid w:val="37F343F6"/>
    <w:rsid w:val="38296C89"/>
    <w:rsid w:val="383002EB"/>
    <w:rsid w:val="38586797"/>
    <w:rsid w:val="38735592"/>
    <w:rsid w:val="38BC0149"/>
    <w:rsid w:val="38D87D1C"/>
    <w:rsid w:val="395E503B"/>
    <w:rsid w:val="39636459"/>
    <w:rsid w:val="396B7F6C"/>
    <w:rsid w:val="39B417A9"/>
    <w:rsid w:val="39FC5695"/>
    <w:rsid w:val="3A006D8E"/>
    <w:rsid w:val="3A3651E5"/>
    <w:rsid w:val="3A560D13"/>
    <w:rsid w:val="3A744481"/>
    <w:rsid w:val="3A8C7BEF"/>
    <w:rsid w:val="3A906246"/>
    <w:rsid w:val="3B0A01F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587802"/>
    <w:rsid w:val="3D8734BB"/>
    <w:rsid w:val="3D9A11D4"/>
    <w:rsid w:val="3DA16D89"/>
    <w:rsid w:val="3DA364BE"/>
    <w:rsid w:val="3DE041CB"/>
    <w:rsid w:val="3E0D48F6"/>
    <w:rsid w:val="3E1868B4"/>
    <w:rsid w:val="3E242D0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B3515"/>
    <w:rsid w:val="44CB6087"/>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27233B"/>
    <w:rsid w:val="495F5B3E"/>
    <w:rsid w:val="496F77D7"/>
    <w:rsid w:val="497654FD"/>
    <w:rsid w:val="49B64211"/>
    <w:rsid w:val="49E56AF9"/>
    <w:rsid w:val="49F6167F"/>
    <w:rsid w:val="4A064FA0"/>
    <w:rsid w:val="4A16615C"/>
    <w:rsid w:val="4A4424D7"/>
    <w:rsid w:val="4A822D84"/>
    <w:rsid w:val="4A950CE7"/>
    <w:rsid w:val="4AB82D0F"/>
    <w:rsid w:val="4AEB7664"/>
    <w:rsid w:val="4AFD7C19"/>
    <w:rsid w:val="4B0567D1"/>
    <w:rsid w:val="4B236AAE"/>
    <w:rsid w:val="4B707271"/>
    <w:rsid w:val="4B9739F7"/>
    <w:rsid w:val="4BEE2503"/>
    <w:rsid w:val="4C245A30"/>
    <w:rsid w:val="4C532A11"/>
    <w:rsid w:val="4C547818"/>
    <w:rsid w:val="4CB6685F"/>
    <w:rsid w:val="4CC367FE"/>
    <w:rsid w:val="4D077F3C"/>
    <w:rsid w:val="4D123355"/>
    <w:rsid w:val="4D2A3B31"/>
    <w:rsid w:val="4D312C52"/>
    <w:rsid w:val="4D905305"/>
    <w:rsid w:val="4D964A72"/>
    <w:rsid w:val="4D9C1254"/>
    <w:rsid w:val="4DC907A5"/>
    <w:rsid w:val="4E1C7B69"/>
    <w:rsid w:val="4E793892"/>
    <w:rsid w:val="4E800872"/>
    <w:rsid w:val="4EC569ED"/>
    <w:rsid w:val="4ED50EA1"/>
    <w:rsid w:val="4EEC050C"/>
    <w:rsid w:val="4F104EC3"/>
    <w:rsid w:val="4F47354A"/>
    <w:rsid w:val="4F911C54"/>
    <w:rsid w:val="4FA8627A"/>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D5CBF"/>
    <w:rsid w:val="53544462"/>
    <w:rsid w:val="5397158E"/>
    <w:rsid w:val="54013861"/>
    <w:rsid w:val="54487265"/>
    <w:rsid w:val="544D6070"/>
    <w:rsid w:val="54605E1E"/>
    <w:rsid w:val="54AA3F62"/>
    <w:rsid w:val="54B3506A"/>
    <w:rsid w:val="54CA0D16"/>
    <w:rsid w:val="54DD4057"/>
    <w:rsid w:val="54E7490F"/>
    <w:rsid w:val="550764A4"/>
    <w:rsid w:val="550B2BF6"/>
    <w:rsid w:val="55214EB5"/>
    <w:rsid w:val="55364EFD"/>
    <w:rsid w:val="555D4828"/>
    <w:rsid w:val="55696804"/>
    <w:rsid w:val="557A4C8B"/>
    <w:rsid w:val="558931E1"/>
    <w:rsid w:val="55923347"/>
    <w:rsid w:val="55925180"/>
    <w:rsid w:val="55983B1B"/>
    <w:rsid w:val="55A8376B"/>
    <w:rsid w:val="55DC29B6"/>
    <w:rsid w:val="55DD4241"/>
    <w:rsid w:val="563C36B1"/>
    <w:rsid w:val="5655314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05EE8"/>
    <w:rsid w:val="58917D2F"/>
    <w:rsid w:val="5894085C"/>
    <w:rsid w:val="58AE4F0C"/>
    <w:rsid w:val="58B85899"/>
    <w:rsid w:val="58E363A9"/>
    <w:rsid w:val="58F81ED0"/>
    <w:rsid w:val="592A522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A70AB"/>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02F06"/>
    <w:rsid w:val="5EFC7377"/>
    <w:rsid w:val="5F06174D"/>
    <w:rsid w:val="5F3A3602"/>
    <w:rsid w:val="5F45733B"/>
    <w:rsid w:val="5F6277C6"/>
    <w:rsid w:val="5F6D0B1D"/>
    <w:rsid w:val="5F8D0B82"/>
    <w:rsid w:val="5FCC5339"/>
    <w:rsid w:val="5FE34A5B"/>
    <w:rsid w:val="5FFE1E36"/>
    <w:rsid w:val="6020658B"/>
    <w:rsid w:val="60232584"/>
    <w:rsid w:val="607330CE"/>
    <w:rsid w:val="60825176"/>
    <w:rsid w:val="608A0527"/>
    <w:rsid w:val="609F2AC4"/>
    <w:rsid w:val="60C76322"/>
    <w:rsid w:val="60FA2EE8"/>
    <w:rsid w:val="61054A27"/>
    <w:rsid w:val="610A52BC"/>
    <w:rsid w:val="611D2366"/>
    <w:rsid w:val="61421856"/>
    <w:rsid w:val="615227C4"/>
    <w:rsid w:val="61654E3F"/>
    <w:rsid w:val="6182292A"/>
    <w:rsid w:val="619F7F92"/>
    <w:rsid w:val="61F2288D"/>
    <w:rsid w:val="61F94C26"/>
    <w:rsid w:val="62000E56"/>
    <w:rsid w:val="623138F2"/>
    <w:rsid w:val="624F3E49"/>
    <w:rsid w:val="62632286"/>
    <w:rsid w:val="62885958"/>
    <w:rsid w:val="62F40B65"/>
    <w:rsid w:val="62FC2CFE"/>
    <w:rsid w:val="63024505"/>
    <w:rsid w:val="635600A5"/>
    <w:rsid w:val="635B1DB5"/>
    <w:rsid w:val="6360276E"/>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2A0A98"/>
    <w:rsid w:val="68551F4F"/>
    <w:rsid w:val="687C10C9"/>
    <w:rsid w:val="68840C16"/>
    <w:rsid w:val="68872541"/>
    <w:rsid w:val="68876EFB"/>
    <w:rsid w:val="68884654"/>
    <w:rsid w:val="689F444F"/>
    <w:rsid w:val="68B96DBB"/>
    <w:rsid w:val="68C9012B"/>
    <w:rsid w:val="68CA2805"/>
    <w:rsid w:val="68E937A3"/>
    <w:rsid w:val="691664E5"/>
    <w:rsid w:val="693E15D3"/>
    <w:rsid w:val="69627681"/>
    <w:rsid w:val="6977531D"/>
    <w:rsid w:val="69BE6C57"/>
    <w:rsid w:val="69CC2BFF"/>
    <w:rsid w:val="69FD55B8"/>
    <w:rsid w:val="6A0B1C62"/>
    <w:rsid w:val="6A2406C8"/>
    <w:rsid w:val="6A5232C8"/>
    <w:rsid w:val="6ADE0BD1"/>
    <w:rsid w:val="6AE96859"/>
    <w:rsid w:val="6B147746"/>
    <w:rsid w:val="6B24787C"/>
    <w:rsid w:val="6B2976F6"/>
    <w:rsid w:val="6B573233"/>
    <w:rsid w:val="6B5B6274"/>
    <w:rsid w:val="6B935D53"/>
    <w:rsid w:val="6C196F71"/>
    <w:rsid w:val="6C226FCB"/>
    <w:rsid w:val="6C31226F"/>
    <w:rsid w:val="6C552F0B"/>
    <w:rsid w:val="6C8C67B7"/>
    <w:rsid w:val="6C9D744C"/>
    <w:rsid w:val="6CA57F84"/>
    <w:rsid w:val="6D167928"/>
    <w:rsid w:val="6D26299B"/>
    <w:rsid w:val="6D4772EC"/>
    <w:rsid w:val="6D9078AF"/>
    <w:rsid w:val="6DAA3FEF"/>
    <w:rsid w:val="6DC0172B"/>
    <w:rsid w:val="6DCB690C"/>
    <w:rsid w:val="6DD41A5B"/>
    <w:rsid w:val="6DEC6878"/>
    <w:rsid w:val="6DF43C2E"/>
    <w:rsid w:val="6DF51CA3"/>
    <w:rsid w:val="6E065FF3"/>
    <w:rsid w:val="6E8335BD"/>
    <w:rsid w:val="6E8E12EF"/>
    <w:rsid w:val="6E972936"/>
    <w:rsid w:val="6ED446C5"/>
    <w:rsid w:val="6F1B13C7"/>
    <w:rsid w:val="6F2A7D94"/>
    <w:rsid w:val="6F8331F1"/>
    <w:rsid w:val="6FAE1A09"/>
    <w:rsid w:val="6FD75BF8"/>
    <w:rsid w:val="707723D0"/>
    <w:rsid w:val="70F5661B"/>
    <w:rsid w:val="71360107"/>
    <w:rsid w:val="713B688E"/>
    <w:rsid w:val="719576A0"/>
    <w:rsid w:val="71D43752"/>
    <w:rsid w:val="71F1796A"/>
    <w:rsid w:val="72154626"/>
    <w:rsid w:val="72262B5D"/>
    <w:rsid w:val="72283FF7"/>
    <w:rsid w:val="722E7212"/>
    <w:rsid w:val="723A0474"/>
    <w:rsid w:val="725923E4"/>
    <w:rsid w:val="72864BF7"/>
    <w:rsid w:val="729023FC"/>
    <w:rsid w:val="72B53EAA"/>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97B4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7104E3"/>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1"/>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99"/>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4"/>
    <customShpInfo spid="_x0000_s2053"/>
    <customShpInfo spid="_x0000_s2051"/>
    <customShpInfo spid="_x0000_s1032"/>
    <customShpInfo spid="_x0000_s1033"/>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高乐怡</cp:lastModifiedBy>
  <cp:lastPrinted>2024-03-20T07:41:00Z</cp:lastPrinted>
  <dcterms:modified xsi:type="dcterms:W3CDTF">2024-03-21T02:12:04Z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