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新永乐综合楼物业管理服务采购项目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：HZYHZFCG-2024-017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杭州市余杭区机关事务服务中心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pacing w:line="360" w:lineRule="auto"/>
        <w:jc w:val="center"/>
        <w:rPr>
          <w:rFonts w:ascii="宋体" w:hAnsi="宋体" w:cs="宋体"/>
          <w:color w:val="auto"/>
          <w:sz w:val="24"/>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一</w:t>
      </w:r>
      <w:r>
        <w:rPr>
          <w:rFonts w:hint="eastAsia" w:ascii="宋体" w:hAnsi="宋体" w:cs="宋体"/>
          <w:bCs/>
          <w:color w:val="auto"/>
          <w:sz w:val="32"/>
          <w:szCs w:val="32"/>
          <w:highlight w:val="none"/>
        </w:rPr>
        <w:t>月</w:t>
      </w: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新永乐综合楼物业管理服务采购项目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eastAsia="宋体" w:cs="宋体"/>
          <w:b/>
          <w:bCs/>
          <w:color w:val="auto"/>
          <w:kern w:val="2"/>
          <w:sz w:val="24"/>
          <w:szCs w:val="24"/>
          <w:highlight w:val="none"/>
          <w:u w:val="single" w:color="auto"/>
        </w:rPr>
        <w:t>202</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2</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20</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14</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HZYHZFCG-2024-017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新永乐综合楼物业管理服务采购项目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Cs/>
          <w:color w:val="auto"/>
          <w:sz w:val="24"/>
          <w:szCs w:val="20"/>
          <w:highlight w:val="none"/>
        </w:rPr>
        <w:t>780</w:t>
      </w:r>
      <w:r>
        <w:rPr>
          <w:rFonts w:hint="eastAsia" w:ascii="宋体" w:hAnsi="宋体" w:cs="宋体"/>
          <w:bCs/>
          <w:color w:val="auto"/>
          <w:sz w:val="24"/>
          <w:szCs w:val="20"/>
          <w:highlight w:val="none"/>
          <w:lang w:val="en-US" w:eastAsia="zh-CN"/>
        </w:rPr>
        <w:t>0000</w:t>
      </w:r>
      <w:r>
        <w:rPr>
          <w:rFonts w:ascii="宋体" w:hAnsi="宋体" w:cs="宋体"/>
          <w:color w:val="auto"/>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w:t>
      </w:r>
      <w:r>
        <w:rPr>
          <w:rFonts w:hint="eastAsia" w:ascii="宋体" w:hAnsi="宋体" w:eastAsia="宋体"/>
          <w:color w:val="auto"/>
          <w:kern w:val="2"/>
          <w:sz w:val="24"/>
          <w:szCs w:val="24"/>
          <w:highlight w:val="none"/>
        </w:rPr>
        <w:t>清洁保洁、安保消控管理、绿化养护、工程设备维护、会务服务、应急管理以及采购单位交办的其他工作。具体以招标文件第三部分采购需求为准，供应商可点击本公告下方“浏览采购文件”查看采购需求。</w:t>
      </w:r>
    </w:p>
    <w:p>
      <w:pPr>
        <w:pStyle w:val="8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rPr>
        <w:t>服务期为36个月，合同一年一签</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w:char="0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numPr>
          <w:ilvl w:val="0"/>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2</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20</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2</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20</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2</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20</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名称：</w:t>
      </w: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地址：杭州市余杭区文一西路1500号9号楼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项目联系人（询问）：童晓琦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项目联系方式（询问）：0571-89516734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质疑联系人：鲁敏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质疑联系方式：0571-89516718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杭州市公共资源交易中心余杭分中心</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rPr>
        <w:t xml:space="preserve">高乐怡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陈苏琦</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0571-89395438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i w:val="0"/>
          <w:iCs w:val="0"/>
          <w:caps w:val="0"/>
          <w:color w:val="auto"/>
          <w:spacing w:val="0"/>
          <w:sz w:val="24"/>
          <w:szCs w:val="24"/>
          <w:highlight w:val="none"/>
          <w:shd w:val="clear"/>
        </w:rPr>
        <w:t>杭州市余杭区财政局、浙江省政府采购行政裁决服务中心（杭州）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i w:val="0"/>
          <w:iCs w:val="0"/>
          <w:caps w:val="0"/>
          <w:color w:val="auto"/>
          <w:spacing w:val="0"/>
          <w:sz w:val="24"/>
          <w:szCs w:val="24"/>
          <w:highlight w:val="none"/>
          <w:shd w:val="clear"/>
        </w:rPr>
        <w:t>杭州市上城区四季青街道新业路市民之家G03办公室（快递仅限ems或顺丰）</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传真： </w:t>
      </w:r>
      <w:r>
        <w:rPr>
          <w:rFonts w:hint="eastAsia" w:ascii="宋体" w:hAnsi="宋体" w:cs="宋体"/>
          <w:color w:val="auto"/>
          <w:sz w:val="24"/>
          <w:highlight w:val="none"/>
          <w:lang w:val="en-US"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w:t>
      </w:r>
      <w:r>
        <w:rPr>
          <w:rFonts w:hint="eastAsia" w:ascii="宋体" w:hAnsi="宋体" w:eastAsia="宋体" w:cs="宋体"/>
          <w:i w:val="0"/>
          <w:iCs w:val="0"/>
          <w:caps w:val="0"/>
          <w:color w:val="auto"/>
          <w:spacing w:val="0"/>
          <w:sz w:val="24"/>
          <w:szCs w:val="24"/>
          <w:highlight w:val="none"/>
          <w:shd w:val="clear"/>
        </w:rPr>
        <w:t>朱女士、王女士</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w:t>
      </w:r>
      <w:r>
        <w:rPr>
          <w:rFonts w:hint="eastAsia" w:ascii="宋体" w:hAnsi="宋体" w:eastAsia="宋体" w:cs="宋体"/>
          <w:i w:val="0"/>
          <w:iCs w:val="0"/>
          <w:caps w:val="0"/>
          <w:color w:val="auto"/>
          <w:spacing w:val="0"/>
          <w:sz w:val="24"/>
          <w:szCs w:val="24"/>
          <w:highlight w:val="none"/>
          <w:shd w:val="clear"/>
        </w:rPr>
        <w:t>85252453</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新宋体" w:hAnsi="新宋体" w:eastAsia="新宋体" w:cs="新宋体"/>
                <w:color w:val="auto"/>
                <w:kern w:val="0"/>
                <w:sz w:val="24"/>
                <w:highlight w:val="none"/>
                <w:u w:val="single"/>
              </w:rPr>
              <w:t>物业管理服务</w:t>
            </w:r>
            <w:r>
              <w:rPr>
                <w:rFonts w:hint="eastAsia" w:ascii="宋体" w:hAnsi="宋体" w:cs="宋体"/>
                <w:color w:val="auto"/>
                <w:kern w:val="0"/>
                <w:sz w:val="24"/>
                <w:highlight w:val="none"/>
              </w:rPr>
              <w:t>，属于</w:t>
            </w:r>
            <w:r>
              <w:rPr>
                <w:rFonts w:hint="eastAsia" w:ascii="新宋体" w:hAnsi="新宋体" w:eastAsia="新宋体" w:cs="新宋体"/>
                <w:color w:val="auto"/>
                <w:kern w:val="0"/>
                <w:sz w:val="24"/>
                <w:highlight w:val="none"/>
                <w:u w:val="single"/>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同意将非主体、非关键性的</w:t>
            </w:r>
            <w:r>
              <w:rPr>
                <w:rFonts w:hint="eastAsia" w:ascii="新宋体" w:hAnsi="新宋体" w:eastAsia="新宋体" w:cs="新宋体"/>
                <w:color w:val="auto"/>
                <w:sz w:val="24"/>
                <w:highlight w:val="none"/>
                <w:u w:val="single"/>
              </w:rPr>
              <w:t xml:space="preserve"> 外墙清洗、绿化租摆、电梯维护、消防设施设备维护、空调通风系统维护</w:t>
            </w:r>
            <w:r>
              <w:rPr>
                <w:rFonts w:hint="eastAsia" w:ascii="宋体" w:hAnsi="宋体" w:cs="宋体"/>
                <w:color w:val="auto"/>
                <w:sz w:val="24"/>
                <w:highlight w:val="none"/>
              </w:rPr>
              <w:t>工作分包。</w:t>
            </w: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p>
            <w:pPr>
              <w:snapToGrid w:val="0"/>
              <w:spacing w:line="360" w:lineRule="auto"/>
              <w:rPr>
                <w:rFonts w:ascii="宋体" w:hAnsi="宋体" w:cs="宋体"/>
                <w:b/>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5236011"/>
      <w:bookmarkEnd w:id="16"/>
      <w:bookmarkStart w:id="17" w:name="_Hlt74730295"/>
      <w:bookmarkEnd w:id="17"/>
      <w:bookmarkStart w:id="18" w:name="_Hlt68072998"/>
      <w:bookmarkEnd w:id="18"/>
      <w:bookmarkStart w:id="19" w:name="_Hlt74707468"/>
      <w:bookmarkEnd w:id="19"/>
      <w:bookmarkStart w:id="20" w:name="_Hlt74729768"/>
      <w:bookmarkEnd w:id="20"/>
      <w:bookmarkStart w:id="21" w:name="_Hlt74714665"/>
      <w:bookmarkEnd w:id="21"/>
      <w:bookmarkStart w:id="22" w:name="_Hlt75236101"/>
      <w:bookmarkEnd w:id="22"/>
      <w:bookmarkStart w:id="23" w:name="_Hlt68403820"/>
      <w:bookmarkEnd w:id="23"/>
      <w:bookmarkStart w:id="24" w:name="_Hlt68057669"/>
      <w:bookmarkEnd w:id="24"/>
      <w:bookmarkStart w:id="25" w:name="_Hlt68073093"/>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adjustRightInd/>
        <w:spacing w:line="360" w:lineRule="auto"/>
        <w:jc w:val="center"/>
        <w:outlineLvl w:val="0"/>
        <w:rPr>
          <w:rFonts w:ascii="黑体" w:hAnsi="黑体" w:eastAsia="黑体" w:cs="黑体"/>
          <w:b/>
          <w:color w:val="auto"/>
          <w:sz w:val="30"/>
          <w:szCs w:val="30"/>
          <w:highlight w:val="none"/>
        </w:rPr>
      </w:pP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项目概况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该项目位于杭州市余杭区仓前街道留泽街53号，有4号楼、5号楼和69号楼，总建筑面积7800平方米。其中4号楼1楼为生态环境管理局余杭中队和志愿者之家大厅；2楼为志愿者之家、生态环境管理局办公室、值班室、仓库等；3楼为生态环境管理局办公室、档案室等。5号楼1楼为人力资源市场服务大厅；2楼为人才管理服务中心办公室、档案室等；3楼为妇女儿童活动中心。69号楼1楼为余杭救助管理站和未成年人救助保护中心大厅以及食堂；2-3楼为救助管理站办公室、档案室、和救助居住室等；4楼为未成年人救助保护中心办公室、会议室、活动室和居住室等；5楼为未成年人救助保护中心活动室等。该项目有分体式空调5台，多联机空调内机225台，外机51台；客梯4台；监控设备各2套；道闸系统1套；卷拉门1套；消防系统包括电设备、气体灭火系统、消防报警系统、手提式灭火器等。本项目列入本次采购的物业管理内容包含清洁保洁、安保消控管理、绿化养护、工程设备维护、会务服务、应急管理以及采购单位交办的其他工作。零星维修涉及的大型材料配件（2000元以上）、会议特殊摆花、节日及临时性活动的花卉绿化装饰由采购人承担，但须书面报采购人批准后方可执行。</w:t>
      </w:r>
      <w:r>
        <w:rPr>
          <w:rFonts w:hint="eastAsia" w:ascii="微软雅黑" w:hAnsi="微软雅黑" w:eastAsia="微软雅黑" w:cs="微软雅黑"/>
          <w:color w:val="auto"/>
          <w:szCs w:val="21"/>
          <w:highlight w:val="none"/>
          <w:shd w:val="clear" w:color="auto" w:fill="FFFFFF"/>
        </w:rPr>
        <w:br w:type="textWrapping"/>
      </w:r>
      <w:r>
        <w:rPr>
          <w:rFonts w:hint="eastAsia" w:ascii="微软雅黑" w:hAnsi="微软雅黑" w:eastAsia="微软雅黑" w:cs="微软雅黑"/>
          <w:color w:val="auto"/>
          <w:szCs w:val="21"/>
          <w:highlight w:val="none"/>
          <w:shd w:val="clear" w:color="auto" w:fill="FFFFFF"/>
        </w:rPr>
        <w:t xml:space="preserve">   </w:t>
      </w:r>
      <w:r>
        <w:rPr>
          <w:rFonts w:hint="eastAsia" w:ascii="宋体" w:hAnsi="宋体" w:cs="宋体"/>
          <w:color w:val="auto"/>
          <w:sz w:val="24"/>
          <w:highlight w:val="none"/>
        </w:rPr>
        <w:t>采购需求、评标标准中所称的“以上”“以下”“内”“以内”“不少于”“不超过”，包括本数；所称的“不足”“低于”，不包括本数。</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服务年限</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服务期为36个月，合同一年一签。本项目预算金额为3年服务期的预算价，年度预算金额为260万元。</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具体服务内容和服务要求：</w:t>
      </w:r>
    </w:p>
    <w:p>
      <w:pPr>
        <w:widowControl/>
        <w:numPr>
          <w:ilvl w:val="0"/>
          <w:numId w:val="3"/>
        </w:numPr>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清洁保洁</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负责办公楼内楼梯、大厅、走廊、电梯间、卫生间、茶水间、公共活动场所和办公楼室外广场、道路、停车场（库）、“门前三包”等公共区域的清卫保洁，以及垃圾、废弃物清理和消毒灭害等。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2.服务基本要求：</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（1）根据清洁区域的不同，对所使用的清洁工具，应标记不同标识或颜色加以区分。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（2）遇雨、雪、台风等特殊天气时应及时清扫道路，并在通道、台阶、出入口处放置警示标志，铺设防滑垫。</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（3）开展2米或2米以上高空清洁作业时，应采取安全防护措施。</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（4）定期对公共场所和周围环境进行预防性卫生消杀，适时投放消杀药物和设施。</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（5）定期采取综合措施消灭“四害”，达到基本无鼠、无蟑螂、无苍蝇和无蚊虫。</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（1）室内公共区域的地面、墙面、楼梯、扶手、大厅、玻 璃、门及门窗框、天花板、栏杆、走廊等整洁干净，无垃圾、无积灰、无污渍、无手印。</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（2）室内卫生间、茶水间清洁，无垃圾、无污渍、无积水、 无异味、无堆积杂物，洁具、台面、镜面光洁无水迹，电器设施外观清洁，物品摆放有序。室内卫生间符合“美丽厕所”标准。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（3）室外广场、道路、停车场（库）、屋面、“门前三包”等公共区域的地面干净，无杂物、无积水、无淤泥、无污垢。</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（4）外墙应保持清洁，无明显污迹。</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（5）定期对喷泉、景观、照明灯设施设备进行清洁，确保表面干净无污渍。</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（6）垃圾、废弃物按分类要求及时收集、日产日清，化粪 池及时清掏，垃圾箱（房）外侧表面清洁、内侧无残留物、无异味。</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（7）垃圾应按照可回收物、有害垃圾、易腐垃圾和其他垃圾进行分类，对应垃圾桶颜色分别为蓝色、红色、绿色和灰色。</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（二）安保消控管理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负责办公楼（区）门卫管理、巡逻检查，处理治安及其他突发事件，维护公共秩序；负责内部机动车和非机动车停放管理；负责消控、监控设施设备运行管理等。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（1）公共秩序维护</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严格出入登记制度，发现问题及时上报处理，杜绝闲杂人员进入办公楼（区）。</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物品进出实施分类管理，实行物品进出审验制度，杜绝可疑危险品进入。</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对进出的各类机动车辆进行有序管理，设置行车指示标 志，规定车辆行驶路线，引导车辆停放区域，车库内配置道闸和 监视系统。非机动车统一停放在室外指定区域，设置集中充电桩。停车区域无易燃、易爆物品存放。</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明确巡视工作职责，对设备机房等重要区域、部位进行重点巡视并做好相关记录，及时发现和处理各种安全和事故隐患。</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（2）消控安全管理：</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配备完善的消防设施和器材，定期对消防设施进行巡查，确保运行正常。消防设施的维护管理及消防控制室应符合相关国标要求。</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应在各楼层明显位置张贴平面疏散示意图、引路标志及控烟标志。</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定期开展防火检查，保证疏散通道、安全出口、消防车道通畅。</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每年至少组织1次消防安全培训及消防演练。</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（3）突发事件处理</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建立突发事件应急预案体系，包括但不限于电梯困人、紧急会议、火警火灾、突发停电、水管破裂、意外伤害、群体性上访、台风、暴雨及雷电等应急预案。</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每年至少组织1次突发事件应急演习。</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（三）绿化养护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负责办公楼（区）树木、花草、绿地等绿化日常养护和管理，以及办公楼（区）门厅等公共区域花木租赁、摆放、养护和管理等。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（1）室内外绿化养护期内各类绿植应100%存活。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（2）根据季节和气候状况，进行浇灌、施肥、修剪和松土等养护。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（3）应选择观赏性强、观赏期长、方便管理的鲜活植物摆 放室内，植株长势良好，无残枝、无黄叶、无积尘，花朵饱满、无萎蔫，托盘内无积水。</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（4）室外乔木丰满健壮、生长良好，灌木枝叶紧密圆整， 无脱节、无枯枝。草坪生长整齐，清洁美观，修剪高度一致，覆盖率高。花卉色彩鲜艳，摆放造型新颖，无杂草、无枯死。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（5）雨、雪、台风等特殊天气前，应派专人巡查，及时加固、支撑、修剪高大乔木，排除安全隐患。</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（6）定期检查病虫害情况，病虫害防治率100%，危害率低于5%。</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3.绿植租赁清单（租赁费用包含在本次投标报价中）</w:t>
      </w:r>
    </w:p>
    <w:tbl>
      <w:tblPr>
        <w:tblStyle w:val="62"/>
        <w:tblW w:w="64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楼层</w:t>
            </w:r>
          </w:p>
        </w:tc>
        <w:tc>
          <w:tcPr>
            <w:tcW w:w="1080" w:type="dxa"/>
            <w:tcBorders>
              <w:top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区域</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品种</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规格</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型号</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4号楼</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1楼大厅</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2楼办公区域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3楼办公区域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公共区域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4号楼</w:t>
            </w:r>
            <w:r>
              <w:rPr>
                <w:rFonts w:hint="eastAsia" w:ascii="宋体" w:hAnsi="宋体" w:cs="宋体"/>
                <w:color w:val="auto"/>
                <w:kern w:val="0"/>
                <w:sz w:val="22"/>
                <w:szCs w:val="22"/>
                <w:highlight w:val="none"/>
              </w:rPr>
              <w:t>小计</w:t>
            </w: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楼层</w:t>
            </w:r>
          </w:p>
        </w:tc>
        <w:tc>
          <w:tcPr>
            <w:tcW w:w="1080" w:type="dxa"/>
            <w:tcBorders>
              <w:top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区域</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品种</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规格</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型号</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5号楼</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1楼大厅</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2楼办公区域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3楼办公区域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公共区域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5号楼</w:t>
            </w:r>
            <w:r>
              <w:rPr>
                <w:rFonts w:hint="eastAsia" w:ascii="宋体" w:hAnsi="宋体" w:cs="宋体"/>
                <w:color w:val="auto"/>
                <w:kern w:val="0"/>
                <w:sz w:val="22"/>
                <w:szCs w:val="22"/>
                <w:highlight w:val="none"/>
              </w:rPr>
              <w:t>小计</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c>
          <w:tcPr>
            <w:tcW w:w="1080" w:type="dxa"/>
            <w:vAlign w:val="center"/>
          </w:tcPr>
          <w:p>
            <w:pPr>
              <w:rPr>
                <w:rFonts w:ascii="宋体" w:hAnsi="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楼层</w:t>
            </w:r>
          </w:p>
        </w:tc>
        <w:tc>
          <w:tcPr>
            <w:tcW w:w="1080" w:type="dxa"/>
            <w:tcBorders>
              <w:top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区域</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品种</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规格</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型号</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69号楼</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1楼大厅、食堂</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2-4楼办公区域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5楼活动区域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公共区域</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rPr>
              <w:t>69号楼</w:t>
            </w:r>
            <w:r>
              <w:rPr>
                <w:rFonts w:hint="eastAsia" w:ascii="宋体" w:hAnsi="宋体" w:cs="宋体"/>
                <w:color w:val="auto"/>
                <w:kern w:val="0"/>
                <w:sz w:val="22"/>
                <w:szCs w:val="22"/>
                <w:highlight w:val="none"/>
              </w:rPr>
              <w:t>小计</w:t>
            </w:r>
          </w:p>
        </w:tc>
        <w:tc>
          <w:tcPr>
            <w:tcW w:w="108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400" w:type="dxa"/>
            <w:gridSpan w:val="5"/>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r>
    </w:tbl>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p>
    <w:p>
      <w:pPr>
        <w:pStyle w:val="2"/>
        <w:rPr>
          <w:color w:val="auto"/>
          <w:highlight w:val="none"/>
        </w:rPr>
      </w:pP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（四）工程设备维护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负责办公楼（区）给排水系统、供配电系统、空调通风系统、智能弱电系统、消防监控系统、电梯等设施设备的日常维修、维护、保养，做好办公房屋的日常维护。</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（1）房屋地面、墙、台面、吊顶、门窗、楼梯、通风道、卫生洁具、大厅玻璃顶、外墙幕墙等完好，无霉变破损。</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（2）至少每2小时巡视一次高配房设备运行情况，如实记 录设备运行参数。定期对各类机房设备设施进行检查、维护、清洁，并做好记录。</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（3）确保各类照明灯具、应急照明系统、供用电设备设施（包括配电箱、桥架、井道、开关、插座等）运行正常。</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（4）每日检查污水泵、排水泵、生活水泵、阀门、管道、仪表等，确保给排水系统正常运行，无“跑”“冒”“滴”“漏”现象。</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（5）定期对水泵、管道进行养护，每年至少两次对水箱进行全面清洗，并提供水质检测报告。</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（6）由专业人员定期对监控系统、门禁系统、多媒体系统、 会议系统等智能弱电设备进行巡查，定期清理设备机柜、控制箱、交换机等外表吸附的灰尘和絮状物。</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（7）电梯应由专业资质维保单位至少每15日进行一次清洁、润滑、调整和检查，建立每台电梯的台账档案，日常维护和 应急维修应及时记录。每年经有资质的检测机构检验合格，在《安全使用许可证》有效期内安全运行。</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（8）应配置持有特种设备作业人员证的电梯安全管理人员，对电梯保养、运行进行监督管理。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（9）消防设施设备应由专业资质维保单位至少每15日进行一次维护保养，建立台账并记录在案。消防重点单位每年应经有资质的检测机构检验合格，并出具《建筑消防设施年度检测报告》。</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（10）定期对空调通风系统进行检查、维护、清洁，测试运行控制和安全控制功能，记录运行参数，分析运行记录，确保空 调系统正常运行。每年冬夏两次对空调通风系统进行全面的维护保养。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（五）会务服务</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1.服务内容：按照</w:t>
      </w:r>
      <w:r>
        <w:rPr>
          <w:rFonts w:hint="eastAsia" w:ascii="新宋体" w:hAnsi="新宋体" w:eastAsia="新宋体" w:cs="新宋体"/>
          <w:color w:val="auto"/>
          <w:sz w:val="24"/>
          <w:highlight w:val="none"/>
          <w:shd w:val="clear" w:color="auto" w:fill="FFFFFF"/>
        </w:rPr>
        <w:t>会务服务标准及流程，做好会前服务准备、会议期间服务以及会后服务。</w:t>
      </w:r>
      <w:r>
        <w:rPr>
          <w:rFonts w:hint="eastAsia" w:ascii="新宋体" w:hAnsi="新宋体" w:eastAsia="新宋体" w:cs="新宋体"/>
          <w:color w:val="auto"/>
          <w:sz w:val="24"/>
          <w:highlight w:val="none"/>
          <w:shd w:val="clear" w:color="auto" w:fill="FFFFFF"/>
        </w:rPr>
        <w:br w:type="textWrapping"/>
      </w: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（1）根据会议安排及采购人要求，确定台形，做好会议物品摆放、设备调试、会议资料发放等会前服务准备工作。</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（2）会议期间定时倒水，根据需要为与会人员提供服务，会议设备如出现问题及时协调处理。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（3）会议结束后做好会议物品整理，茶具清洗、消毒，会议场地清扫，设施设备清点、检查、记录等会后服务。</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color w:val="auto"/>
          <w:sz w:val="24"/>
          <w:highlight w:val="none"/>
        </w:rPr>
        <w:t>（4）对会议服务期间接触的会议信息、会议资料应严格保密。</w:t>
      </w:r>
      <w:r>
        <w:rPr>
          <w:rFonts w:hint="eastAsia" w:ascii="新宋体" w:hAnsi="新宋体" w:eastAsia="新宋体" w:cs="新宋体"/>
          <w:color w:val="auto"/>
          <w:sz w:val="24"/>
          <w:highlight w:val="none"/>
          <w:shd w:val="clear" w:color="auto" w:fill="FFFFFF"/>
        </w:rPr>
        <w:br w:type="textWrapping"/>
      </w:r>
      <w:r>
        <w:rPr>
          <w:rFonts w:hint="eastAsia" w:ascii="新宋体" w:hAnsi="新宋体" w:eastAsia="新宋体" w:cs="新宋体"/>
          <w:color w:val="auto"/>
          <w:sz w:val="24"/>
          <w:highlight w:val="none"/>
        </w:rPr>
        <w:t>（六）</w:t>
      </w:r>
      <w:r>
        <w:rPr>
          <w:rFonts w:hint="eastAsia" w:ascii="新宋体" w:hAnsi="新宋体" w:eastAsia="新宋体" w:cs="新宋体"/>
          <w:b/>
          <w:bCs/>
          <w:color w:val="auto"/>
          <w:sz w:val="24"/>
          <w:highlight w:val="none"/>
        </w:rPr>
        <w:t>采购单位交办的其他工作</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人员配置要求</w:t>
      </w:r>
    </w:p>
    <w:p>
      <w:pPr>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（一）总体要求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▲岗位总人数不得低于42人，包括：本项目经理1人；保洁主管1人，保洁员11人；保安主管1人，</w:t>
      </w:r>
      <w:r>
        <w:rPr>
          <w:rFonts w:hint="eastAsia" w:ascii="新宋体" w:hAnsi="新宋体" w:eastAsia="新宋体" w:cs="新宋体"/>
          <w:color w:val="auto"/>
          <w:sz w:val="24"/>
          <w:highlight w:val="none"/>
          <w:lang w:val="en-US" w:eastAsia="zh-CN"/>
        </w:rPr>
        <w:t>保安员19人，消控员4人，</w:t>
      </w:r>
      <w:r>
        <w:rPr>
          <w:rFonts w:hint="eastAsia" w:ascii="新宋体" w:hAnsi="新宋体" w:eastAsia="新宋体" w:cs="新宋体"/>
          <w:color w:val="auto"/>
          <w:sz w:val="24"/>
          <w:highlight w:val="none"/>
        </w:rPr>
        <w:t>工程维修2人，会务2人，绿化工1人。</w:t>
      </w:r>
    </w:p>
    <w:p>
      <w:pPr>
        <w:numPr>
          <w:ilvl w:val="0"/>
          <w:numId w:val="7"/>
        </w:numPr>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▲法律法规和政策文件要求必须持证上岗的岗位，所派人员必须满足相关规定，持证上岗。</w:t>
      </w:r>
    </w:p>
    <w:p>
      <w:pPr>
        <w:numPr>
          <w:ilvl w:val="0"/>
          <w:numId w:val="7"/>
        </w:numPr>
        <w:spacing w:before="63" w:line="188" w:lineRule="auto"/>
        <w:outlineLvl w:val="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所有人员要求政治上可靠，无违法犯罪记录，身体健康，</w:t>
      </w:r>
      <w:r>
        <w:rPr>
          <w:rFonts w:hint="eastAsia" w:ascii="新宋体" w:hAnsi="新宋体" w:eastAsia="新宋体" w:cs="新宋体"/>
          <w:color w:val="auto"/>
          <w:sz w:val="24"/>
          <w:highlight w:val="none"/>
          <w:lang w:eastAsia="zh-CN"/>
        </w:rPr>
        <w:t>会普通话，</w:t>
      </w:r>
      <w:r>
        <w:rPr>
          <w:rFonts w:hint="eastAsia" w:ascii="新宋体" w:hAnsi="新宋体" w:eastAsia="新宋体" w:cs="新宋体"/>
          <w:color w:val="auto"/>
          <w:sz w:val="24"/>
          <w:highlight w:val="none"/>
        </w:rPr>
        <w:t>工作负责，吃苦耐劳。管理层人员应具有较强的组织领导能力和协调能力。</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管理服务人员应按规定统一着装，工作服样式要求能体现岗位特色和方便不同岗位作业。知晓本岗位服务礼仪</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遵守《物业管理服务人员行为规范》要求。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人应按招标要求，配备充足、能胜任各岗位的相关管理和服务人员，并保持人员稳定。遇调动或辞职等特殊情况确需更换人员的，项目经理至少提前20天、其他人员至少提前7天告知采购人并征得采购人到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spacing w:line="360" w:lineRule="auto"/>
        <w:ind w:left="4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（二）管理层人员要求</w:t>
      </w:r>
    </w:p>
    <w:p>
      <w:pPr>
        <w:numPr>
          <w:ilvl w:val="0"/>
          <w:numId w:val="8"/>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项目经理：年龄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周岁以下；大学本科以上学历；具有类似物业项目经理工作经验；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保洁主管：年龄50周岁以下；大专以上学历；具有类似物业保洁主管工作经验；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保安主管：年龄50周岁以下；</w:t>
      </w:r>
      <w:r>
        <w:rPr>
          <w:rFonts w:hint="eastAsia" w:ascii="新宋体" w:hAnsi="新宋体" w:eastAsia="新宋体" w:cs="新宋体"/>
          <w:color w:val="auto"/>
          <w:sz w:val="24"/>
          <w:highlight w:val="none"/>
          <w:lang w:val="en-US" w:eastAsia="zh-CN"/>
        </w:rPr>
        <w:t>持有保安员三级/高级工(原高级保安员)以上职业技能等级证书；</w:t>
      </w:r>
      <w:r>
        <w:rPr>
          <w:rFonts w:hint="eastAsia" w:ascii="新宋体" w:hAnsi="新宋体" w:eastAsia="新宋体" w:cs="新宋体"/>
          <w:color w:val="auto"/>
          <w:sz w:val="24"/>
          <w:highlight w:val="none"/>
        </w:rPr>
        <w:t>大专以上学历；具有类似物业保安主管工作经验；</w:t>
      </w:r>
      <w:r>
        <w:rPr>
          <w:rFonts w:hint="eastAsia" w:ascii="宋体" w:hAnsi="宋体" w:cs="宋体"/>
          <w:color w:val="auto"/>
          <w:sz w:val="24"/>
          <w:highlight w:val="none"/>
        </w:rPr>
        <w:t>持证上岗</w:t>
      </w:r>
      <w:r>
        <w:rPr>
          <w:rFonts w:hint="eastAsia" w:ascii="新宋体" w:hAnsi="新宋体" w:eastAsia="新宋体" w:cs="新宋体"/>
          <w:color w:val="auto"/>
          <w:sz w:val="24"/>
          <w:highlight w:val="none"/>
        </w:rPr>
        <w:t>；</w:t>
      </w:r>
    </w:p>
    <w:p>
      <w:pPr>
        <w:spacing w:line="360" w:lineRule="auto"/>
        <w:ind w:firstLine="467" w:firstLineChars="194"/>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（三）其他服务人员要求</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保洁员：年龄55周岁以下；具有类似保洁工作经验；</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保安员：年龄55周岁以下；具有</w:t>
      </w:r>
      <w:r>
        <w:rPr>
          <w:rFonts w:hint="eastAsia" w:ascii="新宋体" w:hAnsi="新宋体" w:eastAsia="新宋体" w:cs="新宋体"/>
          <w:color w:val="auto"/>
          <w:sz w:val="24"/>
          <w:highlight w:val="none"/>
          <w:lang w:val="en-US" w:eastAsia="zh-CN"/>
        </w:rPr>
        <w:t>相关安保</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adjustRightInd/>
        <w:snapToGrid w:val="0"/>
        <w:spacing w:line="360" w:lineRule="auto"/>
        <w:rPr>
          <w:color w:val="auto"/>
          <w:highlight w:val="none"/>
        </w:rPr>
      </w:pP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员：年龄55周岁以下；具有</w:t>
      </w:r>
      <w:r>
        <w:rPr>
          <w:rFonts w:hint="eastAsia" w:ascii="新宋体" w:hAnsi="新宋体" w:eastAsia="新宋体" w:cs="新宋体"/>
          <w:color w:val="auto"/>
          <w:sz w:val="24"/>
          <w:highlight w:val="none"/>
          <w:lang w:val="en-US" w:eastAsia="zh-CN"/>
        </w:rPr>
        <w:t>相关消控</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spacing w:line="360" w:lineRule="auto"/>
        <w:rPr>
          <w:rFonts w:ascii="宋体" w:hAnsi="宋体" w:cs="宋体"/>
          <w:color w:val="auto"/>
          <w:sz w:val="24"/>
          <w:highlight w:val="none"/>
        </w:rPr>
      </w:pPr>
      <w:r>
        <w:rPr>
          <w:rFonts w:hint="eastAsia" w:ascii="新宋体" w:hAnsi="新宋体" w:eastAsia="新宋体" w:cs="新宋体"/>
          <w:bCs/>
          <w:color w:val="auto"/>
          <w:sz w:val="24"/>
          <w:highlight w:val="none"/>
        </w:rPr>
        <w:t>绿化工：</w:t>
      </w:r>
      <w:r>
        <w:rPr>
          <w:rFonts w:hint="eastAsia" w:ascii="新宋体" w:hAnsi="新宋体" w:eastAsia="新宋体" w:cs="新宋体"/>
          <w:color w:val="auto"/>
          <w:sz w:val="24"/>
          <w:highlight w:val="none"/>
        </w:rPr>
        <w:t>年龄55周岁以下；具有绿化相关工作经验；</w:t>
      </w:r>
    </w:p>
    <w:p>
      <w:pPr>
        <w:numPr>
          <w:ilvl w:val="0"/>
          <w:numId w:val="9"/>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工程维修人员：年龄55周岁以下；</w:t>
      </w:r>
      <w:r>
        <w:rPr>
          <w:rFonts w:hint="eastAsia" w:ascii="新宋体" w:hAnsi="新宋体" w:eastAsia="新宋体" w:cs="新宋体"/>
          <w:color w:val="auto"/>
          <w:sz w:val="24"/>
          <w:highlight w:val="none"/>
          <w:lang w:val="en-US" w:eastAsia="zh-CN"/>
        </w:rPr>
        <w:t>高中</w:t>
      </w:r>
      <w:r>
        <w:rPr>
          <w:rFonts w:hint="eastAsia" w:ascii="新宋体" w:hAnsi="新宋体" w:eastAsia="新宋体" w:cs="新宋体"/>
          <w:color w:val="auto"/>
          <w:sz w:val="24"/>
          <w:highlight w:val="none"/>
        </w:rPr>
        <w:t>以上学历；具有工程维护相关工作经验；</w:t>
      </w:r>
      <w:r>
        <w:rPr>
          <w:rFonts w:hint="eastAsia" w:ascii="宋体" w:hAnsi="宋体" w:cs="宋体"/>
          <w:color w:val="auto"/>
          <w:sz w:val="24"/>
          <w:highlight w:val="none"/>
        </w:rPr>
        <w:t>具有相关专业上岗证；</w:t>
      </w:r>
    </w:p>
    <w:p>
      <w:pPr>
        <w:numPr>
          <w:ilvl w:val="0"/>
          <w:numId w:val="9"/>
        </w:numPr>
        <w:spacing w:line="36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会务：年龄4</w:t>
      </w: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周岁以下；高中以上学历；具有会务相关工作经验。</w:t>
      </w:r>
    </w:p>
    <w:p>
      <w:pPr>
        <w:rPr>
          <w:rFonts w:ascii="新宋体" w:hAnsi="新宋体" w:eastAsia="新宋体" w:cs="新宋体"/>
          <w:color w:val="auto"/>
          <w:sz w:val="24"/>
          <w:highlight w:val="none"/>
        </w:rPr>
      </w:pPr>
    </w:p>
    <w:p>
      <w:pPr>
        <w:wordWrap/>
        <w:spacing w:line="360" w:lineRule="auto"/>
        <w:ind w:firstLine="467" w:firstLineChars="194"/>
        <w:rPr>
          <w:rFonts w:hint="eastAsia"/>
          <w:color w:val="auto"/>
          <w:highlight w:val="none"/>
        </w:rPr>
      </w:pP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四</w:t>
      </w: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工作时间</w:t>
      </w:r>
      <w:r>
        <w:rPr>
          <w:rFonts w:hint="eastAsia" w:ascii="新宋体" w:hAnsi="新宋体" w:eastAsia="新宋体" w:cs="新宋体"/>
          <w:b/>
          <w:bCs/>
          <w:color w:val="auto"/>
          <w:sz w:val="24"/>
          <w:highlight w:val="none"/>
        </w:rPr>
        <w:t>要求</w:t>
      </w:r>
    </w:p>
    <w:tbl>
      <w:tblPr>
        <w:tblStyle w:val="62"/>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bottom"/>
          </w:tcPr>
          <w:p>
            <w:pPr>
              <w:widowControl/>
              <w:wordWrap/>
              <w:overflowPunct w:val="0"/>
              <w:autoSpaceDE w:val="0"/>
              <w:autoSpaceDN w:val="0"/>
              <w:adjustRightInd w:val="0"/>
              <w:snapToGrid w:val="0"/>
              <w:spacing w:line="240" w:lineRule="auto"/>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序号</w:t>
            </w:r>
          </w:p>
        </w:tc>
        <w:tc>
          <w:tcPr>
            <w:tcW w:w="1288" w:type="dxa"/>
            <w:vAlign w:val="bottom"/>
          </w:tcPr>
          <w:p>
            <w:pPr>
              <w:widowControl/>
              <w:wordWrap/>
              <w:overflowPunct w:val="0"/>
              <w:autoSpaceDE w:val="0"/>
              <w:autoSpaceDN w:val="0"/>
              <w:adjustRightInd w:val="0"/>
              <w:snapToGrid w:val="0"/>
              <w:spacing w:after="160" w:line="240" w:lineRule="auto"/>
              <w:ind w:firstLine="0" w:firstLineChars="0"/>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snapToGrid w:val="0"/>
                <w:color w:val="auto"/>
                <w:kern w:val="0"/>
                <w:sz w:val="24"/>
                <w:szCs w:val="24"/>
                <w:highlight w:val="none"/>
              </w:rPr>
              <w:t>岗位</w:t>
            </w:r>
          </w:p>
        </w:tc>
        <w:tc>
          <w:tcPr>
            <w:tcW w:w="2124"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bCs/>
                <w:color w:val="auto"/>
                <w:kern w:val="0"/>
                <w:sz w:val="24"/>
                <w:szCs w:val="24"/>
                <w:highlight w:val="none"/>
                <w:lang w:val="en-US" w:eastAsia="zh-CN"/>
              </w:rPr>
              <w:t>工作日</w:t>
            </w:r>
            <w:r>
              <w:rPr>
                <w:rFonts w:hint="eastAsia" w:ascii="新宋体" w:hAnsi="新宋体" w:eastAsia="新宋体" w:cs="新宋体"/>
                <w:b/>
                <w:bCs/>
                <w:color w:val="auto"/>
                <w:kern w:val="0"/>
                <w:sz w:val="24"/>
                <w:szCs w:val="24"/>
                <w:highlight w:val="none"/>
              </w:rPr>
              <w:t>在岗时间</w:t>
            </w:r>
          </w:p>
        </w:tc>
        <w:tc>
          <w:tcPr>
            <w:tcW w:w="2429"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snapToGrid w:val="0"/>
                <w:color w:val="auto"/>
                <w:kern w:val="0"/>
                <w:sz w:val="24"/>
                <w:szCs w:val="24"/>
                <w:highlight w:val="none"/>
                <w:lang w:eastAsia="zh-CN"/>
              </w:rPr>
            </w:pPr>
            <w:r>
              <w:rPr>
                <w:rFonts w:hint="eastAsia" w:ascii="新宋体" w:hAnsi="新宋体" w:eastAsia="新宋体" w:cs="新宋体"/>
                <w:b/>
                <w:bCs/>
                <w:color w:val="auto"/>
                <w:kern w:val="0"/>
                <w:sz w:val="24"/>
                <w:szCs w:val="24"/>
                <w:highlight w:val="none"/>
              </w:rPr>
              <w:t>工作时间内</w:t>
            </w:r>
            <w:r>
              <w:rPr>
                <w:rFonts w:hint="eastAsia" w:ascii="新宋体" w:hAnsi="新宋体" w:eastAsia="新宋体" w:cs="新宋体"/>
                <w:b/>
                <w:bCs/>
                <w:color w:val="auto"/>
                <w:kern w:val="0"/>
                <w:sz w:val="24"/>
                <w:szCs w:val="24"/>
                <w:highlight w:val="none"/>
                <w:lang w:eastAsia="zh-CN"/>
              </w:rPr>
              <w:t>应</w:t>
            </w:r>
            <w:r>
              <w:rPr>
                <w:rFonts w:hint="eastAsia" w:ascii="新宋体" w:hAnsi="新宋体" w:eastAsia="新宋体" w:cs="新宋体"/>
                <w:b/>
                <w:bCs/>
                <w:color w:val="auto"/>
                <w:kern w:val="0"/>
                <w:sz w:val="24"/>
                <w:szCs w:val="24"/>
                <w:highlight w:val="none"/>
              </w:rPr>
              <w:t>在岗人数（人）</w:t>
            </w:r>
          </w:p>
        </w:tc>
        <w:tc>
          <w:tcPr>
            <w:tcW w:w="2429"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项目经理</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restart"/>
            <w:vAlign w:val="center"/>
          </w:tcPr>
          <w:p>
            <w:pPr>
              <w:widowControl/>
              <w:overflowPunct w:val="0"/>
              <w:autoSpaceDE w:val="0"/>
              <w:autoSpaceDN w:val="0"/>
              <w:snapToGrid w:val="0"/>
              <w:jc w:val="center"/>
              <w:textAlignment w:val="bottom"/>
              <w:rPr>
                <w:rFonts w:hint="eastAsia"/>
                <w:color w:val="auto"/>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3</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11人</w:t>
            </w:r>
          </w:p>
        </w:tc>
        <w:tc>
          <w:tcPr>
            <w:tcW w:w="2429"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双休日、节假日2人正常在岗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5</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绿化工</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restart"/>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6</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工程维修人员</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7</w:t>
            </w:r>
          </w:p>
        </w:tc>
        <w:tc>
          <w:tcPr>
            <w:tcW w:w="1288" w:type="dxa"/>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会务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保安员</w:t>
            </w:r>
          </w:p>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right w:val="single" w:color="auto" w:sz="4" w:space="0"/>
            </w:tcBorders>
            <w:vAlign w:val="bottom"/>
          </w:tcPr>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11人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4人</w:t>
            </w:r>
          </w:p>
        </w:tc>
        <w:tc>
          <w:tcPr>
            <w:tcW w:w="2429" w:type="dxa"/>
            <w:vMerge w:val="restart"/>
            <w:tcBorders>
              <w:left w:val="single" w:color="auto" w:sz="4" w:space="0"/>
              <w:right w:val="single" w:color="auto" w:sz="4" w:space="0"/>
            </w:tcBorders>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双休日、节假日保安、消控员按要求值班。</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9</w:t>
            </w:r>
          </w:p>
        </w:tc>
        <w:tc>
          <w:tcPr>
            <w:tcW w:w="1288"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消控员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right w:val="single" w:color="auto" w:sz="4" w:space="0"/>
            </w:tcBorders>
            <w:vAlign w:val="bottom"/>
          </w:tcPr>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single" w:color="auto" w:sz="4" w:space="0"/>
              <w:right w:val="single" w:color="auto" w:sz="4" w:space="0"/>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bl>
    <w:p>
      <w:pPr>
        <w:pStyle w:val="5"/>
        <w:rPr>
          <w:rFonts w:hint="eastAsia" w:ascii="新宋体" w:hAnsi="新宋体" w:eastAsia="新宋体" w:cs="新宋体"/>
          <w:color w:val="auto"/>
          <w:kern w:val="0"/>
          <w:sz w:val="24"/>
          <w:szCs w:val="24"/>
          <w:highlight w:val="none"/>
        </w:rPr>
        <w:sectPr>
          <w:headerReference r:id="rId9" w:type="first"/>
          <w:footerReference r:id="rId11" w:type="first"/>
          <w:headerReference r:id="rId8" w:type="default"/>
          <w:footerReference r:id="rId10" w:type="default"/>
          <w:pgSz w:w="11900" w:h="16838"/>
          <w:pgMar w:top="1429" w:right="1599" w:bottom="0" w:left="1712"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r>
        <w:rPr>
          <w:rFonts w:hint="eastAsia" w:ascii="新宋体" w:hAnsi="新宋体" w:eastAsia="新宋体" w:cs="新宋体"/>
          <w:color w:val="auto"/>
          <w:kern w:val="0"/>
          <w:sz w:val="24"/>
          <w:szCs w:val="24"/>
          <w:highlight w:val="none"/>
        </w:rPr>
        <w:t>以上所有岗位的设置</w:t>
      </w:r>
      <w:r>
        <w:rPr>
          <w:rFonts w:hint="eastAsia" w:ascii="新宋体" w:hAnsi="新宋体" w:eastAsia="新宋体" w:cs="新宋体"/>
          <w:color w:val="auto"/>
          <w:kern w:val="0"/>
          <w:sz w:val="24"/>
          <w:szCs w:val="24"/>
          <w:highlight w:val="none"/>
          <w:lang w:eastAsia="zh-CN"/>
        </w:rPr>
        <w:t>、排班</w:t>
      </w:r>
      <w:r>
        <w:rPr>
          <w:rFonts w:hint="eastAsia" w:ascii="新宋体" w:hAnsi="新宋体" w:eastAsia="新宋体" w:cs="新宋体"/>
          <w:color w:val="auto"/>
          <w:kern w:val="0"/>
          <w:sz w:val="24"/>
          <w:szCs w:val="24"/>
          <w:highlight w:val="none"/>
        </w:rPr>
        <w:t>，</w:t>
      </w:r>
      <w:r>
        <w:rPr>
          <w:rFonts w:hint="eastAsia" w:ascii="新宋体" w:hAnsi="新宋体" w:eastAsia="新宋体" w:cs="新宋体"/>
          <w:color w:val="auto"/>
          <w:kern w:val="0"/>
          <w:sz w:val="24"/>
          <w:szCs w:val="24"/>
          <w:highlight w:val="none"/>
          <w:lang w:eastAsia="zh-CN"/>
        </w:rPr>
        <w:t>应符合《</w:t>
      </w:r>
      <w:r>
        <w:rPr>
          <w:rFonts w:hint="eastAsia" w:ascii="新宋体" w:hAnsi="新宋体" w:eastAsia="新宋体" w:cs="新宋体"/>
          <w:color w:val="auto"/>
          <w:kern w:val="0"/>
          <w:sz w:val="24"/>
          <w:szCs w:val="24"/>
          <w:highlight w:val="none"/>
        </w:rPr>
        <w:fldChar w:fldCharType="begin"/>
      </w:r>
      <w:r>
        <w:rPr>
          <w:rFonts w:hint="eastAsia" w:ascii="新宋体" w:hAnsi="新宋体" w:eastAsia="新宋体" w:cs="新宋体"/>
          <w:color w:val="auto"/>
          <w:kern w:val="0"/>
          <w:sz w:val="24"/>
          <w:szCs w:val="24"/>
          <w:highlight w:val="none"/>
        </w:rPr>
        <w:instrText xml:space="preserve"> HYPERLINK "http://www.baidu.com/link?url=F45hGkUIbBtxVnxPZATPQbkbwCTU3UxFBB4t-a-QSoW-3bIW4BtrL6FnbZHsoQuDz-Tl0uQwaqK33u1ssI-PWGeDOXSuPpiDhEwM8ziWofO" \t "https://www.baidu.com/_blank" </w:instrText>
      </w:r>
      <w:r>
        <w:rPr>
          <w:rFonts w:hint="eastAsia" w:ascii="新宋体" w:hAnsi="新宋体" w:eastAsia="新宋体" w:cs="新宋体"/>
          <w:color w:val="auto"/>
          <w:kern w:val="0"/>
          <w:sz w:val="24"/>
          <w:szCs w:val="24"/>
          <w:highlight w:val="none"/>
        </w:rPr>
        <w:fldChar w:fldCharType="separate"/>
      </w:r>
      <w:r>
        <w:rPr>
          <w:rFonts w:hint="eastAsia" w:ascii="新宋体" w:hAnsi="新宋体" w:eastAsia="新宋体" w:cs="新宋体"/>
          <w:color w:val="auto"/>
          <w:kern w:val="0"/>
          <w:sz w:val="24"/>
          <w:szCs w:val="24"/>
          <w:highlight w:val="none"/>
        </w:rPr>
        <w:t>中华人民共和国劳动法</w:t>
      </w:r>
      <w:r>
        <w:rPr>
          <w:rFonts w:hint="eastAsia" w:ascii="新宋体" w:hAnsi="新宋体" w:eastAsia="新宋体" w:cs="新宋体"/>
          <w:color w:val="auto"/>
          <w:kern w:val="0"/>
          <w:sz w:val="24"/>
          <w:szCs w:val="24"/>
          <w:highlight w:val="none"/>
        </w:rPr>
        <w:fldChar w:fldCharType="end"/>
      </w:r>
      <w:r>
        <w:rPr>
          <w:rFonts w:hint="eastAsia" w:ascii="新宋体" w:hAnsi="新宋体" w:eastAsia="新宋体" w:cs="新宋体"/>
          <w:color w:val="auto"/>
          <w:kern w:val="0"/>
          <w:sz w:val="24"/>
          <w:szCs w:val="24"/>
          <w:highlight w:val="none"/>
          <w:lang w:eastAsia="zh-CN"/>
        </w:rPr>
        <w:t>》相关规定，应</w:t>
      </w:r>
      <w:r>
        <w:rPr>
          <w:rFonts w:hint="eastAsia" w:ascii="新宋体" w:hAnsi="新宋体" w:eastAsia="新宋体" w:cs="新宋体"/>
          <w:color w:val="auto"/>
          <w:kern w:val="0"/>
          <w:sz w:val="24"/>
          <w:szCs w:val="24"/>
          <w:highlight w:val="none"/>
        </w:rPr>
        <w:t>满足采购人工作日、双休日、节假日的全部工作任务，投标人自行合理安排员工休息时间，如产生替班加班情况，均由投标人自行承担相应费用。</w:t>
      </w:r>
    </w:p>
    <w:p>
      <w:pPr>
        <w:numPr>
          <w:ilvl w:val="0"/>
          <w:numId w:val="0"/>
        </w:numPr>
        <w:spacing w:line="360" w:lineRule="auto"/>
        <w:ind w:left="0" w:firstLine="0" w:firstLineChars="0"/>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（五）《物业管理服务人员行为规范》</w:t>
      </w:r>
    </w:p>
    <w:p>
      <w:pPr>
        <w:spacing w:line="26" w:lineRule="exact"/>
        <w:rPr>
          <w:rFonts w:hint="eastAsia" w:ascii="新宋体" w:hAnsi="新宋体" w:eastAsia="新宋体" w:cs="新宋体"/>
          <w:color w:val="auto"/>
          <w:sz w:val="24"/>
          <w:szCs w:val="24"/>
          <w:highlight w:val="none"/>
        </w:rPr>
      </w:pPr>
    </w:p>
    <w:tbl>
      <w:tblPr>
        <w:tblStyle w:val="962"/>
        <w:tblW w:w="145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3"/>
        <w:gridCol w:w="1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790" w:type="dxa"/>
            <w:gridSpan w:val="2"/>
            <w:vAlign w:val="top"/>
          </w:tcPr>
          <w:p>
            <w:pPr>
              <w:spacing w:before="94" w:line="185" w:lineRule="auto"/>
              <w:ind w:left="108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1"/>
                <w:sz w:val="24"/>
                <w:szCs w:val="24"/>
                <w:highlight w:val="none"/>
              </w:rPr>
              <w:t>项</w:t>
            </w:r>
            <w:r>
              <w:rPr>
                <w:rFonts w:hint="eastAsia" w:ascii="新宋体" w:hAnsi="新宋体" w:eastAsia="新宋体" w:cs="新宋体"/>
                <w:color w:val="auto"/>
                <w:spacing w:val="9"/>
                <w:sz w:val="24"/>
                <w:szCs w:val="24"/>
                <w:highlight w:val="none"/>
              </w:rPr>
              <w:t xml:space="preserve">   目</w:t>
            </w:r>
          </w:p>
        </w:tc>
        <w:tc>
          <w:tcPr>
            <w:tcW w:w="11777" w:type="dxa"/>
            <w:vAlign w:val="top"/>
          </w:tcPr>
          <w:p>
            <w:pPr>
              <w:spacing w:before="94" w:line="185" w:lineRule="auto"/>
              <w:ind w:left="525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37" w:type="dxa"/>
            <w:vMerge w:val="restart"/>
            <w:textDirection w:val="tbRlV"/>
            <w:vAlign w:val="top"/>
          </w:tcPr>
          <w:p>
            <w:pPr>
              <w:spacing w:before="93" w:line="181" w:lineRule="auto"/>
              <w:ind w:left="157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 xml:space="preserve">仪  容  仪  </w:t>
            </w:r>
            <w:r>
              <w:rPr>
                <w:rFonts w:hint="eastAsia" w:ascii="新宋体" w:hAnsi="新宋体" w:eastAsia="新宋体" w:cs="新宋体"/>
                <w:color w:val="auto"/>
                <w:sz w:val="24"/>
                <w:szCs w:val="24"/>
                <w:highlight w:val="none"/>
              </w:rPr>
              <w:t>表</w:t>
            </w:r>
          </w:p>
        </w:tc>
        <w:tc>
          <w:tcPr>
            <w:tcW w:w="2053" w:type="dxa"/>
            <w:vAlign w:val="top"/>
          </w:tcPr>
          <w:p>
            <w:pPr>
              <w:spacing w:line="450" w:lineRule="auto"/>
              <w:rPr>
                <w:rFonts w:hint="eastAsia" w:ascii="新宋体" w:hAnsi="新宋体" w:eastAsia="新宋体" w:cs="新宋体"/>
                <w:color w:val="auto"/>
                <w:sz w:val="24"/>
                <w:szCs w:val="24"/>
                <w:highlight w:val="none"/>
              </w:rPr>
            </w:pPr>
          </w:p>
          <w:p>
            <w:pPr>
              <w:spacing w:before="90" w:line="186"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服饰着装</w:t>
            </w:r>
          </w:p>
        </w:tc>
        <w:tc>
          <w:tcPr>
            <w:tcW w:w="11777" w:type="dxa"/>
            <w:vAlign w:val="top"/>
          </w:tcPr>
          <w:p>
            <w:pPr>
              <w:spacing w:before="32" w:line="219"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1、上班时间必须穿工作服，工作服穿戴整齐整洁</w:t>
            </w:r>
            <w:r>
              <w:rPr>
                <w:rFonts w:hint="eastAsia" w:ascii="新宋体" w:hAnsi="新宋体" w:eastAsia="新宋体" w:cs="新宋体"/>
                <w:color w:val="auto"/>
                <w:spacing w:val="-4"/>
                <w:sz w:val="24"/>
                <w:szCs w:val="24"/>
                <w:highlight w:val="none"/>
              </w:rPr>
              <w:t>；</w:t>
            </w:r>
          </w:p>
          <w:p>
            <w:pPr>
              <w:spacing w:before="92"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2、上班统一佩戴工作牌，工作牌应端正地戴在左胸襟处</w:t>
            </w:r>
            <w:r>
              <w:rPr>
                <w:rFonts w:hint="eastAsia" w:ascii="新宋体" w:hAnsi="新宋体" w:eastAsia="新宋体" w:cs="新宋体"/>
                <w:color w:val="auto"/>
                <w:spacing w:val="-2"/>
                <w:sz w:val="24"/>
                <w:szCs w:val="24"/>
                <w:highlight w:val="none"/>
              </w:rPr>
              <w:t>；</w:t>
            </w:r>
          </w:p>
          <w:p>
            <w:pPr>
              <w:spacing w:before="91"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3</w:t>
            </w:r>
            <w:r>
              <w:rPr>
                <w:rFonts w:hint="eastAsia" w:ascii="新宋体" w:hAnsi="新宋体" w:eastAsia="新宋体" w:cs="新宋体"/>
                <w:color w:val="auto"/>
                <w:spacing w:val="-4"/>
                <w:sz w:val="24"/>
                <w:szCs w:val="24"/>
                <w:highlight w:val="none"/>
              </w:rPr>
              <w:t>、鞋袜穿戴整齐清洁，非工作需要不允许打赤脚或穿雨鞋到处走。特殊工作完毕应在工作场所将鞋擦干净再走；</w:t>
            </w:r>
          </w:p>
          <w:p>
            <w:pPr>
              <w:spacing w:before="91"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4、</w:t>
            </w:r>
            <w:r>
              <w:rPr>
                <w:rFonts w:hint="eastAsia" w:ascii="新宋体" w:hAnsi="新宋体" w:eastAsia="新宋体" w:cs="新宋体"/>
                <w:color w:val="auto"/>
                <w:spacing w:val="-5"/>
                <w:sz w:val="24"/>
                <w:szCs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82" w:lineRule="auto"/>
              <w:rPr>
                <w:rFonts w:hint="eastAsia" w:ascii="新宋体" w:hAnsi="新宋体" w:eastAsia="新宋体" w:cs="新宋体"/>
                <w:color w:val="auto"/>
                <w:sz w:val="24"/>
                <w:szCs w:val="24"/>
                <w:highlight w:val="none"/>
              </w:rPr>
            </w:pPr>
          </w:p>
          <w:p>
            <w:pPr>
              <w:spacing w:before="91" w:line="185" w:lineRule="auto"/>
              <w:ind w:left="8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须</w:t>
            </w:r>
            <w:r>
              <w:rPr>
                <w:rFonts w:hint="eastAsia" w:ascii="新宋体" w:hAnsi="新宋体" w:eastAsia="新宋体" w:cs="新宋体"/>
                <w:color w:val="auto"/>
                <w:sz w:val="24"/>
                <w:szCs w:val="24"/>
                <w:highlight w:val="none"/>
              </w:rPr>
              <w:t>发</w:t>
            </w:r>
          </w:p>
        </w:tc>
        <w:tc>
          <w:tcPr>
            <w:tcW w:w="11777" w:type="dxa"/>
            <w:vAlign w:val="top"/>
          </w:tcPr>
          <w:p>
            <w:pPr>
              <w:spacing w:before="32"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1</w:t>
            </w:r>
            <w:r>
              <w:rPr>
                <w:rFonts w:hint="eastAsia" w:ascii="新宋体" w:hAnsi="新宋体" w:eastAsia="新宋体" w:cs="新宋体"/>
                <w:color w:val="auto"/>
                <w:spacing w:val="-12"/>
                <w:sz w:val="24"/>
                <w:szCs w:val="24"/>
                <w:highlight w:val="none"/>
              </w:rPr>
              <w:t>、女员工前发不遮眼，不梳怪异发型；</w:t>
            </w:r>
          </w:p>
          <w:p>
            <w:pPr>
              <w:spacing w:before="90"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2</w:t>
            </w:r>
            <w:r>
              <w:rPr>
                <w:rFonts w:hint="eastAsia" w:ascii="新宋体" w:hAnsi="新宋体" w:eastAsia="新宋体" w:cs="新宋体"/>
                <w:color w:val="auto"/>
                <w:spacing w:val="-9"/>
                <w:sz w:val="24"/>
                <w:szCs w:val="24"/>
                <w:highlight w:val="none"/>
              </w:rPr>
              <w:t>、</w:t>
            </w:r>
            <w:r>
              <w:rPr>
                <w:rFonts w:hint="eastAsia" w:ascii="新宋体" w:hAnsi="新宋体" w:eastAsia="新宋体" w:cs="新宋体"/>
                <w:color w:val="auto"/>
                <w:spacing w:val="-6"/>
                <w:sz w:val="24"/>
                <w:szCs w:val="24"/>
                <w:highlight w:val="none"/>
              </w:rPr>
              <w:t>男员工不留长发，不留胡须；</w:t>
            </w:r>
          </w:p>
          <w:p>
            <w:pPr>
              <w:spacing w:before="88"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8"/>
                <w:sz w:val="24"/>
                <w:szCs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62"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before="90" w:line="187"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个人卫生</w:t>
            </w:r>
          </w:p>
        </w:tc>
        <w:tc>
          <w:tcPr>
            <w:tcW w:w="11777" w:type="dxa"/>
            <w:vAlign w:val="top"/>
          </w:tcPr>
          <w:p>
            <w:pPr>
              <w:spacing w:before="34" w:line="22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3"/>
                <w:sz w:val="24"/>
                <w:szCs w:val="24"/>
                <w:highlight w:val="none"/>
              </w:rPr>
              <w:t>1</w:t>
            </w:r>
            <w:r>
              <w:rPr>
                <w:rFonts w:hint="eastAsia" w:ascii="新宋体" w:hAnsi="新宋体" w:eastAsia="新宋体" w:cs="新宋体"/>
                <w:color w:val="auto"/>
                <w:spacing w:val="-8"/>
                <w:sz w:val="24"/>
                <w:szCs w:val="24"/>
                <w:highlight w:val="none"/>
              </w:rPr>
              <w:t>、保持手部干净，经常修剪指甲；</w:t>
            </w:r>
          </w:p>
          <w:p>
            <w:pPr>
              <w:spacing w:before="90"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w:t>
            </w:r>
            <w:r>
              <w:rPr>
                <w:rFonts w:hint="eastAsia" w:ascii="新宋体" w:hAnsi="新宋体" w:eastAsia="新宋体" w:cs="新宋体"/>
                <w:color w:val="auto"/>
                <w:spacing w:val="-3"/>
                <w:sz w:val="24"/>
                <w:szCs w:val="24"/>
                <w:highlight w:val="none"/>
              </w:rPr>
              <w:t>、员工应经常洗澡防汗臭，勤换衣服。衣服因工作而弄湿、弄脏后应换洗；</w:t>
            </w:r>
          </w:p>
          <w:p>
            <w:pPr>
              <w:spacing w:before="87"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3、上班前和上班期间应注意饮食，保持口腔清洁、口气清新</w:t>
            </w:r>
            <w:r>
              <w:rPr>
                <w:rFonts w:hint="eastAsia" w:ascii="新宋体" w:hAnsi="新宋体" w:eastAsia="新宋体" w:cs="新宋体"/>
                <w:color w:val="auto"/>
                <w:spacing w:val="-6"/>
                <w:sz w:val="24"/>
                <w:szCs w:val="24"/>
                <w:highlight w:val="none"/>
              </w:rPr>
              <w:t>；</w:t>
            </w:r>
          </w:p>
          <w:p>
            <w:pPr>
              <w:spacing w:before="92"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4</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7"/>
                <w:sz w:val="24"/>
                <w:szCs w:val="24"/>
                <w:highlight w:val="none"/>
              </w:rPr>
              <w:t>保持眼部、耳部清洁；</w:t>
            </w:r>
          </w:p>
          <w:p>
            <w:pPr>
              <w:spacing w:before="90" w:line="22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w:t>
            </w:r>
            <w:r>
              <w:rPr>
                <w:rFonts w:hint="eastAsia" w:ascii="新宋体" w:hAnsi="新宋体" w:eastAsia="新宋体" w:cs="新宋体"/>
                <w:color w:val="auto"/>
                <w:spacing w:val="-6"/>
                <w:sz w:val="24"/>
                <w:szCs w:val="24"/>
                <w:highlight w:val="none"/>
              </w:rPr>
              <w:t>女员工应淡妆打扮，不允许浓妆艳抹，不宜使用味浓的化妆品；</w:t>
            </w:r>
          </w:p>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6、</w:t>
            </w:r>
            <w:r>
              <w:rPr>
                <w:rFonts w:hint="eastAsia" w:ascii="新宋体" w:hAnsi="新宋体" w:eastAsia="新宋体" w:cs="新宋体"/>
                <w:color w:val="auto"/>
                <w:spacing w:val="-6"/>
                <w:sz w:val="24"/>
                <w:szCs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7" w:type="dxa"/>
            <w:vMerge w:val="restart"/>
            <w:textDirection w:val="tbRlV"/>
            <w:vAlign w:val="top"/>
          </w:tcPr>
          <w:p>
            <w:pPr>
              <w:spacing w:before="93" w:line="180" w:lineRule="auto"/>
              <w:ind w:left="6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行为举</w:t>
            </w:r>
            <w:r>
              <w:rPr>
                <w:rFonts w:hint="eastAsia" w:ascii="新宋体" w:hAnsi="新宋体" w:eastAsia="新宋体" w:cs="新宋体"/>
                <w:color w:val="auto"/>
                <w:sz w:val="24"/>
                <w:szCs w:val="24"/>
                <w:highlight w:val="none"/>
              </w:rPr>
              <w:t>止</w:t>
            </w:r>
          </w:p>
        </w:tc>
        <w:tc>
          <w:tcPr>
            <w:tcW w:w="2053" w:type="dxa"/>
            <w:vAlign w:val="top"/>
          </w:tcPr>
          <w:p>
            <w:pPr>
              <w:spacing w:before="207" w:line="185"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服务态度</w:t>
            </w:r>
          </w:p>
        </w:tc>
        <w:tc>
          <w:tcPr>
            <w:tcW w:w="11777" w:type="dxa"/>
            <w:vAlign w:val="top"/>
          </w:tcPr>
          <w:p>
            <w:pPr>
              <w:spacing w:before="35"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1、对客人服务应面带笑容，和颜悦色，热情主动，做到微笑服务</w:t>
            </w:r>
            <w:r>
              <w:rPr>
                <w:rFonts w:hint="eastAsia" w:ascii="新宋体" w:hAnsi="新宋体" w:eastAsia="新宋体" w:cs="新宋体"/>
                <w:color w:val="auto"/>
                <w:spacing w:val="-3"/>
                <w:sz w:val="24"/>
                <w:szCs w:val="24"/>
                <w:highlight w:val="none"/>
              </w:rPr>
              <w:t>；</w:t>
            </w:r>
          </w:p>
          <w:p>
            <w:pPr>
              <w:spacing w:before="90"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9"/>
                <w:sz w:val="24"/>
                <w:szCs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455" w:lineRule="auto"/>
              <w:rPr>
                <w:rFonts w:hint="eastAsia" w:ascii="新宋体" w:hAnsi="新宋体" w:eastAsia="新宋体" w:cs="新宋体"/>
                <w:color w:val="auto"/>
                <w:sz w:val="24"/>
                <w:szCs w:val="24"/>
                <w:highlight w:val="none"/>
              </w:rPr>
            </w:pPr>
          </w:p>
          <w:p>
            <w:pPr>
              <w:spacing w:before="90" w:line="186" w:lineRule="auto"/>
              <w:ind w:left="60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走姿态</w:t>
            </w:r>
          </w:p>
        </w:tc>
        <w:tc>
          <w:tcPr>
            <w:tcW w:w="11777" w:type="dxa"/>
            <w:vAlign w:val="top"/>
          </w:tcPr>
          <w:p>
            <w:pPr>
              <w:spacing w:before="36"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w:t>
            </w:r>
            <w:r>
              <w:rPr>
                <w:rFonts w:hint="eastAsia" w:ascii="新宋体" w:hAnsi="新宋体" w:eastAsia="新宋体" w:cs="新宋体"/>
                <w:color w:val="auto"/>
                <w:spacing w:val="-10"/>
                <w:sz w:val="24"/>
                <w:szCs w:val="24"/>
                <w:highlight w:val="none"/>
              </w:rPr>
              <w:t>、</w:t>
            </w:r>
            <w:r>
              <w:rPr>
                <w:rFonts w:hint="eastAsia" w:ascii="新宋体" w:hAnsi="新宋体" w:eastAsia="新宋体" w:cs="新宋体"/>
                <w:color w:val="auto"/>
                <w:spacing w:val="-6"/>
                <w:sz w:val="24"/>
                <w:szCs w:val="24"/>
                <w:highlight w:val="none"/>
              </w:rPr>
              <w:t>行走时不宜双手抱胸或背手走路；</w:t>
            </w:r>
          </w:p>
          <w:p>
            <w:pPr>
              <w:spacing w:before="89" w:line="218"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9"/>
                <w:sz w:val="24"/>
                <w:szCs w:val="24"/>
                <w:highlight w:val="none"/>
              </w:rPr>
              <w:t>在工作场合与他人同行时，不允许勾肩搭背，不允许同行时</w:t>
            </w:r>
            <w:r>
              <w:rPr>
                <w:rFonts w:hint="eastAsia" w:ascii="新宋体" w:hAnsi="新宋体" w:eastAsia="新宋体" w:cs="新宋体"/>
                <w:color w:val="auto"/>
                <w:spacing w:val="-9"/>
                <w:sz w:val="24"/>
                <w:szCs w:val="24"/>
                <w:highlight w:val="none"/>
                <w:lang w:eastAsia="zh-CN"/>
              </w:rPr>
              <w:t>嬉戏</w:t>
            </w:r>
            <w:r>
              <w:rPr>
                <w:rFonts w:hint="eastAsia" w:ascii="新宋体" w:hAnsi="新宋体" w:eastAsia="新宋体" w:cs="新宋体"/>
                <w:color w:val="auto"/>
                <w:spacing w:val="-9"/>
                <w:sz w:val="24"/>
                <w:szCs w:val="24"/>
                <w:highlight w:val="none"/>
              </w:rPr>
              <w:t>打闹；</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3、手</w:t>
            </w:r>
            <w:r>
              <w:rPr>
                <w:rFonts w:hint="eastAsia" w:ascii="新宋体" w:hAnsi="新宋体" w:eastAsia="新宋体" w:cs="新宋体"/>
                <w:color w:val="auto"/>
                <w:spacing w:val="-3"/>
                <w:sz w:val="24"/>
                <w:szCs w:val="24"/>
                <w:highlight w:val="none"/>
              </w:rPr>
              <w:t>拉货物行走时应注意前方行人或障碍物，尽量靠路右侧行走；</w:t>
            </w:r>
          </w:p>
          <w:p>
            <w:pPr>
              <w:spacing w:before="92" w:line="218"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0"/>
                <w:sz w:val="24"/>
                <w:szCs w:val="24"/>
                <w:highlight w:val="none"/>
              </w:rPr>
              <w:t>4</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10"/>
                <w:sz w:val="24"/>
                <w:szCs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before="96" w:line="186" w:lineRule="auto"/>
              <w:ind w:left="60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坐立姿</w:t>
            </w:r>
            <w:r>
              <w:rPr>
                <w:rFonts w:hint="eastAsia" w:ascii="新宋体" w:hAnsi="新宋体" w:eastAsia="新宋体" w:cs="新宋体"/>
                <w:color w:val="auto"/>
                <w:sz w:val="24"/>
                <w:szCs w:val="24"/>
                <w:highlight w:val="none"/>
              </w:rPr>
              <w:t>态</w:t>
            </w:r>
          </w:p>
        </w:tc>
        <w:tc>
          <w:tcPr>
            <w:tcW w:w="11777" w:type="dxa"/>
            <w:vAlign w:val="top"/>
          </w:tcPr>
          <w:p>
            <w:pPr>
              <w:spacing w:before="96" w:line="218"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1、入</w:t>
            </w:r>
            <w:r>
              <w:rPr>
                <w:rFonts w:hint="eastAsia" w:ascii="新宋体" w:hAnsi="新宋体" w:eastAsia="新宋体" w:cs="新宋体"/>
                <w:color w:val="auto"/>
                <w:spacing w:val="-8"/>
                <w:sz w:val="24"/>
                <w:szCs w:val="24"/>
                <w:highlight w:val="none"/>
              </w:rPr>
              <w:t>坐</w:t>
            </w:r>
            <w:r>
              <w:rPr>
                <w:rFonts w:hint="eastAsia" w:ascii="新宋体" w:hAnsi="新宋体" w:eastAsia="新宋体" w:cs="新宋体"/>
                <w:color w:val="auto"/>
                <w:spacing w:val="-6"/>
                <w:sz w:val="24"/>
                <w:szCs w:val="24"/>
                <w:highlight w:val="none"/>
              </w:rPr>
              <w:t>要轻缓，就坐时姿态要端正，上身要直，腰部挺起，双膝并拢，手自然放在双膝上，面带笑容；</w:t>
            </w:r>
          </w:p>
        </w:tc>
      </w:tr>
    </w:tbl>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sectPr>
          <w:pgSz w:w="16839" w:h="11907" w:orient="landscape"/>
          <w:pgMar w:top="1012" w:right="938" w:bottom="0" w:left="1327" w:header="0" w:footer="0" w:gutter="0"/>
          <w:pgBorders>
            <w:top w:val="none" w:sz="0" w:space="0"/>
            <w:left w:val="none" w:sz="0" w:space="0"/>
            <w:bottom w:val="none" w:sz="0" w:space="0"/>
            <w:right w:val="none" w:sz="0" w:space="0"/>
          </w:pgBorders>
          <w:pgNumType w:fmt="decimal"/>
          <w:cols w:space="720" w:num="1"/>
          <w:titlePg/>
          <w:rtlGutter w:val="0"/>
          <w:docGrid w:type="lines" w:linePitch="319" w:charSpace="0"/>
        </w:sect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spacing w:line="66" w:lineRule="exact"/>
        <w:rPr>
          <w:rFonts w:hint="eastAsia" w:ascii="新宋体" w:hAnsi="新宋体" w:eastAsia="新宋体" w:cs="新宋体"/>
          <w:color w:val="auto"/>
          <w:sz w:val="24"/>
          <w:szCs w:val="24"/>
          <w:highlight w:val="none"/>
        </w:rPr>
      </w:pPr>
    </w:p>
    <w:tbl>
      <w:tblPr>
        <w:tblStyle w:val="962"/>
        <w:tblW w:w="145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
        <w:gridCol w:w="732"/>
        <w:gridCol w:w="5"/>
        <w:gridCol w:w="2048"/>
        <w:gridCol w:w="11777"/>
        <w:gridCol w:w="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690" w:hRule="atLeast"/>
        </w:trPr>
        <w:tc>
          <w:tcPr>
            <w:tcW w:w="737" w:type="dxa"/>
            <w:gridSpan w:val="2"/>
            <w:vMerge w:val="restart"/>
            <w:vAlign w:val="top"/>
          </w:tcPr>
          <w:p>
            <w:pPr>
              <w:rPr>
                <w:rFonts w:hint="eastAsia" w:ascii="新宋体" w:hAnsi="新宋体" w:eastAsia="新宋体" w:cs="新宋体"/>
                <w:color w:val="auto"/>
                <w:sz w:val="24"/>
                <w:szCs w:val="24"/>
                <w:highlight w:val="none"/>
              </w:rPr>
            </w:pPr>
          </w:p>
        </w:tc>
        <w:tc>
          <w:tcPr>
            <w:tcW w:w="2053" w:type="dxa"/>
            <w:gridSpan w:val="2"/>
            <w:vAlign w:val="top"/>
          </w:tcPr>
          <w:p>
            <w:pPr>
              <w:rPr>
                <w:rFonts w:hint="eastAsia" w:ascii="新宋体" w:hAnsi="新宋体" w:eastAsia="新宋体" w:cs="新宋体"/>
                <w:color w:val="auto"/>
                <w:sz w:val="24"/>
                <w:szCs w:val="24"/>
                <w:highlight w:val="none"/>
              </w:rPr>
            </w:pPr>
          </w:p>
        </w:tc>
        <w:tc>
          <w:tcPr>
            <w:tcW w:w="11777" w:type="dxa"/>
            <w:vAlign w:val="top"/>
          </w:tcPr>
          <w:p>
            <w:pPr>
              <w:spacing w:before="36"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2、坐在椅子上不允许前俯后仰、摇腿跷脚或趴在工作台上或把脚放于工作台</w:t>
            </w:r>
            <w:r>
              <w:rPr>
                <w:rFonts w:hint="eastAsia" w:ascii="新宋体" w:hAnsi="新宋体" w:eastAsia="新宋体" w:cs="新宋体"/>
                <w:color w:val="auto"/>
                <w:spacing w:val="-1"/>
                <w:sz w:val="24"/>
                <w:szCs w:val="24"/>
                <w:highlight w:val="none"/>
              </w:rPr>
              <w:t>上</w:t>
            </w:r>
            <w:r>
              <w:rPr>
                <w:rFonts w:hint="eastAsia" w:ascii="新宋体" w:hAnsi="新宋体" w:eastAsia="新宋体" w:cs="新宋体"/>
                <w:color w:val="auto"/>
                <w:sz w:val="24"/>
                <w:szCs w:val="24"/>
                <w:highlight w:val="none"/>
              </w:rPr>
              <w:t>；</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3、站</w:t>
            </w:r>
            <w:r>
              <w:rPr>
                <w:rFonts w:hint="eastAsia" w:ascii="新宋体" w:hAnsi="新宋体" w:eastAsia="新宋体" w:cs="新宋体"/>
                <w:color w:val="auto"/>
                <w:spacing w:val="-10"/>
                <w:sz w:val="24"/>
                <w:szCs w:val="24"/>
                <w:highlight w:val="none"/>
              </w:rPr>
              <w:t>立</w:t>
            </w:r>
            <w:r>
              <w:rPr>
                <w:rFonts w:hint="eastAsia" w:ascii="新宋体" w:hAnsi="新宋体" w:eastAsia="新宋体" w:cs="新宋体"/>
                <w:color w:val="auto"/>
                <w:spacing w:val="-7"/>
                <w:sz w:val="24"/>
                <w:szCs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027" w:hRule="atLeast"/>
        </w:trPr>
        <w:tc>
          <w:tcPr>
            <w:tcW w:w="737" w:type="dxa"/>
            <w:gridSpan w:val="2"/>
            <w:vMerge w:val="continue"/>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82" w:lineRule="auto"/>
              <w:rPr>
                <w:rFonts w:hint="eastAsia" w:ascii="新宋体" w:hAnsi="新宋体" w:eastAsia="新宋体" w:cs="新宋体"/>
                <w:color w:val="auto"/>
                <w:sz w:val="24"/>
                <w:szCs w:val="24"/>
                <w:highlight w:val="none"/>
              </w:rPr>
            </w:pPr>
          </w:p>
          <w:p>
            <w:pPr>
              <w:spacing w:before="90" w:line="185" w:lineRule="auto"/>
              <w:ind w:left="60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其</w:t>
            </w:r>
            <w:r>
              <w:rPr>
                <w:rFonts w:hint="eastAsia" w:ascii="新宋体" w:hAnsi="新宋体" w:eastAsia="新宋体" w:cs="新宋体"/>
                <w:color w:val="auto"/>
                <w:sz w:val="24"/>
                <w:szCs w:val="24"/>
                <w:highlight w:val="none"/>
              </w:rPr>
              <w:t>他行为</w:t>
            </w:r>
          </w:p>
        </w:tc>
        <w:tc>
          <w:tcPr>
            <w:tcW w:w="11777" w:type="dxa"/>
            <w:vAlign w:val="top"/>
          </w:tcPr>
          <w:p>
            <w:pPr>
              <w:spacing w:before="32" w:line="217"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1、要注意</w:t>
            </w:r>
            <w:r>
              <w:rPr>
                <w:rFonts w:hint="eastAsia" w:ascii="新宋体" w:hAnsi="新宋体" w:eastAsia="新宋体" w:cs="新宋体"/>
                <w:color w:val="auto"/>
                <w:spacing w:val="-3"/>
                <w:sz w:val="24"/>
                <w:szCs w:val="24"/>
                <w:highlight w:val="none"/>
              </w:rPr>
              <w:t>个人形象，不允许随地吐痰，乱扔果皮、纸屑；上班时间不允许吃零食，玩弄个人小物品或做与工作无关的事情；</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2</w:t>
            </w:r>
            <w:r>
              <w:rPr>
                <w:rFonts w:hint="eastAsia" w:ascii="新宋体" w:hAnsi="新宋体" w:eastAsia="新宋体" w:cs="新宋体"/>
                <w:color w:val="auto"/>
                <w:sz w:val="24"/>
                <w:szCs w:val="24"/>
                <w:highlight w:val="none"/>
              </w:rPr>
              <w:t>、到公共、工作场所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进行工作时，不允许乱翻乱摸，更不允许随意拿走公用的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东西；</w:t>
            </w:r>
          </w:p>
          <w:p>
            <w:pPr>
              <w:spacing w:before="90"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3、谈话时，手势不宜过多，幅度不宜太大</w:t>
            </w:r>
            <w:r>
              <w:rPr>
                <w:rFonts w:hint="eastAsia" w:ascii="新宋体" w:hAnsi="新宋体" w:eastAsia="新宋体" w:cs="新宋体"/>
                <w:color w:val="auto"/>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restart"/>
            <w:textDirection w:val="tbRlV"/>
            <w:vAlign w:val="top"/>
          </w:tcPr>
          <w:p>
            <w:pPr>
              <w:spacing w:before="92" w:line="181" w:lineRule="auto"/>
              <w:ind w:left="190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礼貌用</w:t>
            </w:r>
            <w:r>
              <w:rPr>
                <w:rFonts w:hint="eastAsia" w:ascii="新宋体" w:hAnsi="新宋体" w:eastAsia="新宋体" w:cs="新宋体"/>
                <w:color w:val="auto"/>
                <w:sz w:val="24"/>
                <w:szCs w:val="24"/>
                <w:highlight w:val="none"/>
              </w:rPr>
              <w:t>语</w:t>
            </w:r>
          </w:p>
        </w:tc>
        <w:tc>
          <w:tcPr>
            <w:tcW w:w="2053" w:type="dxa"/>
            <w:gridSpan w:val="2"/>
            <w:vAlign w:val="top"/>
          </w:tcPr>
          <w:p>
            <w:pPr>
              <w:spacing w:before="90" w:line="186" w:lineRule="auto"/>
              <w:ind w:left="72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问候语</w:t>
            </w:r>
          </w:p>
        </w:tc>
        <w:tc>
          <w:tcPr>
            <w:tcW w:w="11777" w:type="dxa"/>
            <w:vAlign w:val="top"/>
          </w:tcPr>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您好、早安、午安、早、早上好、下午好、</w:t>
            </w:r>
            <w:r>
              <w:rPr>
                <w:rFonts w:hint="eastAsia" w:ascii="新宋体" w:hAnsi="新宋体" w:eastAsia="新宋体" w:cs="新宋体"/>
                <w:color w:val="auto"/>
                <w:sz w:val="24"/>
                <w:szCs w:val="24"/>
                <w:highlight w:val="none"/>
              </w:rPr>
              <w:t>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0" w:line="187"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欢</w:t>
            </w:r>
            <w:r>
              <w:rPr>
                <w:rFonts w:hint="eastAsia" w:ascii="新宋体" w:hAnsi="新宋体" w:eastAsia="新宋体" w:cs="新宋体"/>
                <w:color w:val="auto"/>
                <w:sz w:val="24"/>
                <w:szCs w:val="24"/>
                <w:highlight w:val="none"/>
              </w:rPr>
              <w:t>迎语</w:t>
            </w:r>
          </w:p>
        </w:tc>
        <w:tc>
          <w:tcPr>
            <w:tcW w:w="11777" w:type="dxa"/>
            <w:vAlign w:val="top"/>
          </w:tcPr>
          <w:p>
            <w:pPr>
              <w:spacing w:before="90"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欢</w:t>
            </w:r>
            <w:r>
              <w:rPr>
                <w:rFonts w:hint="eastAsia" w:ascii="新宋体" w:hAnsi="新宋体" w:eastAsia="新宋体" w:cs="新宋体"/>
                <w:color w:val="auto"/>
                <w:spacing w:val="-7"/>
                <w:sz w:val="24"/>
                <w:szCs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祝贺语</w:t>
            </w:r>
          </w:p>
        </w:tc>
        <w:tc>
          <w:tcPr>
            <w:tcW w:w="11777" w:type="dxa"/>
            <w:vAlign w:val="top"/>
          </w:tcPr>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祝您节</w:t>
            </w:r>
            <w:r>
              <w:rPr>
                <w:rFonts w:hint="eastAsia" w:ascii="新宋体" w:hAnsi="新宋体" w:eastAsia="新宋体" w:cs="新宋体"/>
                <w:color w:val="auto"/>
                <w:sz w:val="24"/>
                <w:szCs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告别</w:t>
            </w:r>
            <w:r>
              <w:rPr>
                <w:rFonts w:hint="eastAsia" w:ascii="新宋体" w:hAnsi="新宋体" w:eastAsia="新宋体" w:cs="新宋体"/>
                <w:color w:val="auto"/>
                <w:sz w:val="24"/>
                <w:szCs w:val="24"/>
                <w:highlight w:val="none"/>
              </w:rPr>
              <w:t>语</w:t>
            </w:r>
          </w:p>
        </w:tc>
        <w:tc>
          <w:tcPr>
            <w:tcW w:w="11777" w:type="dxa"/>
            <w:vAlign w:val="top"/>
          </w:tcPr>
          <w:p>
            <w:pPr>
              <w:spacing w:before="91"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再见、晚安</w:t>
            </w:r>
            <w:r>
              <w:rPr>
                <w:rFonts w:hint="eastAsia" w:ascii="新宋体" w:hAnsi="新宋体" w:eastAsia="新宋体" w:cs="新宋体"/>
                <w:color w:val="auto"/>
                <w:sz w:val="24"/>
                <w:szCs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5"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道歉语</w:t>
            </w:r>
          </w:p>
        </w:tc>
        <w:tc>
          <w:tcPr>
            <w:tcW w:w="11777" w:type="dxa"/>
            <w:vAlign w:val="top"/>
          </w:tcPr>
          <w:p>
            <w:pPr>
              <w:spacing w:before="93"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对不起</w:t>
            </w:r>
            <w:r>
              <w:rPr>
                <w:rFonts w:hint="eastAsia" w:ascii="新宋体" w:hAnsi="新宋体" w:eastAsia="新宋体" w:cs="新宋体"/>
                <w:color w:val="auto"/>
                <w:sz w:val="24"/>
                <w:szCs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道谢语</w:t>
            </w:r>
          </w:p>
        </w:tc>
        <w:tc>
          <w:tcPr>
            <w:tcW w:w="11777" w:type="dxa"/>
            <w:vAlign w:val="top"/>
          </w:tcPr>
          <w:p>
            <w:pPr>
              <w:spacing w:before="93"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谢谢、非常</w:t>
            </w:r>
            <w:r>
              <w:rPr>
                <w:rFonts w:hint="eastAsia" w:ascii="新宋体" w:hAnsi="新宋体" w:eastAsia="新宋体" w:cs="新宋体"/>
                <w:color w:val="auto"/>
                <w:sz w:val="24"/>
                <w:szCs w:val="24"/>
                <w:highlight w:val="none"/>
              </w:rPr>
              <w:t>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应答语</w:t>
            </w:r>
          </w:p>
        </w:tc>
        <w:tc>
          <w:tcPr>
            <w:tcW w:w="11777" w:type="dxa"/>
            <w:vAlign w:val="top"/>
          </w:tcPr>
          <w:p>
            <w:pPr>
              <w:spacing w:before="93"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是的、好的、我明白了、谢谢您的好意、不要客</w:t>
            </w:r>
            <w:r>
              <w:rPr>
                <w:rFonts w:hint="eastAsia" w:ascii="新宋体" w:hAnsi="新宋体" w:eastAsia="新宋体" w:cs="新宋体"/>
                <w:color w:val="auto"/>
                <w:sz w:val="24"/>
                <w:szCs w:val="24"/>
                <w:highlight w:val="none"/>
              </w:rPr>
              <w:t>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征询语</w:t>
            </w:r>
          </w:p>
        </w:tc>
        <w:tc>
          <w:tcPr>
            <w:tcW w:w="11777" w:type="dxa"/>
            <w:vAlign w:val="top"/>
          </w:tcPr>
          <w:p>
            <w:pPr>
              <w:spacing w:before="93"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1"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请求语</w:t>
            </w:r>
          </w:p>
        </w:tc>
        <w:tc>
          <w:tcPr>
            <w:tcW w:w="11777" w:type="dxa"/>
            <w:vAlign w:val="top"/>
          </w:tcPr>
          <w:p>
            <w:pPr>
              <w:spacing w:before="94"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请您协</w:t>
            </w:r>
            <w:r>
              <w:rPr>
                <w:rFonts w:hint="eastAsia" w:ascii="新宋体" w:hAnsi="新宋体" w:eastAsia="新宋体" w:cs="新宋体"/>
                <w:color w:val="auto"/>
                <w:spacing w:val="-3"/>
                <w:sz w:val="24"/>
                <w:szCs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商</w:t>
            </w:r>
            <w:r>
              <w:rPr>
                <w:rFonts w:hint="eastAsia" w:ascii="新宋体" w:hAnsi="新宋体" w:eastAsia="新宋体" w:cs="新宋体"/>
                <w:color w:val="auto"/>
                <w:spacing w:val="-1"/>
                <w:sz w:val="24"/>
                <w:szCs w:val="24"/>
                <w:highlight w:val="none"/>
              </w:rPr>
              <w:t>量语</w:t>
            </w:r>
          </w:p>
        </w:tc>
        <w:tc>
          <w:tcPr>
            <w:tcW w:w="11777" w:type="dxa"/>
            <w:vAlign w:val="top"/>
          </w:tcPr>
          <w:p>
            <w:pPr>
              <w:spacing w:before="93" w:line="221" w:lineRule="auto"/>
              <w:ind w:left="12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……您看</w:t>
            </w:r>
            <w:r>
              <w:rPr>
                <w:rFonts w:hint="eastAsia" w:ascii="新宋体" w:hAnsi="新宋体" w:eastAsia="新宋体" w:cs="新宋体"/>
                <w:color w:val="auto"/>
                <w:spacing w:val="-3"/>
                <w:sz w:val="24"/>
                <w:szCs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5" w:line="186"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解</w:t>
            </w:r>
            <w:r>
              <w:rPr>
                <w:rFonts w:hint="eastAsia" w:ascii="新宋体" w:hAnsi="新宋体" w:eastAsia="新宋体" w:cs="新宋体"/>
                <w:color w:val="auto"/>
                <w:sz w:val="24"/>
                <w:szCs w:val="24"/>
                <w:highlight w:val="none"/>
              </w:rPr>
              <w:t>释语</w:t>
            </w:r>
          </w:p>
        </w:tc>
        <w:tc>
          <w:tcPr>
            <w:tcW w:w="11777" w:type="dxa"/>
            <w:vAlign w:val="top"/>
          </w:tcPr>
          <w:p>
            <w:pPr>
              <w:spacing w:before="93"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很抱</w:t>
            </w:r>
            <w:r>
              <w:rPr>
                <w:rFonts w:hint="eastAsia" w:ascii="新宋体" w:hAnsi="新宋体" w:eastAsia="新宋体" w:cs="新宋体"/>
                <w:color w:val="auto"/>
                <w:spacing w:val="-5"/>
                <w:sz w:val="24"/>
                <w:szCs w:val="24"/>
                <w:highlight w:val="none"/>
              </w:rPr>
              <w:t>歉，这种情况，单位的规定是这样的。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72" w:hRule="atLeast"/>
        </w:trPr>
        <w:tc>
          <w:tcPr>
            <w:tcW w:w="737" w:type="dxa"/>
            <w:gridSpan w:val="2"/>
            <w:textDirection w:val="tbRlV"/>
            <w:vAlign w:val="top"/>
          </w:tcPr>
          <w:p>
            <w:pPr>
              <w:spacing w:before="92" w:line="181" w:lineRule="auto"/>
              <w:ind w:left="39"/>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对来访</w:t>
            </w:r>
            <w:r>
              <w:rPr>
                <w:rFonts w:hint="eastAsia" w:ascii="新宋体" w:hAnsi="新宋体" w:eastAsia="新宋体" w:cs="新宋体"/>
                <w:color w:val="auto"/>
                <w:sz w:val="24"/>
                <w:szCs w:val="24"/>
                <w:highlight w:val="none"/>
              </w:rPr>
              <w:t>人员</w:t>
            </w:r>
          </w:p>
        </w:tc>
        <w:tc>
          <w:tcPr>
            <w:tcW w:w="13830" w:type="dxa"/>
            <w:gridSpan w:val="3"/>
            <w:vAlign w:val="top"/>
          </w:tcPr>
          <w:p>
            <w:pPr>
              <w:spacing w:before="39" w:line="219"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1.主动说：“您好，请问您</w:t>
            </w:r>
            <w:r>
              <w:rPr>
                <w:rFonts w:hint="eastAsia" w:ascii="新宋体" w:hAnsi="新宋体" w:eastAsia="新宋体" w:cs="新宋体"/>
                <w:color w:val="auto"/>
                <w:spacing w:val="-3"/>
                <w:sz w:val="24"/>
                <w:szCs w:val="24"/>
                <w:highlight w:val="none"/>
              </w:rPr>
              <w:t>找</w:t>
            </w:r>
            <w:r>
              <w:rPr>
                <w:rFonts w:hint="eastAsia" w:ascii="新宋体" w:hAnsi="新宋体" w:eastAsia="新宋体" w:cs="新宋体"/>
                <w:color w:val="auto"/>
                <w:spacing w:val="-2"/>
                <w:sz w:val="24"/>
                <w:szCs w:val="24"/>
                <w:highlight w:val="none"/>
              </w:rPr>
              <w:t>哪一位”或“我可以帮助您吗？”“请您出示证件。”</w:t>
            </w:r>
            <w:r>
              <w:rPr>
                <w:rFonts w:hint="eastAsia" w:ascii="新宋体" w:hAnsi="新宋体" w:eastAsia="新宋体" w:cs="新宋体"/>
                <w:color w:val="auto"/>
                <w:spacing w:val="-2"/>
                <w:sz w:val="24"/>
                <w:szCs w:val="24"/>
                <w:highlight w:val="none"/>
                <w:lang w:eastAsia="zh-CN"/>
              </w:rPr>
              <w:t>（</w:t>
            </w:r>
            <w:r>
              <w:rPr>
                <w:rFonts w:hint="eastAsia" w:ascii="新宋体" w:hAnsi="新宋体" w:eastAsia="新宋体" w:cs="新宋体"/>
                <w:color w:val="auto"/>
                <w:spacing w:val="-2"/>
                <w:sz w:val="24"/>
                <w:szCs w:val="24"/>
                <w:highlight w:val="none"/>
              </w:rPr>
              <w:t>保安专用</w:t>
            </w:r>
            <w:r>
              <w:rPr>
                <w:rFonts w:hint="eastAsia" w:ascii="新宋体" w:hAnsi="新宋体" w:eastAsia="新宋体" w:cs="新宋体"/>
                <w:color w:val="auto"/>
                <w:spacing w:val="-2"/>
                <w:sz w:val="24"/>
                <w:szCs w:val="24"/>
                <w:highlight w:val="none"/>
                <w:lang w:eastAsia="zh-CN"/>
              </w:rPr>
              <w:t>）</w:t>
            </w:r>
          </w:p>
          <w:p>
            <w:pPr>
              <w:spacing w:before="89" w:line="219"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2.</w:t>
            </w:r>
            <w:r>
              <w:rPr>
                <w:rFonts w:hint="eastAsia" w:ascii="新宋体" w:hAnsi="新宋体" w:eastAsia="新宋体" w:cs="新宋体"/>
                <w:color w:val="auto"/>
                <w:spacing w:val="-8"/>
                <w:sz w:val="24"/>
                <w:szCs w:val="24"/>
                <w:highlight w:val="none"/>
              </w:rPr>
              <w:t>确</w:t>
            </w:r>
            <w:r>
              <w:rPr>
                <w:rFonts w:hint="eastAsia" w:ascii="新宋体" w:hAnsi="新宋体" w:eastAsia="新宋体" w:cs="新宋体"/>
                <w:color w:val="auto"/>
                <w:spacing w:val="-7"/>
                <w:sz w:val="24"/>
                <w:szCs w:val="24"/>
                <w:highlight w:val="none"/>
              </w:rPr>
              <w:t>认来访人要求后，说“请稍等，我帮您联系”与被访人联系后告诉来访人“他马上来，请您先等一下，好吗？”</w:t>
            </w:r>
          </w:p>
          <w:p>
            <w:pPr>
              <w:spacing w:before="91"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3.当</w:t>
            </w:r>
            <w:r>
              <w:rPr>
                <w:rFonts w:hint="eastAsia" w:ascii="新宋体" w:hAnsi="新宋体" w:eastAsia="新宋体" w:cs="新宋体"/>
                <w:color w:val="auto"/>
                <w:spacing w:val="-4"/>
                <w:sz w:val="24"/>
                <w:szCs w:val="24"/>
                <w:highlight w:val="none"/>
              </w:rPr>
              <w:t>来访人员不理解或不愿意出示证件时，应说：“对不起，先生/小姐，这是单位规定，请理解！”</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保安专用</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16"/>
                <w:sz w:val="24"/>
                <w:szCs w:val="24"/>
                <w:highlight w:val="none"/>
              </w:rPr>
              <w:t>4.</w:t>
            </w:r>
            <w:r>
              <w:rPr>
                <w:rFonts w:hint="eastAsia" w:ascii="新宋体" w:hAnsi="新宋体" w:eastAsia="新宋体" w:cs="新宋体"/>
                <w:color w:val="auto"/>
                <w:spacing w:val="-12"/>
                <w:sz w:val="24"/>
                <w:szCs w:val="24"/>
                <w:highlight w:val="none"/>
              </w:rPr>
              <w:t>当</w:t>
            </w:r>
            <w:r>
              <w:rPr>
                <w:rFonts w:hint="eastAsia" w:ascii="新宋体" w:hAnsi="新宋体" w:eastAsia="新宋体" w:cs="新宋体"/>
                <w:color w:val="auto"/>
                <w:spacing w:val="-8"/>
                <w:sz w:val="24"/>
                <w:szCs w:val="24"/>
                <w:highlight w:val="none"/>
              </w:rPr>
              <w:t>来访人员忘记带证件必须进入区域时，应说：“先生/小姐，请稍候，让我请示一下好吗？”</w:t>
            </w:r>
          </w:p>
          <w:p>
            <w:pPr>
              <w:spacing w:before="36" w:line="217"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5.当确认来访</w:t>
            </w:r>
            <w:r>
              <w:rPr>
                <w:rFonts w:hint="eastAsia" w:ascii="新宋体" w:hAnsi="新宋体" w:eastAsia="新宋体" w:cs="新宋体"/>
                <w:color w:val="auto"/>
                <w:spacing w:val="-6"/>
                <w:sz w:val="24"/>
                <w:szCs w:val="24"/>
                <w:highlight w:val="none"/>
              </w:rPr>
              <w:t>人故意捣乱，耍横硬闯时，应先说：“对不起，按单位的规定，没有证件不允许进入办公区，请配合我的工作。”</w:t>
            </w:r>
          </w:p>
          <w:p>
            <w:pPr>
              <w:spacing w:before="93"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6.当来访人</w:t>
            </w:r>
            <w:r>
              <w:rPr>
                <w:rFonts w:hint="eastAsia" w:ascii="新宋体" w:hAnsi="新宋体" w:eastAsia="新宋体" w:cs="新宋体"/>
                <w:color w:val="auto"/>
                <w:sz w:val="24"/>
                <w:szCs w:val="24"/>
                <w:highlight w:val="none"/>
              </w:rPr>
              <w:t>员出示证件时，应说：“谢谢您的配合。”</w:t>
            </w:r>
          </w:p>
          <w:p>
            <w:pPr>
              <w:spacing w:before="89" w:line="220"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7.如</w:t>
            </w:r>
            <w:r>
              <w:rPr>
                <w:rFonts w:hint="eastAsia" w:ascii="新宋体" w:hAnsi="新宋体" w:eastAsia="新宋体" w:cs="新宋体"/>
                <w:color w:val="auto"/>
                <w:sz w:val="24"/>
                <w:szCs w:val="24"/>
                <w:highlight w:val="none"/>
              </w:rPr>
              <w:t>果要找的人不在或不想见时，应礼貌地对对方说“对不起，他现在不在，您能留下卡片或口信吗？”</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8"/>
                <w:sz w:val="24"/>
                <w:szCs w:val="24"/>
                <w:highlight w:val="none"/>
              </w:rPr>
              <w:t>8.当</w:t>
            </w:r>
            <w:r>
              <w:rPr>
                <w:rFonts w:hint="eastAsia" w:ascii="新宋体" w:hAnsi="新宋体" w:eastAsia="新宋体" w:cs="新宋体"/>
                <w:color w:val="auto"/>
                <w:spacing w:val="-5"/>
                <w:sz w:val="24"/>
                <w:szCs w:val="24"/>
                <w:highlight w:val="none"/>
              </w:rPr>
              <w:t>来</w:t>
            </w:r>
            <w:r>
              <w:rPr>
                <w:rFonts w:hint="eastAsia" w:ascii="新宋体" w:hAnsi="新宋体" w:eastAsia="新宋体" w:cs="新宋体"/>
                <w:color w:val="auto"/>
                <w:spacing w:val="-4"/>
                <w:sz w:val="24"/>
                <w:szCs w:val="24"/>
                <w:highlight w:val="none"/>
              </w:rPr>
              <w:t>访人员离开时，应礼貌地说“再见！”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3068" w:hRule="atLeast"/>
        </w:trPr>
        <w:tc>
          <w:tcPr>
            <w:tcW w:w="737" w:type="dxa"/>
            <w:gridSpan w:val="2"/>
            <w:textDirection w:val="tbRlV"/>
            <w:vAlign w:val="top"/>
          </w:tcPr>
          <w:p>
            <w:pPr>
              <w:spacing w:before="93" w:line="181" w:lineRule="auto"/>
              <w:ind w:left="54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接听拨打电</w:t>
            </w:r>
            <w:r>
              <w:rPr>
                <w:rFonts w:hint="eastAsia" w:ascii="新宋体" w:hAnsi="新宋体" w:eastAsia="新宋体" w:cs="新宋体"/>
                <w:color w:val="auto"/>
                <w:spacing w:val="1"/>
                <w:sz w:val="24"/>
                <w:szCs w:val="24"/>
                <w:highlight w:val="none"/>
              </w:rPr>
              <w:t>话</w:t>
            </w:r>
          </w:p>
        </w:tc>
        <w:tc>
          <w:tcPr>
            <w:tcW w:w="13830" w:type="dxa"/>
            <w:gridSpan w:val="3"/>
            <w:vAlign w:val="top"/>
          </w:tcPr>
          <w:p>
            <w:pPr>
              <w:spacing w:before="33" w:line="221"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1.接听电话时应清晰应答：“您好，××单位。</w:t>
            </w:r>
            <w:r>
              <w:rPr>
                <w:rFonts w:hint="eastAsia" w:ascii="新宋体" w:hAnsi="新宋体" w:eastAsia="新宋体" w:cs="新宋体"/>
                <w:color w:val="auto"/>
                <w:spacing w:val="-1"/>
                <w:sz w:val="24"/>
                <w:szCs w:val="24"/>
                <w:highlight w:val="none"/>
              </w:rPr>
              <w:t>”</w:t>
            </w:r>
          </w:p>
          <w:p>
            <w:pPr>
              <w:spacing w:before="90" w:line="260" w:lineRule="auto"/>
              <w:ind w:left="112" w:right="113" w:firstLine="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2.认真倾听对方的电话事由，若需传呼他人，应请对方稍候，然后轻轻搁下电话，去传呼他人：如对方有公事相告时，应将对方要求逐条记录</w:t>
            </w:r>
            <w:r>
              <w:rPr>
                <w:rFonts w:hint="eastAsia" w:ascii="新宋体" w:hAnsi="新宋体" w:eastAsia="新宋体" w:cs="新宋体"/>
                <w:color w:val="auto"/>
                <w:spacing w:val="-3"/>
                <w:sz w:val="24"/>
                <w:szCs w:val="24"/>
                <w:highlight w:val="none"/>
              </w:rPr>
              <w:t>在</w:t>
            </w:r>
            <w:r>
              <w:rPr>
                <w:rFonts w:hint="eastAsia" w:ascii="新宋体" w:hAnsi="新宋体" w:eastAsia="新宋体" w:cs="新宋体"/>
                <w:color w:val="auto"/>
                <w:sz w:val="24"/>
                <w:szCs w:val="24"/>
                <w:highlight w:val="none"/>
              </w:rPr>
              <w:t>《工</w:t>
            </w:r>
            <w:r>
              <w:rPr>
                <w:rFonts w:hint="eastAsia" w:ascii="新宋体" w:hAnsi="新宋体" w:eastAsia="新宋体" w:cs="新宋体"/>
                <w:color w:val="auto"/>
                <w:spacing w:val="-2"/>
                <w:sz w:val="24"/>
                <w:szCs w:val="24"/>
                <w:highlight w:val="none"/>
              </w:rPr>
              <w:t>作日记》内，并尽量详细回</w:t>
            </w:r>
            <w:r>
              <w:rPr>
                <w:rFonts w:hint="eastAsia" w:ascii="新宋体" w:hAnsi="新宋体" w:eastAsia="新宋体" w:cs="新宋体"/>
                <w:color w:val="auto"/>
                <w:spacing w:val="-1"/>
                <w:sz w:val="24"/>
                <w:szCs w:val="24"/>
                <w:highlight w:val="none"/>
              </w:rPr>
              <w:t>答。</w:t>
            </w:r>
          </w:p>
          <w:p>
            <w:pPr>
              <w:spacing w:before="89"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7"/>
                <w:sz w:val="24"/>
                <w:szCs w:val="24"/>
                <w:highlight w:val="none"/>
              </w:rPr>
              <w:t>通话完毕，应说：“谢谢，再见！”语气平和，并在对方放下电话后再轻轻放下电话。</w:t>
            </w:r>
          </w:p>
          <w:p>
            <w:pPr>
              <w:spacing w:before="88" w:line="217" w:lineRule="auto"/>
              <w:ind w:left="1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6"/>
                <w:sz w:val="24"/>
                <w:szCs w:val="24"/>
                <w:highlight w:val="none"/>
              </w:rPr>
              <w:t>4.如</w:t>
            </w:r>
            <w:r>
              <w:rPr>
                <w:rFonts w:hint="eastAsia" w:ascii="新宋体" w:hAnsi="新宋体" w:eastAsia="新宋体" w:cs="新宋体"/>
                <w:color w:val="auto"/>
                <w:spacing w:val="-13"/>
                <w:sz w:val="24"/>
                <w:szCs w:val="24"/>
                <w:highlight w:val="none"/>
              </w:rPr>
              <w:t>接</w:t>
            </w:r>
            <w:r>
              <w:rPr>
                <w:rFonts w:hint="eastAsia" w:ascii="新宋体" w:hAnsi="新宋体" w:eastAsia="新宋体" w:cs="新宋体"/>
                <w:color w:val="auto"/>
                <w:spacing w:val="-8"/>
                <w:sz w:val="24"/>
                <w:szCs w:val="24"/>
                <w:highlight w:val="none"/>
              </w:rPr>
              <w:t>电话听不懂对方语言时，应说：“对不起，请您用普通话，好吗？”或“不好意思，请稍候，我不会说当地话。”</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5.中途若遇急事需暂时中</w:t>
            </w:r>
            <w:r>
              <w:rPr>
                <w:rFonts w:hint="eastAsia" w:ascii="新宋体" w:hAnsi="新宋体" w:eastAsia="新宋体" w:cs="新宋体"/>
                <w:color w:val="auto"/>
                <w:spacing w:val="-5"/>
                <w:sz w:val="24"/>
                <w:szCs w:val="24"/>
                <w:highlight w:val="none"/>
              </w:rPr>
              <w:t>断</w:t>
            </w:r>
            <w:r>
              <w:rPr>
                <w:rFonts w:hint="eastAsia" w:ascii="新宋体" w:hAnsi="新宋体" w:eastAsia="新宋体" w:cs="新宋体"/>
                <w:color w:val="auto"/>
                <w:spacing w:val="-3"/>
                <w:sz w:val="24"/>
                <w:szCs w:val="24"/>
                <w:highlight w:val="none"/>
              </w:rPr>
              <w:t>与对方通话时，应先征得对方的同意，并表示感谢，恢复与对方通话时，切勿忘记向对方致歉。</w:t>
            </w:r>
          </w:p>
          <w:p>
            <w:pPr>
              <w:spacing w:before="90"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6.接听电话时，声调要自然清晰、柔和、亲切，音量</w:t>
            </w:r>
            <w:r>
              <w:rPr>
                <w:rFonts w:hint="eastAsia" w:ascii="新宋体" w:hAnsi="新宋体" w:eastAsia="新宋体" w:cs="新宋体"/>
                <w:color w:val="auto"/>
                <w:sz w:val="24"/>
                <w:szCs w:val="24"/>
                <w:highlight w:val="none"/>
              </w:rPr>
              <w:t>要适宜，以免对方听不清楚。</w:t>
            </w:r>
          </w:p>
          <w:p>
            <w:pPr>
              <w:spacing w:before="90"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7.拨打电话接通后，应首先向对方致以问候，如：“您好”，并作自我介绍。使用敬语，将要找的通话人姓名及要做的事交待清</w:t>
            </w:r>
            <w:r>
              <w:rPr>
                <w:rFonts w:hint="eastAsia" w:ascii="新宋体" w:hAnsi="新宋体" w:eastAsia="新宋体" w:cs="新宋体"/>
                <w:color w:val="auto"/>
                <w:spacing w:val="-7"/>
                <w:sz w:val="24"/>
                <w:szCs w:val="24"/>
                <w:highlight w:val="none"/>
              </w:rPr>
              <w:t>楚</w:t>
            </w:r>
            <w:r>
              <w:rPr>
                <w:rFonts w:hint="eastAsia" w:ascii="新宋体" w:hAnsi="新宋体" w:eastAsia="新宋体" w:cs="新宋体"/>
                <w:color w:val="auto"/>
                <w:sz w:val="24"/>
                <w:szCs w:val="24"/>
                <w:highlight w:val="none"/>
              </w:rPr>
              <w:t>。</w:t>
            </w:r>
          </w:p>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8</w:t>
            </w:r>
            <w:r>
              <w:rPr>
                <w:rFonts w:hint="eastAsia" w:ascii="新宋体" w:hAnsi="新宋体" w:eastAsia="新宋体" w:cs="新宋体"/>
                <w:color w:val="auto"/>
                <w:spacing w:val="-13"/>
                <w:sz w:val="24"/>
                <w:szCs w:val="24"/>
                <w:highlight w:val="none"/>
              </w:rPr>
              <w:t>.通话完毕时，应说：“谢谢，再见。”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1028" w:hRule="atLeast"/>
        </w:trPr>
        <w:tc>
          <w:tcPr>
            <w:tcW w:w="737" w:type="dxa"/>
            <w:gridSpan w:val="2"/>
            <w:vAlign w:val="top"/>
          </w:tcPr>
          <w:p>
            <w:pPr>
              <w:spacing w:before="206" w:line="227"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同</w:t>
            </w:r>
            <w:r>
              <w:rPr>
                <w:rFonts w:hint="eastAsia" w:ascii="新宋体" w:hAnsi="新宋体" w:eastAsia="新宋体" w:cs="新宋体"/>
                <w:color w:val="auto"/>
                <w:spacing w:val="-2"/>
                <w:sz w:val="24"/>
                <w:szCs w:val="24"/>
                <w:highlight w:val="none"/>
              </w:rPr>
              <w:t>乘</w:t>
            </w:r>
          </w:p>
          <w:p>
            <w:pPr>
              <w:spacing w:line="186"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电</w:t>
            </w:r>
            <w:r>
              <w:rPr>
                <w:rFonts w:hint="eastAsia" w:ascii="新宋体" w:hAnsi="新宋体" w:eastAsia="新宋体" w:cs="新宋体"/>
                <w:color w:val="auto"/>
                <w:spacing w:val="-2"/>
                <w:sz w:val="24"/>
                <w:szCs w:val="24"/>
                <w:highlight w:val="none"/>
              </w:rPr>
              <w:t>梯</w:t>
            </w:r>
          </w:p>
        </w:tc>
        <w:tc>
          <w:tcPr>
            <w:tcW w:w="13830" w:type="dxa"/>
            <w:gridSpan w:val="3"/>
            <w:vAlign w:val="top"/>
          </w:tcPr>
          <w:p>
            <w:pPr>
              <w:spacing w:before="36" w:line="260" w:lineRule="auto"/>
              <w:ind w:left="110" w:right="167" w:firstLine="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1.主动按</w:t>
            </w:r>
            <w:r>
              <w:rPr>
                <w:rFonts w:hint="eastAsia" w:ascii="新宋体" w:hAnsi="新宋体" w:eastAsia="新宋体" w:cs="新宋体"/>
                <w:color w:val="auto"/>
                <w:spacing w:val="-3"/>
                <w:sz w:val="24"/>
                <w:szCs w:val="24"/>
                <w:highlight w:val="none"/>
              </w:rPr>
              <w:t>“开门”钮，电梯到层时，应站在梯门边，一只手斜放在梯门上，以免梯门突然关闭，同时面带微笑地说“电梯来了，请进。”顾客进</w:t>
            </w:r>
            <w:r>
              <w:rPr>
                <w:rFonts w:hint="eastAsia" w:ascii="新宋体" w:hAnsi="新宋体" w:eastAsia="新宋体" w:cs="新宋体"/>
                <w:color w:val="auto"/>
                <w:spacing w:val="-10"/>
                <w:sz w:val="24"/>
                <w:szCs w:val="24"/>
                <w:highlight w:val="none"/>
              </w:rPr>
              <w:t>入</w:t>
            </w:r>
            <w:r>
              <w:rPr>
                <w:rFonts w:hint="eastAsia" w:ascii="新宋体" w:hAnsi="新宋体" w:eastAsia="新宋体" w:cs="新宋体"/>
                <w:color w:val="auto"/>
                <w:spacing w:val="-8"/>
                <w:sz w:val="24"/>
                <w:szCs w:val="24"/>
                <w:highlight w:val="none"/>
              </w:rPr>
              <w:t>电</w:t>
            </w:r>
            <w:r>
              <w:rPr>
                <w:rFonts w:hint="eastAsia" w:ascii="新宋体" w:hAnsi="新宋体" w:eastAsia="新宋体" w:cs="新宋体"/>
                <w:color w:val="auto"/>
                <w:spacing w:val="-5"/>
                <w:sz w:val="24"/>
                <w:szCs w:val="24"/>
                <w:highlight w:val="none"/>
              </w:rPr>
              <w:t>梯后再进电梯，面向电梯门，按“关门”钮。</w:t>
            </w:r>
          </w:p>
          <w:p>
            <w:pPr>
              <w:spacing w:before="87"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2.电梯停止梯门打开后，首先出去站立在梯门旁，一只手斜放在梯门上，同时另一只手指向通道</w:t>
            </w:r>
            <w:r>
              <w:rPr>
                <w:rFonts w:hint="eastAsia" w:ascii="新宋体" w:hAnsi="新宋体" w:eastAsia="新宋体" w:cs="新宋体"/>
                <w:color w:val="auto"/>
                <w:spacing w:val="-1"/>
                <w:sz w:val="24"/>
                <w:szCs w:val="24"/>
                <w:highlight w:val="none"/>
              </w:rPr>
              <w:t>，面带微笑地说：“到了，请走好。”</w:t>
            </w:r>
          </w:p>
        </w:tc>
      </w:tr>
    </w:tbl>
    <w:p>
      <w:pPr>
        <w:pStyle w:val="5"/>
        <w:rPr>
          <w:rFonts w:hint="eastAsia" w:ascii="新宋体" w:hAnsi="新宋体" w:eastAsia="新宋体" w:cs="新宋体"/>
          <w:color w:val="auto"/>
          <w:kern w:val="0"/>
          <w:sz w:val="24"/>
          <w:szCs w:val="24"/>
          <w:highlight w:val="none"/>
        </w:rPr>
        <w:sectPr>
          <w:pgSz w:w="16838" w:h="11900" w:orient="landscape"/>
          <w:pgMar w:top="1712" w:right="1429" w:bottom="1599" w:left="0"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pStyle w:val="2"/>
        <w:ind w:left="0" w:leftChars="0" w:firstLine="0" w:firstLineChars="0"/>
        <w:rPr>
          <w:color w:val="auto"/>
          <w:highlight w:val="none"/>
        </w:rPr>
      </w:pPr>
    </w:p>
    <w:p>
      <w:pPr>
        <w:spacing w:line="66" w:lineRule="exact"/>
        <w:rPr>
          <w:rFonts w:ascii="新宋体" w:hAnsi="新宋体" w:eastAsia="新宋体" w:cs="新宋体"/>
          <w:color w:val="auto"/>
          <w:sz w:val="24"/>
          <w:highlight w:val="none"/>
        </w:rPr>
      </w:pP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其他相关要求</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根据本项目物业使用特点，提出合理的物业管理服务理念、服务定位和服务目标。</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有比较完善的组织架构、主要管理流程（包括：运作流程图、信息反馈及处理运作流程图、投诉处理运作流程图、紧急情况处理运作流程图）、主要管理机制（包括：激励机制、监督机制、约束机制）。</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有完善的物业管理制度，包括：考勤管理制度、财务管理制度、接待投诉制度、培训学习制度、监督考核制度、档案管理制度、各项工作制度等，体现标准化服务水平。</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针对本项目的员工培训方案，包括：培训目的、培训内容、培训时间、培训地点、培训者、培训对象、培训方式等。</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本项目投入设施设备等情况</w:t>
      </w:r>
    </w:p>
    <w:p>
      <w:pPr>
        <w:numPr>
          <w:ilvl w:val="0"/>
          <w:numId w:val="11"/>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人提供的办公区域内，不能与物管区域外单位、部门或团体共用，其办公用品所需耗材由中标单位自行承担。</w:t>
      </w:r>
    </w:p>
    <w:p>
      <w:pPr>
        <w:numPr>
          <w:ilvl w:val="0"/>
          <w:numId w:val="11"/>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中标单位应投入本项目的设备：扫地机、抛光机、高压冲洗机、吸尘吸水器</w:t>
      </w:r>
      <w:r>
        <w:rPr>
          <w:rFonts w:hint="eastAsia" w:ascii="新宋体" w:hAnsi="新宋体" w:eastAsia="新宋体" w:cs="新宋体"/>
          <w:color w:val="auto"/>
          <w:sz w:val="24"/>
          <w:highlight w:val="none"/>
          <w:lang w:val="en-US" w:eastAsia="zh-CN"/>
        </w:rPr>
        <w:t>各1台</w:t>
      </w:r>
      <w:r>
        <w:rPr>
          <w:rFonts w:hint="eastAsia" w:ascii="新宋体" w:hAnsi="新宋体" w:eastAsia="新宋体" w:cs="新宋体"/>
          <w:color w:val="auto"/>
          <w:sz w:val="24"/>
          <w:highlight w:val="none"/>
        </w:rPr>
        <w:t>。</w:t>
      </w:r>
    </w:p>
    <w:p>
      <w:pPr>
        <w:numPr>
          <w:ilvl w:val="0"/>
          <w:numId w:val="11"/>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中标单位应提供保洁日常工具、厕纸、擦手纸、洗手液等耗材，配备防爆、防汛物资、工程维护部物料及器材消耗。</w:t>
      </w:r>
    </w:p>
    <w:p>
      <w:pPr>
        <w:numPr>
          <w:ilvl w:val="0"/>
          <w:numId w:val="10"/>
        </w:numPr>
        <w:ind w:firstLine="420"/>
        <w:rPr>
          <w:color w:val="auto"/>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w:t>
      </w:r>
      <w:r>
        <w:rPr>
          <w:rFonts w:hint="eastAsia" w:ascii="新宋体" w:hAnsi="新宋体" w:eastAsia="新宋体" w:cs="新宋体"/>
          <w:color w:val="auto"/>
          <w:sz w:val="24"/>
          <w:szCs w:val="24"/>
          <w:highlight w:val="none"/>
          <w:lang w:eastAsia="zh-CN"/>
        </w:rPr>
        <w:t>（如应急迎检、夏日提供凉茶、传统节日开展各类活动等）</w:t>
      </w:r>
    </w:p>
    <w:p>
      <w:pPr>
        <w:numPr>
          <w:ilvl w:val="0"/>
          <w:numId w:val="10"/>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投标人具有类似物业管理服务经验。</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管理服务费用及支付</w:t>
      </w:r>
    </w:p>
    <w:p>
      <w:pPr>
        <w:numPr>
          <w:ilvl w:val="0"/>
          <w:numId w:val="12"/>
        </w:numPr>
        <w:spacing w:line="360" w:lineRule="auto"/>
        <w:rPr>
          <w:rFonts w:ascii="新宋体" w:hAnsi="新宋体" w:eastAsia="新宋体" w:cs="新宋体"/>
          <w:color w:val="auto"/>
          <w:spacing w:val="11"/>
          <w:sz w:val="24"/>
          <w:highlight w:val="none"/>
        </w:rPr>
      </w:pPr>
      <w:r>
        <w:rPr>
          <w:rFonts w:hint="eastAsia" w:ascii="新宋体" w:hAnsi="新宋体" w:eastAsia="新宋体" w:cs="新宋体"/>
          <w:color w:val="auto"/>
          <w:spacing w:val="11"/>
          <w:sz w:val="24"/>
          <w:highlight w:val="none"/>
        </w:rPr>
        <w:t>报价说明</w:t>
      </w:r>
    </w:p>
    <w:p>
      <w:pPr>
        <w:widowControl/>
        <w:numPr>
          <w:ilvl w:val="0"/>
          <w:numId w:val="13"/>
        </w:numPr>
        <w:adjustRightInd/>
        <w:spacing w:line="360" w:lineRule="auto"/>
        <w:jc w:val="left"/>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投标报价包含完成本项目招标要求的</w:t>
      </w:r>
      <w:r>
        <w:rPr>
          <w:rFonts w:hint="eastAsia" w:ascii="新宋体" w:hAnsi="新宋体" w:eastAsia="新宋体" w:cs="新宋体"/>
          <w:color w:val="auto"/>
          <w:sz w:val="24"/>
          <w:highlight w:val="none"/>
        </w:rPr>
        <w:t>清洁保洁、</w:t>
      </w:r>
      <w:r>
        <w:rPr>
          <w:rFonts w:hint="eastAsia" w:ascii="新宋体" w:hAnsi="新宋体" w:eastAsia="新宋体" w:cs="新宋体"/>
          <w:bCs/>
          <w:color w:val="auto"/>
          <w:sz w:val="24"/>
          <w:highlight w:val="none"/>
        </w:rPr>
        <w:t>安全消控管理、绿化养护、绿化租赁、工程设备维护</w:t>
      </w:r>
      <w:r>
        <w:rPr>
          <w:rFonts w:hint="eastAsia" w:ascii="新宋体" w:hAnsi="新宋体" w:eastAsia="新宋体" w:cs="新宋体"/>
          <w:color w:val="auto"/>
          <w:sz w:val="24"/>
          <w:highlight w:val="none"/>
        </w:rPr>
        <w:t>、会务服务以及</w:t>
      </w:r>
      <w:r>
        <w:rPr>
          <w:rFonts w:hint="eastAsia" w:ascii="新宋体" w:hAnsi="新宋体" w:eastAsia="新宋体" w:cs="新宋体"/>
          <w:bCs/>
          <w:color w:val="auto"/>
          <w:sz w:val="24"/>
          <w:highlight w:val="none"/>
        </w:rPr>
        <w:t>采购人交办的其他工作所产生的所有费用，包括但不限于人员工资、奖金、福利等以及人员服装费、设备维护费、设备使用费、维修配件费、保洁工具耗材费、管理费、税费等，采购人不再支付其他费用。</w:t>
      </w:r>
    </w:p>
    <w:p>
      <w:pPr>
        <w:widowControl/>
        <w:numPr>
          <w:ilvl w:val="0"/>
          <w:numId w:val="13"/>
        </w:numPr>
        <w:adjustRightInd/>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中标单位应严格按照杭州市社保缴纳基数相关规定进行社保缴纳，并按规定缴纳住房公积金，做到合法用工。</w:t>
      </w:r>
    </w:p>
    <w:p>
      <w:pPr>
        <w:widowControl/>
        <w:numPr>
          <w:ilvl w:val="0"/>
          <w:numId w:val="13"/>
        </w:numPr>
        <w:adjustRightInd/>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物业管理服务费用以签订的合同价为准，合同期内如遇工作人员的最低工资调整等其他因素，产生的费用由中标单位承担，采购人不追加因用工成本增加产生的费用。</w:t>
      </w:r>
    </w:p>
    <w:p>
      <w:pPr>
        <w:numPr>
          <w:ilvl w:val="0"/>
          <w:numId w:val="12"/>
        </w:numPr>
        <w:spacing w:line="360" w:lineRule="auto"/>
        <w:rPr>
          <w:rFonts w:ascii="新宋体" w:hAnsi="新宋体" w:eastAsia="新宋体" w:cs="新宋体"/>
          <w:color w:val="auto"/>
          <w:spacing w:val="11"/>
          <w:sz w:val="24"/>
          <w:highlight w:val="none"/>
        </w:rPr>
      </w:pPr>
      <w:r>
        <w:rPr>
          <w:rFonts w:hint="eastAsia" w:ascii="新宋体" w:hAnsi="新宋体" w:eastAsia="新宋体" w:cs="新宋体"/>
          <w:color w:val="auto"/>
          <w:spacing w:val="11"/>
          <w:sz w:val="24"/>
          <w:highlight w:val="none"/>
        </w:rPr>
        <w:t>费用支付</w:t>
      </w:r>
    </w:p>
    <w:p>
      <w:pPr>
        <w:spacing w:line="360" w:lineRule="auto"/>
        <w:ind w:firstLine="420"/>
        <w:rPr>
          <w:rFonts w:ascii="新宋体" w:hAnsi="新宋体" w:eastAsia="新宋体" w:cs="新宋体"/>
          <w:bCs/>
          <w:color w:val="auto"/>
          <w:sz w:val="24"/>
          <w:highlight w:val="none"/>
        </w:rPr>
      </w:pPr>
      <w:r>
        <w:rPr>
          <w:rFonts w:hint="eastAsia" w:ascii="新宋体" w:hAnsi="新宋体" w:eastAsia="新宋体" w:cs="新宋体"/>
          <w:color w:val="auto"/>
          <w:sz w:val="24"/>
          <w:highlight w:val="none"/>
          <w:shd w:val="clear" w:color="040000" w:fill="FFFFFF"/>
        </w:rPr>
        <w:t>1、采购人自合同签订后</w:t>
      </w:r>
      <w:r>
        <w:rPr>
          <w:rFonts w:hint="eastAsia"/>
          <w:color w:val="auto"/>
          <w:highlight w:val="none"/>
          <w:lang w:val="en-US" w:eastAsia="zh-CN"/>
        </w:rPr>
        <w:t>每三个月</w:t>
      </w:r>
      <w:r>
        <w:rPr>
          <w:rFonts w:hint="eastAsia" w:ascii="新宋体" w:hAnsi="新宋体" w:eastAsia="新宋体" w:cs="新宋体"/>
          <w:color w:val="auto"/>
          <w:sz w:val="24"/>
          <w:highlight w:val="none"/>
          <w:shd w:val="clear" w:color="040000" w:fill="FFFFFF"/>
        </w:rPr>
        <w:t>经考核合格后支付年合同价的25%。</w:t>
      </w:r>
    </w:p>
    <w:p>
      <w:pPr>
        <w:shd w:val="clear" w:color="040000" w:fill="FFFFFF"/>
        <w:snapToGrid w:val="0"/>
        <w:spacing w:line="360" w:lineRule="auto"/>
        <w:ind w:firstLine="420"/>
        <w:rPr>
          <w:rFonts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2、中标人因合同违约、工作失误或根据考核结果造成的扣款，采购人在支付每三个月服务费时在应支付的服务费中相应扣除。</w:t>
      </w:r>
    </w:p>
    <w:p>
      <w:pPr>
        <w:spacing w:line="360" w:lineRule="auto"/>
        <w:ind w:firstLine="420"/>
        <w:rPr>
          <w:rFonts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3、采购人每次付款前，中标人须提交对应金额的正规发票。</w:t>
      </w:r>
    </w:p>
    <w:p>
      <w:pPr>
        <w:spacing w:line="360" w:lineRule="auto"/>
        <w:rPr>
          <w:rFonts w:ascii="新宋体" w:hAnsi="新宋体" w:eastAsia="新宋体" w:cs="新宋体"/>
          <w:b/>
          <w:bCs/>
          <w:color w:val="auto"/>
          <w:sz w:val="24"/>
          <w:highlight w:val="none"/>
        </w:rPr>
      </w:pPr>
    </w:p>
    <w:p>
      <w:pPr>
        <w:numPr>
          <w:ilvl w:val="0"/>
          <w:numId w:val="0"/>
        </w:numPr>
        <w:spacing w:line="360" w:lineRule="auto"/>
        <w:ind w:left="420" w:leftChars="0"/>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七、物业服务质量考核标准</w:t>
      </w:r>
    </w:p>
    <w:p>
      <w:pPr>
        <w:snapToGrid w:val="0"/>
        <w:spacing w:line="440" w:lineRule="exact"/>
        <w:ind w:firstLine="480" w:firstLineChars="200"/>
        <w:rPr>
          <w:rFonts w:hint="eastAsia" w:ascii="新宋体" w:hAnsi="新宋体" w:eastAsia="新宋体" w:cs="新宋体"/>
          <w:b/>
          <w:bCs/>
          <w:color w:val="auto"/>
          <w:sz w:val="24"/>
          <w:szCs w:val="24"/>
          <w:highlight w:val="none"/>
        </w:rPr>
      </w:pPr>
      <w:r>
        <w:rPr>
          <w:rFonts w:hint="eastAsia" w:ascii="新宋体" w:hAnsi="新宋体" w:eastAsia="新宋体" w:cs="新宋体"/>
          <w:color w:val="auto"/>
          <w:sz w:val="24"/>
          <w:szCs w:val="24"/>
          <w:highlight w:val="none"/>
          <w:shd w:val="clear" w:color="040000" w:fill="FFFFFF"/>
        </w:rPr>
        <w:t>本考核要求采用百分制，每年考核四次，每</w:t>
      </w:r>
      <w:r>
        <w:rPr>
          <w:rFonts w:hint="eastAsia" w:ascii="新宋体" w:hAnsi="新宋体" w:eastAsia="新宋体" w:cs="新宋体"/>
          <w:color w:val="auto"/>
          <w:sz w:val="24"/>
          <w:szCs w:val="24"/>
          <w:highlight w:val="none"/>
          <w:shd w:val="clear" w:color="040000" w:fill="FFFFFF"/>
          <w:lang w:eastAsia="zh-CN"/>
        </w:rPr>
        <w:t>三个月</w:t>
      </w:r>
      <w:r>
        <w:rPr>
          <w:rFonts w:hint="eastAsia" w:ascii="新宋体" w:hAnsi="新宋体" w:eastAsia="新宋体" w:cs="新宋体"/>
          <w:color w:val="auto"/>
          <w:sz w:val="24"/>
          <w:szCs w:val="24"/>
          <w:highlight w:val="none"/>
          <w:shd w:val="clear" w:color="040000" w:fill="FFFFFF"/>
        </w:rPr>
        <w:t xml:space="preserve">考核一次，采购人可视情况增加考核次数，并按以下原则评定考核等级： </w:t>
      </w:r>
    </w:p>
    <w:p>
      <w:pPr>
        <w:numPr>
          <w:ilvl w:val="0"/>
          <w:numId w:val="14"/>
        </w:numPr>
        <w:snapToGrid w:val="0"/>
        <w:spacing w:line="440" w:lineRule="exact"/>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90</w:t>
      </w:r>
      <w:r>
        <w:rPr>
          <w:rFonts w:hint="eastAsia" w:ascii="新宋体" w:hAnsi="新宋体" w:eastAsia="新宋体" w:cs="新宋体"/>
          <w:color w:val="auto"/>
          <w:sz w:val="24"/>
          <w:szCs w:val="24"/>
          <w:highlight w:val="none"/>
          <w:shd w:val="clear" w:color="040000" w:fill="FFFFFF"/>
        </w:rPr>
        <w:t>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视为优秀，全额拨付当期物业服务费用。</w:t>
      </w:r>
    </w:p>
    <w:p>
      <w:pPr>
        <w:numPr>
          <w:ilvl w:val="0"/>
          <w:numId w:val="14"/>
        </w:numPr>
        <w:snapToGrid w:val="0"/>
        <w:spacing w:line="440" w:lineRule="exact"/>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80</w:t>
      </w: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9</w:t>
      </w:r>
      <w:r>
        <w:rPr>
          <w:rFonts w:hint="eastAsia" w:ascii="新宋体" w:hAnsi="新宋体" w:eastAsia="新宋体" w:cs="新宋体"/>
          <w:color w:val="auto"/>
          <w:sz w:val="24"/>
          <w:szCs w:val="24"/>
          <w:highlight w:val="none"/>
          <w:shd w:val="clear" w:color="040000" w:fill="FFFFFF"/>
        </w:rPr>
        <w:t>0分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视为良好，扣除当期物业服务费用的2%；</w:t>
      </w:r>
    </w:p>
    <w:p>
      <w:pPr>
        <w:numPr>
          <w:ilvl w:val="0"/>
          <w:numId w:val="14"/>
        </w:numPr>
        <w:snapToGrid w:val="0"/>
        <w:spacing w:line="440" w:lineRule="exact"/>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≤考核分＜</w:t>
      </w:r>
      <w:r>
        <w:rPr>
          <w:rFonts w:hint="eastAsia" w:ascii="新宋体" w:hAnsi="新宋体" w:eastAsia="新宋体" w:cs="新宋体"/>
          <w:color w:val="auto"/>
          <w:sz w:val="24"/>
          <w:szCs w:val="24"/>
          <w:highlight w:val="none"/>
          <w:shd w:val="clear" w:color="040000" w:fill="FFFFFF"/>
          <w:lang w:val="en-US" w:eastAsia="zh-CN"/>
        </w:rPr>
        <w:t>80</w:t>
      </w:r>
      <w:r>
        <w:rPr>
          <w:rFonts w:hint="eastAsia" w:ascii="新宋体" w:hAnsi="新宋体" w:eastAsia="新宋体" w:cs="新宋体"/>
          <w:color w:val="auto"/>
          <w:sz w:val="24"/>
          <w:szCs w:val="24"/>
          <w:highlight w:val="none"/>
          <w:shd w:val="clear" w:color="040000" w:fill="FFFFFF"/>
        </w:rPr>
        <w:t>分</w:t>
      </w:r>
      <w:r>
        <w:rPr>
          <w:rFonts w:hint="eastAsia" w:ascii="新宋体" w:hAnsi="新宋体" w:eastAsia="新宋体" w:cs="新宋体"/>
          <w:color w:val="auto"/>
          <w:sz w:val="24"/>
          <w:szCs w:val="24"/>
          <w:highlight w:val="none"/>
          <w:shd w:val="clear" w:color="040000" w:fill="FFFFFF"/>
          <w:lang w:eastAsia="zh-CN"/>
        </w:rPr>
        <w:t>，</w:t>
      </w:r>
      <w:r>
        <w:rPr>
          <w:rFonts w:hint="eastAsia" w:ascii="新宋体" w:hAnsi="新宋体" w:eastAsia="新宋体" w:cs="新宋体"/>
          <w:color w:val="auto"/>
          <w:sz w:val="24"/>
          <w:szCs w:val="24"/>
          <w:highlight w:val="none"/>
          <w:shd w:val="clear" w:color="040000" w:fill="FFFFFF"/>
        </w:rPr>
        <w:t>视为合格，扣除当期物业服务费用的5%；</w:t>
      </w:r>
    </w:p>
    <w:p>
      <w:pPr>
        <w:numPr>
          <w:ilvl w:val="0"/>
          <w:numId w:val="14"/>
        </w:numPr>
        <w:snapToGrid w:val="0"/>
        <w:spacing w:line="440" w:lineRule="exact"/>
        <w:ind w:left="0" w:leftChars="0" w:firstLine="400" w:firstLineChars="0"/>
        <w:rPr>
          <w:rFonts w:hint="eastAsia" w:ascii="新宋体" w:hAnsi="新宋体" w:eastAsia="新宋体" w:cs="新宋体"/>
          <w:color w:val="auto"/>
          <w:sz w:val="24"/>
          <w:szCs w:val="24"/>
          <w:highlight w:val="none"/>
          <w:shd w:val="clear" w:color="040000" w:fill="FFFFFF"/>
        </w:rPr>
      </w:pPr>
      <w:r>
        <w:rPr>
          <w:rFonts w:hint="eastAsia" w:ascii="新宋体" w:hAnsi="新宋体" w:eastAsia="新宋体" w:cs="新宋体"/>
          <w:color w:val="auto"/>
          <w:sz w:val="24"/>
          <w:szCs w:val="24"/>
          <w:highlight w:val="none"/>
          <w:shd w:val="clear" w:color="040000" w:fill="FFFFFF"/>
        </w:rPr>
        <w:t>考核分＜7</w:t>
      </w:r>
      <w:r>
        <w:rPr>
          <w:rFonts w:hint="eastAsia" w:ascii="新宋体" w:hAnsi="新宋体" w:eastAsia="新宋体" w:cs="新宋体"/>
          <w:color w:val="auto"/>
          <w:sz w:val="24"/>
          <w:szCs w:val="24"/>
          <w:highlight w:val="none"/>
          <w:shd w:val="clear" w:color="040000" w:fill="FFFFFF"/>
          <w:lang w:val="en-US" w:eastAsia="zh-CN"/>
        </w:rPr>
        <w:t>0</w:t>
      </w:r>
      <w:r>
        <w:rPr>
          <w:rFonts w:hint="eastAsia" w:ascii="新宋体" w:hAnsi="新宋体" w:eastAsia="新宋体" w:cs="新宋体"/>
          <w:color w:val="auto"/>
          <w:sz w:val="24"/>
          <w:szCs w:val="24"/>
          <w:highlight w:val="none"/>
          <w:shd w:val="clear" w:color="040000" w:fill="FFFFFF"/>
        </w:rPr>
        <w:t>分视为不合格，扣除当期物业服务费用的10%。如在考核中中标人连续二次考核分＜</w:t>
      </w:r>
      <w:r>
        <w:rPr>
          <w:rFonts w:hint="eastAsia" w:ascii="新宋体" w:hAnsi="新宋体" w:eastAsia="新宋体" w:cs="新宋体"/>
          <w:color w:val="auto"/>
          <w:sz w:val="24"/>
          <w:szCs w:val="24"/>
          <w:highlight w:val="none"/>
          <w:shd w:val="clear" w:color="040000" w:fill="FFFFFF"/>
          <w:lang w:val="en-US" w:eastAsia="zh-CN"/>
        </w:rPr>
        <w:t>70</w:t>
      </w:r>
      <w:r>
        <w:rPr>
          <w:rFonts w:hint="eastAsia" w:ascii="新宋体" w:hAnsi="新宋体" w:eastAsia="新宋体" w:cs="新宋体"/>
          <w:color w:val="auto"/>
          <w:sz w:val="24"/>
          <w:szCs w:val="24"/>
          <w:highlight w:val="none"/>
          <w:shd w:val="clear" w:color="040000" w:fill="FFFFFF"/>
        </w:rPr>
        <w:t>分，采购人将通知中标人解除物业服务合同。</w:t>
      </w:r>
    </w:p>
    <w:p>
      <w:pPr>
        <w:spacing w:line="360" w:lineRule="auto"/>
        <w:ind w:firstLine="482" w:firstLineChars="200"/>
        <w:rPr>
          <w:rFonts w:ascii="宋体" w:hAnsi="宋体" w:cs="宋体"/>
          <w:b/>
          <w:bCs/>
          <w:color w:val="auto"/>
          <w:sz w:val="24"/>
          <w:highlight w:val="none"/>
        </w:rPr>
        <w:sectPr>
          <w:pgSz w:w="11900" w:h="16838"/>
          <w:pgMar w:top="1429" w:right="1599" w:bottom="0" w:left="1712"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numPr>
          <w:ilvl w:val="0"/>
          <w:numId w:val="0"/>
        </w:numPr>
        <w:snapToGrid w:val="0"/>
        <w:spacing w:line="440" w:lineRule="exact"/>
        <w:ind w:firstLine="0" w:firstLineChars="0"/>
        <w:jc w:val="center"/>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物业服务质量考核标准</w:t>
      </w:r>
    </w:p>
    <w:p>
      <w:pPr>
        <w:numPr>
          <w:ilvl w:val="0"/>
          <w:numId w:val="0"/>
        </w:numPr>
        <w:snapToGrid w:val="0"/>
        <w:spacing w:line="440" w:lineRule="exact"/>
        <w:ind w:firstLine="0" w:firstLineChars="0"/>
        <w:jc w:val="left"/>
        <w:rPr>
          <w:rFonts w:hint="eastAsia"/>
          <w:color w:val="auto"/>
          <w:highlight w:val="none"/>
        </w:rPr>
      </w:pPr>
      <w:r>
        <w:rPr>
          <w:rFonts w:hint="eastAsia" w:ascii="新宋体" w:hAnsi="新宋体" w:eastAsia="新宋体" w:cs="新宋体"/>
          <w:b/>
          <w:bCs/>
          <w:color w:val="auto"/>
          <w:sz w:val="24"/>
          <w:szCs w:val="24"/>
          <w:highlight w:val="none"/>
          <w:lang w:val="en-US" w:eastAsia="zh-CN"/>
        </w:rPr>
        <w:t xml:space="preserve">       </w:t>
      </w:r>
      <w:r>
        <w:rPr>
          <w:rFonts w:hint="eastAsia" w:ascii="新宋体" w:hAnsi="新宋体" w:eastAsia="新宋体" w:cs="新宋体"/>
          <w:b/>
          <w:bCs/>
          <w:color w:val="auto"/>
          <w:sz w:val="24"/>
          <w:szCs w:val="24"/>
          <w:highlight w:val="none"/>
          <w:lang w:eastAsia="zh-CN"/>
        </w:rPr>
        <w:t>考核人：</w:t>
      </w:r>
      <w:r>
        <w:rPr>
          <w:rFonts w:hint="eastAsia" w:ascii="新宋体" w:hAnsi="新宋体" w:eastAsia="新宋体" w:cs="新宋体"/>
          <w:b/>
          <w:bCs/>
          <w:color w:val="auto"/>
          <w:sz w:val="24"/>
          <w:szCs w:val="24"/>
          <w:highlight w:val="none"/>
          <w:lang w:val="en-US" w:eastAsia="zh-CN"/>
        </w:rPr>
        <w:t xml:space="preserve">                                                 考核时间：</w:t>
      </w:r>
    </w:p>
    <w:tbl>
      <w:tblPr>
        <w:tblStyle w:val="962"/>
        <w:tblW w:w="1388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844"/>
        <w:gridCol w:w="7193"/>
        <w:gridCol w:w="8"/>
        <w:gridCol w:w="952"/>
        <w:gridCol w:w="1"/>
        <w:gridCol w:w="922"/>
        <w:gridCol w:w="2"/>
        <w:gridCol w:w="3230"/>
        <w:gridCol w:w="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73"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139"/>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序</w:t>
            </w:r>
            <w:r>
              <w:rPr>
                <w:rFonts w:hint="eastAsia" w:ascii="新宋体" w:hAnsi="新宋体" w:eastAsia="新宋体" w:cs="新宋体"/>
                <w:color w:val="auto"/>
                <w:sz w:val="24"/>
                <w:szCs w:val="24"/>
                <w:highlight w:val="none"/>
              </w:rPr>
              <w:t>号</w:t>
            </w:r>
          </w:p>
        </w:tc>
        <w:tc>
          <w:tcPr>
            <w:tcW w:w="844" w:type="dxa"/>
            <w:vAlign w:val="center"/>
          </w:tcPr>
          <w:p>
            <w:pPr>
              <w:widowControl/>
              <w:kinsoku w:val="0"/>
              <w:wordWrap/>
              <w:autoSpaceDE w:val="0"/>
              <w:autoSpaceDN w:val="0"/>
              <w:adjustRightInd w:val="0"/>
              <w:snapToGrid w:val="0"/>
              <w:spacing w:line="240" w:lineRule="atLeast"/>
              <w:ind w:left="205"/>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项</w:t>
            </w:r>
            <w:r>
              <w:rPr>
                <w:rFonts w:hint="eastAsia" w:ascii="新宋体" w:hAnsi="新宋体" w:eastAsia="新宋体" w:cs="新宋体"/>
                <w:color w:val="auto"/>
                <w:sz w:val="24"/>
                <w:szCs w:val="24"/>
                <w:highlight w:val="none"/>
              </w:rPr>
              <w:t>目</w:t>
            </w:r>
          </w:p>
        </w:tc>
        <w:tc>
          <w:tcPr>
            <w:tcW w:w="7201" w:type="dxa"/>
            <w:gridSpan w:val="2"/>
            <w:vAlign w:val="center"/>
          </w:tcPr>
          <w:p>
            <w:pPr>
              <w:widowControl/>
              <w:kinsoku w:val="0"/>
              <w:wordWrap/>
              <w:autoSpaceDE w:val="0"/>
              <w:autoSpaceDN w:val="0"/>
              <w:adjustRightInd w:val="0"/>
              <w:snapToGrid w:val="0"/>
              <w:spacing w:line="240" w:lineRule="atLeast"/>
              <w:ind w:left="29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lang w:eastAsia="zh-CN"/>
              </w:rPr>
              <w:t>考核</w:t>
            </w:r>
            <w:r>
              <w:rPr>
                <w:rFonts w:hint="eastAsia" w:ascii="新宋体" w:hAnsi="新宋体" w:eastAsia="新宋体" w:cs="新宋体"/>
                <w:color w:val="auto"/>
                <w:sz w:val="24"/>
                <w:szCs w:val="24"/>
                <w:highlight w:val="none"/>
              </w:rPr>
              <w:t>标准</w:t>
            </w:r>
          </w:p>
        </w:tc>
        <w:tc>
          <w:tcPr>
            <w:tcW w:w="952" w:type="dxa"/>
            <w:vAlign w:val="center"/>
          </w:tcPr>
          <w:p>
            <w:pPr>
              <w:widowControl/>
              <w:kinsoku w:val="0"/>
              <w:wordWrap/>
              <w:autoSpaceDE w:val="0"/>
              <w:autoSpaceDN w:val="0"/>
              <w:adjustRightInd w:val="0"/>
              <w:snapToGrid w:val="0"/>
              <w:spacing w:line="240" w:lineRule="atLeast"/>
              <w:ind w:left="2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分</w:t>
            </w:r>
            <w:r>
              <w:rPr>
                <w:rFonts w:hint="eastAsia" w:ascii="新宋体" w:hAnsi="新宋体" w:eastAsia="新宋体" w:cs="新宋体"/>
                <w:color w:val="auto"/>
                <w:sz w:val="24"/>
                <w:szCs w:val="24"/>
                <w:highlight w:val="none"/>
              </w:rPr>
              <w:t>值</w:t>
            </w:r>
          </w:p>
        </w:tc>
        <w:tc>
          <w:tcPr>
            <w:tcW w:w="923" w:type="dxa"/>
            <w:gridSpan w:val="2"/>
            <w:vAlign w:val="center"/>
          </w:tcPr>
          <w:p>
            <w:pPr>
              <w:widowControl/>
              <w:kinsoku w:val="0"/>
              <w:wordWrap/>
              <w:autoSpaceDE w:val="0"/>
              <w:autoSpaceDN w:val="0"/>
              <w:adjustRightInd w:val="0"/>
              <w:snapToGrid w:val="0"/>
              <w:spacing w:line="240" w:lineRule="atLeast"/>
              <w:ind w:left="25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w:t>
            </w:r>
          </w:p>
        </w:tc>
        <w:tc>
          <w:tcPr>
            <w:tcW w:w="3232" w:type="dxa"/>
            <w:gridSpan w:val="2"/>
            <w:tcBorders>
              <w:right w:val="single" w:color="000000" w:sz="6" w:space="0"/>
            </w:tcBorders>
            <w:vAlign w:val="center"/>
          </w:tcPr>
          <w:p>
            <w:pPr>
              <w:widowControl/>
              <w:kinsoku w:val="0"/>
              <w:wordWrap/>
              <w:autoSpaceDE w:val="0"/>
              <w:autoSpaceDN w:val="0"/>
              <w:adjustRightInd w:val="0"/>
              <w:snapToGrid w:val="0"/>
              <w:spacing w:line="240" w:lineRule="atLeast"/>
              <w:ind w:left="1196"/>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59"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1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844" w:type="dxa"/>
            <w:vMerge w:val="restart"/>
            <w:vAlign w:val="center"/>
          </w:tcPr>
          <w:p>
            <w:pPr>
              <w:widowControl/>
              <w:kinsoku w:val="0"/>
              <w:wordWrap/>
              <w:autoSpaceDE w:val="0"/>
              <w:autoSpaceDN w:val="0"/>
              <w:adjustRightInd w:val="0"/>
              <w:snapToGrid w:val="0"/>
              <w:spacing w:line="240" w:lineRule="atLeast"/>
              <w:ind w:left="209"/>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人员</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实行</w:t>
            </w:r>
            <w:r>
              <w:rPr>
                <w:rFonts w:hint="eastAsia" w:ascii="新宋体" w:hAnsi="新宋体" w:eastAsia="新宋体" w:cs="新宋体"/>
                <w:color w:val="auto"/>
                <w:spacing w:val="-1"/>
                <w:sz w:val="24"/>
                <w:szCs w:val="24"/>
                <w:highlight w:val="none"/>
              </w:rPr>
              <w:t>持证上岗制度。</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凡</w:t>
            </w:r>
            <w:r>
              <w:rPr>
                <w:rFonts w:hint="eastAsia" w:ascii="新宋体" w:hAnsi="新宋体" w:eastAsia="新宋体" w:cs="新宋体"/>
                <w:color w:val="auto"/>
                <w:spacing w:val="-14"/>
                <w:sz w:val="24"/>
                <w:szCs w:val="24"/>
                <w:highlight w:val="none"/>
              </w:rPr>
              <w:t>有</w:t>
            </w:r>
            <w:r>
              <w:rPr>
                <w:rFonts w:hint="eastAsia" w:ascii="新宋体" w:hAnsi="新宋体" w:eastAsia="新宋体" w:cs="新宋体"/>
                <w:color w:val="auto"/>
                <w:spacing w:val="-11"/>
                <w:sz w:val="24"/>
                <w:szCs w:val="24"/>
                <w:highlight w:val="none"/>
              </w:rPr>
              <w:t xml:space="preserve"> 1 人不符合， 扣除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项目投标时所承诺的项目工作人员，</w:t>
            </w:r>
            <w:r>
              <w:rPr>
                <w:rFonts w:hint="eastAsia" w:ascii="新宋体" w:hAnsi="新宋体" w:eastAsia="新宋体" w:cs="新宋体"/>
                <w:color w:val="auto"/>
                <w:spacing w:val="-1"/>
                <w:sz w:val="24"/>
                <w:szCs w:val="24"/>
                <w:highlight w:val="none"/>
              </w:rPr>
              <w:t>必须和承接此项目后开展工作的团队</w:t>
            </w:r>
            <w:r>
              <w:rPr>
                <w:rFonts w:hint="eastAsia" w:ascii="新宋体" w:hAnsi="新宋体" w:eastAsia="新宋体" w:cs="新宋体"/>
                <w:color w:val="auto"/>
                <w:spacing w:val="-5"/>
                <w:sz w:val="24"/>
                <w:szCs w:val="24"/>
                <w:highlight w:val="none"/>
              </w:rPr>
              <w:t>人员相符， 未征得</w:t>
            </w:r>
            <w:r>
              <w:rPr>
                <w:rFonts w:hint="eastAsia" w:ascii="新宋体" w:hAnsi="新宋体" w:eastAsia="新宋体" w:cs="新宋体"/>
                <w:color w:val="auto"/>
                <w:spacing w:val="-5"/>
                <w:sz w:val="24"/>
                <w:szCs w:val="24"/>
                <w:highlight w:val="none"/>
                <w:lang w:eastAsia="zh-CN"/>
              </w:rPr>
              <w:t>采购人</w:t>
            </w:r>
            <w:r>
              <w:rPr>
                <w:rFonts w:hint="eastAsia" w:ascii="新宋体" w:hAnsi="新宋体" w:eastAsia="新宋体" w:cs="新宋体"/>
                <w:color w:val="auto"/>
                <w:spacing w:val="-5"/>
                <w:sz w:val="24"/>
                <w:szCs w:val="24"/>
                <w:highlight w:val="none"/>
              </w:rPr>
              <w:t>同意不得</w:t>
            </w:r>
            <w:r>
              <w:rPr>
                <w:rFonts w:hint="eastAsia" w:ascii="新宋体" w:hAnsi="新宋体" w:eastAsia="新宋体" w:cs="新宋体"/>
                <w:color w:val="auto"/>
                <w:spacing w:val="-5"/>
                <w:sz w:val="24"/>
                <w:szCs w:val="24"/>
                <w:highlight w:val="none"/>
                <w:lang w:eastAsia="zh-CN"/>
              </w:rPr>
              <w:t>随意</w:t>
            </w:r>
            <w:r>
              <w:rPr>
                <w:rFonts w:hint="eastAsia" w:ascii="新宋体" w:hAnsi="新宋体" w:eastAsia="新宋体" w:cs="新宋体"/>
                <w:color w:val="auto"/>
                <w:spacing w:val="-5"/>
                <w:sz w:val="24"/>
                <w:szCs w:val="24"/>
                <w:highlight w:val="none"/>
              </w:rPr>
              <w:t>更换团队成员。</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5"/>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pacing w:val="-2"/>
                <w:sz w:val="24"/>
                <w:szCs w:val="24"/>
                <w:highlight w:val="none"/>
                <w:lang w:eastAsia="zh-CN"/>
              </w:rPr>
            </w:pPr>
            <w:r>
              <w:rPr>
                <w:rFonts w:hint="eastAsia" w:ascii="新宋体" w:hAnsi="新宋体" w:eastAsia="新宋体" w:cs="新宋体"/>
                <w:color w:val="auto"/>
                <w:sz w:val="24"/>
                <w:szCs w:val="24"/>
                <w:highlight w:val="none"/>
              </w:rPr>
              <w:t>项目经理</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提前20天、</w:t>
            </w:r>
            <w:r>
              <w:rPr>
                <w:rFonts w:hint="eastAsia" w:ascii="新宋体" w:hAnsi="新宋体" w:eastAsia="新宋体" w:cs="新宋体"/>
                <w:color w:val="auto"/>
                <w:sz w:val="24"/>
                <w:szCs w:val="24"/>
                <w:highlight w:val="none"/>
                <w:lang w:eastAsia="zh-CN"/>
              </w:rPr>
              <w:t>其他</w:t>
            </w:r>
            <w:r>
              <w:rPr>
                <w:rFonts w:hint="eastAsia" w:ascii="新宋体" w:hAnsi="新宋体" w:eastAsia="新宋体" w:cs="新宋体"/>
                <w:color w:val="auto"/>
                <w:sz w:val="24"/>
                <w:szCs w:val="24"/>
                <w:highlight w:val="none"/>
              </w:rPr>
              <w:t>人员</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提前7天告知采购人</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制度</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履约</w:t>
            </w: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1"/>
                <w:sz w:val="24"/>
                <w:szCs w:val="24"/>
                <w:highlight w:val="none"/>
                <w:lang w:eastAsia="zh-CN"/>
              </w:rPr>
              <w:t>遵守《</w:t>
            </w:r>
            <w:r>
              <w:rPr>
                <w:rFonts w:hint="eastAsia" w:ascii="新宋体" w:hAnsi="新宋体" w:eastAsia="新宋体" w:cs="新宋体"/>
                <w:color w:val="auto"/>
                <w:spacing w:val="-1"/>
                <w:sz w:val="24"/>
                <w:szCs w:val="24"/>
                <w:highlight w:val="none"/>
              </w:rPr>
              <w:t>物业管理服务人员行为</w:t>
            </w:r>
            <w:r>
              <w:rPr>
                <w:rFonts w:hint="eastAsia" w:ascii="新宋体" w:hAnsi="新宋体" w:eastAsia="新宋体" w:cs="新宋体"/>
                <w:color w:val="auto"/>
                <w:sz w:val="24"/>
                <w:szCs w:val="24"/>
                <w:highlight w:val="none"/>
              </w:rPr>
              <w:t>规范</w:t>
            </w:r>
            <w:r>
              <w:rPr>
                <w:rFonts w:hint="eastAsia" w:ascii="新宋体" w:hAnsi="新宋体" w:eastAsia="新宋体" w:cs="新宋体"/>
                <w:color w:val="auto"/>
                <w:spacing w:val="-1"/>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健全的管理流程、</w:t>
            </w:r>
            <w:r>
              <w:rPr>
                <w:rFonts w:hint="eastAsia" w:ascii="新宋体" w:hAnsi="新宋体" w:eastAsia="新宋体" w:cs="新宋体"/>
                <w:color w:val="auto"/>
                <w:sz w:val="24"/>
                <w:szCs w:val="24"/>
                <w:highlight w:val="none"/>
              </w:rPr>
              <w:t>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运作规范</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，遵守并执行。</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340" w:hRule="atLeast"/>
          <w:tblHeader/>
          <w:jc w:val="center"/>
        </w:trPr>
        <w:tc>
          <w:tcPr>
            <w:tcW w:w="721"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3</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position w:val="9"/>
                <w:sz w:val="24"/>
                <w:szCs w:val="24"/>
                <w:highlight w:val="none"/>
                <w:lang w:eastAsia="zh-CN"/>
              </w:rPr>
              <w:t>清洁</w:t>
            </w:r>
            <w:r>
              <w:rPr>
                <w:rFonts w:hint="eastAsia" w:ascii="新宋体" w:hAnsi="新宋体" w:eastAsia="新宋体" w:cs="新宋体"/>
                <w:color w:val="auto"/>
                <w:spacing w:val="-2"/>
                <w:position w:val="9"/>
                <w:sz w:val="24"/>
                <w:szCs w:val="24"/>
                <w:highlight w:val="none"/>
                <w:lang w:eastAsia="zh-CN"/>
              </w:rPr>
              <w:br w:type="textWrapping"/>
            </w:r>
            <w:r>
              <w:rPr>
                <w:rFonts w:hint="eastAsia" w:ascii="新宋体" w:hAnsi="新宋体" w:eastAsia="新宋体" w:cs="新宋体"/>
                <w:color w:val="auto"/>
                <w:spacing w:val="-2"/>
                <w:position w:val="9"/>
                <w:sz w:val="24"/>
                <w:szCs w:val="24"/>
                <w:highlight w:val="none"/>
                <w:lang w:eastAsia="zh-CN"/>
              </w:rPr>
              <w:t>保洁</w:t>
            </w:r>
          </w:p>
        </w:tc>
        <w:tc>
          <w:tcPr>
            <w:tcW w:w="7201" w:type="dxa"/>
            <w:gridSpan w:val="2"/>
            <w:vAlign w:val="center"/>
          </w:tcPr>
          <w:p>
            <w:pPr>
              <w:widowControl/>
              <w:numPr>
                <w:ilvl w:val="0"/>
                <w:numId w:val="17"/>
              </w:numPr>
              <w:kinsoku w:val="0"/>
              <w:wordWrap/>
              <w:autoSpaceDE w:val="0"/>
              <w:autoSpaceDN w:val="0"/>
              <w:adjustRightInd w:val="0"/>
              <w:snapToGrid w:val="0"/>
              <w:spacing w:line="240" w:lineRule="atLeast"/>
              <w:ind w:left="0" w:leftChars="0" w:right="161"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室内公共区域的地面、墙面、楼梯、扶手、大厅、玻</w:t>
            </w:r>
            <w:r>
              <w:rPr>
                <w:rFonts w:hint="eastAsia" w:ascii="新宋体" w:hAnsi="新宋体" w:eastAsia="新宋体" w:cs="新宋体"/>
                <w:color w:val="auto"/>
                <w:spacing w:val="3"/>
                <w:sz w:val="24"/>
                <w:szCs w:val="24"/>
                <w:highlight w:val="none"/>
              </w:rPr>
              <w:t xml:space="preserve"> </w:t>
            </w:r>
            <w:r>
              <w:rPr>
                <w:rFonts w:hint="eastAsia" w:ascii="新宋体" w:hAnsi="新宋体" w:eastAsia="新宋体" w:cs="新宋体"/>
                <w:color w:val="auto"/>
                <w:spacing w:val="-7"/>
                <w:sz w:val="24"/>
                <w:szCs w:val="24"/>
                <w:highlight w:val="none"/>
              </w:rPr>
              <w:t>璃、门及门窗框、天花板、栏杆、走廊等整洁干净，无垃圾、</w:t>
            </w:r>
            <w:r>
              <w:rPr>
                <w:rFonts w:hint="eastAsia" w:ascii="新宋体" w:hAnsi="新宋体" w:eastAsia="新宋体" w:cs="新宋体"/>
                <w:color w:val="auto"/>
                <w:spacing w:val="-8"/>
                <w:sz w:val="24"/>
                <w:szCs w:val="24"/>
                <w:highlight w:val="none"/>
              </w:rPr>
              <w:t>无积灰、无污渍、无手印。</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9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7"/>
              </w:numPr>
              <w:kinsoku w:val="0"/>
              <w:wordWrap/>
              <w:autoSpaceDE w:val="0"/>
              <w:autoSpaceDN w:val="0"/>
              <w:adjustRightInd w:val="0"/>
              <w:snapToGrid w:val="0"/>
              <w:spacing w:line="240" w:lineRule="atLeast"/>
              <w:ind w:left="0" w:leftChars="0" w:right="5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室内卫生间、茶水间清洁，无垃圾、无污渍、无积水、</w:t>
            </w:r>
            <w:r>
              <w:rPr>
                <w:rFonts w:hint="eastAsia" w:ascii="新宋体" w:hAnsi="新宋体" w:eastAsia="新宋体" w:cs="新宋体"/>
                <w:color w:val="auto"/>
                <w:spacing w:val="17"/>
                <w:sz w:val="24"/>
                <w:szCs w:val="24"/>
                <w:highlight w:val="none"/>
              </w:rPr>
              <w:t xml:space="preserve"> </w:t>
            </w:r>
            <w:r>
              <w:rPr>
                <w:rFonts w:hint="eastAsia" w:ascii="新宋体" w:hAnsi="新宋体" w:eastAsia="新宋体" w:cs="新宋体"/>
                <w:color w:val="auto"/>
                <w:spacing w:val="-7"/>
                <w:sz w:val="24"/>
                <w:szCs w:val="24"/>
                <w:highlight w:val="none"/>
              </w:rPr>
              <w:t>无异味、无堆积杂物，洁具、台面、镜面光洁无水迹，电器设施</w:t>
            </w:r>
            <w:r>
              <w:rPr>
                <w:rFonts w:hint="eastAsia" w:ascii="新宋体" w:hAnsi="新宋体" w:eastAsia="新宋体" w:cs="新宋体"/>
                <w:color w:val="auto"/>
                <w:spacing w:val="-5"/>
                <w:sz w:val="24"/>
                <w:szCs w:val="24"/>
                <w:highlight w:val="none"/>
              </w:rPr>
              <w:t>外观清洁，物品摆放有序。室内卫生间符合“美丽厕所”标准。</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、屋面、“门前三包”等公共区域的地面干净，无杂物、无积水、无淤泥、无污垢。</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r>
              <w:rPr>
                <w:rFonts w:hint="eastAsia" w:ascii="新宋体" w:hAnsi="新宋体" w:eastAsia="新宋体" w:cs="新宋体"/>
                <w:snapToGrid w:val="0"/>
                <w:color w:val="auto"/>
                <w:kern w:val="0"/>
                <w:sz w:val="24"/>
                <w:szCs w:val="24"/>
                <w:highlight w:val="none"/>
                <w:lang w:val="en-US" w:eastAsia="zh-CN" w:bidi="ar-SA"/>
              </w:rPr>
              <w:pict>
                <v:rect id="Rectangle 2" o:spid="_x0000_s1028" o:spt="1" style="position:absolute;left:0pt;margin-left:794.9pt;margin-top:0pt;height:232.05pt;width:0.5pt;mso-position-horizontal-relative:page;mso-position-vertical-relative:page;z-index:251661312;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外墙应保持清洁，无明显污迹。</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定期对喷泉、景观、照明灯设施设备进行清洁，确保表面干净无污渍。</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垃圾、废弃物按分类要求及时收集、日产日清，化粪 池及时清掏，垃圾箱</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外侧表面清洁、内侧无残留物、无异味。</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7"/>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blHeader/>
          <w:jc w:val="center"/>
        </w:trPr>
        <w:tc>
          <w:tcPr>
            <w:tcW w:w="721"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安保</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消控</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公共秩序维护</w:t>
            </w:r>
            <w:r>
              <w:rPr>
                <w:rFonts w:hint="eastAsia" w:ascii="新宋体" w:hAnsi="新宋体" w:eastAsia="新宋体" w:cs="新宋体"/>
                <w:b/>
                <w:bCs/>
                <w:color w:val="auto"/>
                <w:sz w:val="24"/>
                <w:szCs w:val="24"/>
                <w:highlight w:val="none"/>
                <w:lang w:eastAsia="zh-CN"/>
              </w:rPr>
              <w:t>：</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严格出入登记制度，发现问题及时上报处理，杜绝闲杂人员进入办公楼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物品进出实施分类管理，实行物品进出审验制度，杜绝可疑危险品进入。</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对进出的各类机动车辆进行有序管理，设置行车指示标 志，规定车辆行驶路线，引导车辆停放区域，车库内配置道闸和 监视系统。非机动车统一停放在室外指定区域，设置集中充电桩。停车区域无易燃、易爆物品存放。</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明确巡视工作职责，对设备机房等重要区域、部位进行重点巡视并做好相关记录，及时发现和处理各种安全和事故隐患。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消控安全管理：</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配备完善的消防设施和器材，定期对消防设施进行巡查，确保运行正常。消防设施的维护管理及消防控制室应符合相关国标要求。</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应在各楼层明显位置张贴平面疏散示意图、引路标志及控烟标志。</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定期开展防火检查，保证疏散通道、安全出口、消防车道通畅。</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每年至少组织1次消防安全培训及消防演练。</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8</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突发事件处理</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建立突发</w:t>
            </w:r>
            <w:r>
              <w:rPr>
                <w:rFonts w:hint="eastAsia" w:ascii="新宋体" w:hAnsi="新宋体" w:eastAsia="新宋体" w:cs="新宋体"/>
                <w:color w:val="auto"/>
                <w:sz w:val="24"/>
                <w:szCs w:val="24"/>
                <w:highlight w:val="none"/>
                <w:lang w:eastAsia="zh-CN"/>
              </w:rPr>
              <w:t>事件</w:t>
            </w:r>
            <w:r>
              <w:rPr>
                <w:rFonts w:hint="eastAsia" w:ascii="新宋体" w:hAnsi="新宋体" w:eastAsia="新宋体" w:cs="新宋体"/>
                <w:color w:val="auto"/>
                <w:sz w:val="24"/>
                <w:szCs w:val="24"/>
                <w:highlight w:val="none"/>
              </w:rPr>
              <w:t>应急预案体系，包括但不限于电梯困人、紧急会议、火警火灾、突发停电、水管破裂、意外伤害、群体性上访、台风、暴雨及雷电等应急预案。</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每年至少组织1次突发事件应急演习。</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97"/>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5</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2"/>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绿化</w:t>
            </w:r>
            <w:r>
              <w:rPr>
                <w:rFonts w:hint="eastAsia" w:ascii="新宋体" w:hAnsi="新宋体" w:eastAsia="新宋体" w:cs="新宋体"/>
                <w:color w:val="auto"/>
                <w:spacing w:val="-2"/>
                <w:sz w:val="24"/>
                <w:szCs w:val="24"/>
                <w:highlight w:val="none"/>
              </w:rPr>
              <w:br w:type="textWrapping"/>
            </w:r>
            <w:r>
              <w:rPr>
                <w:rFonts w:hint="eastAsia" w:ascii="新宋体" w:hAnsi="新宋体" w:eastAsia="新宋体" w:cs="新宋体"/>
                <w:color w:val="auto"/>
                <w:spacing w:val="-2"/>
                <w:sz w:val="24"/>
                <w:szCs w:val="24"/>
                <w:highlight w:val="none"/>
                <w:lang w:eastAsia="zh-CN"/>
              </w:rPr>
              <w:t>养护</w:t>
            </w: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室内外绿化养护期内各类绿植应100%存活。</w:t>
            </w:r>
          </w:p>
        </w:tc>
        <w:tc>
          <w:tcPr>
            <w:tcW w:w="961" w:type="dxa"/>
            <w:gridSpan w:val="3"/>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根据季节和气候状况，进行浇灌、施肥、修剪和松土等养护。</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应选择观赏性强、观赏期长、方便管理的鲜活植物摆 放室内，植株长势良好，无残枝、无黄叶、无积尘，花朵饱满、无萎蔫，托盘内无积水。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室外乔木丰满健壮、生长良好，灌木枝叶紧密圆整， 无脱节、无枯枝。草坪生长整齐，清洁美观，修剪高度一致，覆盖率高。花卉色彩鲜艳，摆放造型新颖，无杂草、无枯死。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雨、雪、台风等特殊天气前，应派专人巡查，及时加固、支撑、修剪高大乔木，排除安全隐患。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绿植租赁符合招标要求及投标承诺。</w:t>
            </w:r>
          </w:p>
        </w:tc>
        <w:tc>
          <w:tcPr>
            <w:tcW w:w="961" w:type="dxa"/>
            <w:gridSpan w:val="3"/>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02"/>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6</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rPr>
              <w:t>工</w:t>
            </w:r>
            <w:r>
              <w:rPr>
                <w:rFonts w:hint="eastAsia" w:ascii="新宋体" w:hAnsi="新宋体" w:eastAsia="新宋体" w:cs="新宋体"/>
                <w:color w:val="auto"/>
                <w:spacing w:val="-2"/>
                <w:position w:val="9"/>
                <w:sz w:val="24"/>
                <w:szCs w:val="24"/>
                <w:highlight w:val="none"/>
              </w:rPr>
              <w:t>程</w:t>
            </w: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设备</w:t>
            </w:r>
            <w:r>
              <w:rPr>
                <w:rFonts w:hint="eastAsia" w:ascii="新宋体" w:hAnsi="新宋体" w:eastAsia="新宋体" w:cs="新宋体"/>
                <w:color w:val="auto"/>
                <w:spacing w:val="-2"/>
                <w:sz w:val="24"/>
                <w:szCs w:val="24"/>
                <w:highlight w:val="none"/>
                <w:lang w:eastAsia="zh-CN"/>
              </w:rPr>
              <w:br w:type="textWrapping"/>
            </w:r>
            <w:r>
              <w:rPr>
                <w:rFonts w:hint="eastAsia" w:ascii="新宋体" w:hAnsi="新宋体" w:eastAsia="新宋体" w:cs="新宋体"/>
                <w:color w:val="auto"/>
                <w:spacing w:val="-2"/>
                <w:sz w:val="24"/>
                <w:szCs w:val="24"/>
                <w:highlight w:val="none"/>
                <w:lang w:eastAsia="zh-CN"/>
              </w:rPr>
              <w:t>维护</w:t>
            </w: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至少每2小时巡视一次高配房设备运行情况，如实记录设备运行参数。定期对各类机房设备设施进行检查、维护、清洁，并做好记录。</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10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定期对水泵、管道进行养护，每年至少两次对水箱进行全面清洗，并提供水质检测报告。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由专业人员定期对监控系统、门禁系统、多媒体系统、 会议系统等智能弱电设备进行巡查，定期清理设备机柜、控制箱、交换机等外表吸附的灰尘和絮状物。</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定期对空调通风系统进行检查、维护、清洁，测试运 行控制和安全控制功能，记录运行参数，分析运行记录，确保空调系统正常运行。每年冬夏两次对空调通风系统进行全面的维护保养。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会务</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服务</w:t>
            </w:r>
          </w:p>
        </w:tc>
        <w:tc>
          <w:tcPr>
            <w:tcW w:w="7193" w:type="dxa"/>
            <w:vAlign w:val="center"/>
          </w:tcPr>
          <w:p>
            <w:pPr>
              <w:widowControl/>
              <w:numPr>
                <w:ilvl w:val="0"/>
                <w:numId w:val="21"/>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根据</w:t>
            </w:r>
            <w:r>
              <w:rPr>
                <w:rFonts w:hint="eastAsia" w:ascii="新宋体" w:hAnsi="新宋体" w:eastAsia="新宋体" w:cs="新宋体"/>
                <w:i w:val="0"/>
                <w:caps w:val="0"/>
                <w:color w:val="auto"/>
                <w:spacing w:val="0"/>
                <w:sz w:val="24"/>
                <w:szCs w:val="24"/>
                <w:highlight w:val="none"/>
                <w:shd w:val="clear" w:color="auto" w:fill="auto"/>
              </w:rPr>
              <w:t>会议安排</w:t>
            </w:r>
            <w:r>
              <w:rPr>
                <w:rFonts w:hint="eastAsia" w:ascii="新宋体" w:hAnsi="新宋体" w:eastAsia="新宋体" w:cs="新宋体"/>
                <w:i w:val="0"/>
                <w:caps w:val="0"/>
                <w:color w:val="auto"/>
                <w:spacing w:val="0"/>
                <w:sz w:val="24"/>
                <w:szCs w:val="24"/>
                <w:highlight w:val="none"/>
                <w:shd w:val="clear" w:color="auto" w:fill="auto"/>
                <w:lang w:eastAsia="zh-CN"/>
              </w:rPr>
              <w:t>及采购人要求，确定台形，做好会议物品摆放、设备调试、会议资料发放等会前服务准备工作。</w:t>
            </w:r>
          </w:p>
          <w:p>
            <w:pPr>
              <w:widowControl/>
              <w:numPr>
                <w:ilvl w:val="0"/>
                <w:numId w:val="21"/>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会议期间定时倒水，根据需要为与会人员提供服务，会议</w:t>
            </w:r>
            <w:r>
              <w:rPr>
                <w:rFonts w:hint="eastAsia" w:ascii="新宋体" w:hAnsi="新宋体" w:eastAsia="新宋体" w:cs="新宋体"/>
                <w:i w:val="0"/>
                <w:caps w:val="0"/>
                <w:color w:val="auto"/>
                <w:spacing w:val="0"/>
                <w:sz w:val="24"/>
                <w:szCs w:val="24"/>
                <w:highlight w:val="none"/>
                <w:shd w:val="clear" w:color="auto" w:fill="auto"/>
              </w:rPr>
              <w:t>设备</w:t>
            </w:r>
            <w:r>
              <w:rPr>
                <w:rFonts w:hint="eastAsia" w:ascii="新宋体" w:hAnsi="新宋体" w:eastAsia="新宋体" w:cs="新宋体"/>
                <w:i w:val="0"/>
                <w:caps w:val="0"/>
                <w:color w:val="auto"/>
                <w:spacing w:val="0"/>
                <w:sz w:val="24"/>
                <w:szCs w:val="24"/>
                <w:highlight w:val="none"/>
                <w:shd w:val="clear" w:color="auto" w:fill="auto"/>
                <w:lang w:eastAsia="zh-CN"/>
              </w:rPr>
              <w:t>如</w:t>
            </w:r>
            <w:r>
              <w:rPr>
                <w:rFonts w:hint="eastAsia" w:ascii="新宋体" w:hAnsi="新宋体" w:eastAsia="新宋体" w:cs="新宋体"/>
                <w:i w:val="0"/>
                <w:caps w:val="0"/>
                <w:color w:val="auto"/>
                <w:spacing w:val="0"/>
                <w:sz w:val="24"/>
                <w:szCs w:val="24"/>
                <w:highlight w:val="none"/>
                <w:shd w:val="clear" w:color="auto" w:fill="auto"/>
              </w:rPr>
              <w:t>出现问题及时</w:t>
            </w:r>
            <w:r>
              <w:rPr>
                <w:rFonts w:hint="eastAsia" w:ascii="新宋体" w:hAnsi="新宋体" w:eastAsia="新宋体" w:cs="新宋体"/>
                <w:i w:val="0"/>
                <w:caps w:val="0"/>
                <w:color w:val="auto"/>
                <w:spacing w:val="0"/>
                <w:sz w:val="24"/>
                <w:szCs w:val="24"/>
                <w:highlight w:val="none"/>
                <w:shd w:val="clear" w:color="auto" w:fill="auto"/>
                <w:lang w:eastAsia="zh-CN"/>
              </w:rPr>
              <w:t>协调</w:t>
            </w:r>
            <w:r>
              <w:rPr>
                <w:rFonts w:hint="eastAsia" w:ascii="新宋体" w:hAnsi="新宋体" w:eastAsia="新宋体" w:cs="新宋体"/>
                <w:i w:val="0"/>
                <w:caps w:val="0"/>
                <w:color w:val="auto"/>
                <w:spacing w:val="0"/>
                <w:sz w:val="24"/>
                <w:szCs w:val="24"/>
                <w:highlight w:val="none"/>
                <w:shd w:val="clear" w:color="auto" w:fill="auto"/>
              </w:rPr>
              <w:t>处理。</w:t>
            </w:r>
          </w:p>
          <w:p>
            <w:pPr>
              <w:widowControl/>
              <w:numPr>
                <w:ilvl w:val="0"/>
                <w:numId w:val="21"/>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会议结束后做好会议物品整理，茶具清洗、消毒，会议场地清扫，设施设备清点、检查、记录等会后服务。</w:t>
            </w:r>
          </w:p>
          <w:p>
            <w:pPr>
              <w:widowControl/>
              <w:numPr>
                <w:ilvl w:val="0"/>
                <w:numId w:val="21"/>
              </w:numPr>
              <w:kinsoku w:val="0"/>
              <w:wordWrap/>
              <w:autoSpaceDE w:val="0"/>
              <w:autoSpaceDN w:val="0"/>
              <w:adjustRightInd w:val="0"/>
              <w:snapToGrid w:val="0"/>
              <w:spacing w:line="240" w:lineRule="atLeast"/>
              <w:ind w:left="0" w:firstLine="40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i w:val="0"/>
                <w:caps w:val="0"/>
                <w:color w:val="auto"/>
                <w:spacing w:val="0"/>
                <w:sz w:val="24"/>
                <w:szCs w:val="24"/>
                <w:highlight w:val="none"/>
                <w:shd w:val="clear" w:color="auto" w:fill="auto"/>
                <w:lang w:eastAsia="zh-CN"/>
              </w:rPr>
              <w:t>对会议服务期间接触的会议信息、会议资料应严格保密。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color w:val="auto"/>
                <w:highlight w:val="none"/>
                <w:lang w:val="en-US" w:eastAsia="zh-CN"/>
              </w:rPr>
              <w:t>8</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特色服务</w:t>
            </w:r>
          </w:p>
        </w:tc>
        <w:tc>
          <w:tcPr>
            <w:tcW w:w="7193" w:type="dxa"/>
            <w:vAlign w:val="center"/>
          </w:tcPr>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pacing w:val="-8"/>
                <w:sz w:val="24"/>
                <w:szCs w:val="24"/>
                <w:highlight w:val="none"/>
                <w:lang w:eastAsia="zh-CN"/>
              </w:rPr>
            </w:pPr>
            <w:r>
              <w:rPr>
                <w:rFonts w:hint="eastAsia" w:ascii="新宋体" w:hAnsi="新宋体" w:eastAsia="新宋体" w:cs="新宋体"/>
                <w:i w:val="0"/>
                <w:caps w:val="0"/>
                <w:color w:val="auto"/>
                <w:spacing w:val="0"/>
                <w:sz w:val="24"/>
                <w:szCs w:val="24"/>
                <w:highlight w:val="none"/>
                <w:shd w:val="clear" w:color="auto" w:fill="auto"/>
                <w:lang w:val="en-US" w:eastAsia="zh-CN"/>
              </w:rPr>
              <w:t xml:space="preserve">    </w:t>
            </w:r>
            <w:r>
              <w:rPr>
                <w:rFonts w:hint="eastAsia" w:ascii="新宋体" w:hAnsi="新宋体" w:eastAsia="新宋体" w:cs="新宋体"/>
                <w:i w:val="0"/>
                <w:caps w:val="0"/>
                <w:color w:val="auto"/>
                <w:spacing w:val="0"/>
                <w:sz w:val="24"/>
                <w:szCs w:val="24"/>
                <w:highlight w:val="none"/>
                <w:shd w:val="clear" w:color="auto" w:fill="auto"/>
                <w:lang w:eastAsia="zh-CN"/>
              </w:rPr>
              <w:t>针对本项目的特色服务（如应急迎检、夏日提供凉茶、传统节日开展各类活动等）符合投标承诺。</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w:t>
            </w:r>
            <w:r>
              <w:rPr>
                <w:rFonts w:hint="eastAsia" w:ascii="新宋体" w:hAnsi="新宋体" w:eastAsia="新宋体" w:cs="新宋体"/>
                <w:color w:val="auto"/>
                <w:spacing w:val="-12"/>
                <w:sz w:val="24"/>
                <w:szCs w:val="24"/>
                <w:highlight w:val="none"/>
              </w:rPr>
              <w:t>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9</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投入设备、耗材等情况</w:t>
            </w:r>
          </w:p>
        </w:tc>
        <w:tc>
          <w:tcPr>
            <w:tcW w:w="7193" w:type="dxa"/>
            <w:vAlign w:val="center"/>
          </w:tcPr>
          <w:p>
            <w:pPr>
              <w:widowControl/>
              <w:numPr>
                <w:ilvl w:val="0"/>
                <w:numId w:val="22"/>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投入本项目的设备情况与招标需求、投标承诺一致。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2"/>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w:t>
            </w:r>
            <w:r>
              <w:rPr>
                <w:rFonts w:hint="eastAsia" w:ascii="新宋体" w:hAnsi="新宋体" w:eastAsia="新宋体" w:cs="新宋体"/>
                <w:color w:val="auto"/>
                <w:spacing w:val="-8"/>
                <w:sz w:val="24"/>
                <w:szCs w:val="24"/>
                <w:highlight w:val="none"/>
              </w:rPr>
              <w:t>保洁日常工具</w:t>
            </w:r>
            <w:r>
              <w:rPr>
                <w:rFonts w:hint="eastAsia" w:ascii="新宋体" w:hAnsi="新宋体" w:eastAsia="新宋体" w:cs="新宋体"/>
                <w:color w:val="auto"/>
                <w:spacing w:val="-8"/>
                <w:sz w:val="24"/>
                <w:szCs w:val="24"/>
                <w:highlight w:val="none"/>
                <w:lang w:eastAsia="zh-CN"/>
              </w:rPr>
              <w:t>、厕</w:t>
            </w:r>
            <w:r>
              <w:rPr>
                <w:rFonts w:hint="eastAsia" w:ascii="新宋体" w:hAnsi="新宋体" w:eastAsia="新宋体" w:cs="新宋体"/>
                <w:color w:val="auto"/>
                <w:spacing w:val="-8"/>
                <w:sz w:val="24"/>
                <w:szCs w:val="24"/>
                <w:highlight w:val="none"/>
              </w:rPr>
              <w:t>纸、擦手纸、洗手液</w:t>
            </w:r>
            <w:r>
              <w:rPr>
                <w:rFonts w:hint="eastAsia" w:ascii="新宋体" w:hAnsi="新宋体" w:eastAsia="新宋体" w:cs="新宋体"/>
                <w:color w:val="auto"/>
                <w:spacing w:val="-8"/>
                <w:sz w:val="24"/>
                <w:szCs w:val="24"/>
                <w:highlight w:val="none"/>
                <w:lang w:eastAsia="zh-CN"/>
              </w:rPr>
              <w:t>等耗材与招标需求、投标承诺一致。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2"/>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w:t>
            </w:r>
            <w:r>
              <w:rPr>
                <w:rFonts w:hint="eastAsia" w:ascii="新宋体" w:hAnsi="新宋体" w:eastAsia="新宋体" w:cs="新宋体"/>
                <w:color w:val="auto"/>
                <w:spacing w:val="-8"/>
                <w:sz w:val="24"/>
                <w:szCs w:val="24"/>
                <w:highlight w:val="none"/>
              </w:rPr>
              <w:t>防爆、防汛物资、器材</w:t>
            </w:r>
            <w:r>
              <w:rPr>
                <w:rFonts w:hint="eastAsia" w:ascii="新宋体" w:hAnsi="新宋体" w:eastAsia="新宋体" w:cs="新宋体"/>
                <w:color w:val="auto"/>
                <w:spacing w:val="-8"/>
                <w:sz w:val="24"/>
                <w:szCs w:val="24"/>
                <w:highlight w:val="none"/>
                <w:lang w:eastAsia="zh-CN"/>
              </w:rPr>
              <w:t>等与招标需求、投标承诺一致。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844" w:type="dxa"/>
            <w:vMerge w:val="restart"/>
            <w:vAlign w:val="center"/>
          </w:tcPr>
          <w:p>
            <w:pPr>
              <w:widowControl/>
              <w:kinsoku w:val="0"/>
              <w:wordWrap/>
              <w:autoSpaceDE w:val="0"/>
              <w:autoSpaceDN w:val="0"/>
              <w:adjustRightInd w:val="0"/>
              <w:snapToGrid w:val="0"/>
              <w:spacing w:line="240" w:lineRule="atLeast"/>
              <w:ind w:left="213"/>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投</w:t>
            </w:r>
            <w:r>
              <w:rPr>
                <w:rFonts w:hint="eastAsia" w:ascii="新宋体" w:hAnsi="新宋体" w:eastAsia="新宋体" w:cs="新宋体"/>
                <w:color w:val="auto"/>
                <w:spacing w:val="-2"/>
                <w:sz w:val="24"/>
                <w:szCs w:val="24"/>
                <w:highlight w:val="none"/>
              </w:rPr>
              <w:t>诉</w:t>
            </w:r>
          </w:p>
          <w:p>
            <w:pPr>
              <w:widowControl/>
              <w:kinsoku w:val="0"/>
              <w:wordWrap/>
              <w:autoSpaceDE w:val="0"/>
              <w:autoSpaceDN w:val="0"/>
              <w:adjustRightInd w:val="0"/>
              <w:snapToGrid w:val="0"/>
              <w:spacing w:line="240" w:lineRule="atLeast"/>
              <w:ind w:left="208"/>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检</w:t>
            </w:r>
            <w:r>
              <w:rPr>
                <w:rFonts w:hint="eastAsia" w:ascii="新宋体" w:hAnsi="新宋体" w:eastAsia="新宋体" w:cs="新宋体"/>
                <w:color w:val="auto"/>
                <w:spacing w:val="-1"/>
                <w:sz w:val="24"/>
                <w:szCs w:val="24"/>
                <w:highlight w:val="none"/>
              </w:rPr>
              <w:t>查</w:t>
            </w:r>
          </w:p>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整改</w:t>
            </w:r>
          </w:p>
        </w:tc>
        <w:tc>
          <w:tcPr>
            <w:tcW w:w="7193" w:type="dxa"/>
            <w:vAlign w:val="center"/>
          </w:tcPr>
          <w:p>
            <w:pPr>
              <w:widowControl/>
              <w:numPr>
                <w:ilvl w:val="0"/>
                <w:numId w:val="22"/>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建立完善</w:t>
            </w:r>
            <w:r>
              <w:rPr>
                <w:rFonts w:hint="eastAsia" w:ascii="新宋体" w:hAnsi="新宋体" w:eastAsia="新宋体" w:cs="新宋体"/>
                <w:color w:val="auto"/>
                <w:spacing w:val="-5"/>
                <w:sz w:val="24"/>
                <w:szCs w:val="24"/>
                <w:highlight w:val="none"/>
              </w:rPr>
              <w:t>的</w:t>
            </w:r>
            <w:r>
              <w:rPr>
                <w:rFonts w:hint="eastAsia" w:ascii="新宋体" w:hAnsi="新宋体" w:eastAsia="新宋体" w:cs="新宋体"/>
                <w:color w:val="auto"/>
                <w:spacing w:val="-4"/>
                <w:sz w:val="24"/>
                <w:szCs w:val="24"/>
                <w:highlight w:val="none"/>
              </w:rPr>
              <w:t>投诉响应机制， 并能妥善处理各类投诉及建议，给予投诉客户</w:t>
            </w:r>
            <w:r>
              <w:rPr>
                <w:rFonts w:hint="eastAsia" w:ascii="新宋体" w:hAnsi="新宋体" w:eastAsia="新宋体" w:cs="新宋体"/>
                <w:color w:val="auto"/>
                <w:spacing w:val="-8"/>
                <w:sz w:val="24"/>
                <w:szCs w:val="24"/>
                <w:highlight w:val="none"/>
              </w:rPr>
              <w:t>答复。</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ind w:right="10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snapToGrid w:val="0"/>
                <w:color w:val="auto"/>
                <w:kern w:val="0"/>
                <w:sz w:val="24"/>
                <w:szCs w:val="24"/>
                <w:highlight w:val="none"/>
                <w:lang w:val="en-US" w:eastAsia="zh-CN" w:bidi="ar-SA"/>
              </w:rPr>
              <w:pict>
                <v:rect id="Rectangle 3" o:spid="_x0000_s1029" o:spt="1" style="position:absolute;left:0pt;margin-left:794.9pt;margin-top:0.4pt;height:80.6pt;width:0.5pt;mso-position-horizontal-relative:page;mso-position-vertical-relative:page;z-index:251662336;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r>
              <w:rPr>
                <w:rFonts w:hint="eastAsia" w:ascii="新宋体" w:hAnsi="新宋体" w:eastAsia="新宋体" w:cs="新宋体"/>
                <w:color w:val="auto"/>
                <w:spacing w:val="-2"/>
                <w:sz w:val="24"/>
                <w:szCs w:val="24"/>
                <w:highlight w:val="none"/>
              </w:rPr>
              <w:t>①</w:t>
            </w:r>
            <w:r>
              <w:rPr>
                <w:rFonts w:hint="eastAsia" w:ascii="新宋体" w:hAnsi="新宋体" w:eastAsia="新宋体" w:cs="新宋体"/>
                <w:color w:val="auto"/>
                <w:spacing w:val="-1"/>
                <w:sz w:val="24"/>
                <w:szCs w:val="24"/>
                <w:highlight w:val="none"/>
              </w:rPr>
              <w:t>投诉事件经认定属实，未妥善</w:t>
            </w:r>
            <w:r>
              <w:rPr>
                <w:rFonts w:hint="eastAsia" w:ascii="新宋体" w:hAnsi="新宋体" w:eastAsia="新宋体" w:cs="新宋体"/>
                <w:color w:val="auto"/>
                <w:spacing w:val="-17"/>
                <w:sz w:val="24"/>
                <w:szCs w:val="24"/>
                <w:highlight w:val="none"/>
              </w:rPr>
              <w:t>处</w:t>
            </w:r>
            <w:r>
              <w:rPr>
                <w:rFonts w:hint="eastAsia" w:ascii="新宋体" w:hAnsi="新宋体" w:eastAsia="新宋体" w:cs="新宋体"/>
                <w:color w:val="auto"/>
                <w:spacing w:val="-12"/>
                <w:sz w:val="24"/>
                <w:szCs w:val="24"/>
                <w:highlight w:val="none"/>
              </w:rPr>
              <w:t>理或未答复，扣 1 分。</w:t>
            </w: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②符合得</w:t>
            </w:r>
            <w:r>
              <w:rPr>
                <w:rFonts w:hint="eastAsia" w:ascii="新宋体" w:hAnsi="新宋体" w:eastAsia="新宋体" w:cs="新宋体"/>
                <w:color w:val="auto"/>
                <w:spacing w:val="-14"/>
                <w:sz w:val="24"/>
                <w:szCs w:val="24"/>
                <w:highlight w:val="none"/>
                <w:lang w:val="en-US" w:eastAsia="zh-CN"/>
              </w:rPr>
              <w:t>1</w:t>
            </w:r>
            <w:r>
              <w:rPr>
                <w:rFonts w:hint="eastAsia" w:ascii="新宋体" w:hAnsi="新宋体" w:eastAsia="新宋体" w:cs="新宋体"/>
                <w:color w:val="auto"/>
                <w:spacing w:val="-14"/>
                <w:sz w:val="24"/>
                <w:szCs w:val="24"/>
                <w:highlight w:val="none"/>
              </w:rPr>
              <w:t>分，基本符合得</w:t>
            </w:r>
            <w:r>
              <w:rPr>
                <w:rFonts w:hint="eastAsia" w:ascii="新宋体" w:hAnsi="新宋体" w:eastAsia="新宋体" w:cs="新宋体"/>
                <w:color w:val="auto"/>
                <w:spacing w:val="-14"/>
                <w:sz w:val="24"/>
                <w:szCs w:val="24"/>
                <w:highlight w:val="none"/>
                <w:lang w:val="en-US" w:eastAsia="zh-CN"/>
              </w:rPr>
              <w:t>0.5</w:t>
            </w:r>
            <w:r>
              <w:rPr>
                <w:rFonts w:hint="eastAsia" w:ascii="新宋体" w:hAnsi="新宋体" w:eastAsia="新宋体" w:cs="新宋体"/>
                <w:color w:val="auto"/>
                <w:spacing w:val="-14"/>
                <w:sz w:val="24"/>
                <w:szCs w:val="24"/>
                <w:highlight w:val="none"/>
              </w:rPr>
              <w:t>分</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10"/>
                <w:sz w:val="24"/>
                <w:szCs w:val="24"/>
                <w:highlight w:val="none"/>
              </w:rPr>
              <w:t>不</w:t>
            </w:r>
            <w:r>
              <w:rPr>
                <w:rFonts w:hint="eastAsia" w:ascii="新宋体" w:hAnsi="新宋体" w:eastAsia="新宋体" w:cs="新宋体"/>
                <w:color w:val="auto"/>
                <w:spacing w:val="-6"/>
                <w:sz w:val="24"/>
                <w:szCs w:val="24"/>
                <w:highlight w:val="none"/>
              </w:rPr>
              <w:t>符</w:t>
            </w:r>
            <w:r>
              <w:rPr>
                <w:rFonts w:hint="eastAsia" w:ascii="新宋体" w:hAnsi="新宋体" w:eastAsia="新宋体" w:cs="新宋体"/>
                <w:color w:val="auto"/>
                <w:spacing w:val="-5"/>
                <w:sz w:val="24"/>
                <w:szCs w:val="24"/>
                <w:highlight w:val="none"/>
              </w:rPr>
              <w:t>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2"/>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检查整改有效落</w:t>
            </w:r>
            <w:r>
              <w:rPr>
                <w:rFonts w:hint="eastAsia" w:ascii="新宋体" w:hAnsi="新宋体" w:eastAsia="新宋体" w:cs="新宋体"/>
                <w:color w:val="auto"/>
                <w:sz w:val="24"/>
                <w:szCs w:val="24"/>
                <w:highlight w:val="none"/>
              </w:rPr>
              <w:t>实。</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2"/>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无其它</w:t>
            </w:r>
            <w:r>
              <w:rPr>
                <w:rFonts w:hint="eastAsia" w:ascii="新宋体" w:hAnsi="新宋体" w:eastAsia="新宋体" w:cs="新宋体"/>
                <w:color w:val="auto"/>
                <w:spacing w:val="-1"/>
                <w:sz w:val="24"/>
                <w:szCs w:val="24"/>
                <w:highlight w:val="none"/>
              </w:rPr>
              <w:t>违反</w:t>
            </w:r>
            <w:r>
              <w:rPr>
                <w:rFonts w:hint="eastAsia" w:ascii="新宋体" w:hAnsi="新宋体" w:eastAsia="新宋体" w:cs="新宋体"/>
                <w:color w:val="auto"/>
                <w:spacing w:val="-1"/>
                <w:sz w:val="24"/>
                <w:szCs w:val="24"/>
                <w:highlight w:val="none"/>
                <w:lang w:eastAsia="zh-CN"/>
              </w:rPr>
              <w:t>采购人</w:t>
            </w:r>
            <w:r>
              <w:rPr>
                <w:rFonts w:hint="eastAsia" w:ascii="新宋体" w:hAnsi="新宋体" w:eastAsia="新宋体" w:cs="新宋体"/>
                <w:color w:val="auto"/>
                <w:spacing w:val="-1"/>
                <w:sz w:val="24"/>
                <w:szCs w:val="24"/>
                <w:highlight w:val="none"/>
              </w:rPr>
              <w:t>相关规定之事项。</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11</w:t>
            </w:r>
          </w:p>
        </w:tc>
        <w:tc>
          <w:tcPr>
            <w:tcW w:w="844" w:type="dxa"/>
            <w:vAlign w:val="center"/>
          </w:tcPr>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position w:val="9"/>
                <w:sz w:val="24"/>
                <w:szCs w:val="24"/>
                <w:highlight w:val="none"/>
              </w:rPr>
              <w:t>标准</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tabs>
                <w:tab w:val="left" w:pos="6229"/>
              </w:tabs>
              <w:jc w:val="both"/>
              <w:rPr>
                <w:rFonts w:hint="eastAsia" w:ascii="新宋体" w:hAnsi="新宋体" w:eastAsia="新宋体" w:cs="新宋体"/>
                <w:snapToGrid w:val="0"/>
                <w:color w:val="auto"/>
                <w:kern w:val="0"/>
                <w:sz w:val="24"/>
                <w:szCs w:val="24"/>
                <w:highlight w:val="none"/>
                <w:lang w:val="en-US" w:eastAsia="zh-CN" w:bidi="ar-SA"/>
              </w:rPr>
            </w:pPr>
            <w:r>
              <w:rPr>
                <w:rFonts w:hint="eastAsia" w:ascii="新宋体" w:hAnsi="新宋体" w:eastAsia="新宋体" w:cs="新宋体"/>
                <w:snapToGrid w:val="0"/>
                <w:color w:val="auto"/>
                <w:kern w:val="0"/>
                <w:sz w:val="24"/>
                <w:szCs w:val="24"/>
                <w:highlight w:val="none"/>
                <w:lang w:val="en-US" w:eastAsia="zh-CN" w:bidi="ar-SA"/>
              </w:rPr>
              <w:tab/>
            </w:r>
            <w:r>
              <w:rPr>
                <w:rFonts w:hint="eastAsia" w:ascii="新宋体" w:hAnsi="新宋体" w:eastAsia="新宋体" w:cs="新宋体"/>
                <w:snapToGrid w:val="0"/>
                <w:color w:val="auto"/>
                <w:kern w:val="0"/>
                <w:sz w:val="24"/>
                <w:szCs w:val="24"/>
                <w:highlight w:val="none"/>
                <w:lang w:val="en-US" w:eastAsia="zh-CN" w:bidi="ar-SA"/>
              </w:rPr>
              <w:t>100分</w:t>
            </w: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12</w:t>
            </w:r>
          </w:p>
        </w:tc>
        <w:tc>
          <w:tcPr>
            <w:tcW w:w="844" w:type="dxa"/>
            <w:vAlign w:val="center"/>
          </w:tcPr>
          <w:p>
            <w:pPr>
              <w:widowControl/>
              <w:kinsoku w:val="0"/>
              <w:wordWrap/>
              <w:autoSpaceDE w:val="0"/>
              <w:autoSpaceDN w:val="0"/>
              <w:adjustRightInd w:val="0"/>
              <w:snapToGrid w:val="0"/>
              <w:spacing w:line="240" w:lineRule="atLeast"/>
              <w:ind w:left="21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rPr>
              <w:t>总得</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bl>
    <w:p>
      <w:pPr>
        <w:rPr>
          <w:color w:val="auto"/>
          <w:highlight w:val="none"/>
        </w:rPr>
        <w:sectPr>
          <w:pgSz w:w="16838" w:h="11900" w:orient="landscape"/>
          <w:pgMar w:top="1712" w:right="1429" w:bottom="1599" w:left="0" w:header="0" w:footer="0" w:gutter="0"/>
          <w:pgBorders>
            <w:top w:val="none" w:sz="0" w:space="0"/>
            <w:left w:val="none" w:sz="0" w:space="0"/>
            <w:bottom w:val="none" w:sz="0" w:space="0"/>
            <w:right w:val="none" w:sz="0" w:space="0"/>
          </w:pgBorders>
          <w:pgNumType w:fmt="decimal"/>
          <w:cols w:space="720" w:num="1"/>
          <w:titlePg/>
          <w:rtlGutter w:val="0"/>
          <w:docGrid w:type="lines" w:linePitch="318"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4450"/>
      <w:bookmarkEnd w:id="28"/>
      <w:bookmarkStart w:id="29" w:name="_Toc184313266"/>
      <w:bookmarkEnd w:id="29"/>
      <w:bookmarkStart w:id="30" w:name="_Toc184312088"/>
      <w:bookmarkEnd w:id="30"/>
      <w:bookmarkStart w:id="31" w:name="_Toc184308084"/>
      <w:bookmarkEnd w:id="31"/>
      <w:bookmarkStart w:id="32" w:name="_Toc184313273"/>
      <w:bookmarkEnd w:id="32"/>
      <w:bookmarkStart w:id="33" w:name="_Toc184314434"/>
      <w:bookmarkEnd w:id="33"/>
      <w:bookmarkStart w:id="34" w:name="_Toc184312120"/>
      <w:bookmarkEnd w:id="34"/>
      <w:bookmarkStart w:id="35" w:name="_Toc184308106"/>
      <w:bookmarkEnd w:id="35"/>
      <w:bookmarkStart w:id="36" w:name="_Toc184310301"/>
      <w:bookmarkEnd w:id="36"/>
      <w:bookmarkStart w:id="37" w:name="_Toc184314475"/>
      <w:bookmarkEnd w:id="37"/>
      <w:bookmarkStart w:id="38" w:name="_Toc184312077"/>
      <w:bookmarkEnd w:id="38"/>
      <w:bookmarkStart w:id="39" w:name="_Toc184312085"/>
      <w:bookmarkEnd w:id="39"/>
      <w:bookmarkStart w:id="40" w:name="_Toc184308047"/>
      <w:bookmarkEnd w:id="40"/>
      <w:bookmarkStart w:id="41" w:name="_Toc184308102"/>
      <w:bookmarkEnd w:id="41"/>
      <w:bookmarkStart w:id="42" w:name="_Toc184313299"/>
      <w:bookmarkEnd w:id="42"/>
      <w:bookmarkStart w:id="43" w:name="_Toc184310342"/>
      <w:bookmarkEnd w:id="43"/>
      <w:bookmarkStart w:id="44" w:name="_Toc184310305"/>
      <w:bookmarkEnd w:id="44"/>
      <w:bookmarkStart w:id="45" w:name="_Toc184314443"/>
      <w:bookmarkEnd w:id="45"/>
      <w:bookmarkStart w:id="46" w:name="_Toc184310327"/>
      <w:bookmarkEnd w:id="46"/>
      <w:bookmarkStart w:id="47" w:name="_Toc184308048"/>
      <w:bookmarkEnd w:id="47"/>
      <w:bookmarkStart w:id="48" w:name="_Toc184314447"/>
      <w:bookmarkEnd w:id="48"/>
      <w:bookmarkStart w:id="49" w:name="_Toc184312086"/>
      <w:bookmarkEnd w:id="49"/>
      <w:bookmarkStart w:id="50" w:name="_Toc184314435"/>
      <w:bookmarkEnd w:id="50"/>
      <w:bookmarkStart w:id="51" w:name="_Toc184310290"/>
      <w:bookmarkEnd w:id="51"/>
      <w:bookmarkStart w:id="52" w:name="_Toc184313264"/>
      <w:bookmarkEnd w:id="52"/>
      <w:bookmarkStart w:id="53" w:name="_Toc184308046"/>
      <w:bookmarkEnd w:id="53"/>
      <w:bookmarkStart w:id="54" w:name="_Toc184314426"/>
      <w:bookmarkEnd w:id="54"/>
      <w:bookmarkStart w:id="55" w:name="_Toc184308054"/>
      <w:bookmarkEnd w:id="55"/>
      <w:bookmarkStart w:id="56" w:name="_Toc184310279"/>
      <w:bookmarkEnd w:id="56"/>
      <w:bookmarkStart w:id="57" w:name="_Toc184312071"/>
      <w:bookmarkEnd w:id="57"/>
      <w:bookmarkStart w:id="58" w:name="_Toc184308063"/>
      <w:bookmarkEnd w:id="58"/>
      <w:bookmarkStart w:id="59" w:name="_Toc184308067"/>
      <w:bookmarkEnd w:id="59"/>
      <w:bookmarkStart w:id="60" w:name="_Toc184308096"/>
      <w:bookmarkEnd w:id="60"/>
      <w:bookmarkStart w:id="61" w:name="_Toc184314463"/>
      <w:bookmarkEnd w:id="61"/>
      <w:bookmarkStart w:id="62" w:name="_Toc184308081"/>
      <w:bookmarkEnd w:id="62"/>
      <w:bookmarkStart w:id="63" w:name="_Toc184310343"/>
      <w:bookmarkEnd w:id="63"/>
      <w:bookmarkStart w:id="64" w:name="_Toc184313265"/>
      <w:bookmarkEnd w:id="64"/>
      <w:bookmarkStart w:id="65" w:name="_Toc184314431"/>
      <w:bookmarkEnd w:id="65"/>
      <w:bookmarkStart w:id="66" w:name="_Toc184308042"/>
      <w:bookmarkEnd w:id="66"/>
      <w:bookmarkStart w:id="67" w:name="_Toc184313250"/>
      <w:bookmarkEnd w:id="67"/>
      <w:bookmarkStart w:id="68" w:name="_Toc184313269"/>
      <w:bookmarkEnd w:id="68"/>
      <w:bookmarkStart w:id="69" w:name="_Toc184310274"/>
      <w:bookmarkEnd w:id="69"/>
      <w:bookmarkStart w:id="70" w:name="_Toc184308041"/>
      <w:bookmarkEnd w:id="70"/>
      <w:bookmarkStart w:id="71" w:name="_Toc184314457"/>
      <w:bookmarkEnd w:id="71"/>
      <w:bookmarkStart w:id="72" w:name="_Toc184312134"/>
      <w:bookmarkEnd w:id="72"/>
      <w:bookmarkStart w:id="73" w:name="_Toc184308085"/>
      <w:bookmarkEnd w:id="73"/>
      <w:bookmarkStart w:id="74" w:name="_Toc184313291"/>
      <w:bookmarkEnd w:id="74"/>
      <w:bookmarkStart w:id="75" w:name="_Toc184310328"/>
      <w:bookmarkEnd w:id="75"/>
      <w:bookmarkStart w:id="76" w:name="_Toc184312102"/>
      <w:bookmarkEnd w:id="76"/>
      <w:bookmarkStart w:id="77" w:name="_Toc184310289"/>
      <w:bookmarkEnd w:id="77"/>
      <w:bookmarkStart w:id="78" w:name="_Toc184310277"/>
      <w:bookmarkEnd w:id="78"/>
      <w:bookmarkStart w:id="79" w:name="_Toc184310297"/>
      <w:bookmarkEnd w:id="79"/>
      <w:bookmarkStart w:id="80" w:name="_Toc184308090"/>
      <w:bookmarkEnd w:id="80"/>
      <w:bookmarkStart w:id="81" w:name="_Toc184308089"/>
      <w:bookmarkEnd w:id="81"/>
      <w:bookmarkStart w:id="82" w:name="_Toc184308068"/>
      <w:bookmarkEnd w:id="82"/>
      <w:bookmarkStart w:id="83" w:name="_Toc184312108"/>
      <w:bookmarkEnd w:id="83"/>
      <w:bookmarkStart w:id="84" w:name="_Toc184312101"/>
      <w:bookmarkEnd w:id="84"/>
      <w:bookmarkStart w:id="85" w:name="_Toc184314452"/>
      <w:bookmarkEnd w:id="85"/>
      <w:bookmarkStart w:id="86" w:name="_Toc184310324"/>
      <w:bookmarkEnd w:id="86"/>
      <w:bookmarkStart w:id="87" w:name="_Toc184308098"/>
      <w:bookmarkEnd w:id="87"/>
      <w:bookmarkStart w:id="88" w:name="_Toc184308091"/>
      <w:bookmarkEnd w:id="88"/>
      <w:bookmarkStart w:id="89" w:name="_Toc184313294"/>
      <w:bookmarkEnd w:id="89"/>
      <w:bookmarkStart w:id="90" w:name="_Toc184308087"/>
      <w:bookmarkEnd w:id="90"/>
      <w:bookmarkStart w:id="91" w:name="_Toc184308095"/>
      <w:bookmarkEnd w:id="91"/>
      <w:bookmarkStart w:id="92" w:name="_Toc184310326"/>
      <w:bookmarkEnd w:id="92"/>
      <w:bookmarkStart w:id="93" w:name="_Toc184312132"/>
      <w:bookmarkEnd w:id="93"/>
      <w:bookmarkStart w:id="94" w:name="_Toc184312129"/>
      <w:bookmarkEnd w:id="94"/>
      <w:bookmarkStart w:id="95" w:name="_Toc184310308"/>
      <w:bookmarkEnd w:id="95"/>
      <w:bookmarkStart w:id="96" w:name="_Toc184314456"/>
      <w:bookmarkEnd w:id="96"/>
      <w:bookmarkStart w:id="97" w:name="_Toc184314448"/>
      <w:bookmarkEnd w:id="97"/>
      <w:bookmarkStart w:id="98" w:name="_Toc184313296"/>
      <w:bookmarkEnd w:id="98"/>
      <w:bookmarkStart w:id="99" w:name="_Toc184314429"/>
      <w:bookmarkEnd w:id="99"/>
      <w:bookmarkStart w:id="100" w:name="_Toc184313306"/>
      <w:bookmarkEnd w:id="100"/>
      <w:bookmarkStart w:id="101" w:name="_Toc184312119"/>
      <w:bookmarkEnd w:id="101"/>
      <w:bookmarkStart w:id="102" w:name="_Toc184312097"/>
      <w:bookmarkEnd w:id="102"/>
      <w:bookmarkStart w:id="103" w:name="_Toc184312117"/>
      <w:bookmarkEnd w:id="103"/>
      <w:bookmarkStart w:id="104" w:name="_Toc184313301"/>
      <w:bookmarkEnd w:id="104"/>
      <w:bookmarkStart w:id="105" w:name="_Toc184313293"/>
      <w:bookmarkEnd w:id="105"/>
      <w:bookmarkStart w:id="106" w:name="_Toc184310319"/>
      <w:bookmarkEnd w:id="106"/>
      <w:bookmarkStart w:id="107" w:name="_Toc184313310"/>
      <w:bookmarkEnd w:id="107"/>
      <w:bookmarkStart w:id="108" w:name="_Toc184314424"/>
      <w:bookmarkEnd w:id="108"/>
      <w:bookmarkStart w:id="109" w:name="_Toc184314479"/>
      <w:bookmarkEnd w:id="109"/>
      <w:bookmarkStart w:id="110" w:name="_Toc184313278"/>
      <w:bookmarkEnd w:id="110"/>
      <w:bookmarkStart w:id="111" w:name="_Toc184314423"/>
      <w:bookmarkEnd w:id="111"/>
      <w:bookmarkStart w:id="112" w:name="_Toc184310318"/>
      <w:bookmarkEnd w:id="112"/>
      <w:bookmarkStart w:id="113" w:name="_Toc184313249"/>
      <w:bookmarkEnd w:id="113"/>
      <w:bookmarkStart w:id="114" w:name="_Toc184308069"/>
      <w:bookmarkEnd w:id="114"/>
      <w:bookmarkStart w:id="115" w:name="_Toc184310287"/>
      <w:bookmarkEnd w:id="115"/>
      <w:bookmarkStart w:id="116" w:name="_Toc184310282"/>
      <w:bookmarkEnd w:id="116"/>
      <w:bookmarkStart w:id="117" w:name="_Toc184314462"/>
      <w:bookmarkEnd w:id="117"/>
      <w:bookmarkStart w:id="118" w:name="_Toc184308073"/>
      <w:bookmarkEnd w:id="118"/>
      <w:bookmarkStart w:id="119" w:name="_Toc184310278"/>
      <w:bookmarkEnd w:id="119"/>
      <w:bookmarkStart w:id="120" w:name="_Toc184308107"/>
      <w:bookmarkEnd w:id="120"/>
      <w:bookmarkStart w:id="121" w:name="_Toc184314436"/>
      <w:bookmarkEnd w:id="121"/>
      <w:bookmarkStart w:id="122" w:name="_Toc184310316"/>
      <w:bookmarkEnd w:id="122"/>
      <w:bookmarkStart w:id="123" w:name="_Toc184312093"/>
      <w:bookmarkEnd w:id="123"/>
      <w:bookmarkStart w:id="124" w:name="_Toc184308101"/>
      <w:bookmarkEnd w:id="124"/>
      <w:bookmarkStart w:id="125" w:name="_Toc184308076"/>
      <w:bookmarkEnd w:id="125"/>
      <w:bookmarkStart w:id="126" w:name="_Toc184310295"/>
      <w:bookmarkEnd w:id="126"/>
      <w:bookmarkStart w:id="127" w:name="_Toc184313284"/>
      <w:bookmarkEnd w:id="127"/>
      <w:bookmarkStart w:id="128" w:name="_Toc184313243"/>
      <w:bookmarkEnd w:id="128"/>
      <w:bookmarkStart w:id="129" w:name="_Toc184314413"/>
      <w:bookmarkEnd w:id="129"/>
      <w:bookmarkStart w:id="130" w:name="_Toc184314472"/>
      <w:bookmarkEnd w:id="130"/>
      <w:bookmarkStart w:id="131" w:name="_Toc184312095"/>
      <w:bookmarkEnd w:id="131"/>
      <w:bookmarkStart w:id="132" w:name="_Toc184310298"/>
      <w:bookmarkEnd w:id="132"/>
      <w:bookmarkStart w:id="133" w:name="_Toc184312106"/>
      <w:bookmarkEnd w:id="133"/>
      <w:bookmarkStart w:id="134" w:name="_Toc184308079"/>
      <w:bookmarkEnd w:id="134"/>
      <w:bookmarkStart w:id="135" w:name="_Toc184310272"/>
      <w:bookmarkEnd w:id="135"/>
      <w:bookmarkStart w:id="136" w:name="_Toc184313267"/>
      <w:bookmarkEnd w:id="136"/>
      <w:bookmarkStart w:id="137" w:name="_Toc184310321"/>
      <w:bookmarkEnd w:id="137"/>
      <w:bookmarkStart w:id="138" w:name="_Toc184310330"/>
      <w:bookmarkEnd w:id="138"/>
      <w:bookmarkStart w:id="139" w:name="_Toc184312069"/>
      <w:bookmarkEnd w:id="139"/>
      <w:bookmarkStart w:id="140" w:name="_Toc184314417"/>
      <w:bookmarkEnd w:id="140"/>
      <w:bookmarkStart w:id="141" w:name="_Toc184314482"/>
      <w:bookmarkEnd w:id="141"/>
      <w:bookmarkStart w:id="142" w:name="_Toc184310303"/>
      <w:bookmarkEnd w:id="142"/>
      <w:bookmarkStart w:id="143" w:name="_Toc184308072"/>
      <w:bookmarkEnd w:id="143"/>
      <w:bookmarkStart w:id="144" w:name="_Toc184314453"/>
      <w:bookmarkEnd w:id="144"/>
      <w:bookmarkStart w:id="145" w:name="_Toc184314418"/>
      <w:bookmarkEnd w:id="145"/>
      <w:bookmarkStart w:id="146" w:name="_Toc184313270"/>
      <w:bookmarkEnd w:id="146"/>
      <w:bookmarkStart w:id="147" w:name="_Toc184310288"/>
      <w:bookmarkEnd w:id="147"/>
      <w:bookmarkStart w:id="148" w:name="_Toc184313248"/>
      <w:bookmarkEnd w:id="148"/>
      <w:bookmarkStart w:id="149" w:name="_Toc184308058"/>
      <w:bookmarkEnd w:id="149"/>
      <w:bookmarkStart w:id="150" w:name="_Toc184312080"/>
      <w:bookmarkEnd w:id="150"/>
      <w:bookmarkStart w:id="151" w:name="_Toc184313247"/>
      <w:bookmarkEnd w:id="151"/>
      <w:bookmarkStart w:id="152" w:name="_Toc184308082"/>
      <w:bookmarkEnd w:id="152"/>
      <w:bookmarkStart w:id="153" w:name="_Toc184312118"/>
      <w:bookmarkEnd w:id="153"/>
      <w:bookmarkStart w:id="154" w:name="_Toc184312075"/>
      <w:bookmarkEnd w:id="154"/>
      <w:bookmarkStart w:id="155" w:name="_Toc184310283"/>
      <w:bookmarkEnd w:id="155"/>
      <w:bookmarkStart w:id="156" w:name="_Toc184313262"/>
      <w:bookmarkEnd w:id="156"/>
      <w:bookmarkStart w:id="157" w:name="_Toc184314468"/>
      <w:bookmarkEnd w:id="157"/>
      <w:bookmarkStart w:id="158" w:name="_Toc184312126"/>
      <w:bookmarkEnd w:id="158"/>
      <w:bookmarkStart w:id="159" w:name="_Toc184313309"/>
      <w:bookmarkEnd w:id="159"/>
      <w:bookmarkStart w:id="160" w:name="_Toc184313282"/>
      <w:bookmarkEnd w:id="160"/>
      <w:bookmarkStart w:id="161" w:name="_Toc184308036"/>
      <w:bookmarkEnd w:id="161"/>
      <w:bookmarkStart w:id="162" w:name="_Toc184313246"/>
      <w:bookmarkEnd w:id="162"/>
      <w:bookmarkStart w:id="163" w:name="_Toc184308053"/>
      <w:bookmarkEnd w:id="163"/>
      <w:bookmarkStart w:id="164" w:name="_Toc184308045"/>
      <w:bookmarkEnd w:id="164"/>
      <w:bookmarkStart w:id="165" w:name="_Toc184312128"/>
      <w:bookmarkEnd w:id="165"/>
      <w:bookmarkStart w:id="166" w:name="_Toc184308104"/>
      <w:bookmarkEnd w:id="166"/>
      <w:bookmarkStart w:id="167" w:name="_Toc184313283"/>
      <w:bookmarkEnd w:id="167"/>
      <w:bookmarkStart w:id="168" w:name="_Toc184313263"/>
      <w:bookmarkEnd w:id="168"/>
      <w:bookmarkStart w:id="169" w:name="_Toc184312133"/>
      <w:bookmarkEnd w:id="169"/>
      <w:bookmarkStart w:id="170" w:name="_Toc184310286"/>
      <w:bookmarkEnd w:id="170"/>
      <w:bookmarkStart w:id="171" w:name="_Toc184313297"/>
      <w:bookmarkEnd w:id="171"/>
      <w:bookmarkStart w:id="172" w:name="_Toc184314410"/>
      <w:bookmarkEnd w:id="172"/>
      <w:bookmarkStart w:id="173" w:name="_Toc184308056"/>
      <w:bookmarkEnd w:id="173"/>
      <w:bookmarkStart w:id="174" w:name="_Toc184314455"/>
      <w:bookmarkEnd w:id="174"/>
      <w:bookmarkStart w:id="175" w:name="_Toc184312131"/>
      <w:bookmarkEnd w:id="175"/>
      <w:bookmarkStart w:id="176" w:name="_Toc184308092"/>
      <w:bookmarkEnd w:id="176"/>
      <w:bookmarkStart w:id="177" w:name="_Toc184312125"/>
      <w:bookmarkEnd w:id="177"/>
      <w:bookmarkStart w:id="178" w:name="_Toc184310307"/>
      <w:bookmarkEnd w:id="178"/>
      <w:bookmarkStart w:id="179" w:name="_Toc184312105"/>
      <w:bookmarkEnd w:id="179"/>
      <w:bookmarkStart w:id="180" w:name="_Toc184308061"/>
      <w:bookmarkEnd w:id="180"/>
      <w:bookmarkStart w:id="181" w:name="_Toc184314469"/>
      <w:bookmarkEnd w:id="181"/>
      <w:bookmarkStart w:id="182" w:name="_Toc184314437"/>
      <w:bookmarkEnd w:id="182"/>
      <w:bookmarkStart w:id="183" w:name="_Toc184310300"/>
      <w:bookmarkEnd w:id="183"/>
      <w:bookmarkStart w:id="184" w:name="_Toc184313307"/>
      <w:bookmarkEnd w:id="184"/>
      <w:bookmarkStart w:id="185" w:name="_Toc184313280"/>
      <w:bookmarkEnd w:id="185"/>
      <w:bookmarkStart w:id="186" w:name="_Toc184312116"/>
      <w:bookmarkEnd w:id="186"/>
      <w:bookmarkStart w:id="187" w:name="_Toc184308080"/>
      <w:bookmarkEnd w:id="187"/>
      <w:bookmarkStart w:id="188" w:name="_Toc184310337"/>
      <w:bookmarkEnd w:id="188"/>
      <w:bookmarkStart w:id="189" w:name="_Toc184313302"/>
      <w:bookmarkEnd w:id="189"/>
      <w:bookmarkStart w:id="190" w:name="_Toc184308097"/>
      <w:bookmarkEnd w:id="190"/>
      <w:bookmarkStart w:id="191" w:name="_Toc184308052"/>
      <w:bookmarkEnd w:id="191"/>
      <w:bookmarkStart w:id="192" w:name="_Toc184313268"/>
      <w:bookmarkEnd w:id="192"/>
      <w:bookmarkStart w:id="193" w:name="_Toc184312110"/>
      <w:bookmarkEnd w:id="193"/>
      <w:bookmarkStart w:id="194" w:name="_Toc184310302"/>
      <w:bookmarkEnd w:id="194"/>
      <w:bookmarkStart w:id="195" w:name="_Toc184310329"/>
      <w:bookmarkEnd w:id="195"/>
      <w:bookmarkStart w:id="196" w:name="_Toc184313255"/>
      <w:bookmarkEnd w:id="196"/>
      <w:bookmarkStart w:id="197" w:name="_Toc184314471"/>
      <w:bookmarkEnd w:id="197"/>
      <w:bookmarkStart w:id="198" w:name="_Toc184313252"/>
      <w:bookmarkEnd w:id="198"/>
      <w:bookmarkStart w:id="199" w:name="_Toc184310294"/>
      <w:bookmarkEnd w:id="199"/>
      <w:bookmarkStart w:id="200" w:name="_Toc184314441"/>
      <w:bookmarkEnd w:id="200"/>
      <w:bookmarkStart w:id="201" w:name="_Toc184312122"/>
      <w:bookmarkEnd w:id="201"/>
      <w:bookmarkStart w:id="202" w:name="_Toc184314478"/>
      <w:bookmarkEnd w:id="202"/>
      <w:bookmarkStart w:id="203" w:name="_Toc184314473"/>
      <w:bookmarkEnd w:id="203"/>
      <w:bookmarkStart w:id="204" w:name="_Toc184312139"/>
      <w:bookmarkEnd w:id="204"/>
      <w:bookmarkStart w:id="205" w:name="_Toc184308078"/>
      <w:bookmarkEnd w:id="205"/>
      <w:bookmarkStart w:id="206" w:name="_Toc184313271"/>
      <w:bookmarkEnd w:id="206"/>
      <w:bookmarkStart w:id="207" w:name="_Toc184310336"/>
      <w:bookmarkEnd w:id="207"/>
      <w:bookmarkStart w:id="208" w:name="_Toc184314481"/>
      <w:bookmarkEnd w:id="208"/>
      <w:bookmarkStart w:id="209" w:name="_Toc184313258"/>
      <w:bookmarkEnd w:id="209"/>
      <w:bookmarkStart w:id="210" w:name="_Toc184310315"/>
      <w:bookmarkEnd w:id="210"/>
      <w:bookmarkStart w:id="211" w:name="_Toc184308070"/>
      <w:bookmarkEnd w:id="211"/>
      <w:bookmarkStart w:id="212" w:name="_Toc184314422"/>
      <w:bookmarkEnd w:id="212"/>
      <w:bookmarkStart w:id="213" w:name="_Toc184310338"/>
      <w:bookmarkEnd w:id="213"/>
      <w:bookmarkStart w:id="214" w:name="_Toc184310309"/>
      <w:bookmarkEnd w:id="214"/>
      <w:bookmarkStart w:id="215" w:name="_Toc184310310"/>
      <w:bookmarkEnd w:id="215"/>
      <w:bookmarkStart w:id="216" w:name="_Toc184308049"/>
      <w:bookmarkEnd w:id="216"/>
      <w:bookmarkStart w:id="217" w:name="_Toc184312115"/>
      <w:bookmarkEnd w:id="217"/>
      <w:bookmarkStart w:id="218" w:name="_Toc184312068"/>
      <w:bookmarkEnd w:id="218"/>
      <w:bookmarkStart w:id="219" w:name="_Toc184313277"/>
      <w:bookmarkEnd w:id="219"/>
      <w:bookmarkStart w:id="220" w:name="_Toc184312083"/>
      <w:bookmarkEnd w:id="220"/>
      <w:bookmarkStart w:id="221" w:name="_Toc184312091"/>
      <w:bookmarkEnd w:id="221"/>
      <w:bookmarkStart w:id="222" w:name="_Toc184313251"/>
      <w:bookmarkEnd w:id="222"/>
      <w:bookmarkStart w:id="223" w:name="_Toc184312104"/>
      <w:bookmarkEnd w:id="223"/>
      <w:bookmarkStart w:id="224" w:name="_Toc184312107"/>
      <w:bookmarkEnd w:id="224"/>
      <w:bookmarkStart w:id="225" w:name="_Toc184313285"/>
      <w:bookmarkEnd w:id="225"/>
      <w:bookmarkStart w:id="226" w:name="_Toc184313253"/>
      <w:bookmarkEnd w:id="226"/>
      <w:bookmarkStart w:id="227" w:name="_Toc184314464"/>
      <w:bookmarkEnd w:id="227"/>
      <w:bookmarkStart w:id="228" w:name="_Toc184312076"/>
      <w:bookmarkEnd w:id="228"/>
      <w:bookmarkStart w:id="229" w:name="_Toc184313276"/>
      <w:bookmarkEnd w:id="229"/>
      <w:bookmarkStart w:id="230" w:name="_Toc184312078"/>
      <w:bookmarkEnd w:id="230"/>
      <w:bookmarkStart w:id="231" w:name="_Toc184310293"/>
      <w:bookmarkEnd w:id="231"/>
      <w:bookmarkStart w:id="232" w:name="_Toc184314451"/>
      <w:bookmarkEnd w:id="232"/>
      <w:bookmarkStart w:id="233" w:name="_Toc184314430"/>
      <w:bookmarkEnd w:id="233"/>
      <w:bookmarkStart w:id="234" w:name="_Toc184313289"/>
      <w:bookmarkEnd w:id="234"/>
      <w:bookmarkStart w:id="235" w:name="_Toc184308074"/>
      <w:bookmarkEnd w:id="235"/>
      <w:bookmarkStart w:id="236" w:name="_Toc184313305"/>
      <w:bookmarkEnd w:id="236"/>
      <w:bookmarkStart w:id="237" w:name="_Toc184308099"/>
      <w:bookmarkEnd w:id="237"/>
      <w:bookmarkStart w:id="238" w:name="_Toc184310306"/>
      <w:bookmarkEnd w:id="238"/>
      <w:bookmarkStart w:id="239" w:name="_Toc184312079"/>
      <w:bookmarkEnd w:id="239"/>
      <w:bookmarkStart w:id="240" w:name="_Toc184308077"/>
      <w:bookmarkEnd w:id="240"/>
      <w:bookmarkStart w:id="241" w:name="_Toc184314412"/>
      <w:bookmarkEnd w:id="241"/>
      <w:bookmarkStart w:id="242" w:name="_Toc184313292"/>
      <w:bookmarkEnd w:id="242"/>
      <w:bookmarkStart w:id="243" w:name="_Toc184314433"/>
      <w:bookmarkEnd w:id="243"/>
      <w:bookmarkStart w:id="244" w:name="_Toc184312082"/>
      <w:bookmarkEnd w:id="244"/>
      <w:bookmarkStart w:id="245" w:name="_Toc184313286"/>
      <w:bookmarkEnd w:id="245"/>
      <w:bookmarkStart w:id="246" w:name="_Toc184313240"/>
      <w:bookmarkEnd w:id="246"/>
      <w:bookmarkStart w:id="247" w:name="_Toc184313300"/>
      <w:bookmarkEnd w:id="247"/>
      <w:bookmarkStart w:id="248" w:name="_Toc184310313"/>
      <w:bookmarkEnd w:id="248"/>
      <w:bookmarkStart w:id="249" w:name="_Toc184314420"/>
      <w:bookmarkEnd w:id="249"/>
      <w:bookmarkStart w:id="250" w:name="_Toc184314454"/>
      <w:bookmarkEnd w:id="250"/>
      <w:bookmarkStart w:id="251" w:name="_Toc184310322"/>
      <w:bookmarkEnd w:id="251"/>
      <w:bookmarkStart w:id="252" w:name="_Toc184310281"/>
      <w:bookmarkEnd w:id="252"/>
      <w:bookmarkStart w:id="253" w:name="_Toc184312096"/>
      <w:bookmarkEnd w:id="253"/>
      <w:bookmarkStart w:id="254" w:name="_Toc184314466"/>
      <w:bookmarkEnd w:id="254"/>
      <w:bookmarkStart w:id="255" w:name="_Toc184310341"/>
      <w:bookmarkEnd w:id="255"/>
      <w:bookmarkStart w:id="256" w:name="_Toc184312109"/>
      <w:bookmarkEnd w:id="256"/>
      <w:bookmarkStart w:id="257" w:name="_Toc184313241"/>
      <w:bookmarkEnd w:id="257"/>
      <w:bookmarkStart w:id="258" w:name="_Toc184313260"/>
      <w:bookmarkEnd w:id="258"/>
      <w:bookmarkStart w:id="259" w:name="_Toc184313238"/>
      <w:bookmarkEnd w:id="259"/>
      <w:bookmarkStart w:id="260" w:name="_Toc184310304"/>
      <w:bookmarkEnd w:id="260"/>
      <w:bookmarkStart w:id="261" w:name="_Toc184308060"/>
      <w:bookmarkEnd w:id="261"/>
      <w:bookmarkStart w:id="262" w:name="_Toc184313279"/>
      <w:bookmarkEnd w:id="262"/>
      <w:bookmarkStart w:id="263" w:name="_Toc184312113"/>
      <w:bookmarkEnd w:id="263"/>
      <w:bookmarkStart w:id="264" w:name="_Toc184312135"/>
      <w:bookmarkEnd w:id="264"/>
      <w:bookmarkStart w:id="265" w:name="_Toc184310292"/>
      <w:bookmarkEnd w:id="265"/>
      <w:bookmarkStart w:id="266" w:name="_Toc184314446"/>
      <w:bookmarkEnd w:id="266"/>
      <w:bookmarkStart w:id="267" w:name="_Toc184314438"/>
      <w:bookmarkEnd w:id="267"/>
      <w:bookmarkStart w:id="268" w:name="_Toc184310299"/>
      <w:bookmarkEnd w:id="268"/>
      <w:bookmarkStart w:id="269" w:name="_Toc184314440"/>
      <w:bookmarkEnd w:id="269"/>
      <w:bookmarkStart w:id="270" w:name="_Toc184312124"/>
      <w:bookmarkEnd w:id="270"/>
      <w:bookmarkStart w:id="271" w:name="_Toc184312089"/>
      <w:bookmarkEnd w:id="271"/>
      <w:bookmarkStart w:id="272" w:name="_Toc184312121"/>
      <w:bookmarkEnd w:id="272"/>
      <w:bookmarkStart w:id="273" w:name="_Toc184308093"/>
      <w:bookmarkEnd w:id="273"/>
      <w:bookmarkStart w:id="274" w:name="_Toc184314428"/>
      <w:bookmarkEnd w:id="274"/>
      <w:bookmarkStart w:id="275" w:name="_Toc184310273"/>
      <w:bookmarkEnd w:id="275"/>
      <w:bookmarkStart w:id="276" w:name="_Toc184313261"/>
      <w:bookmarkEnd w:id="276"/>
      <w:bookmarkStart w:id="277" w:name="_Toc184310276"/>
      <w:bookmarkEnd w:id="277"/>
      <w:bookmarkStart w:id="278" w:name="_Toc184312114"/>
      <w:bookmarkEnd w:id="278"/>
      <w:bookmarkStart w:id="279" w:name="_Toc184310323"/>
      <w:bookmarkEnd w:id="279"/>
      <w:bookmarkStart w:id="280" w:name="_Toc184308083"/>
      <w:bookmarkEnd w:id="280"/>
      <w:bookmarkStart w:id="281" w:name="_Toc184312127"/>
      <w:bookmarkEnd w:id="281"/>
      <w:bookmarkStart w:id="282" w:name="_Toc184314425"/>
      <w:bookmarkEnd w:id="282"/>
      <w:bookmarkStart w:id="283" w:name="_Toc184312092"/>
      <w:bookmarkEnd w:id="283"/>
      <w:bookmarkStart w:id="284" w:name="_Toc184313290"/>
      <w:bookmarkEnd w:id="284"/>
      <w:bookmarkStart w:id="285" w:name="_Toc184314415"/>
      <w:bookmarkEnd w:id="285"/>
      <w:bookmarkStart w:id="286" w:name="_Toc184312067"/>
      <w:bookmarkEnd w:id="286"/>
      <w:bookmarkStart w:id="287" w:name="_Toc184314416"/>
      <w:bookmarkEnd w:id="287"/>
      <w:bookmarkStart w:id="288" w:name="_Toc184312112"/>
      <w:bookmarkEnd w:id="288"/>
      <w:bookmarkStart w:id="289" w:name="_Toc184308100"/>
      <w:bookmarkEnd w:id="289"/>
      <w:bookmarkStart w:id="290" w:name="_Toc184314442"/>
      <w:bookmarkEnd w:id="290"/>
      <w:bookmarkStart w:id="291" w:name="_Toc184308103"/>
      <w:bookmarkEnd w:id="291"/>
      <w:bookmarkStart w:id="292" w:name="_Toc184313304"/>
      <w:bookmarkEnd w:id="292"/>
      <w:bookmarkStart w:id="293" w:name="_Toc184312103"/>
      <w:bookmarkEnd w:id="293"/>
      <w:bookmarkStart w:id="294" w:name="_Toc184308057"/>
      <w:bookmarkEnd w:id="294"/>
      <w:bookmarkStart w:id="295" w:name="_Toc184312072"/>
      <w:bookmarkEnd w:id="295"/>
      <w:bookmarkStart w:id="296" w:name="_Toc184312099"/>
      <w:bookmarkEnd w:id="296"/>
      <w:bookmarkStart w:id="297" w:name="_Toc184308044"/>
      <w:bookmarkEnd w:id="297"/>
      <w:bookmarkStart w:id="298" w:name="_Toc184310331"/>
      <w:bookmarkEnd w:id="298"/>
      <w:bookmarkStart w:id="299" w:name="_Toc184312136"/>
      <w:bookmarkEnd w:id="299"/>
      <w:bookmarkStart w:id="300" w:name="_Toc184312094"/>
      <w:bookmarkEnd w:id="300"/>
      <w:bookmarkStart w:id="301" w:name="_Toc184312130"/>
      <w:bookmarkEnd w:id="301"/>
      <w:bookmarkStart w:id="302" w:name="_Toc184314419"/>
      <w:bookmarkEnd w:id="302"/>
      <w:bookmarkStart w:id="303" w:name="_Toc184310317"/>
      <w:bookmarkEnd w:id="303"/>
      <w:bookmarkStart w:id="304" w:name="_Toc184308039"/>
      <w:bookmarkEnd w:id="304"/>
      <w:bookmarkStart w:id="305" w:name="_Toc184310296"/>
      <w:bookmarkEnd w:id="305"/>
      <w:bookmarkStart w:id="306" w:name="_Toc184308038"/>
      <w:bookmarkEnd w:id="306"/>
      <w:bookmarkStart w:id="307" w:name="_Toc184314465"/>
      <w:bookmarkEnd w:id="307"/>
      <w:bookmarkStart w:id="308" w:name="_Toc184312123"/>
      <w:bookmarkEnd w:id="308"/>
      <w:bookmarkStart w:id="309" w:name="_Toc184314427"/>
      <w:bookmarkEnd w:id="309"/>
      <w:bookmarkStart w:id="310" w:name="_Toc184314480"/>
      <w:bookmarkEnd w:id="310"/>
      <w:bookmarkStart w:id="311" w:name="_Toc184310312"/>
      <w:bookmarkEnd w:id="311"/>
      <w:bookmarkStart w:id="312" w:name="_Toc184308050"/>
      <w:bookmarkEnd w:id="312"/>
      <w:bookmarkStart w:id="313" w:name="_Toc184308086"/>
      <w:bookmarkEnd w:id="313"/>
      <w:bookmarkStart w:id="314" w:name="_Toc184312074"/>
      <w:bookmarkEnd w:id="314"/>
      <w:bookmarkStart w:id="315" w:name="_Toc184313274"/>
      <w:bookmarkEnd w:id="315"/>
      <w:bookmarkStart w:id="316" w:name="_Toc184312081"/>
      <w:bookmarkEnd w:id="316"/>
      <w:bookmarkStart w:id="317" w:name="_Toc184313257"/>
      <w:bookmarkEnd w:id="317"/>
      <w:bookmarkStart w:id="318" w:name="_Toc184314421"/>
      <w:bookmarkEnd w:id="318"/>
      <w:bookmarkStart w:id="319" w:name="_Toc184310340"/>
      <w:bookmarkEnd w:id="319"/>
      <w:bookmarkStart w:id="320" w:name="_Toc184314449"/>
      <w:bookmarkEnd w:id="320"/>
      <w:bookmarkStart w:id="321" w:name="_Toc184310311"/>
      <w:bookmarkEnd w:id="321"/>
      <w:bookmarkStart w:id="322" w:name="_Toc184312070"/>
      <w:bookmarkEnd w:id="322"/>
      <w:bookmarkStart w:id="323" w:name="_Toc184310275"/>
      <w:bookmarkEnd w:id="323"/>
      <w:bookmarkStart w:id="324" w:name="_Toc184312087"/>
      <w:bookmarkEnd w:id="324"/>
      <w:bookmarkStart w:id="325" w:name="_Toc184308071"/>
      <w:bookmarkEnd w:id="325"/>
      <w:bookmarkStart w:id="326" w:name="_Toc184310334"/>
      <w:bookmarkEnd w:id="326"/>
      <w:bookmarkStart w:id="327" w:name="_Toc184313245"/>
      <w:bookmarkEnd w:id="327"/>
      <w:bookmarkStart w:id="328" w:name="_Toc184314439"/>
      <w:bookmarkEnd w:id="328"/>
      <w:bookmarkStart w:id="329" w:name="_Toc184314470"/>
      <w:bookmarkEnd w:id="329"/>
      <w:bookmarkStart w:id="330" w:name="_Toc184314411"/>
      <w:bookmarkEnd w:id="330"/>
      <w:bookmarkStart w:id="331" w:name="_Toc184308094"/>
      <w:bookmarkEnd w:id="331"/>
      <w:bookmarkStart w:id="332" w:name="_Toc184314432"/>
      <w:bookmarkEnd w:id="332"/>
      <w:bookmarkStart w:id="333" w:name="_Toc184313272"/>
      <w:bookmarkEnd w:id="333"/>
      <w:bookmarkStart w:id="334" w:name="_Toc184313242"/>
      <w:bookmarkEnd w:id="334"/>
      <w:bookmarkStart w:id="335" w:name="_Toc184313281"/>
      <w:bookmarkEnd w:id="335"/>
      <w:bookmarkStart w:id="336" w:name="_Toc184313254"/>
      <w:bookmarkEnd w:id="336"/>
      <w:bookmarkStart w:id="337" w:name="_Toc184313287"/>
      <w:bookmarkEnd w:id="337"/>
      <w:bookmarkStart w:id="338" w:name="_Toc184310280"/>
      <w:bookmarkEnd w:id="338"/>
      <w:bookmarkStart w:id="339" w:name="_Toc184310344"/>
      <w:bookmarkEnd w:id="339"/>
      <w:bookmarkStart w:id="340" w:name="_Toc184310339"/>
      <w:bookmarkEnd w:id="340"/>
      <w:bookmarkStart w:id="341" w:name="_Toc184313256"/>
      <w:bookmarkEnd w:id="341"/>
      <w:bookmarkStart w:id="342" w:name="_Toc184314474"/>
      <w:bookmarkEnd w:id="342"/>
      <w:bookmarkStart w:id="343" w:name="_Toc184313308"/>
      <w:bookmarkEnd w:id="343"/>
      <w:bookmarkStart w:id="344" w:name="_Toc184312100"/>
      <w:bookmarkEnd w:id="344"/>
      <w:bookmarkStart w:id="345" w:name="_Toc184308059"/>
      <w:bookmarkEnd w:id="345"/>
      <w:bookmarkStart w:id="346" w:name="_Toc184308066"/>
      <w:bookmarkEnd w:id="346"/>
      <w:bookmarkStart w:id="347" w:name="_Toc184308062"/>
      <w:bookmarkEnd w:id="347"/>
      <w:bookmarkStart w:id="348" w:name="_Toc184312090"/>
      <w:bookmarkEnd w:id="348"/>
      <w:bookmarkStart w:id="349" w:name="_Toc184314414"/>
      <w:bookmarkEnd w:id="349"/>
      <w:bookmarkStart w:id="350" w:name="_Toc184313259"/>
      <w:bookmarkEnd w:id="350"/>
      <w:bookmarkStart w:id="351" w:name="_Toc184314445"/>
      <w:bookmarkEnd w:id="351"/>
      <w:bookmarkStart w:id="352" w:name="_Toc184310285"/>
      <w:bookmarkEnd w:id="352"/>
      <w:bookmarkStart w:id="353" w:name="_Toc184308065"/>
      <w:bookmarkEnd w:id="353"/>
      <w:bookmarkStart w:id="354" w:name="_Toc184312084"/>
      <w:bookmarkEnd w:id="354"/>
      <w:bookmarkStart w:id="355" w:name="_Toc184310284"/>
      <w:bookmarkEnd w:id="355"/>
      <w:bookmarkStart w:id="356" w:name="_Toc184314461"/>
      <w:bookmarkEnd w:id="356"/>
      <w:bookmarkStart w:id="357" w:name="_Toc184313303"/>
      <w:bookmarkEnd w:id="357"/>
      <w:bookmarkStart w:id="358" w:name="_Toc184310314"/>
      <w:bookmarkEnd w:id="358"/>
      <w:bookmarkStart w:id="359" w:name="_Toc184308043"/>
      <w:bookmarkEnd w:id="359"/>
      <w:bookmarkStart w:id="360" w:name="_Toc184308040"/>
      <w:bookmarkEnd w:id="360"/>
      <w:bookmarkStart w:id="361" w:name="_Toc184308064"/>
      <w:bookmarkEnd w:id="361"/>
      <w:bookmarkStart w:id="362" w:name="_Toc184308055"/>
      <w:bookmarkEnd w:id="362"/>
      <w:bookmarkStart w:id="363" w:name="_Toc184308037"/>
      <w:bookmarkEnd w:id="363"/>
      <w:bookmarkStart w:id="364" w:name="_Toc184310291"/>
      <w:bookmarkEnd w:id="364"/>
      <w:bookmarkStart w:id="365" w:name="_Toc184308075"/>
      <w:bookmarkEnd w:id="365"/>
      <w:bookmarkStart w:id="366" w:name="_Toc184310333"/>
      <w:bookmarkEnd w:id="366"/>
      <w:bookmarkStart w:id="367" w:name="_Toc184314459"/>
      <w:bookmarkEnd w:id="367"/>
      <w:bookmarkStart w:id="368" w:name="_Toc184308105"/>
      <w:bookmarkEnd w:id="368"/>
      <w:bookmarkStart w:id="369" w:name="_Toc184314476"/>
      <w:bookmarkEnd w:id="369"/>
      <w:bookmarkStart w:id="370" w:name="_Toc184314467"/>
      <w:bookmarkEnd w:id="370"/>
      <w:bookmarkStart w:id="371" w:name="_Toc184314444"/>
      <w:bookmarkEnd w:id="371"/>
      <w:bookmarkStart w:id="372" w:name="_Toc184310335"/>
      <w:bookmarkEnd w:id="372"/>
      <w:bookmarkStart w:id="373" w:name="_Toc184312098"/>
      <w:bookmarkEnd w:id="373"/>
      <w:bookmarkStart w:id="374" w:name="_Toc184312073"/>
      <w:bookmarkEnd w:id="374"/>
      <w:bookmarkStart w:id="375" w:name="_Toc184313239"/>
      <w:bookmarkEnd w:id="375"/>
      <w:bookmarkStart w:id="376" w:name="_Toc184312111"/>
      <w:bookmarkEnd w:id="376"/>
      <w:bookmarkStart w:id="377" w:name="_Toc184313244"/>
      <w:bookmarkEnd w:id="377"/>
      <w:bookmarkStart w:id="378" w:name="_Toc184314458"/>
      <w:bookmarkEnd w:id="378"/>
      <w:bookmarkStart w:id="379" w:name="_Toc184310325"/>
      <w:bookmarkEnd w:id="379"/>
      <w:bookmarkStart w:id="380" w:name="_Toc184308088"/>
      <w:bookmarkEnd w:id="380"/>
      <w:bookmarkStart w:id="381" w:name="_Toc184314477"/>
      <w:bookmarkEnd w:id="381"/>
      <w:bookmarkStart w:id="382" w:name="_Toc184314460"/>
      <w:bookmarkEnd w:id="382"/>
      <w:bookmarkStart w:id="383" w:name="_Toc184313275"/>
      <w:bookmarkEnd w:id="383"/>
      <w:bookmarkStart w:id="384" w:name="_Toc184313298"/>
      <w:bookmarkEnd w:id="384"/>
      <w:bookmarkStart w:id="385" w:name="_Toc184313288"/>
      <w:bookmarkEnd w:id="385"/>
      <w:bookmarkStart w:id="386" w:name="_Toc184310332"/>
      <w:bookmarkEnd w:id="386"/>
      <w:bookmarkStart w:id="387" w:name="_Toc184310320"/>
      <w:bookmarkEnd w:id="387"/>
      <w:bookmarkStart w:id="388" w:name="_Toc184308108"/>
      <w:bookmarkEnd w:id="388"/>
      <w:bookmarkStart w:id="389" w:name="_Toc184312137"/>
      <w:bookmarkEnd w:id="389"/>
      <w:bookmarkStart w:id="390" w:name="_Toc184308051"/>
      <w:bookmarkEnd w:id="390"/>
      <w:bookmarkStart w:id="391" w:name="_Toc184313295"/>
      <w:bookmarkEnd w:id="391"/>
      <w:bookmarkStart w:id="392" w:name="_Toc184312138"/>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567"/>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序号</w:t>
            </w:r>
          </w:p>
        </w:tc>
        <w:tc>
          <w:tcPr>
            <w:tcW w:w="5103"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评标标准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最高分值</w:t>
            </w:r>
          </w:p>
        </w:tc>
        <w:tc>
          <w:tcPr>
            <w:tcW w:w="992" w:type="dxa"/>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主观分/客观分属性</w:t>
            </w:r>
          </w:p>
        </w:tc>
        <w:tc>
          <w:tcPr>
            <w:tcW w:w="1299" w:type="dxa"/>
            <w:vAlign w:val="top"/>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根据本项目物业使用特点提出合理的物业管理服务理念</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服务定位和服务目标。</w:t>
            </w:r>
          </w:p>
          <w:p>
            <w:pPr>
              <w:snapToGrid w:val="0"/>
              <w:spacing w:line="360" w:lineRule="auto"/>
              <w:ind w:firstLine="420" w:firstLineChars="200"/>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rPr>
              <w:t>分，部分符合得1</w:t>
            </w:r>
            <w:r>
              <w:rPr>
                <w:rFonts w:hint="eastAsia" w:ascii="黑体" w:hAnsi="黑体" w:eastAsia="黑体" w:cs="黑体"/>
                <w:b w:val="0"/>
                <w:bCs w:val="0"/>
                <w:i w:val="0"/>
                <w:iCs w:val="0"/>
                <w:color w:val="auto"/>
                <w:sz w:val="21"/>
                <w:szCs w:val="21"/>
                <w:highlight w:val="none"/>
                <w:lang w:val="en-US" w:eastAsia="zh-CN"/>
              </w:rPr>
              <w:t>.5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rPr>
              <w:t>有针对性，视为符合要求，此项最高</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rPr>
              <w:t>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2</w:t>
            </w:r>
          </w:p>
        </w:tc>
        <w:tc>
          <w:tcPr>
            <w:tcW w:w="5103" w:type="dxa"/>
            <w:vAlign w:val="center"/>
          </w:tcPr>
          <w:p>
            <w:pPr>
              <w:numPr>
                <w:ilvl w:val="0"/>
                <w:numId w:val="23"/>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针对本项目有比较完善的组织架构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3"/>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清晰简练地列出主要管理流程，包括：运作流程图、信息反馈及处理运作流程图、投诉处理运作流程图、紧急情况处理运作流程图</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3"/>
              </w:numPr>
              <w:tabs>
                <w:tab w:val="left" w:pos="425"/>
              </w:tabs>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列出主要管理机制，包括：激励机制、监督机制、自我约束机制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全部符合得2分，部分符合得1分，不符合不得分。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组织架构、管理流程</w:t>
            </w:r>
            <w:r>
              <w:rPr>
                <w:rFonts w:hint="eastAsia" w:ascii="新宋体" w:hAnsi="新宋体" w:eastAsia="新宋体" w:cs="新宋体"/>
                <w:color w:val="auto"/>
                <w:kern w:val="0"/>
                <w:sz w:val="24"/>
                <w:szCs w:val="24"/>
                <w:highlight w:val="none"/>
                <w:lang w:eastAsia="zh-CN"/>
              </w:rPr>
              <w:t>、管理机制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highlight w:val="none"/>
              </w:rPr>
              <w:t xml:space="preserve">  </w:t>
            </w:r>
            <w:r>
              <w:rPr>
                <w:rFonts w:hint="eastAsia" w:ascii="新宋体" w:hAnsi="新宋体" w:eastAsia="新宋体" w:cs="新宋体"/>
                <w:color w:val="auto"/>
                <w:sz w:val="24"/>
                <w:szCs w:val="24"/>
                <w:highlight w:val="none"/>
                <w:lang w:eastAsia="zh-CN"/>
              </w:rPr>
              <w:t>具有健全的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体现标准化服务水平</w:t>
            </w:r>
            <w:r>
              <w:rPr>
                <w:rFonts w:hint="eastAsia" w:ascii="新宋体" w:hAnsi="新宋体" w:eastAsia="新宋体" w:cs="新宋体"/>
                <w:color w:val="auto"/>
                <w:sz w:val="24"/>
                <w:szCs w:val="24"/>
                <w:highlight w:val="none"/>
                <w:lang w:eastAsia="zh-CN"/>
              </w:rPr>
              <w:t>，包括：考勤管理制度、财务管理制度、接待投诉制度、培训学习制度、监督考核制度、档案管理制度、各项工作制度（应包含保洁、保安、绿化、设备管理、</w:t>
            </w:r>
            <w:r>
              <w:rPr>
                <w:rFonts w:hint="eastAsia" w:ascii="新宋体" w:hAnsi="新宋体" w:eastAsia="新宋体" w:cs="新宋体"/>
                <w:color w:val="auto"/>
                <w:sz w:val="24"/>
                <w:szCs w:val="24"/>
                <w:highlight w:val="none"/>
                <w:lang w:val="en-US" w:eastAsia="zh-CN"/>
              </w:rPr>
              <w:t>会务</w:t>
            </w:r>
            <w:r>
              <w:rPr>
                <w:rFonts w:hint="eastAsia" w:ascii="新宋体" w:hAnsi="新宋体" w:eastAsia="新宋体" w:cs="新宋体"/>
                <w:color w:val="auto"/>
                <w:sz w:val="24"/>
                <w:szCs w:val="24"/>
                <w:highlight w:val="none"/>
                <w:lang w:eastAsia="zh-CN"/>
              </w:rPr>
              <w:t>）。</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每提供一条符合要求的制度，得</w:t>
            </w:r>
            <w:r>
              <w:rPr>
                <w:rFonts w:hint="eastAsia" w:ascii="黑体" w:hAnsi="黑体" w:eastAsia="黑体" w:cs="黑体"/>
                <w:b w:val="0"/>
                <w:bCs w:val="0"/>
                <w:i w:val="0"/>
                <w:iCs w:val="0"/>
                <w:color w:val="auto"/>
                <w:sz w:val="21"/>
                <w:szCs w:val="21"/>
                <w:highlight w:val="none"/>
                <w:lang w:val="en-US" w:eastAsia="zh-CN"/>
              </w:rPr>
              <w:t>1分，</w:t>
            </w:r>
            <w:r>
              <w:rPr>
                <w:rFonts w:hint="eastAsia" w:ascii="黑体" w:hAnsi="黑体" w:eastAsia="黑体" w:cs="黑体"/>
                <w:b w:val="0"/>
                <w:bCs w:val="0"/>
                <w:i w:val="0"/>
                <w:iCs w:val="0"/>
                <w:color w:val="auto"/>
                <w:sz w:val="21"/>
                <w:szCs w:val="21"/>
                <w:highlight w:val="none"/>
              </w:rPr>
              <w:t>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w:t>
            </w:r>
            <w:r>
              <w:rPr>
                <w:rFonts w:hint="eastAsia" w:ascii="黑体" w:hAnsi="黑体" w:eastAsia="黑体" w:cs="黑体"/>
                <w:b w:val="0"/>
                <w:bCs w:val="0"/>
                <w:i w:val="0"/>
                <w:iCs w:val="0"/>
                <w:color w:val="auto"/>
                <w:sz w:val="21"/>
                <w:szCs w:val="21"/>
                <w:highlight w:val="none"/>
                <w:lang w:eastAsia="zh-CN"/>
              </w:rPr>
              <w:t>，</w:t>
            </w:r>
            <w:r>
              <w:rPr>
                <w:rFonts w:hint="eastAsia" w:ascii="黑体" w:hAnsi="黑体" w:eastAsia="黑体" w:cs="黑体"/>
                <w:b w:val="0"/>
                <w:bCs w:val="0"/>
                <w:i w:val="0"/>
                <w:iCs w:val="0"/>
                <w:color w:val="auto"/>
                <w:sz w:val="21"/>
                <w:szCs w:val="21"/>
                <w:highlight w:val="none"/>
                <w:lang w:val="en-US" w:eastAsia="zh-CN"/>
              </w:rPr>
              <w:t>不符合不得分。</w:t>
            </w:r>
            <w:r>
              <w:rPr>
                <w:rFonts w:hint="eastAsia" w:ascii="黑体" w:hAnsi="黑体" w:eastAsia="黑体" w:cs="黑体"/>
                <w:b w:val="0"/>
                <w:bCs w:val="0"/>
                <w:i w:val="0"/>
                <w:iCs w:val="0"/>
                <w:color w:val="auto"/>
                <w:sz w:val="21"/>
                <w:szCs w:val="21"/>
                <w:highlight w:val="none"/>
                <w:lang w:eastAsia="zh-CN"/>
              </w:rPr>
              <w:t>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7</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szCs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4</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针对本项目的</w:t>
            </w:r>
            <w:r>
              <w:rPr>
                <w:rFonts w:hint="eastAsia" w:ascii="新宋体" w:hAnsi="新宋体" w:eastAsia="新宋体" w:cs="新宋体"/>
                <w:color w:val="auto"/>
                <w:sz w:val="24"/>
                <w:szCs w:val="24"/>
                <w:highlight w:val="none"/>
              </w:rPr>
              <w:t>员工培训方案</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：培训目的、</w:t>
            </w:r>
            <w:r>
              <w:rPr>
                <w:rFonts w:hint="eastAsia" w:ascii="新宋体" w:hAnsi="新宋体" w:eastAsia="新宋体" w:cs="新宋体"/>
                <w:color w:val="auto"/>
                <w:sz w:val="24"/>
                <w:szCs w:val="24"/>
                <w:highlight w:val="none"/>
              </w:rPr>
              <w:t>培训内容、培训时间、培训地点、培训者、培训对象、培训方式等</w:t>
            </w:r>
            <w:r>
              <w:rPr>
                <w:rFonts w:hint="eastAsia" w:ascii="新宋体" w:hAnsi="新宋体" w:eastAsia="新宋体" w:cs="新宋体"/>
                <w:color w:val="auto"/>
                <w:sz w:val="24"/>
                <w:szCs w:val="24"/>
                <w:highlight w:val="none"/>
                <w:lang w:eastAsia="zh-CN"/>
              </w:rPr>
              <w:t>。</w:t>
            </w:r>
          </w:p>
          <w:p>
            <w:pPr>
              <w:snapToGrid w:val="0"/>
              <w:spacing w:line="360" w:lineRule="auto"/>
              <w:jc w:val="left"/>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分，部分符合得1</w:t>
            </w:r>
            <w:r>
              <w:rPr>
                <w:rFonts w:hint="eastAsia" w:ascii="黑体" w:hAnsi="黑体" w:eastAsia="黑体" w:cs="黑体"/>
                <w:b w:val="0"/>
                <w:bCs w:val="0"/>
                <w:i w:val="0"/>
                <w:iCs w:val="0"/>
                <w:color w:val="auto"/>
                <w:sz w:val="21"/>
                <w:szCs w:val="21"/>
                <w:highlight w:val="none"/>
                <w:lang w:val="en-US" w:eastAsia="zh-CN"/>
              </w:rPr>
              <w:t>.5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lang w:eastAsia="zh-CN"/>
              </w:rPr>
            </w:pPr>
            <w:r>
              <w:rPr>
                <w:rFonts w:hint="eastAsia" w:ascii="新宋体" w:hAnsi="新宋体" w:eastAsia="新宋体" w:cs="新宋体"/>
                <w:color w:val="auto"/>
                <w:kern w:val="0"/>
                <w:sz w:val="24"/>
                <w:szCs w:val="24"/>
                <w:highlight w:val="none"/>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5</w:t>
            </w:r>
          </w:p>
        </w:tc>
        <w:tc>
          <w:tcPr>
            <w:tcW w:w="5103" w:type="dxa"/>
            <w:vAlign w:val="center"/>
          </w:tcPr>
          <w:p>
            <w:pPr>
              <w:numPr>
                <w:ilvl w:val="0"/>
                <w:numId w:val="24"/>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详细说明投入的设备、工具、药剂、耗材的环保性和优越性，提供相关设备、工具、材料的品牌、型号、产地、数量等清单</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4"/>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全部符合得2分，部分符合得1分，不符合不得分。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4</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投入的设备、耗材等</w:t>
            </w:r>
            <w:r>
              <w:rPr>
                <w:rFonts w:hint="eastAsia" w:ascii="新宋体" w:hAnsi="新宋体" w:eastAsia="新宋体" w:cs="新宋体"/>
                <w:color w:val="auto"/>
                <w:kern w:val="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5103" w:type="dxa"/>
            <w:vAlign w:val="center"/>
          </w:tcPr>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w:t>
            </w:r>
            <w:r>
              <w:rPr>
                <w:rFonts w:hint="eastAsia" w:ascii="新宋体" w:hAnsi="新宋体" w:eastAsia="新宋体" w:cs="新宋体"/>
                <w:color w:val="auto"/>
                <w:sz w:val="24"/>
                <w:szCs w:val="24"/>
                <w:highlight w:val="none"/>
                <w:lang w:eastAsia="zh-CN"/>
              </w:rPr>
              <w:t>保洁；</w:t>
            </w:r>
          </w:p>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w:t>
            </w:r>
            <w:r>
              <w:rPr>
                <w:rFonts w:hint="eastAsia" w:ascii="新宋体" w:hAnsi="新宋体" w:eastAsia="新宋体" w:cs="新宋体"/>
                <w:color w:val="auto"/>
                <w:sz w:val="24"/>
                <w:szCs w:val="24"/>
                <w:highlight w:val="none"/>
                <w:lang w:eastAsia="zh-CN"/>
              </w:rPr>
              <w:t>保洁；</w:t>
            </w:r>
          </w:p>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w:t>
            </w:r>
            <w:r>
              <w:rPr>
                <w:rFonts w:hint="eastAsia" w:ascii="新宋体" w:hAnsi="新宋体" w:eastAsia="新宋体" w:cs="新宋体"/>
                <w:color w:val="auto"/>
                <w:sz w:val="24"/>
                <w:szCs w:val="24"/>
                <w:highlight w:val="none"/>
                <w:lang w:eastAsia="zh-CN"/>
              </w:rPr>
              <w:t>清洁；</w:t>
            </w:r>
          </w:p>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设施设备清洁</w:t>
            </w:r>
            <w:r>
              <w:rPr>
                <w:rFonts w:hint="eastAsia" w:ascii="新宋体" w:hAnsi="新宋体" w:eastAsia="新宋体" w:cs="新宋体"/>
                <w:color w:val="auto"/>
                <w:sz w:val="24"/>
                <w:szCs w:val="24"/>
                <w:highlight w:val="none"/>
                <w:lang w:eastAsia="zh-CN"/>
              </w:rPr>
              <w:t>；</w:t>
            </w:r>
          </w:p>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w:t>
            </w:r>
            <w:r>
              <w:rPr>
                <w:rFonts w:hint="eastAsia" w:ascii="新宋体" w:hAnsi="新宋体" w:eastAsia="新宋体" w:cs="新宋体"/>
                <w:color w:val="auto"/>
                <w:sz w:val="24"/>
                <w:szCs w:val="24"/>
                <w:highlight w:val="none"/>
                <w:lang w:eastAsia="zh-CN"/>
              </w:rPr>
              <w:t>分类、处理；</w:t>
            </w:r>
          </w:p>
          <w:p>
            <w:pPr>
              <w:widowControl w:val="0"/>
              <w:numPr>
                <w:ilvl w:val="0"/>
                <w:numId w:val="25"/>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消毒灭害。</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6</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清洁</w:t>
            </w:r>
            <w:r>
              <w:rPr>
                <w:rFonts w:hint="eastAsia" w:ascii="新宋体" w:hAnsi="新宋体" w:eastAsia="新宋体" w:cs="新宋体"/>
                <w:color w:val="auto"/>
                <w:kern w:val="0"/>
                <w:sz w:val="24"/>
                <w:szCs w:val="24"/>
                <w:highlight w:val="none"/>
                <w:lang w:eastAsia="zh-CN"/>
              </w:rPr>
              <w:t>保洁</w:t>
            </w:r>
            <w:r>
              <w:rPr>
                <w:rFonts w:hint="eastAsia" w:ascii="新宋体" w:hAnsi="新宋体" w:eastAsia="新宋体" w:cs="新宋体"/>
                <w:color w:val="auto"/>
                <w:kern w:val="0"/>
                <w:sz w:val="24"/>
                <w:szCs w:val="24"/>
                <w:highlight w:val="none"/>
              </w:rPr>
              <w:t>服务</w:t>
            </w:r>
            <w:r>
              <w:rPr>
                <w:rFonts w:hint="eastAsia" w:ascii="新宋体" w:hAnsi="新宋体" w:eastAsia="新宋体" w:cs="新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7</w:t>
            </w:r>
          </w:p>
        </w:tc>
        <w:tc>
          <w:tcPr>
            <w:tcW w:w="5103" w:type="dxa"/>
            <w:vAlign w:val="center"/>
          </w:tcPr>
          <w:p>
            <w:pPr>
              <w:widowControl w:val="0"/>
              <w:numPr>
                <w:ilvl w:val="0"/>
                <w:numId w:val="26"/>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人员进出管理；</w:t>
            </w:r>
          </w:p>
          <w:p>
            <w:pPr>
              <w:widowControl w:val="0"/>
              <w:numPr>
                <w:ilvl w:val="0"/>
                <w:numId w:val="26"/>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物品进出管理</w:t>
            </w:r>
            <w:r>
              <w:rPr>
                <w:rFonts w:hint="eastAsia" w:ascii="新宋体" w:hAnsi="新宋体" w:eastAsia="新宋体" w:cs="新宋体"/>
                <w:color w:val="auto"/>
                <w:sz w:val="24"/>
                <w:szCs w:val="24"/>
                <w:highlight w:val="none"/>
                <w:lang w:eastAsia="zh-CN"/>
              </w:rPr>
              <w:t>；</w:t>
            </w:r>
          </w:p>
          <w:p>
            <w:pPr>
              <w:widowControl w:val="0"/>
              <w:numPr>
                <w:ilvl w:val="0"/>
                <w:numId w:val="26"/>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车辆</w:t>
            </w:r>
            <w:r>
              <w:rPr>
                <w:rFonts w:hint="eastAsia" w:ascii="新宋体" w:hAnsi="新宋体" w:eastAsia="新宋体" w:cs="新宋体"/>
                <w:color w:val="auto"/>
                <w:sz w:val="24"/>
                <w:szCs w:val="24"/>
                <w:highlight w:val="none"/>
              </w:rPr>
              <w:t>管理</w:t>
            </w:r>
            <w:r>
              <w:rPr>
                <w:rFonts w:hint="eastAsia" w:ascii="新宋体" w:hAnsi="新宋体" w:eastAsia="新宋体" w:cs="新宋体"/>
                <w:color w:val="auto"/>
                <w:sz w:val="24"/>
                <w:szCs w:val="24"/>
                <w:highlight w:val="none"/>
                <w:lang w:eastAsia="zh-CN"/>
              </w:rPr>
              <w:t>；</w:t>
            </w:r>
          </w:p>
          <w:p>
            <w:pPr>
              <w:widowControl w:val="0"/>
              <w:numPr>
                <w:ilvl w:val="0"/>
                <w:numId w:val="26"/>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消控、监控设施设备日常使用管理</w:t>
            </w:r>
            <w:r>
              <w:rPr>
                <w:rFonts w:hint="eastAsia" w:ascii="新宋体" w:hAnsi="新宋体" w:eastAsia="新宋体" w:cs="新宋体"/>
                <w:color w:val="auto"/>
                <w:sz w:val="24"/>
                <w:szCs w:val="24"/>
                <w:highlight w:val="none"/>
                <w:lang w:eastAsia="zh-CN"/>
              </w:rPr>
              <w:t>；</w:t>
            </w:r>
          </w:p>
          <w:p>
            <w:pPr>
              <w:widowControl w:val="0"/>
              <w:numPr>
                <w:ilvl w:val="0"/>
                <w:numId w:val="26"/>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重点</w:t>
            </w:r>
            <w:r>
              <w:rPr>
                <w:rFonts w:hint="eastAsia" w:ascii="新宋体" w:hAnsi="新宋体" w:eastAsia="新宋体" w:cs="新宋体"/>
                <w:color w:val="auto"/>
                <w:sz w:val="24"/>
                <w:szCs w:val="24"/>
                <w:highlight w:val="none"/>
              </w:rPr>
              <w:t>巡视。</w:t>
            </w:r>
          </w:p>
          <w:p>
            <w:pPr>
              <w:widowControl/>
              <w:spacing w:line="360" w:lineRule="auto"/>
              <w:jc w:val="both"/>
              <w:textAlignment w:val="center"/>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5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公共秩序维护方案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8</w:t>
            </w:r>
          </w:p>
        </w:tc>
        <w:tc>
          <w:tcPr>
            <w:tcW w:w="5103" w:type="dxa"/>
            <w:vAlign w:val="center"/>
          </w:tcPr>
          <w:p>
            <w:pPr>
              <w:widowControl w:val="0"/>
              <w:numPr>
                <w:ilvl w:val="0"/>
                <w:numId w:val="2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定期巡查；</w:t>
            </w:r>
          </w:p>
          <w:p>
            <w:pPr>
              <w:widowControl w:val="0"/>
              <w:numPr>
                <w:ilvl w:val="0"/>
                <w:numId w:val="2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张贴平面疏散示意图、引路标志及控烟标志；</w:t>
            </w:r>
          </w:p>
          <w:p>
            <w:pPr>
              <w:widowControl w:val="0"/>
              <w:numPr>
                <w:ilvl w:val="0"/>
                <w:numId w:val="2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定期防火检查；</w:t>
            </w:r>
          </w:p>
          <w:p>
            <w:pPr>
              <w:widowControl w:val="0"/>
              <w:numPr>
                <w:ilvl w:val="0"/>
                <w:numId w:val="27"/>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每年至少组织1次消防安全培训及消防演练。</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4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消控安全管理</w:t>
            </w:r>
            <w:r>
              <w:rPr>
                <w:rFonts w:hint="eastAsia" w:ascii="新宋体" w:hAnsi="新宋体" w:eastAsia="新宋体" w:cs="新宋体"/>
                <w:color w:val="auto"/>
                <w:kern w:val="0"/>
                <w:sz w:val="24"/>
                <w:szCs w:val="24"/>
                <w:highlight w:val="none"/>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9</w:t>
            </w:r>
          </w:p>
        </w:tc>
        <w:tc>
          <w:tcPr>
            <w:tcW w:w="5103" w:type="dxa"/>
            <w:vAlign w:val="center"/>
          </w:tcPr>
          <w:p>
            <w:pPr>
              <w:widowControl w:val="0"/>
              <w:numPr>
                <w:ilvl w:val="0"/>
                <w:numId w:val="2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建立突发事件应急预案体系，包括但不限于电梯困人、紧急会议、火警火灾、突发停电、水管破裂、意外伤害、群体性上访、台风、暴雨及雷电等应急预案；</w:t>
            </w:r>
          </w:p>
          <w:p>
            <w:pPr>
              <w:widowControl w:val="0"/>
              <w:numPr>
                <w:ilvl w:val="0"/>
                <w:numId w:val="28"/>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每年至少组织1次突发事件应急演习。</w:t>
            </w:r>
          </w:p>
          <w:p>
            <w:pPr>
              <w:widowControl w:val="0"/>
              <w:numPr>
                <w:ilvl w:val="0"/>
                <w:numId w:val="0"/>
              </w:numPr>
              <w:wordWrap/>
              <w:adjustRightInd w:val="0"/>
              <w:snapToGrid w:val="0"/>
              <w:spacing w:line="360" w:lineRule="auto"/>
              <w:ind w:left="0" w:leftChars="0" w:right="0" w:firstLine="0" w:firstLineChars="0"/>
              <w:jc w:val="both"/>
              <w:textAlignment w:val="auto"/>
              <w:outlineLvl w:val="9"/>
              <w:rPr>
                <w:rFonts w:hint="eastAsia" w:ascii="宋体" w:hAnsi="宋体" w:cs="仿宋_GB2312"/>
                <w:color w:val="auto"/>
                <w:sz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b w:val="0"/>
                <w:bCs w:val="0"/>
                <w:color w:val="auto"/>
                <w:sz w:val="24"/>
                <w:szCs w:val="24"/>
                <w:highlight w:val="none"/>
              </w:rPr>
              <w:t>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10</w:t>
            </w:r>
          </w:p>
        </w:tc>
        <w:tc>
          <w:tcPr>
            <w:tcW w:w="5103" w:type="dxa"/>
            <w:vAlign w:val="center"/>
          </w:tcPr>
          <w:p>
            <w:pPr>
              <w:widowControl w:val="0"/>
              <w:numPr>
                <w:ilvl w:val="0"/>
                <w:numId w:val="2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绿化日常养护、管理；</w:t>
            </w:r>
          </w:p>
          <w:p>
            <w:pPr>
              <w:widowControl w:val="0"/>
              <w:numPr>
                <w:ilvl w:val="0"/>
                <w:numId w:val="2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特殊天气巡查、处理，排除安全隐患；</w:t>
            </w:r>
          </w:p>
          <w:p>
            <w:pPr>
              <w:widowControl w:val="0"/>
              <w:numPr>
                <w:ilvl w:val="0"/>
                <w:numId w:val="29"/>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病虫害防治。</w:t>
            </w:r>
          </w:p>
          <w:p>
            <w:pPr>
              <w:widowControl/>
              <w:numPr>
                <w:ilvl w:val="0"/>
                <w:numId w:val="0"/>
              </w:numPr>
              <w:kinsoku w:val="0"/>
              <w:autoSpaceDE w:val="0"/>
              <w:autoSpaceDN w:val="0"/>
              <w:snapToGrid w:val="0"/>
              <w:spacing w:line="360" w:lineRule="auto"/>
              <w:ind w:left="0" w:leftChars="0" w:firstLine="0" w:firstLineChars="0"/>
              <w:jc w:val="both"/>
              <w:textAlignment w:val="baseline"/>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11</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绿化租赁方案，</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：植物摆放、养护和管理等，提供本项目拟租赁的绿植清单明细、照片等佐证材料</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分，不符合不得分。符合招标需求、有针对性视为符合要求。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绿化</w:t>
            </w:r>
            <w:r>
              <w:rPr>
                <w:rFonts w:hint="eastAsia" w:ascii="新宋体" w:hAnsi="新宋体" w:eastAsia="新宋体" w:cs="新宋体"/>
                <w:color w:val="auto"/>
                <w:kern w:val="0"/>
                <w:sz w:val="24"/>
                <w:szCs w:val="24"/>
                <w:highlight w:val="none"/>
                <w:lang w:eastAsia="zh-CN"/>
              </w:rPr>
              <w:t>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12</w:t>
            </w:r>
          </w:p>
        </w:tc>
        <w:tc>
          <w:tcPr>
            <w:tcW w:w="5103" w:type="dxa"/>
            <w:vAlign w:val="center"/>
          </w:tcPr>
          <w:p>
            <w:pPr>
              <w:widowControl w:val="0"/>
              <w:numPr>
                <w:ilvl w:val="0"/>
                <w:numId w:val="30"/>
              </w:numPr>
              <w:wordWrap/>
              <w:adjustRightInd w:val="0"/>
              <w:snapToGrid w:val="0"/>
              <w:spacing w:line="360" w:lineRule="auto"/>
              <w:ind w:left="0" w:leftChars="0" w:right="0" w:firstLine="400" w:firstLineChars="0"/>
              <w:jc w:val="both"/>
              <w:textAlignment w:val="auto"/>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房屋日常维护；</w:t>
            </w:r>
          </w:p>
          <w:p>
            <w:pPr>
              <w:widowControl/>
              <w:numPr>
                <w:ilvl w:val="0"/>
                <w:numId w:val="30"/>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高配房</w:t>
            </w:r>
            <w:r>
              <w:rPr>
                <w:rFonts w:hint="eastAsia" w:ascii="新宋体" w:hAnsi="新宋体" w:eastAsia="新宋体" w:cs="新宋体"/>
                <w:color w:val="auto"/>
                <w:sz w:val="24"/>
                <w:szCs w:val="24"/>
                <w:highlight w:val="none"/>
                <w:lang w:eastAsia="zh-CN"/>
              </w:rPr>
              <w:t>巡视、</w:t>
            </w:r>
            <w:r>
              <w:rPr>
                <w:rFonts w:hint="eastAsia" w:ascii="新宋体" w:hAnsi="新宋体" w:eastAsia="新宋体" w:cs="新宋体"/>
                <w:color w:val="auto"/>
                <w:sz w:val="24"/>
                <w:szCs w:val="24"/>
                <w:highlight w:val="none"/>
              </w:rPr>
              <w:t>各类机房设备设施</w:t>
            </w:r>
            <w:r>
              <w:rPr>
                <w:rFonts w:hint="eastAsia" w:ascii="新宋体" w:hAnsi="新宋体" w:eastAsia="新宋体" w:cs="新宋体"/>
                <w:color w:val="auto"/>
                <w:sz w:val="24"/>
                <w:szCs w:val="24"/>
                <w:highlight w:val="none"/>
                <w:lang w:eastAsia="zh-CN"/>
              </w:rPr>
              <w:t>巡检；</w:t>
            </w:r>
          </w:p>
          <w:p>
            <w:pPr>
              <w:widowControl/>
              <w:numPr>
                <w:ilvl w:val="0"/>
                <w:numId w:val="30"/>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照明系统、供用电设备设施</w:t>
            </w:r>
            <w:r>
              <w:rPr>
                <w:rFonts w:hint="eastAsia" w:ascii="新宋体" w:hAnsi="新宋体" w:eastAsia="新宋体" w:cs="新宋体"/>
                <w:color w:val="auto"/>
                <w:sz w:val="24"/>
                <w:szCs w:val="24"/>
                <w:highlight w:val="none"/>
                <w:lang w:eastAsia="zh-CN"/>
              </w:rPr>
              <w:t>维护；</w:t>
            </w:r>
          </w:p>
          <w:p>
            <w:pPr>
              <w:widowControl/>
              <w:numPr>
                <w:ilvl w:val="0"/>
                <w:numId w:val="30"/>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排水系统</w:t>
            </w:r>
            <w:r>
              <w:rPr>
                <w:rFonts w:hint="eastAsia" w:ascii="新宋体" w:hAnsi="新宋体" w:eastAsia="新宋体" w:cs="新宋体"/>
                <w:color w:val="auto"/>
                <w:sz w:val="24"/>
                <w:szCs w:val="24"/>
                <w:highlight w:val="none"/>
                <w:lang w:eastAsia="zh-CN"/>
              </w:rPr>
              <w:t>维护；</w:t>
            </w:r>
          </w:p>
          <w:p>
            <w:pPr>
              <w:widowControl/>
              <w:numPr>
                <w:ilvl w:val="0"/>
                <w:numId w:val="30"/>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水泵、管道养护，每年至少两次水箱清洗，并提供水质检测报告</w:t>
            </w:r>
            <w:r>
              <w:rPr>
                <w:rFonts w:hint="eastAsia" w:ascii="新宋体" w:hAnsi="新宋体" w:eastAsia="新宋体" w:cs="新宋体"/>
                <w:color w:val="auto"/>
                <w:sz w:val="24"/>
                <w:szCs w:val="24"/>
                <w:highlight w:val="none"/>
                <w:lang w:eastAsia="zh-CN"/>
              </w:rPr>
              <w:t>；</w:t>
            </w:r>
          </w:p>
          <w:p>
            <w:pPr>
              <w:widowControl/>
              <w:numPr>
                <w:ilvl w:val="0"/>
                <w:numId w:val="30"/>
              </w:numPr>
              <w:kinsoku w:val="0"/>
              <w:wordWrap/>
              <w:autoSpaceDE w:val="0"/>
              <w:autoSpaceDN w:val="0"/>
              <w:adjustRightInd w:val="0"/>
              <w:snapToGrid w:val="0"/>
              <w:spacing w:line="360" w:lineRule="auto"/>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智能弱电设备巡</w:t>
            </w:r>
            <w:r>
              <w:rPr>
                <w:rFonts w:hint="eastAsia" w:ascii="新宋体" w:hAnsi="新宋体" w:eastAsia="新宋体" w:cs="新宋体"/>
                <w:color w:val="auto"/>
                <w:sz w:val="24"/>
                <w:szCs w:val="24"/>
                <w:highlight w:val="none"/>
                <w:lang w:eastAsia="zh-CN"/>
              </w:rPr>
              <w:t>检；</w:t>
            </w:r>
          </w:p>
          <w:p>
            <w:pPr>
              <w:numPr>
                <w:ilvl w:val="0"/>
                <w:numId w:val="30"/>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零星维修</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其他大修</w:t>
            </w:r>
            <w:r>
              <w:rPr>
                <w:rFonts w:hint="eastAsia" w:ascii="新宋体" w:hAnsi="新宋体" w:eastAsia="新宋体" w:cs="新宋体"/>
                <w:color w:val="auto"/>
                <w:sz w:val="24"/>
                <w:szCs w:val="24"/>
                <w:highlight w:val="none"/>
                <w:lang w:eastAsia="zh-CN"/>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7 </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工程设备维护方案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13</w:t>
            </w:r>
          </w:p>
        </w:tc>
        <w:tc>
          <w:tcPr>
            <w:tcW w:w="5103" w:type="dxa"/>
            <w:vAlign w:val="center"/>
          </w:tcPr>
          <w:p>
            <w:pPr>
              <w:widowControl/>
              <w:numPr>
                <w:ilvl w:val="0"/>
                <w:numId w:val="0"/>
              </w:numPr>
              <w:kinsoku w:val="0"/>
              <w:wordWrap/>
              <w:autoSpaceDE w:val="0"/>
              <w:autoSpaceDN w:val="0"/>
              <w:adjustRightInd w:val="0"/>
              <w:snapToGrid w:val="0"/>
              <w:spacing w:line="360" w:lineRule="auto"/>
              <w:ind w:right="0"/>
              <w:jc w:val="both"/>
              <w:textAlignment w:val="baseline"/>
              <w:outlineLvl w:val="9"/>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lang w:eastAsia="zh-CN"/>
              </w:rPr>
              <w:t>电梯定期检查、维护、应急维修等，建立台账并记录。</w:t>
            </w:r>
          </w:p>
          <w:p>
            <w:pPr>
              <w:widowControl/>
              <w:numPr>
                <w:ilvl w:val="0"/>
                <w:numId w:val="0"/>
              </w:numPr>
              <w:kinsoku w:val="0"/>
              <w:wordWrap/>
              <w:autoSpaceDE w:val="0"/>
              <w:autoSpaceDN w:val="0"/>
              <w:adjustRightInd w:val="0"/>
              <w:snapToGrid w:val="0"/>
              <w:spacing w:line="360" w:lineRule="auto"/>
              <w:ind w:left="0" w:leftChars="0" w:right="0" w:firstLine="0" w:firstLineChars="0"/>
              <w:jc w:val="both"/>
              <w:textAlignment w:val="baseline"/>
              <w:outlineLvl w:val="9"/>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14</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消防设施设备</w:t>
            </w:r>
            <w:r>
              <w:rPr>
                <w:rFonts w:hint="eastAsia" w:ascii="新宋体" w:hAnsi="新宋体" w:eastAsia="新宋体" w:cs="新宋体"/>
                <w:color w:val="auto"/>
                <w:sz w:val="24"/>
                <w:szCs w:val="24"/>
                <w:highlight w:val="none"/>
                <w:lang w:eastAsia="zh-CN"/>
              </w:rPr>
              <w:t>定期</w:t>
            </w:r>
            <w:r>
              <w:rPr>
                <w:rFonts w:hint="eastAsia" w:ascii="新宋体" w:hAnsi="新宋体" w:eastAsia="新宋体" w:cs="新宋体"/>
                <w:color w:val="auto"/>
                <w:sz w:val="24"/>
                <w:szCs w:val="24"/>
                <w:highlight w:val="none"/>
              </w:rPr>
              <w:t>维护保养，建立台账并记录。</w:t>
            </w:r>
            <w:r>
              <w:rPr>
                <w:rFonts w:hint="eastAsia" w:ascii="新宋体" w:hAnsi="新宋体" w:eastAsia="新宋体" w:cs="新宋体"/>
                <w:color w:val="auto"/>
                <w:sz w:val="24"/>
                <w:szCs w:val="24"/>
                <w:highlight w:val="none"/>
                <w:lang w:val="en-US" w:eastAsia="zh-CN"/>
              </w:rPr>
              <w:t xml:space="preserve">  </w:t>
            </w:r>
          </w:p>
          <w:p>
            <w:pPr>
              <w:snapToGrid w:val="0"/>
              <w:spacing w:line="360" w:lineRule="auto"/>
              <w:ind w:firstLine="420" w:firstLineChars="200"/>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消防设施设备</w:t>
            </w:r>
            <w:r>
              <w:rPr>
                <w:rFonts w:hint="eastAsia" w:ascii="新宋体" w:hAnsi="新宋体" w:eastAsia="新宋体" w:cs="新宋体"/>
                <w:color w:val="auto"/>
                <w:sz w:val="24"/>
                <w:szCs w:val="24"/>
                <w:highlight w:val="none"/>
                <w:lang w:eastAsia="zh-CN"/>
              </w:rPr>
              <w:t>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15</w:t>
            </w:r>
          </w:p>
        </w:tc>
        <w:tc>
          <w:tcPr>
            <w:tcW w:w="5103" w:type="dxa"/>
            <w:vAlign w:val="center"/>
          </w:tcPr>
          <w:p>
            <w:pPr>
              <w:widowControl/>
              <w:kinsoku w:val="0"/>
              <w:wordWrap/>
              <w:autoSpaceDE w:val="0"/>
              <w:autoSpaceDN w:val="0"/>
              <w:adjustRightInd w:val="0"/>
              <w:snapToGrid w:val="0"/>
              <w:spacing w:line="360" w:lineRule="auto"/>
              <w:ind w:left="0" w:leftChars="0" w:right="0" w:firstLine="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定期对空调通风系统进行检查、维护、清洁，测试运行控制和安全控制功能，记录运行参数，分析运行记录，确保空调系统正常运行。每年冬夏两次对空调通风系统进行全面的维护保养。</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分，不符合不得分。内容完整合理、有针对性视为符合要求。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 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lang w:eastAsia="zh-CN"/>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16</w:t>
            </w:r>
          </w:p>
        </w:tc>
        <w:tc>
          <w:tcPr>
            <w:tcW w:w="5103" w:type="dxa"/>
            <w:vAlign w:val="center"/>
          </w:tcPr>
          <w:p>
            <w:pPr>
              <w:numPr>
                <w:ilvl w:val="0"/>
                <w:numId w:val="31"/>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会前准备方案；</w:t>
            </w:r>
          </w:p>
          <w:p>
            <w:pPr>
              <w:numPr>
                <w:ilvl w:val="0"/>
                <w:numId w:val="31"/>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会中服务方案；</w:t>
            </w:r>
          </w:p>
          <w:p>
            <w:pPr>
              <w:numPr>
                <w:ilvl w:val="0"/>
                <w:numId w:val="31"/>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会后整理方案；</w:t>
            </w:r>
          </w:p>
          <w:p>
            <w:pPr>
              <w:numPr>
                <w:ilvl w:val="0"/>
                <w:numId w:val="31"/>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严格保密</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rPr>
              <w:t>分，部分符合得</w:t>
            </w:r>
            <w:r>
              <w:rPr>
                <w:rFonts w:hint="eastAsia" w:ascii="黑体" w:hAnsi="黑体" w:eastAsia="黑体" w:cs="黑体"/>
                <w:b w:val="0"/>
                <w:bCs w:val="0"/>
                <w:i w:val="0"/>
                <w:iCs w:val="0"/>
                <w:color w:val="auto"/>
                <w:sz w:val="21"/>
                <w:szCs w:val="21"/>
                <w:highlight w:val="none"/>
                <w:lang w:val="en-US" w:eastAsia="zh-CN"/>
              </w:rPr>
              <w:t>0.5</w:t>
            </w:r>
            <w:r>
              <w:rPr>
                <w:rFonts w:hint="eastAsia" w:ascii="黑体" w:hAnsi="黑体" w:eastAsia="黑体" w:cs="黑体"/>
                <w:b w:val="0"/>
                <w:bCs w:val="0"/>
                <w:i w:val="0"/>
                <w:iCs w:val="0"/>
                <w:color w:val="auto"/>
                <w:sz w:val="21"/>
                <w:szCs w:val="21"/>
                <w:highlight w:val="none"/>
              </w:rPr>
              <w:t>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 xml:space="preserve"> 4</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szCs w:val="24"/>
                <w:highlight w:val="none"/>
              </w:rPr>
              <w:t>会务服务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17</w:t>
            </w:r>
          </w:p>
        </w:tc>
        <w:tc>
          <w:tcPr>
            <w:tcW w:w="5103" w:type="dxa"/>
            <w:vAlign w:val="center"/>
          </w:tcPr>
          <w:p>
            <w:pPr>
              <w:widowControl/>
              <w:kinsoku w:val="0"/>
              <w:autoSpaceDE w:val="0"/>
              <w:autoSpaceDN w:val="0"/>
              <w:snapToGrid w:val="0"/>
              <w:spacing w:line="360" w:lineRule="auto"/>
              <w:textAlignment w:val="baseline"/>
              <w:rPr>
                <w:rFonts w:ascii="宋体" w:hAnsi="宋体" w:cs="仿宋_GB2312"/>
                <w:color w:val="auto"/>
                <w:sz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服务（如应急迎检、夏日提供凉茶、传统节日开展各类活动等）（</w:t>
            </w:r>
            <w:r>
              <w:rPr>
                <w:rFonts w:hint="eastAsia" w:ascii="宋体" w:hAnsi="宋体" w:cs="仿宋_GB2312"/>
                <w:color w:val="auto"/>
                <w:sz w:val="24"/>
                <w:highlight w:val="none"/>
                <w:lang w:val="en-US" w:eastAsia="zh-CN"/>
              </w:rPr>
              <w:t>2</w:t>
            </w:r>
            <w:r>
              <w:rPr>
                <w:rFonts w:hint="eastAsia" w:ascii="宋体" w:hAnsi="宋体" w:cs="仿宋_GB2312"/>
                <w:color w:val="auto"/>
                <w:sz w:val="24"/>
                <w:highlight w:val="none"/>
              </w:rPr>
              <w:t>分）；</w:t>
            </w:r>
          </w:p>
          <w:p>
            <w:pPr>
              <w:widowControl/>
              <w:kinsoku w:val="0"/>
              <w:autoSpaceDE w:val="0"/>
              <w:autoSpaceDN w:val="0"/>
              <w:snapToGrid w:val="0"/>
              <w:spacing w:line="360" w:lineRule="auto"/>
              <w:textAlignment w:val="baseline"/>
              <w:rPr>
                <w:rFonts w:hint="eastAsia" w:ascii="黑体" w:hAnsi="黑体" w:eastAsia="黑体" w:cs="黑体"/>
                <w:b w:val="0"/>
                <w:bCs w:val="0"/>
                <w:i w:val="0"/>
                <w:iCs w:val="0"/>
                <w:color w:val="auto"/>
                <w:sz w:val="21"/>
                <w:szCs w:val="21"/>
                <w:highlight w:val="none"/>
                <w:lang w:val="en-US" w:eastAsia="zh-CN"/>
              </w:rPr>
            </w:pPr>
            <w:r>
              <w:rPr>
                <w:rFonts w:hint="eastAsia" w:ascii="黑体" w:hAnsi="黑体" w:eastAsia="黑体" w:cs="黑体"/>
                <w:b w:val="0"/>
                <w:bCs w:val="0"/>
                <w:i w:val="0"/>
                <w:iCs w:val="0"/>
                <w:color w:val="auto"/>
                <w:sz w:val="21"/>
                <w:szCs w:val="21"/>
                <w:highlight w:val="none"/>
                <w:lang w:eastAsia="zh-CN"/>
              </w:rPr>
              <w:t>对项目的特色服务工作有详细的方案，做详细的阐述。特色服务合理、有可行性、有针对性视为符合要求，每符合1项得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分；此项最</w:t>
            </w:r>
            <w:r>
              <w:rPr>
                <w:rFonts w:hint="eastAsia" w:ascii="黑体" w:hAnsi="黑体" w:eastAsia="黑体" w:cs="黑体"/>
                <w:b w:val="0"/>
                <w:bCs w:val="0"/>
                <w:i w:val="0"/>
                <w:iCs w:val="0"/>
                <w:color w:val="auto"/>
                <w:sz w:val="21"/>
                <w:szCs w:val="21"/>
                <w:highlight w:val="none"/>
                <w:lang w:val="en-US" w:eastAsia="zh-CN"/>
              </w:rPr>
              <w:t>高2</w:t>
            </w:r>
            <w:r>
              <w:rPr>
                <w:rFonts w:hint="eastAsia" w:ascii="黑体" w:hAnsi="黑体" w:eastAsia="黑体" w:cs="黑体"/>
                <w:b w:val="0"/>
                <w:bCs w:val="0"/>
                <w:i w:val="0"/>
                <w:iCs w:val="0"/>
                <w:color w:val="auto"/>
                <w:sz w:val="21"/>
                <w:szCs w:val="21"/>
                <w:highlight w:val="none"/>
                <w:lang w:eastAsia="zh-CN"/>
              </w:rPr>
              <w:t>分</w:t>
            </w:r>
            <w:r>
              <w:rPr>
                <w:rFonts w:hint="eastAsia" w:ascii="宋体" w:hAnsi="宋体" w:cs="仿宋_GB2312"/>
                <w:color w:val="auto"/>
                <w:sz w:val="24"/>
                <w:highlight w:val="none"/>
              </w:rPr>
              <w:t>。</w:t>
            </w:r>
          </w:p>
        </w:tc>
        <w:tc>
          <w:tcPr>
            <w:tcW w:w="567"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kern w:val="0"/>
                <w:sz w:val="24"/>
                <w:highlight w:val="none"/>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7" w:hRule="atLeast"/>
        </w:trPr>
        <w:tc>
          <w:tcPr>
            <w:tcW w:w="534" w:type="dxa"/>
            <w:vMerge w:val="restart"/>
            <w:vAlign w:val="center"/>
          </w:tcPr>
          <w:p>
            <w:pPr>
              <w:snapToGrid w:val="0"/>
              <w:spacing w:line="360" w:lineRule="auto"/>
              <w:jc w:val="center"/>
              <w:rPr>
                <w:rFonts w:hint="eastAsia" w:ascii="新宋体" w:hAnsi="新宋体" w:eastAsia="新宋体" w:cs="新宋体"/>
                <w:color w:val="auto"/>
                <w:sz w:val="24"/>
                <w:highlight w:val="none"/>
                <w:lang w:val="en-US" w:eastAsia="zh-CN"/>
              </w:rPr>
            </w:pPr>
            <w:r>
              <w:rPr>
                <w:rFonts w:hint="eastAsia" w:ascii="新宋体" w:hAnsi="新宋体" w:eastAsia="新宋体" w:cs="新宋体"/>
                <w:color w:val="auto"/>
                <w:sz w:val="24"/>
                <w:highlight w:val="none"/>
                <w:lang w:val="en-US" w:eastAsia="zh-CN"/>
              </w:rPr>
              <w:t>18</w:t>
            </w:r>
          </w:p>
        </w:tc>
        <w:tc>
          <w:tcPr>
            <w:tcW w:w="5103" w:type="dxa"/>
            <w:vAlign w:val="center"/>
          </w:tcPr>
          <w:p>
            <w:pPr>
              <w:numPr>
                <w:ilvl w:val="0"/>
                <w:numId w:val="32"/>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拟派本项目的项目经理（</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大学</w:t>
            </w:r>
            <w:r>
              <w:rPr>
                <w:rFonts w:hint="eastAsia" w:ascii="新宋体" w:hAnsi="新宋体" w:eastAsia="新宋体" w:cs="新宋体"/>
                <w:color w:val="auto"/>
                <w:sz w:val="24"/>
                <w:szCs w:val="24"/>
                <w:highlight w:val="none"/>
              </w:rPr>
              <w:t>本科以上学历</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年</w:t>
            </w:r>
            <w:r>
              <w:rPr>
                <w:rFonts w:hint="eastAsia" w:ascii="新宋体" w:hAnsi="新宋体" w:eastAsia="新宋体" w:cs="新宋体"/>
                <w:color w:val="auto"/>
                <w:sz w:val="24"/>
                <w:szCs w:val="24"/>
                <w:highlight w:val="none"/>
                <w:lang w:eastAsia="zh-CN"/>
              </w:rPr>
              <w:t>以上类似</w:t>
            </w:r>
            <w:r>
              <w:rPr>
                <w:rFonts w:hint="eastAsia" w:ascii="新宋体" w:hAnsi="新宋体" w:eastAsia="新宋体" w:cs="新宋体"/>
                <w:color w:val="auto"/>
                <w:sz w:val="24"/>
                <w:szCs w:val="24"/>
                <w:highlight w:val="none"/>
              </w:rPr>
              <w:t>物业</w:t>
            </w:r>
            <w:r>
              <w:rPr>
                <w:rFonts w:hint="eastAsia" w:ascii="新宋体" w:hAnsi="新宋体" w:eastAsia="新宋体" w:cs="新宋体"/>
                <w:color w:val="auto"/>
                <w:sz w:val="24"/>
                <w:szCs w:val="24"/>
                <w:highlight w:val="none"/>
                <w:lang w:eastAsia="zh-CN"/>
              </w:rPr>
              <w:t>项目经理</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p>
          <w:p>
            <w:pPr>
              <w:numPr>
                <w:ilvl w:val="0"/>
                <w:numId w:val="32"/>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拟派本项目保洁</w:t>
            </w:r>
            <w:r>
              <w:rPr>
                <w:rFonts w:hint="eastAsia" w:ascii="新宋体" w:hAnsi="新宋体" w:eastAsia="新宋体" w:cs="新宋体"/>
                <w:color w:val="auto"/>
                <w:sz w:val="24"/>
                <w:szCs w:val="24"/>
                <w:highlight w:val="none"/>
                <w:lang w:eastAsia="zh-CN"/>
              </w:rPr>
              <w:t>主管</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50</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大专</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类似物业保洁主管工作经验</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p>
          <w:p>
            <w:pPr>
              <w:numPr>
                <w:ilvl w:val="0"/>
                <w:numId w:val="32"/>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rPr>
              <w:t>拟派本项目的保安</w:t>
            </w:r>
            <w:r>
              <w:rPr>
                <w:rFonts w:hint="eastAsia" w:ascii="新宋体" w:hAnsi="新宋体" w:eastAsia="新宋体" w:cs="新宋体"/>
                <w:color w:val="auto"/>
                <w:sz w:val="24"/>
                <w:szCs w:val="24"/>
                <w:highlight w:val="none"/>
                <w:lang w:eastAsia="zh-CN"/>
              </w:rPr>
              <w:t>主管</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分）：年龄50周岁以下（</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highlight w:val="none"/>
                <w:lang w:val="en-US" w:eastAsia="zh-CN"/>
              </w:rPr>
              <w:t>持有保安员三级/高级工(原高级保安员)以上职业技能等级证书</w:t>
            </w:r>
            <w:r>
              <w:rPr>
                <w:rFonts w:hint="eastAsia" w:ascii="新宋体" w:hAnsi="新宋体" w:eastAsia="新宋体" w:cs="新宋体"/>
                <w:color w:val="auto"/>
                <w:sz w:val="24"/>
                <w:szCs w:val="24"/>
                <w:highlight w:val="none"/>
                <w:lang w:val="en-US" w:eastAsia="zh-CN"/>
              </w:rPr>
              <w:t>（0.5分）；</w:t>
            </w:r>
            <w:r>
              <w:rPr>
                <w:rFonts w:hint="eastAsia" w:ascii="新宋体" w:hAnsi="新宋体" w:eastAsia="新宋体" w:cs="新宋体"/>
                <w:color w:val="auto"/>
                <w:sz w:val="24"/>
                <w:szCs w:val="24"/>
                <w:highlight w:val="none"/>
                <w:lang w:eastAsia="zh-CN"/>
              </w:rPr>
              <w:t>大专</w:t>
            </w:r>
            <w:r>
              <w:rPr>
                <w:rFonts w:hint="eastAsia" w:ascii="新宋体" w:hAnsi="新宋体" w:eastAsia="新宋体" w:cs="新宋体"/>
                <w:color w:val="auto"/>
                <w:sz w:val="24"/>
                <w:szCs w:val="24"/>
                <w:highlight w:val="none"/>
              </w:rPr>
              <w:t>以上学历（</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类似物业保安主管</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p>
          <w:p>
            <w:pPr>
              <w:numPr>
                <w:ilvl w:val="0"/>
                <w:numId w:val="32"/>
              </w:numPr>
              <w:wordWrap/>
              <w:adjustRightInd w:val="0"/>
              <w:snapToGrid w:val="0"/>
              <w:spacing w:line="360" w:lineRule="auto"/>
              <w:ind w:left="0" w:leftChars="0" w:firstLine="400" w:firstLineChars="0"/>
              <w:jc w:val="both"/>
              <w:rPr>
                <w:rFonts w:hint="eastAsia"/>
                <w:color w:val="auto"/>
                <w:highlight w:val="none"/>
                <w:lang w:val="en-US" w:eastAsia="zh-CN"/>
              </w:rPr>
            </w:pPr>
            <w:r>
              <w:rPr>
                <w:rFonts w:hint="eastAsia" w:ascii="新宋体" w:hAnsi="新宋体" w:eastAsia="新宋体" w:cs="新宋体"/>
                <w:color w:val="auto"/>
                <w:sz w:val="24"/>
                <w:szCs w:val="24"/>
                <w:highlight w:val="none"/>
                <w:lang w:val="en-US" w:eastAsia="zh-CN"/>
              </w:rPr>
              <w:t>拟派本项目消控员（2分）：年龄55周岁以下，具有1年以上消控工作经验。每符合1人得0.5分，最高2分。</w:t>
            </w:r>
          </w:p>
          <w:p>
            <w:pPr>
              <w:numPr>
                <w:ilvl w:val="0"/>
                <w:numId w:val="32"/>
              </w:numPr>
              <w:wordWrap/>
              <w:adjustRightInd w:val="0"/>
              <w:snapToGrid w:val="0"/>
              <w:spacing w:line="360" w:lineRule="auto"/>
              <w:ind w:left="0" w:leftChars="0" w:firstLine="400" w:firstLineChars="0"/>
              <w:jc w:val="both"/>
              <w:rPr>
                <w:rFonts w:hint="eastAsia"/>
                <w:color w:val="auto"/>
                <w:highlight w:val="none"/>
                <w:lang w:val="en-US" w:eastAsia="zh-CN"/>
              </w:rPr>
            </w:pPr>
            <w:r>
              <w:rPr>
                <w:rFonts w:hint="eastAsia" w:ascii="新宋体" w:hAnsi="新宋体" w:eastAsia="新宋体" w:cs="新宋体"/>
                <w:color w:val="auto"/>
                <w:sz w:val="24"/>
                <w:szCs w:val="24"/>
                <w:highlight w:val="none"/>
                <w:lang w:eastAsia="zh-CN"/>
              </w:rPr>
              <w:t>拟派项目绿化工（</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lang w:val="en-US" w:eastAsia="zh-CN"/>
              </w:rPr>
              <w:t>55周岁以下</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0.5</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val="en-US" w:eastAsia="zh-CN"/>
              </w:rPr>
              <w:t>，具有2年以上绿化养护工作经验（0.5分）。</w:t>
            </w:r>
          </w:p>
          <w:p>
            <w:pPr>
              <w:numPr>
                <w:ilvl w:val="0"/>
                <w:numId w:val="32"/>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拟派本项目的</w:t>
            </w:r>
            <w:r>
              <w:rPr>
                <w:rFonts w:hint="eastAsia" w:ascii="新宋体" w:hAnsi="新宋体" w:eastAsia="新宋体" w:cs="新宋体"/>
                <w:color w:val="auto"/>
                <w:sz w:val="24"/>
                <w:szCs w:val="24"/>
                <w:highlight w:val="none"/>
                <w:lang w:eastAsia="zh-CN"/>
              </w:rPr>
              <w:t>工程维修人员</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分）：年龄5</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周岁以下，</w:t>
            </w:r>
            <w:r>
              <w:rPr>
                <w:rFonts w:hint="eastAsia" w:ascii="新宋体" w:hAnsi="新宋体" w:eastAsia="新宋体" w:cs="新宋体"/>
                <w:color w:val="auto"/>
                <w:sz w:val="24"/>
                <w:szCs w:val="24"/>
                <w:highlight w:val="none"/>
                <w:lang w:eastAsia="zh-CN"/>
              </w:rPr>
              <w:t>高中</w:t>
            </w:r>
            <w:r>
              <w:rPr>
                <w:rFonts w:hint="eastAsia" w:ascii="新宋体" w:hAnsi="新宋体" w:eastAsia="新宋体" w:cs="新宋体"/>
                <w:color w:val="auto"/>
                <w:sz w:val="24"/>
                <w:szCs w:val="24"/>
                <w:highlight w:val="none"/>
              </w:rPr>
              <w:t>以上学历，具有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w:t>
            </w:r>
            <w:r>
              <w:rPr>
                <w:rFonts w:hint="eastAsia" w:ascii="新宋体" w:hAnsi="新宋体" w:eastAsia="新宋体" w:cs="新宋体"/>
                <w:color w:val="auto"/>
                <w:sz w:val="24"/>
                <w:szCs w:val="24"/>
                <w:highlight w:val="none"/>
                <w:lang w:val="en-US" w:eastAsia="zh-CN"/>
              </w:rPr>
              <w:t>似</w:t>
            </w:r>
            <w:r>
              <w:rPr>
                <w:rFonts w:hint="eastAsia" w:ascii="新宋体" w:hAnsi="新宋体" w:eastAsia="新宋体" w:cs="新宋体"/>
                <w:color w:val="auto"/>
                <w:sz w:val="24"/>
                <w:szCs w:val="24"/>
                <w:highlight w:val="none"/>
                <w:lang w:eastAsia="zh-CN"/>
              </w:rPr>
              <w:t>工程维修</w:t>
            </w:r>
            <w:r>
              <w:rPr>
                <w:rFonts w:hint="eastAsia" w:ascii="新宋体" w:hAnsi="新宋体" w:eastAsia="新宋体" w:cs="新宋体"/>
                <w:color w:val="auto"/>
                <w:sz w:val="24"/>
                <w:szCs w:val="24"/>
                <w:highlight w:val="none"/>
              </w:rPr>
              <w:t>工作经验。每符合1人得</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分，最高得</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w:t>
            </w:r>
          </w:p>
          <w:p>
            <w:pPr>
              <w:numPr>
                <w:ilvl w:val="0"/>
                <w:numId w:val="32"/>
              </w:numPr>
              <w:wordWrap/>
              <w:adjustRightInd w:val="0"/>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拟派本项目会务人员（</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w:t>
            </w:r>
            <w:r>
              <w:rPr>
                <w:rFonts w:hint="eastAsia" w:ascii="新宋体" w:hAnsi="新宋体" w:eastAsia="新宋体" w:cs="新宋体"/>
                <w:color w:val="auto"/>
                <w:sz w:val="24"/>
                <w:szCs w:val="24"/>
                <w:highlight w:val="none"/>
                <w:lang w:eastAsia="zh-CN"/>
              </w:rPr>
              <w:t>年龄</w:t>
            </w:r>
            <w:r>
              <w:rPr>
                <w:rFonts w:hint="eastAsia" w:ascii="新宋体" w:hAnsi="新宋体" w:eastAsia="新宋体" w:cs="新宋体"/>
                <w:color w:val="auto"/>
                <w:sz w:val="24"/>
                <w:szCs w:val="24"/>
                <w:highlight w:val="none"/>
              </w:rPr>
              <w:t>4</w:t>
            </w: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周岁以下，高中以上学历</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类似会务</w:t>
            </w:r>
            <w:r>
              <w:rPr>
                <w:rFonts w:hint="eastAsia" w:ascii="新宋体" w:hAnsi="新宋体" w:eastAsia="新宋体" w:cs="新宋体"/>
                <w:color w:val="auto"/>
                <w:sz w:val="24"/>
                <w:szCs w:val="24"/>
                <w:highlight w:val="none"/>
              </w:rPr>
              <w:t>工作经验。每符合1人得</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分，最高得</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分。</w:t>
            </w:r>
          </w:p>
          <w:p>
            <w:pPr>
              <w:numPr>
                <w:ilvl w:val="0"/>
                <w:numId w:val="0"/>
              </w:numPr>
              <w:snapToGrid w:val="0"/>
              <w:spacing w:line="360" w:lineRule="auto"/>
              <w:jc w:val="both"/>
              <w:rPr>
                <w:rFonts w:hint="eastAsia" w:ascii="宋体" w:hAnsi="宋体" w:eastAsia="微软雅黑" w:cs="仿宋_GB2312"/>
                <w:color w:val="auto"/>
                <w:sz w:val="24"/>
                <w:highlight w:val="none"/>
                <w:lang w:eastAsia="zh-CN"/>
              </w:rPr>
            </w:pPr>
            <w:r>
              <w:rPr>
                <w:rFonts w:hint="eastAsia" w:ascii="黑体" w:hAnsi="黑体" w:eastAsia="黑体" w:cs="黑体"/>
                <w:b w:val="0"/>
                <w:bCs w:val="0"/>
                <w:i w:val="0"/>
                <w:iCs w:val="0"/>
                <w:color w:val="auto"/>
                <w:sz w:val="21"/>
                <w:szCs w:val="21"/>
                <w:highlight w:val="none"/>
                <w:lang w:val="en-US" w:eastAsia="zh-CN"/>
              </w:rPr>
              <w:t xml:space="preserve">    </w:t>
            </w:r>
            <w:bookmarkStart w:id="512" w:name="_GoBack"/>
            <w:bookmarkEnd w:id="512"/>
            <w:r>
              <w:rPr>
                <w:rFonts w:ascii="微软雅黑" w:hAnsi="微软雅黑" w:eastAsia="微软雅黑" w:cs="微软雅黑"/>
                <w:i w:val="0"/>
                <w:caps w:val="0"/>
                <w:color w:val="auto"/>
                <w:spacing w:val="0"/>
                <w:sz w:val="21"/>
                <w:szCs w:val="21"/>
                <w:highlight w:val="none"/>
                <w:shd w:val="clear" w:color="auto" w:fill="FFFFFF"/>
              </w:rPr>
              <w:t>年龄、工作经验计算截至投标截止时间。以上人员需提供相应证书和身份证扫描件、在投标人单位的社保缴纳证明( 超过法定退休年龄的人员提供与投标人签订的劳务合同)，工作经验需提供显示职务的劳动合同或原服务业主出具的盖章证明，能清楚体现工作岗位及年限，否则不得分</w:t>
            </w:r>
            <w:r>
              <w:rPr>
                <w:rFonts w:hint="eastAsia" w:ascii="微软雅黑" w:hAnsi="微软雅黑" w:eastAsia="微软雅黑" w:cs="微软雅黑"/>
                <w:i w:val="0"/>
                <w:caps w:val="0"/>
                <w:color w:val="auto"/>
                <w:spacing w:val="0"/>
                <w:sz w:val="21"/>
                <w:szCs w:val="21"/>
                <w:highlight w:val="none"/>
                <w:shd w:val="clear" w:color="auto" w:fill="FFFFFF"/>
                <w:lang w:eastAsia="zh-CN"/>
              </w:rPr>
              <w:t>。</w:t>
            </w:r>
          </w:p>
        </w:tc>
        <w:tc>
          <w:tcPr>
            <w:tcW w:w="567" w:type="dxa"/>
            <w:vMerge w:val="restart"/>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2</w:t>
            </w:r>
            <w:r>
              <w:rPr>
                <w:rFonts w:hint="eastAsia" w:ascii="新宋体" w:hAnsi="新宋体" w:eastAsia="新宋体" w:cs="新宋体"/>
                <w:color w:val="auto"/>
                <w:sz w:val="24"/>
                <w:szCs w:val="24"/>
                <w:highlight w:val="none"/>
                <w:lang w:val="en-US" w:eastAsia="zh-CN"/>
              </w:rPr>
              <w:t>0</w:t>
            </w:r>
          </w:p>
        </w:tc>
        <w:tc>
          <w:tcPr>
            <w:tcW w:w="992" w:type="dxa"/>
            <w:vMerge w:val="restart"/>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Merge w:val="restart"/>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534" w:type="dxa"/>
            <w:vMerge w:val="continue"/>
            <w:vAlign w:val="center"/>
          </w:tcPr>
          <w:p>
            <w:pPr>
              <w:snapToGrid w:val="0"/>
              <w:spacing w:line="360" w:lineRule="auto"/>
              <w:jc w:val="both"/>
            </w:pPr>
          </w:p>
        </w:tc>
        <w:tc>
          <w:tcPr>
            <w:tcW w:w="5103" w:type="dxa"/>
            <w:vAlign w:val="center"/>
          </w:tcPr>
          <w:p>
            <w:pPr>
              <w:numPr>
                <w:ilvl w:val="0"/>
                <w:numId w:val="32"/>
              </w:numPr>
              <w:wordWrap/>
              <w:adjustRightInd w:val="0"/>
              <w:snapToGrid w:val="0"/>
              <w:spacing w:line="360" w:lineRule="auto"/>
              <w:ind w:left="0" w:leftChars="0" w:firstLine="400" w:firstLineChars="0"/>
              <w:jc w:val="both"/>
              <w:rPr>
                <w:rFonts w:hint="eastAsia" w:ascii="宋体" w:hAnsi="宋体" w:cs="仿宋_GB2312"/>
                <w:color w:val="auto"/>
                <w:sz w:val="24"/>
                <w:highlight w:val="none"/>
              </w:rPr>
            </w:pPr>
            <w:r>
              <w:rPr>
                <w:rFonts w:hint="eastAsia" w:ascii="新宋体" w:hAnsi="新宋体" w:eastAsia="新宋体" w:cs="新宋体"/>
                <w:color w:val="auto"/>
                <w:sz w:val="24"/>
                <w:szCs w:val="24"/>
                <w:highlight w:val="none"/>
              </w:rPr>
              <w:t>拟派本项目保洁员（</w:t>
            </w: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分）：年龄</w:t>
            </w:r>
            <w:r>
              <w:rPr>
                <w:rFonts w:hint="eastAsia" w:ascii="新宋体" w:hAnsi="新宋体" w:eastAsia="新宋体" w:cs="新宋体"/>
                <w:color w:val="auto"/>
                <w:sz w:val="24"/>
                <w:szCs w:val="24"/>
                <w:highlight w:val="none"/>
                <w:lang w:val="en-US" w:eastAsia="zh-CN"/>
              </w:rPr>
              <w:t>55</w:t>
            </w:r>
            <w:r>
              <w:rPr>
                <w:rFonts w:hint="eastAsia" w:ascii="新宋体" w:hAnsi="新宋体" w:eastAsia="新宋体" w:cs="新宋体"/>
                <w:color w:val="auto"/>
                <w:sz w:val="24"/>
                <w:szCs w:val="24"/>
                <w:highlight w:val="none"/>
              </w:rPr>
              <w:t>周岁以下，具有</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年以上</w:t>
            </w:r>
            <w:r>
              <w:rPr>
                <w:rFonts w:hint="eastAsia" w:ascii="新宋体" w:hAnsi="新宋体" w:eastAsia="新宋体" w:cs="新宋体"/>
                <w:color w:val="auto"/>
                <w:sz w:val="24"/>
                <w:szCs w:val="24"/>
                <w:highlight w:val="none"/>
                <w:lang w:eastAsia="zh-CN"/>
              </w:rPr>
              <w:t>类似保洁</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val="en-US" w:eastAsia="zh-CN"/>
              </w:rPr>
              <w:t>承诺全部符合得3分，未承诺不得分。</w:t>
            </w:r>
          </w:p>
          <w:p>
            <w:pPr>
              <w:numPr>
                <w:ilvl w:val="0"/>
                <w:numId w:val="32"/>
              </w:numPr>
              <w:wordWrap/>
              <w:adjustRightInd w:val="0"/>
              <w:snapToGrid w:val="0"/>
              <w:spacing w:line="360" w:lineRule="auto"/>
              <w:ind w:left="0" w:leftChars="0" w:firstLine="400" w:firstLineChars="0"/>
              <w:jc w:val="both"/>
              <w:rPr>
                <w:rFonts w:hint="eastAsia" w:ascii="黑体" w:hAnsi="黑体" w:eastAsia="黑体" w:cs="黑体"/>
                <w:b w:val="0"/>
                <w:bCs w:val="0"/>
                <w:i w:val="0"/>
                <w:iCs w:val="0"/>
                <w:color w:val="auto"/>
                <w:sz w:val="21"/>
                <w:szCs w:val="21"/>
                <w:highlight w:val="none"/>
                <w:lang w:val="en-US" w:eastAsia="zh-CN"/>
              </w:rPr>
            </w:pPr>
            <w:r>
              <w:rPr>
                <w:rFonts w:hint="eastAsia" w:ascii="新宋体" w:hAnsi="新宋体" w:eastAsia="新宋体" w:cs="新宋体"/>
                <w:color w:val="auto"/>
                <w:sz w:val="24"/>
                <w:szCs w:val="24"/>
                <w:highlight w:val="none"/>
                <w:lang w:val="en-US" w:eastAsia="zh-CN"/>
              </w:rPr>
              <w:t>拟派本项目保安员（3分）：年龄55周岁以下，具有1年以上安保工作经验。承诺全部符合得3分，未承诺不得分。</w:t>
            </w:r>
          </w:p>
        </w:tc>
        <w:tc>
          <w:tcPr>
            <w:tcW w:w="567"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c>
          <w:tcPr>
            <w:tcW w:w="992"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c>
          <w:tcPr>
            <w:tcW w:w="1299" w:type="dxa"/>
            <w:vMerge w:val="continue"/>
            <w:vAlign w:val="center"/>
          </w:tcPr>
          <w:p>
            <w:pPr>
              <w:snapToGrid w:val="0"/>
              <w:spacing w:line="360" w:lineRule="auto"/>
              <w:jc w:val="both"/>
              <w:rPr>
                <w:rFonts w:hint="eastAsia" w:ascii="黑体" w:hAnsi="黑体" w:eastAsia="黑体" w:cs="黑体"/>
                <w:b w:val="0"/>
                <w:bCs w:val="0"/>
                <w:i w:val="0"/>
                <w:i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lang w:val="en-US" w:eastAsia="zh-CN"/>
              </w:rPr>
              <w:t>9</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 xml:space="preserve">    </w:t>
            </w:r>
            <w:r>
              <w:rPr>
                <w:rFonts w:hint="eastAsia" w:ascii="新宋体" w:hAnsi="新宋体" w:eastAsia="新宋体" w:cs="新宋体"/>
                <w:color w:val="auto"/>
                <w:sz w:val="24"/>
                <w:szCs w:val="24"/>
                <w:highlight w:val="none"/>
              </w:rPr>
              <w:t>投标人</w:t>
            </w:r>
            <w:r>
              <w:rPr>
                <w:rFonts w:hint="eastAsia" w:ascii="新宋体" w:hAnsi="新宋体" w:eastAsia="新宋体" w:cs="新宋体"/>
                <w:color w:val="auto"/>
                <w:sz w:val="24"/>
                <w:szCs w:val="24"/>
                <w:highlight w:val="none"/>
                <w:lang w:eastAsia="zh-CN"/>
              </w:rPr>
              <w:t>具有</w:t>
            </w:r>
            <w:r>
              <w:rPr>
                <w:rFonts w:hint="eastAsia" w:ascii="新宋体" w:hAnsi="新宋体" w:eastAsia="新宋体" w:cs="新宋体"/>
                <w:color w:val="auto"/>
                <w:sz w:val="24"/>
                <w:szCs w:val="24"/>
                <w:highlight w:val="none"/>
              </w:rPr>
              <w:t>职业健康安全管理体系认证证书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、质量管理体系认证证书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、环境管理体系认证</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1分</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snapToGrid w:val="0"/>
              <w:spacing w:line="360" w:lineRule="auto"/>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提供有效期内的证书扫描件及全国认证认可信息公共服务平台网站http://www.cnca.gov.cn/查询页面截图，否则不得分。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3</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lang w:val="en-US" w:eastAsia="zh-CN"/>
              </w:rPr>
              <w:t>20</w:t>
            </w:r>
          </w:p>
        </w:tc>
        <w:tc>
          <w:tcPr>
            <w:tcW w:w="5103" w:type="dxa"/>
            <w:vAlign w:val="center"/>
          </w:tcPr>
          <w:p>
            <w:pPr>
              <w:snapToGrid w:val="0"/>
              <w:spacing w:line="360" w:lineRule="auto"/>
              <w:ind w:firstLine="480" w:firstLineChars="200"/>
              <w:jc w:val="both"/>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投标人自2020年1月1日以来的同类型物业管理服务的成功案例（含在管项目），以签订时间为准</w:t>
            </w:r>
            <w:r>
              <w:rPr>
                <w:rFonts w:hint="eastAsia" w:ascii="新宋体" w:hAnsi="新宋体" w:eastAsia="新宋体" w:cs="新宋体"/>
                <w:color w:val="auto"/>
                <w:sz w:val="24"/>
                <w:szCs w:val="24"/>
                <w:highlight w:val="none"/>
                <w:lang w:eastAsia="zh-CN"/>
              </w:rPr>
              <w:t>。</w:t>
            </w:r>
          </w:p>
          <w:p>
            <w:pPr>
              <w:snapToGrid w:val="0"/>
              <w:spacing w:line="360" w:lineRule="auto"/>
              <w:ind w:firstLine="420" w:firstLineChars="200"/>
              <w:jc w:val="both"/>
              <w:rPr>
                <w:rFonts w:hint="eastAsia"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提供合同扫描件。每提供1份得0.5分，最多得1分。</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1</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客观分</w:t>
            </w:r>
          </w:p>
        </w:tc>
        <w:tc>
          <w:tcPr>
            <w:tcW w:w="1299" w:type="dxa"/>
            <w:vAlign w:val="top"/>
          </w:tcPr>
          <w:p>
            <w:pPr>
              <w:snapToGrid w:val="0"/>
              <w:spacing w:line="360" w:lineRule="auto"/>
              <w:jc w:val="center"/>
              <w:rPr>
                <w:rFonts w:hint="eastAsia" w:ascii="新宋体" w:hAnsi="新宋体" w:eastAsia="新宋体" w:cs="新宋体"/>
                <w:color w:val="auto"/>
                <w:kern w:val="0"/>
                <w:sz w:val="24"/>
                <w:highlight w:val="none"/>
              </w:rPr>
            </w:pPr>
            <w:r>
              <w:rPr>
                <w:rFonts w:hint="eastAsia" w:ascii="新宋体" w:hAnsi="新宋体" w:eastAsia="新宋体" w:cs="新宋体"/>
                <w:color w:val="auto"/>
                <w:sz w:val="24"/>
                <w:szCs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hint="eastAsia" w:ascii="新宋体" w:hAnsi="新宋体" w:eastAsia="新宋体" w:cs="新宋体"/>
                <w:color w:val="auto"/>
                <w:sz w:val="24"/>
                <w:highlight w:val="none"/>
                <w:lang w:eastAsia="zh-CN"/>
              </w:rPr>
            </w:pPr>
            <w:r>
              <w:rPr>
                <w:rFonts w:hint="eastAsia" w:ascii="新宋体" w:hAnsi="新宋体" w:eastAsia="新宋体" w:cs="新宋体"/>
                <w:color w:val="auto"/>
                <w:sz w:val="24"/>
                <w:highlight w:val="none"/>
                <w:lang w:val="en-US" w:eastAsia="zh-CN"/>
              </w:rPr>
              <w:t>21</w:t>
            </w:r>
          </w:p>
        </w:tc>
        <w:tc>
          <w:tcPr>
            <w:tcW w:w="5103" w:type="dxa"/>
            <w:vAlign w:val="center"/>
          </w:tcPr>
          <w:p>
            <w:pPr>
              <w:snapToGrid w:val="0"/>
              <w:spacing w:line="360" w:lineRule="auto"/>
              <w:rPr>
                <w:rFonts w:ascii="宋体" w:hAnsi="宋体" w:cs="仿宋_GB2312"/>
                <w:color w:val="auto"/>
                <w:sz w:val="24"/>
                <w:highlight w:val="none"/>
              </w:rPr>
            </w:pPr>
            <w:r>
              <w:rPr>
                <w:rFonts w:hint="eastAsia" w:ascii="新宋体" w:hAnsi="新宋体" w:eastAsia="新宋体" w:cs="新宋体"/>
                <w:color w:val="auto"/>
                <w:sz w:val="24"/>
                <w:highlight w:val="none"/>
              </w:rPr>
              <w:t xml:space="preserve">   </w:t>
            </w:r>
            <w:r>
              <w:rPr>
                <w:rFonts w:hint="eastAsia" w:ascii="宋体" w:hAnsi="宋体" w:cs="仿宋_GB2312"/>
                <w:color w:val="auto"/>
                <w:sz w:val="24"/>
                <w:highlight w:val="none"/>
              </w:rPr>
              <w:t>有效投标报价的最低价作为评标基准价，其最低报价为满分；按［投标报价得分=（评标基准价/投标报价）*10］的计算公式计算。</w:t>
            </w:r>
          </w:p>
          <w:p>
            <w:pPr>
              <w:snapToGrid w:val="0"/>
              <w:spacing w:line="360" w:lineRule="auto"/>
              <w:rPr>
                <w:rFonts w:hint="eastAsia" w:ascii="宋体" w:hAnsi="宋体" w:cs="仿宋_GB2312"/>
                <w:color w:val="auto"/>
                <w:sz w:val="24"/>
                <w:highlight w:val="none"/>
              </w:rPr>
            </w:pPr>
            <w:r>
              <w:rPr>
                <w:rFonts w:hint="eastAsia" w:ascii="宋体" w:hAnsi="宋体" w:cs="仿宋_GB2312"/>
                <w:color w:val="auto"/>
                <w:sz w:val="24"/>
                <w:highlight w:val="none"/>
              </w:rPr>
              <w:t>评标过程中，不得去掉报价中的最高报价和最低报价。</w:t>
            </w:r>
          </w:p>
        </w:tc>
        <w:tc>
          <w:tcPr>
            <w:tcW w:w="567"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10</w:t>
            </w:r>
          </w:p>
        </w:tc>
        <w:tc>
          <w:tcPr>
            <w:tcW w:w="992" w:type="dxa"/>
            <w:vAlign w:val="center"/>
          </w:tcPr>
          <w:p>
            <w:pPr>
              <w:snapToGrid w:val="0"/>
              <w:spacing w:line="360" w:lineRule="auto"/>
              <w:jc w:val="center"/>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客观分</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rPr>
            </w:pP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tabs>
          <w:tab w:val="left" w:pos="3213"/>
        </w:tabs>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第一部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合同书</w:t>
      </w:r>
    </w:p>
    <w:p>
      <w:pPr>
        <w:spacing w:before="120" w:line="22" w:lineRule="atLeast"/>
        <w:rPr>
          <w:rFonts w:ascii="宋体" w:hAnsi="宋体" w:cs="宋体"/>
          <w:color w:val="auto"/>
          <w:sz w:val="24"/>
          <w:highlight w:val="none"/>
        </w:rPr>
      </w:pPr>
    </w:p>
    <w:p>
      <w:pPr>
        <w:keepNext/>
        <w:keepLines/>
        <w:tabs>
          <w:tab w:val="left" w:pos="432"/>
        </w:tabs>
        <w:adjustRightInd/>
        <w:ind w:left="431" w:hanging="431"/>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headerReference r:id="rId12" w:type="default"/>
          <w:footerReference r:id="rId13" w:type="default"/>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lang w:eastAsia="zh-CN"/>
        </w:rPr>
        <w:t>新永乐综合楼物业管理服务采购项目（HZYHZFCG-2024-017）</w:t>
      </w:r>
      <w:r>
        <w:rPr>
          <w:rFonts w:hint="eastAsia" w:ascii="宋体" w:hAnsi="宋体" w:cs="宋体"/>
          <w:color w:val="auto"/>
          <w:sz w:val="24"/>
          <w:highlight w:val="none"/>
        </w:rPr>
        <w:t>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rPr>
        <w:t>为该项目中标供应商。现于中标通知书发出之日起10个工作日内，按照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color w:val="auto"/>
          <w:sz w:val="24"/>
          <w:highlight w:val="none"/>
        </w:rPr>
      </w:pPr>
      <w:bookmarkStart w:id="395" w:name="_Toc19273"/>
      <w:bookmarkStart w:id="396" w:name="_Toc20421"/>
      <w:bookmarkStart w:id="397" w:name="_Toc15367"/>
      <w:bookmarkStart w:id="398" w:name="_Toc28855"/>
      <w:bookmarkStart w:id="399" w:name="_Toc22967"/>
      <w:r>
        <w:rPr>
          <w:rFonts w:hint="eastAsia" w:ascii="宋体" w:hAnsi="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0" w:name="_Toc2918"/>
      <w:bookmarkStart w:id="401" w:name="_Toc18585"/>
      <w:bookmarkStart w:id="402" w:name="_Toc6773"/>
      <w:bookmarkStart w:id="403" w:name="_Toc22185"/>
      <w:bookmarkStart w:id="404" w:name="_Toc6311"/>
      <w:r>
        <w:rPr>
          <w:rFonts w:hint="eastAsia" w:ascii="宋体" w:hAnsi="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5" w:name="_Toc13918"/>
      <w:bookmarkStart w:id="406" w:name="_Toc1386"/>
      <w:bookmarkStart w:id="407" w:name="_Toc5635"/>
      <w:bookmarkStart w:id="408" w:name="_Toc21124"/>
      <w:bookmarkStart w:id="409" w:name="_Toc4929"/>
      <w:r>
        <w:rPr>
          <w:rFonts w:hint="eastAsia" w:ascii="宋体" w:hAnsi="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0" w:name="_Toc3654"/>
      <w:bookmarkStart w:id="411" w:name="_Toc30158"/>
      <w:bookmarkStart w:id="412" w:name="_Toc26916"/>
      <w:bookmarkStart w:id="413" w:name="_Toc30506"/>
      <w:bookmarkStart w:id="414" w:name="_Toc14993"/>
      <w:r>
        <w:rPr>
          <w:rFonts w:hint="eastAsia" w:ascii="宋体" w:hAnsi="宋体" w:cs="宋体"/>
          <w:b/>
          <w:color w:val="auto"/>
          <w:sz w:val="24"/>
          <w:highlight w:val="none"/>
        </w:rPr>
        <w:t>1.4 付款方式和发票开具方式</w:t>
      </w:r>
      <w:bookmarkEnd w:id="410"/>
      <w:bookmarkEnd w:id="411"/>
      <w:bookmarkEnd w:id="412"/>
      <w:bookmarkEnd w:id="413"/>
      <w:bookmarkEnd w:id="414"/>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color w:val="auto"/>
          <w:sz w:val="24"/>
          <w:highlight w:val="none"/>
        </w:rPr>
      </w:pPr>
      <w:bookmarkStart w:id="415" w:name="_Toc4760"/>
      <w:bookmarkStart w:id="416" w:name="_Toc8772"/>
      <w:bookmarkStart w:id="417" w:name="_Toc31421"/>
      <w:bookmarkStart w:id="418" w:name="_Toc11108"/>
      <w:bookmarkStart w:id="419" w:name="_Toc3625"/>
      <w:r>
        <w:rPr>
          <w:rFonts w:hint="eastAsia" w:ascii="宋体" w:hAnsi="宋体" w:cs="宋体"/>
          <w:b/>
          <w:color w:val="auto"/>
          <w:sz w:val="24"/>
          <w:highlight w:val="none"/>
        </w:rPr>
        <w:t>1.5 履行期限、地点和方式</w:t>
      </w:r>
      <w:bookmarkEnd w:id="415"/>
      <w:bookmarkEnd w:id="416"/>
      <w:bookmarkEnd w:id="417"/>
      <w:bookmarkEnd w:id="418"/>
      <w:bookmarkEnd w:id="419"/>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履行期限：</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履行地点：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履行方式：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color w:val="auto"/>
          <w:sz w:val="24"/>
          <w:highlight w:val="none"/>
          <w:u w:val="single"/>
        </w:rPr>
      </w:pPr>
      <w:bookmarkStart w:id="420" w:name="_Toc2375"/>
      <w:bookmarkStart w:id="421" w:name="_Toc3079"/>
      <w:bookmarkStart w:id="422" w:name="_Toc8586"/>
      <w:bookmarkStart w:id="423" w:name="_Toc24662"/>
      <w:bookmarkStart w:id="424" w:name="_Toc5698"/>
      <w:r>
        <w:rPr>
          <w:rFonts w:hint="eastAsia" w:ascii="宋体" w:hAnsi="宋体" w:cs="宋体"/>
          <w:b/>
          <w:color w:val="auto"/>
          <w:sz w:val="24"/>
          <w:highlight w:val="none"/>
        </w:rPr>
        <w:t>1.6 违约责任</w:t>
      </w:r>
      <w:bookmarkEnd w:id="420"/>
      <w:bookmarkEnd w:id="421"/>
      <w:bookmarkEnd w:id="422"/>
      <w:bookmarkEnd w:id="423"/>
      <w:bookmarkEnd w:id="42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25" w:name="_Toc30329"/>
      <w:bookmarkStart w:id="426" w:name="_Toc32454"/>
      <w:bookmarkStart w:id="427" w:name="_Toc26807"/>
      <w:bookmarkStart w:id="428" w:name="_Toc18683"/>
      <w:bookmarkStart w:id="429" w:name="_Toc9497"/>
      <w:r>
        <w:rPr>
          <w:rFonts w:hint="eastAsia" w:ascii="宋体" w:hAnsi="宋体" w:cs="宋体"/>
          <w:b/>
          <w:color w:val="auto"/>
          <w:sz w:val="24"/>
          <w:highlight w:val="none"/>
        </w:rPr>
        <w:t>1.7 合同争议的解决</w:t>
      </w:r>
      <w:bookmarkEnd w:id="425"/>
      <w:bookmarkEnd w:id="426"/>
      <w:bookmarkEnd w:id="427"/>
      <w:bookmarkEnd w:id="428"/>
      <w:bookmarkEnd w:id="42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241" w:firstLineChars="100"/>
        <w:outlineLvl w:val="0"/>
        <w:rPr>
          <w:rFonts w:ascii="宋体" w:hAnsi="宋体" w:cs="宋体"/>
          <w:b/>
          <w:color w:val="auto"/>
          <w:sz w:val="24"/>
          <w:highlight w:val="none"/>
        </w:rPr>
      </w:pPr>
      <w:bookmarkStart w:id="430" w:name="_Toc23784"/>
      <w:bookmarkStart w:id="431" w:name="_Toc26227"/>
      <w:bookmarkStart w:id="432" w:name="_Toc15827"/>
      <w:bookmarkStart w:id="433" w:name="_Toc16417"/>
      <w:bookmarkStart w:id="434" w:name="_Toc12273"/>
      <w:r>
        <w:rPr>
          <w:rFonts w:hint="eastAsia" w:ascii="宋体" w:hAnsi="宋体" w:cs="宋体"/>
          <w:b/>
          <w:color w:val="auto"/>
          <w:sz w:val="24"/>
          <w:highlight w:val="none"/>
        </w:rPr>
        <w:t>1.8 合同生效</w:t>
      </w:r>
      <w:bookmarkEnd w:id="430"/>
      <w:bookmarkEnd w:id="431"/>
      <w:bookmarkEnd w:id="432"/>
      <w:bookmarkEnd w:id="433"/>
      <w:bookmarkEnd w:id="434"/>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560" w:lineRule="exact"/>
        <w:jc w:val="left"/>
        <w:rPr>
          <w:rFonts w:ascii="宋体" w:hAnsi="宋体" w:cs="宋体"/>
          <w:b/>
          <w:color w:val="auto"/>
          <w:sz w:val="24"/>
          <w:highlight w:val="none"/>
        </w:rPr>
      </w:pPr>
    </w:p>
    <w:p>
      <w:pPr>
        <w:widowControl/>
        <w:adjustRightInd/>
        <w:jc w:val="left"/>
        <w:rPr>
          <w:rFonts w:ascii="宋体" w:hAnsi="宋体" w:cs="宋体"/>
          <w:b/>
          <w:color w:val="auto"/>
          <w:sz w:val="24"/>
          <w:highlight w:val="none"/>
        </w:rPr>
      </w:pPr>
      <w:r>
        <w:rPr>
          <w:rFonts w:hint="eastAsia" w:ascii="宋体" w:hAnsi="宋体" w:cs="宋体"/>
          <w:b/>
          <w:color w:val="auto"/>
          <w:highlight w:val="none"/>
        </w:rPr>
        <w:br w:type="page"/>
      </w:r>
    </w:p>
    <w:p>
      <w:pPr>
        <w:pStyle w:val="384"/>
        <w:spacing w:line="560" w:lineRule="exact"/>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第二部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合同一般条款</w:t>
      </w:r>
    </w:p>
    <w:p>
      <w:pPr>
        <w:spacing w:line="560" w:lineRule="exact"/>
        <w:ind w:firstLine="482" w:firstLineChars="200"/>
        <w:outlineLvl w:val="0"/>
        <w:rPr>
          <w:rFonts w:ascii="宋体" w:hAnsi="宋体" w:cs="宋体"/>
          <w:b/>
          <w:color w:val="auto"/>
          <w:sz w:val="24"/>
          <w:highlight w:val="none"/>
        </w:rPr>
      </w:pPr>
      <w:bookmarkStart w:id="435" w:name="_Toc5228"/>
      <w:bookmarkStart w:id="436" w:name="_Toc14021"/>
      <w:bookmarkStart w:id="437" w:name="_Toc19680"/>
      <w:bookmarkStart w:id="438" w:name="_Toc25079"/>
      <w:bookmarkStart w:id="439" w:name="_Toc31297"/>
      <w:r>
        <w:rPr>
          <w:rFonts w:hint="eastAsia" w:ascii="宋体" w:hAnsi="宋体" w:cs="宋体"/>
          <w:b/>
          <w:color w:val="auto"/>
          <w:sz w:val="24"/>
          <w:highlight w:val="none"/>
        </w:rPr>
        <w:t>2.1 定义</w:t>
      </w:r>
      <w:bookmarkEnd w:id="435"/>
      <w:bookmarkEnd w:id="436"/>
      <w:bookmarkEnd w:id="437"/>
      <w:bookmarkEnd w:id="438"/>
      <w:bookmarkEnd w:id="43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560" w:lineRule="exact"/>
        <w:ind w:firstLine="482" w:firstLineChars="200"/>
        <w:outlineLvl w:val="0"/>
        <w:rPr>
          <w:rFonts w:ascii="宋体" w:hAnsi="宋体" w:cs="宋体"/>
          <w:b/>
          <w:color w:val="auto"/>
          <w:sz w:val="24"/>
          <w:highlight w:val="none"/>
        </w:rPr>
      </w:pPr>
      <w:bookmarkStart w:id="440" w:name="_Toc31402"/>
      <w:bookmarkStart w:id="441" w:name="_Toc19539"/>
      <w:bookmarkStart w:id="442" w:name="_Toc3769"/>
      <w:bookmarkStart w:id="443" w:name="_Toc23289"/>
      <w:bookmarkStart w:id="444" w:name="_Toc16752"/>
      <w:r>
        <w:rPr>
          <w:rFonts w:hint="eastAsia" w:ascii="宋体" w:hAnsi="宋体" w:cs="宋体"/>
          <w:b/>
          <w:color w:val="auto"/>
          <w:sz w:val="24"/>
          <w:highlight w:val="none"/>
        </w:rPr>
        <w:t>2.2 技术规范</w:t>
      </w:r>
      <w:bookmarkEnd w:id="440"/>
      <w:bookmarkEnd w:id="441"/>
      <w:bookmarkEnd w:id="442"/>
      <w:bookmarkEnd w:id="443"/>
      <w:bookmarkEnd w:id="44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规定的技术规范和技术规范附件</w:t>
      </w:r>
      <w:r>
        <w:rPr>
          <w:rFonts w:hint="eastAsia" w:ascii="宋体" w:hAnsi="宋体" w:cs="宋体"/>
          <w:color w:val="auto"/>
          <w:sz w:val="24"/>
          <w:highlight w:val="none"/>
          <w:lang w:eastAsia="zh-CN"/>
        </w:rPr>
        <w:t>（</w:t>
      </w:r>
      <w:r>
        <w:rPr>
          <w:rFonts w:hint="eastAsia" w:ascii="宋体" w:hAnsi="宋体" w:cs="宋体"/>
          <w:color w:val="auto"/>
          <w:sz w:val="24"/>
          <w:highlight w:val="none"/>
        </w:rPr>
        <w:t>如果有的话</w:t>
      </w:r>
      <w:r>
        <w:rPr>
          <w:rFonts w:hint="eastAsia" w:ascii="宋体" w:hAnsi="宋体" w:cs="宋体"/>
          <w:color w:val="auto"/>
          <w:sz w:val="24"/>
          <w:highlight w:val="none"/>
          <w:lang w:eastAsia="zh-CN"/>
        </w:rPr>
        <w:t>）</w:t>
      </w:r>
      <w:r>
        <w:rPr>
          <w:rFonts w:hint="eastAsia" w:ascii="宋体" w:hAnsi="宋体" w:cs="宋体"/>
          <w:color w:val="auto"/>
          <w:sz w:val="24"/>
          <w:highlight w:val="none"/>
        </w:rPr>
        <w:t>及其技术规范偏差表</w:t>
      </w:r>
      <w:r>
        <w:rPr>
          <w:rFonts w:hint="eastAsia" w:ascii="宋体" w:hAnsi="宋体" w:cs="宋体"/>
          <w:color w:val="auto"/>
          <w:sz w:val="24"/>
          <w:highlight w:val="none"/>
          <w:lang w:eastAsia="zh-CN"/>
        </w:rPr>
        <w:t>（</w:t>
      </w:r>
      <w:r>
        <w:rPr>
          <w:rFonts w:hint="eastAsia" w:ascii="宋体" w:hAnsi="宋体" w:cs="宋体"/>
          <w:color w:val="auto"/>
          <w:sz w:val="24"/>
          <w:highlight w:val="none"/>
        </w:rPr>
        <w:t>如果被甲方接受的话</w:t>
      </w:r>
      <w:r>
        <w:rPr>
          <w:rFonts w:hint="eastAsia" w:ascii="宋体" w:hAnsi="宋体" w:cs="宋体"/>
          <w:color w:val="auto"/>
          <w:sz w:val="24"/>
          <w:highlight w:val="none"/>
          <w:lang w:eastAsia="zh-CN"/>
        </w:rPr>
        <w:t>）</w:t>
      </w:r>
      <w:r>
        <w:rPr>
          <w:rFonts w:hint="eastAsia" w:ascii="宋体" w:hAnsi="宋体" w:cs="宋体"/>
          <w:color w:val="auto"/>
          <w:sz w:val="24"/>
          <w:highlight w:val="none"/>
        </w:rPr>
        <w:t>相一致；如果</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5" w:name="_Toc12412"/>
      <w:bookmarkStart w:id="446" w:name="_Toc9161"/>
      <w:bookmarkStart w:id="447" w:name="_Toc27945"/>
      <w:bookmarkStart w:id="448" w:name="_Toc13673"/>
      <w:bookmarkStart w:id="449" w:name="_Toc4133"/>
      <w:r>
        <w:rPr>
          <w:rFonts w:hint="eastAsia" w:ascii="宋体" w:hAnsi="宋体" w:cs="宋体"/>
          <w:b/>
          <w:color w:val="auto"/>
          <w:sz w:val="24"/>
          <w:highlight w:val="none"/>
        </w:rPr>
        <w:t>2.3 知识产权</w:t>
      </w:r>
      <w:bookmarkEnd w:id="445"/>
      <w:bookmarkEnd w:id="446"/>
      <w:bookmarkEnd w:id="447"/>
      <w:bookmarkEnd w:id="448"/>
      <w:bookmarkEnd w:id="44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合同涉及技术成果的归属和收益的分成办法的，详见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cs="宋体"/>
          <w:b/>
          <w:color w:val="auto"/>
          <w:sz w:val="24"/>
          <w:highlight w:val="none"/>
        </w:rPr>
      </w:pPr>
      <w:bookmarkStart w:id="450" w:name="_Toc16163"/>
      <w:bookmarkStart w:id="451" w:name="_Toc13154"/>
      <w:bookmarkStart w:id="452" w:name="_Toc13467"/>
      <w:bookmarkStart w:id="453" w:name="_Toc18990"/>
      <w:bookmarkStart w:id="454" w:name="_Toc3050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技术资料和保密义务</w:t>
      </w:r>
      <w:bookmarkEnd w:id="450"/>
      <w:bookmarkEnd w:id="451"/>
      <w:bookmarkEnd w:id="452"/>
      <w:bookmarkEnd w:id="453"/>
      <w:bookmarkEnd w:id="45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55" w:name="_Toc19069"/>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质量保证</w:t>
      </w:r>
      <w:bookmarkEnd w:id="45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56" w:name="_Toc2226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延迟履行</w:t>
      </w:r>
      <w:bookmarkEnd w:id="45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color w:val="auto"/>
          <w:sz w:val="24"/>
          <w:highlight w:val="none"/>
        </w:rPr>
      </w:pPr>
      <w:bookmarkStart w:id="457" w:name="_Toc10611"/>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 xml:space="preserve"> 合同变更</w:t>
      </w:r>
      <w:bookmarkEnd w:id="45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58" w:name="_Toc10663"/>
      <w:bookmarkStart w:id="459" w:name="_Toc42"/>
      <w:bookmarkStart w:id="460" w:name="_Toc23368"/>
      <w:bookmarkStart w:id="461" w:name="_Toc26689"/>
      <w:bookmarkStart w:id="462" w:name="_Toc21830"/>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 xml:space="preserve"> 合同转让和分包</w:t>
      </w:r>
      <w:bookmarkEnd w:id="458"/>
      <w:bookmarkEnd w:id="459"/>
      <w:bookmarkEnd w:id="460"/>
      <w:bookmarkEnd w:id="461"/>
      <w:bookmarkEnd w:id="46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color w:val="auto"/>
          <w:sz w:val="24"/>
          <w:highlight w:val="none"/>
        </w:rPr>
      </w:pPr>
      <w:bookmarkStart w:id="463" w:name="_Toc4720"/>
      <w:bookmarkStart w:id="464" w:name="_Toc25571"/>
      <w:bookmarkStart w:id="465" w:name="_Toc32494"/>
      <w:bookmarkStart w:id="466" w:name="_Toc14371"/>
      <w:bookmarkStart w:id="467" w:name="_Toc2663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 xml:space="preserve"> 不可抗力</w:t>
      </w:r>
      <w:bookmarkEnd w:id="463"/>
      <w:bookmarkEnd w:id="464"/>
      <w:bookmarkEnd w:id="465"/>
      <w:bookmarkEnd w:id="466"/>
      <w:bookmarkEnd w:id="46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468" w:name="_Toc23854"/>
      <w:bookmarkStart w:id="469" w:name="_Toc14115"/>
      <w:bookmarkStart w:id="470" w:name="_Toc25783"/>
      <w:bookmarkStart w:id="471" w:name="_Toc3638"/>
      <w:bookmarkStart w:id="472" w:name="_Toc2446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 xml:space="preserve"> 税费</w:t>
      </w:r>
      <w:bookmarkEnd w:id="468"/>
      <w:bookmarkEnd w:id="469"/>
      <w:bookmarkEnd w:id="470"/>
      <w:bookmarkEnd w:id="471"/>
      <w:bookmarkEnd w:id="47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560" w:lineRule="exact"/>
        <w:ind w:firstLine="482" w:firstLineChars="200"/>
        <w:outlineLvl w:val="0"/>
        <w:rPr>
          <w:rFonts w:ascii="宋体" w:hAnsi="宋体" w:cs="宋体"/>
          <w:b/>
          <w:color w:val="auto"/>
          <w:sz w:val="24"/>
          <w:highlight w:val="none"/>
        </w:rPr>
      </w:pPr>
      <w:bookmarkStart w:id="473" w:name="_Toc26883"/>
      <w:bookmarkStart w:id="474" w:name="_Toc25525"/>
      <w:bookmarkStart w:id="475" w:name="_Toc30105"/>
      <w:bookmarkStart w:id="476" w:name="_Toc14814"/>
      <w:bookmarkStart w:id="477" w:name="_Toc731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乙方破产</w:t>
      </w:r>
      <w:bookmarkEnd w:id="473"/>
      <w:bookmarkEnd w:id="474"/>
      <w:bookmarkEnd w:id="475"/>
      <w:bookmarkEnd w:id="476"/>
      <w:bookmarkEnd w:id="47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478" w:name="_Toc23323"/>
      <w:bookmarkStart w:id="479" w:name="_Toc2016"/>
      <w:bookmarkStart w:id="480" w:name="_Toc112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 xml:space="preserve"> 合同中止、终止</w:t>
      </w:r>
      <w:bookmarkEnd w:id="478"/>
      <w:bookmarkEnd w:id="479"/>
      <w:bookmarkEnd w:id="48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81" w:name="_Toc14525"/>
      <w:bookmarkStart w:id="482" w:name="_Toc17363"/>
      <w:bookmarkStart w:id="483" w:name="_Toc1969"/>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xml:space="preserve"> 检验和验收</w:t>
      </w:r>
      <w:bookmarkEnd w:id="481"/>
      <w:bookmarkEnd w:id="482"/>
      <w:bookmarkEnd w:id="483"/>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乙方按照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的约定，定期提交服务报告，甲方按照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的约定进行定期验收；</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4" w:name="_Toc12666"/>
      <w:bookmarkStart w:id="485" w:name="_Toc2308"/>
      <w:bookmarkStart w:id="486" w:name="_Toc9808"/>
      <w:bookmarkStart w:id="487" w:name="_Toc31892"/>
      <w:bookmarkStart w:id="488" w:name="_Toc25198"/>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通知和送达</w:t>
      </w:r>
      <w:bookmarkEnd w:id="484"/>
      <w:bookmarkEnd w:id="485"/>
      <w:bookmarkEnd w:id="486"/>
      <w:bookmarkEnd w:id="487"/>
      <w:bookmarkEnd w:id="488"/>
    </w:p>
    <w:p>
      <w:pPr>
        <w:spacing w:line="560" w:lineRule="exact"/>
        <w:ind w:firstLine="480" w:firstLineChars="200"/>
        <w:rPr>
          <w:rFonts w:ascii="宋体" w:hAnsi="宋体" w:cs="宋体"/>
          <w:color w:val="auto"/>
          <w:sz w:val="24"/>
          <w:highlight w:val="none"/>
        </w:rPr>
      </w:pPr>
      <w:bookmarkStart w:id="489" w:name="_Toc27674"/>
      <w:bookmarkStart w:id="490" w:name="_Toc18401"/>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9"/>
      <w:bookmarkEnd w:id="490"/>
    </w:p>
    <w:p>
      <w:pPr>
        <w:spacing w:line="560" w:lineRule="exact"/>
        <w:ind w:firstLine="482" w:firstLineChars="200"/>
        <w:outlineLvl w:val="0"/>
        <w:rPr>
          <w:rFonts w:ascii="宋体" w:hAnsi="宋体" w:cs="宋体"/>
          <w:b/>
          <w:color w:val="auto"/>
          <w:sz w:val="24"/>
          <w:highlight w:val="none"/>
        </w:rPr>
      </w:pPr>
      <w:bookmarkStart w:id="491" w:name="_Toc28906"/>
      <w:bookmarkStart w:id="492" w:name="_Toc20808"/>
      <w:bookmarkStart w:id="493" w:name="_Toc5063"/>
      <w:bookmarkStart w:id="494" w:name="_Toc12254"/>
      <w:bookmarkStart w:id="495" w:name="_Toc27644"/>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合同使用的文字和适用的法律</w:t>
      </w:r>
      <w:bookmarkEnd w:id="491"/>
      <w:bookmarkEnd w:id="492"/>
      <w:bookmarkEnd w:id="493"/>
      <w:bookmarkEnd w:id="494"/>
      <w:bookmarkEnd w:id="49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合同适用中华人民共和国法律。</w:t>
      </w:r>
    </w:p>
    <w:p>
      <w:pPr>
        <w:spacing w:line="560" w:lineRule="exact"/>
        <w:ind w:firstLine="482" w:firstLineChars="200"/>
        <w:outlineLvl w:val="0"/>
        <w:rPr>
          <w:rFonts w:ascii="宋体" w:hAnsi="宋体" w:cs="宋体"/>
          <w:b/>
          <w:color w:val="auto"/>
          <w:sz w:val="24"/>
          <w:highlight w:val="none"/>
        </w:rPr>
      </w:pPr>
      <w:bookmarkStart w:id="496" w:name="_Toc22266"/>
      <w:bookmarkStart w:id="497" w:name="_Toc27403"/>
      <w:bookmarkStart w:id="498" w:name="_Toc27127"/>
      <w:bookmarkStart w:id="499" w:name="_Toc1492"/>
      <w:bookmarkStart w:id="500" w:name="_Toc30096"/>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履约保证金</w:t>
      </w:r>
      <w:bookmarkEnd w:id="496"/>
      <w:bookmarkEnd w:id="497"/>
      <w:bookmarkEnd w:id="498"/>
      <w:bookmarkEnd w:id="499"/>
      <w:bookmarkEnd w:id="500"/>
    </w:p>
    <w:p>
      <w:pPr>
        <w:pStyle w:val="616"/>
        <w:spacing w:before="0" w:beforeAutospacing="0" w:after="0" w:afterAutospacing="0" w:line="360" w:lineRule="auto"/>
        <w:ind w:firstLine="420"/>
        <w:rPr>
          <w:color w:val="auto"/>
          <w:highlight w:val="none"/>
        </w:rPr>
      </w:pPr>
      <w:r>
        <w:rPr>
          <w:rFonts w:hint="eastAsia"/>
          <w:color w:val="auto"/>
          <w:highlight w:val="none"/>
        </w:rPr>
        <w:t>2.1</w:t>
      </w:r>
      <w:r>
        <w:rPr>
          <w:rFonts w:hint="eastAsia"/>
          <w:color w:val="auto"/>
          <w:highlight w:val="none"/>
          <w:lang w:val="en-US" w:eastAsia="zh-CN"/>
        </w:rPr>
        <w:t>7</w:t>
      </w:r>
      <w:r>
        <w:rPr>
          <w:rFonts w:hint="eastAsia"/>
          <w:color w:val="auto"/>
          <w:highlight w:val="none"/>
        </w:rPr>
        <w:t xml:space="preserve">.1 </w:t>
      </w:r>
      <w:r>
        <w:rPr>
          <w:rFonts w:hint="eastAsia"/>
          <w:color w:val="auto"/>
          <w:highlight w:val="none"/>
          <w:lang w:eastAsia="zh-CN"/>
        </w:rPr>
        <w:t>招标文件</w:t>
      </w:r>
      <w:r>
        <w:rPr>
          <w:rFonts w:hint="eastAsia"/>
          <w:color w:val="auto"/>
          <w:highlight w:val="none"/>
        </w:rPr>
        <w:t>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  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2.1</w:t>
      </w:r>
      <w:r>
        <w:rPr>
          <w:rFonts w:hint="eastAsia" w:ascii="宋体" w:hAnsi="宋体" w:cs="宋体"/>
          <w:b/>
          <w:bCs/>
          <w:color w:val="auto"/>
          <w:sz w:val="24"/>
          <w:highlight w:val="none"/>
          <w:lang w:val="en-US" w:eastAsia="zh-CN"/>
        </w:rPr>
        <w:t>8</w:t>
      </w:r>
      <w:r>
        <w:rPr>
          <w:rFonts w:hint="eastAsia" w:ascii="宋体" w:hAnsi="宋体" w:cs="宋体"/>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1" w:name="_Toc331685784"/>
      <w:r>
        <w:rPr>
          <w:rFonts w:hint="eastAsia" w:ascii="宋体" w:hAnsi="宋体" w:cs="宋体"/>
          <w:b/>
          <w:color w:val="auto"/>
          <w:sz w:val="24"/>
          <w:highlight w:val="none"/>
        </w:rPr>
        <w:t xml:space="preserve"> </w:t>
      </w:r>
      <w:bookmarkEnd w:id="501"/>
      <w:r>
        <w:rPr>
          <w:rFonts w:hint="eastAsia" w:ascii="宋体" w:hAnsi="宋体" w:cs="宋体"/>
          <w:b/>
          <w:color w:val="auto"/>
          <w:sz w:val="24"/>
          <w:highlight w:val="none"/>
        </w:rPr>
        <w:t>第三部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 xml:space="preserve"> 合同专用条款</w:t>
      </w:r>
    </w:p>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color w:val="auto"/>
                <w:highlight w:val="none"/>
              </w:rPr>
            </w:pPr>
            <w:r>
              <w:rPr>
                <w:rFonts w:hint="eastAsia"/>
                <w:color w:val="auto"/>
                <w:highlight w:val="none"/>
              </w:rPr>
              <w:t>采购人自合同签订后</w:t>
            </w:r>
            <w:r>
              <w:rPr>
                <w:rFonts w:hint="eastAsia"/>
                <w:color w:val="auto"/>
                <w:highlight w:val="none"/>
                <w:lang w:val="en-US" w:eastAsia="zh-CN"/>
              </w:rPr>
              <w:t>每三个月</w:t>
            </w:r>
            <w:r>
              <w:rPr>
                <w:rFonts w:hint="eastAsia"/>
                <w:color w:val="auto"/>
                <w:highlight w:val="none"/>
              </w:rPr>
              <w:t>经考核合格后支付年合同价的25%。</w:t>
            </w:r>
          </w:p>
          <w:p>
            <w:pPr>
              <w:spacing w:line="360" w:lineRule="auto"/>
              <w:jc w:val="left"/>
              <w:rPr>
                <w:rFonts w:hint="eastAsia"/>
                <w:color w:val="auto"/>
                <w:highlight w:val="none"/>
              </w:rPr>
            </w:pPr>
            <w:r>
              <w:rPr>
                <w:rFonts w:hint="eastAsia"/>
                <w:color w:val="auto"/>
                <w:highlight w:val="none"/>
              </w:rPr>
              <w:t>考核分≥</w:t>
            </w:r>
            <w:r>
              <w:rPr>
                <w:rFonts w:hint="eastAsia"/>
                <w:color w:val="auto"/>
                <w:highlight w:val="none"/>
                <w:lang w:val="en-US" w:eastAsia="zh-CN"/>
              </w:rPr>
              <w:t>90</w:t>
            </w:r>
            <w:r>
              <w:rPr>
                <w:rFonts w:hint="eastAsia"/>
                <w:color w:val="auto"/>
                <w:highlight w:val="none"/>
              </w:rPr>
              <w:t>分</w:t>
            </w:r>
            <w:r>
              <w:rPr>
                <w:rFonts w:hint="eastAsia"/>
                <w:color w:val="auto"/>
                <w:highlight w:val="none"/>
                <w:lang w:eastAsia="zh-CN"/>
              </w:rPr>
              <w:t>，</w:t>
            </w:r>
            <w:r>
              <w:rPr>
                <w:rFonts w:hint="eastAsia"/>
                <w:color w:val="auto"/>
                <w:highlight w:val="none"/>
              </w:rPr>
              <w:t>视为优秀，全额拨付当期物业服务费用。</w:t>
            </w:r>
          </w:p>
          <w:p>
            <w:pPr>
              <w:spacing w:line="360" w:lineRule="auto"/>
              <w:jc w:val="left"/>
              <w:rPr>
                <w:rFonts w:hint="eastAsia"/>
                <w:color w:val="auto"/>
                <w:highlight w:val="none"/>
              </w:rPr>
            </w:pPr>
            <w:r>
              <w:rPr>
                <w:rFonts w:hint="eastAsia"/>
                <w:color w:val="auto"/>
                <w:highlight w:val="none"/>
                <w:lang w:val="en-US" w:eastAsia="zh-CN"/>
              </w:rPr>
              <w:t>80</w:t>
            </w:r>
            <w:r>
              <w:rPr>
                <w:rFonts w:hint="eastAsia"/>
                <w:color w:val="auto"/>
                <w:highlight w:val="none"/>
              </w:rPr>
              <w:t>≤考核分＜</w:t>
            </w:r>
            <w:r>
              <w:rPr>
                <w:rFonts w:hint="eastAsia"/>
                <w:color w:val="auto"/>
                <w:highlight w:val="none"/>
                <w:lang w:val="en-US" w:eastAsia="zh-CN"/>
              </w:rPr>
              <w:t>9</w:t>
            </w:r>
            <w:r>
              <w:rPr>
                <w:rFonts w:hint="eastAsia"/>
                <w:color w:val="auto"/>
                <w:highlight w:val="none"/>
              </w:rPr>
              <w:t>0分</w:t>
            </w:r>
            <w:r>
              <w:rPr>
                <w:rFonts w:hint="eastAsia"/>
                <w:color w:val="auto"/>
                <w:highlight w:val="none"/>
                <w:lang w:eastAsia="zh-CN"/>
              </w:rPr>
              <w:t>，</w:t>
            </w:r>
            <w:r>
              <w:rPr>
                <w:rFonts w:hint="eastAsia"/>
                <w:color w:val="auto"/>
                <w:highlight w:val="none"/>
              </w:rPr>
              <w:t>视为良好，扣除当期物业服务费用的2%；</w:t>
            </w:r>
          </w:p>
          <w:p>
            <w:pPr>
              <w:spacing w:line="360" w:lineRule="auto"/>
              <w:jc w:val="left"/>
              <w:rPr>
                <w:rFonts w:hint="eastAsia"/>
                <w:color w:val="auto"/>
                <w:highlight w:val="none"/>
              </w:rPr>
            </w:pPr>
            <w:r>
              <w:rPr>
                <w:rFonts w:hint="eastAsia"/>
                <w:color w:val="auto"/>
                <w:highlight w:val="none"/>
                <w:lang w:val="en-US" w:eastAsia="zh-CN"/>
              </w:rPr>
              <w:t>70</w:t>
            </w:r>
            <w:r>
              <w:rPr>
                <w:rFonts w:hint="eastAsia"/>
                <w:color w:val="auto"/>
                <w:highlight w:val="none"/>
              </w:rPr>
              <w:t>≤考核分＜</w:t>
            </w:r>
            <w:r>
              <w:rPr>
                <w:rFonts w:hint="eastAsia"/>
                <w:color w:val="auto"/>
                <w:highlight w:val="none"/>
                <w:lang w:val="en-US" w:eastAsia="zh-CN"/>
              </w:rPr>
              <w:t>80</w:t>
            </w:r>
            <w:r>
              <w:rPr>
                <w:rFonts w:hint="eastAsia"/>
                <w:color w:val="auto"/>
                <w:highlight w:val="none"/>
              </w:rPr>
              <w:t>分</w:t>
            </w:r>
            <w:r>
              <w:rPr>
                <w:rFonts w:hint="eastAsia"/>
                <w:color w:val="auto"/>
                <w:highlight w:val="none"/>
                <w:lang w:eastAsia="zh-CN"/>
              </w:rPr>
              <w:t>，</w:t>
            </w:r>
            <w:r>
              <w:rPr>
                <w:rFonts w:hint="eastAsia"/>
                <w:color w:val="auto"/>
                <w:highlight w:val="none"/>
              </w:rPr>
              <w:t>视为合格，扣除当期物业服务费用的5%；</w:t>
            </w:r>
          </w:p>
          <w:p>
            <w:pPr>
              <w:pStyle w:val="2"/>
              <w:jc w:val="left"/>
              <w:rPr>
                <w:rFonts w:hint="eastAsia" w:ascii="Times New Roman" w:hAnsi="Times New Roman" w:eastAsia="宋体" w:cs="Times New Roman"/>
                <w:b w:val="0"/>
                <w:bCs w:val="0"/>
                <w:color w:val="auto"/>
                <w:kern w:val="2"/>
                <w:sz w:val="21"/>
                <w:szCs w:val="24"/>
                <w:highlight w:val="none"/>
                <w:lang w:val="en-US" w:eastAsia="zh-CN" w:bidi="ar-SA"/>
              </w:rPr>
            </w:pPr>
            <w:r>
              <w:rPr>
                <w:rFonts w:hint="eastAsia" w:ascii="Times New Roman" w:hAnsi="Times New Roman" w:eastAsia="宋体" w:cs="Times New Roman"/>
                <w:b w:val="0"/>
                <w:bCs w:val="0"/>
                <w:color w:val="auto"/>
                <w:kern w:val="2"/>
                <w:sz w:val="21"/>
                <w:szCs w:val="24"/>
                <w:highlight w:val="none"/>
                <w:lang w:val="en-US" w:eastAsia="zh-CN" w:bidi="ar-SA"/>
              </w:rPr>
              <w:t>考核分＜70分视为不合格，扣除当期物业服务费用的10%。</w:t>
            </w:r>
          </w:p>
          <w:p>
            <w:pPr>
              <w:pStyle w:val="2"/>
              <w:ind w:left="0" w:leftChars="0" w:firstLine="0" w:firstLineChars="0"/>
              <w:jc w:val="left"/>
              <w:rPr>
                <w:color w:val="auto"/>
                <w:highlight w:val="none"/>
              </w:rPr>
            </w:pPr>
            <w:r>
              <w:rPr>
                <w:rFonts w:hint="eastAsia" w:ascii="Times New Roman" w:hAnsi="Times New Roman" w:eastAsia="宋体" w:cs="Times New Roman"/>
                <w:b w:val="0"/>
                <w:bCs w:val="0"/>
                <w:color w:val="auto"/>
                <w:kern w:val="2"/>
                <w:sz w:val="21"/>
                <w:szCs w:val="24"/>
                <w:highlight w:val="none"/>
                <w:lang w:val="en-US" w:eastAsia="zh-CN" w:bidi="ar-SA"/>
              </w:rPr>
              <w:t>如在考核中中标人连续二次考核分＜70分，采购人将通知中标人解除物业服务合同。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宋体" w:hAnsi="宋体" w:cs="宋体"/>
                <w:color w:val="auto"/>
                <w:highlight w:val="none"/>
              </w:rPr>
              <w:t>服务期为36个月，合同一年一签。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bCs/>
                <w:color w:val="auto"/>
                <w:sz w:val="24"/>
                <w:highlight w:val="none"/>
              </w:rPr>
              <w:t>2.19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ind w:left="-420" w:leftChars="-200" w:right="-420" w:rightChars="-200"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合同一式肆份，甲乙双方各贰份</w:t>
            </w:r>
          </w:p>
        </w:tc>
      </w:tr>
    </w:tbl>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2"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50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33"/>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33"/>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33"/>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33"/>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33"/>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3" w:name="OLE_LINK14"/>
      <w:bookmarkStart w:id="504" w:name="OLE_LINK13"/>
      <w:r>
        <w:rPr>
          <w:rFonts w:hint="eastAsia" w:ascii="宋体" w:hAnsi="宋体" w:cs="宋体"/>
          <w:b/>
          <w:color w:val="auto"/>
          <w:spacing w:val="6"/>
          <w:sz w:val="32"/>
          <w:szCs w:val="32"/>
          <w:highlight w:val="none"/>
        </w:rPr>
        <w:t>残疾人福利性单位声明函</w:t>
      </w:r>
    </w:p>
    <w:bookmarkEnd w:id="503"/>
    <w:bookmarkEnd w:id="50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杭州市余杭区机关事务服务中心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新永乐综合楼物业管理服务采购项目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0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新永乐综合楼物业管理服务采购项目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HZYHZFCG-2024-017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新永乐综合楼物业管理服务采购项目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物业管理服务</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物业管理</w:t>
      </w:r>
      <w:r>
        <w:rPr>
          <w:rFonts w:hint="eastAsia" w:ascii="宋体" w:hAnsi="宋体" w:cs="宋体"/>
          <w:color w:val="auto"/>
          <w:sz w:val="24"/>
          <w:highlight w:val="none"/>
          <w:u w:val="single"/>
        </w:rPr>
        <w:t>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8" w:name="_Toc36110187"/>
    <w:bookmarkStart w:id="509" w:name="_Toc164085800"/>
    <w:bookmarkStart w:id="510" w:name="_Toc91899912"/>
    <w:bookmarkStart w:id="511" w:name="_Toc131845147"/>
    <w:r>
      <w:rPr>
        <w:rFonts w:hint="eastAsia" w:ascii="仿宋_GB2312" w:eastAsia="仿宋_GB2312"/>
        <w:kern w:val="0"/>
        <w:szCs w:val="21"/>
      </w:rPr>
      <w:t xml:space="preserve"> 页</w:t>
    </w:r>
    <w:bookmarkEnd w:id="508"/>
    <w:bookmarkEnd w:id="509"/>
    <w:bookmarkEnd w:id="510"/>
    <w:bookmarkEnd w:id="5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rect id="文本框 3" o:spid="_x0000_s2050"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rect id="文本框 4" o:spid="_x0000_s2049"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E6DC"/>
    <w:multiLevelType w:val="singleLevel"/>
    <w:tmpl w:val="6445E6DC"/>
    <w:lvl w:ilvl="0" w:tentative="0">
      <w:start w:val="4"/>
      <w:numFmt w:val="decimal"/>
      <w:suff w:val="nothing"/>
      <w:lvlText w:val="%1."/>
      <w:lvlJc w:val="left"/>
    </w:lvl>
  </w:abstractNum>
  <w:abstractNum w:abstractNumId="1">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2">
    <w:nsid w:val="65027680"/>
    <w:multiLevelType w:val="singleLevel"/>
    <w:tmpl w:val="65027680"/>
    <w:lvl w:ilvl="0" w:tentative="0">
      <w:start w:val="1"/>
      <w:numFmt w:val="decimalEnclosedCircleChinese"/>
      <w:suff w:val="nothing"/>
      <w:lvlText w:val="%1　"/>
      <w:lvlJc w:val="left"/>
      <w:pPr>
        <w:ind w:left="0" w:firstLine="400"/>
      </w:pPr>
      <w:rPr>
        <w:rFonts w:hint="eastAsia"/>
      </w:rPr>
    </w:lvl>
  </w:abstractNum>
  <w:abstractNum w:abstractNumId="3">
    <w:nsid w:val="650276BC"/>
    <w:multiLevelType w:val="singleLevel"/>
    <w:tmpl w:val="650276BC"/>
    <w:lvl w:ilvl="0" w:tentative="0">
      <w:start w:val="1"/>
      <w:numFmt w:val="decimalEnclosedCircleChinese"/>
      <w:suff w:val="nothing"/>
      <w:lvlText w:val="%1　"/>
      <w:lvlJc w:val="left"/>
      <w:pPr>
        <w:ind w:left="0" w:firstLine="400"/>
      </w:pPr>
      <w:rPr>
        <w:rFonts w:hint="eastAsia"/>
      </w:rPr>
    </w:lvl>
  </w:abstractNum>
  <w:abstractNum w:abstractNumId="4">
    <w:nsid w:val="650276D6"/>
    <w:multiLevelType w:val="singleLevel"/>
    <w:tmpl w:val="650276D6"/>
    <w:lvl w:ilvl="0" w:tentative="0">
      <w:start w:val="1"/>
      <w:numFmt w:val="decimalEnclosedCircleChinese"/>
      <w:suff w:val="nothing"/>
      <w:lvlText w:val="%1　"/>
      <w:lvlJc w:val="left"/>
      <w:pPr>
        <w:ind w:left="0" w:firstLine="400"/>
      </w:pPr>
      <w:rPr>
        <w:rFonts w:hint="eastAsia"/>
      </w:rPr>
    </w:lvl>
  </w:abstractNum>
  <w:abstractNum w:abstractNumId="5">
    <w:nsid w:val="6502789B"/>
    <w:multiLevelType w:val="singleLevel"/>
    <w:tmpl w:val="6502789B"/>
    <w:lvl w:ilvl="0" w:tentative="0">
      <w:start w:val="1"/>
      <w:numFmt w:val="decimal"/>
      <w:suff w:val="nothing"/>
      <w:lvlText w:val="%1．"/>
      <w:lvlJc w:val="left"/>
      <w:pPr>
        <w:ind w:left="0" w:firstLine="400"/>
      </w:pPr>
      <w:rPr>
        <w:rFonts w:hint="default"/>
      </w:rPr>
    </w:lvl>
  </w:abstractNum>
  <w:abstractNum w:abstractNumId="6">
    <w:nsid w:val="6502A3EB"/>
    <w:multiLevelType w:val="singleLevel"/>
    <w:tmpl w:val="6502A3EB"/>
    <w:lvl w:ilvl="0" w:tentative="0">
      <w:start w:val="1"/>
      <w:numFmt w:val="decimal"/>
      <w:suff w:val="nothing"/>
      <w:lvlText w:val="%1．"/>
      <w:lvlJc w:val="left"/>
      <w:pPr>
        <w:ind w:left="0" w:firstLine="400"/>
      </w:pPr>
      <w:rPr>
        <w:rFonts w:hint="default"/>
      </w:rPr>
    </w:lvl>
  </w:abstractNum>
  <w:abstractNum w:abstractNumId="7">
    <w:nsid w:val="6502B651"/>
    <w:multiLevelType w:val="singleLevel"/>
    <w:tmpl w:val="6502B651"/>
    <w:lvl w:ilvl="0" w:tentative="0">
      <w:start w:val="1"/>
      <w:numFmt w:val="decimal"/>
      <w:suff w:val="nothing"/>
      <w:lvlText w:val="%1．"/>
      <w:lvlJc w:val="left"/>
      <w:pPr>
        <w:ind w:left="0" w:firstLine="400"/>
      </w:pPr>
      <w:rPr>
        <w:rFonts w:hint="default"/>
      </w:rPr>
    </w:lvl>
  </w:abstractNum>
  <w:abstractNum w:abstractNumId="8">
    <w:nsid w:val="6503C795"/>
    <w:multiLevelType w:val="singleLevel"/>
    <w:tmpl w:val="6503C795"/>
    <w:lvl w:ilvl="0" w:tentative="0">
      <w:start w:val="1"/>
      <w:numFmt w:val="chineseCounting"/>
      <w:suff w:val="nothing"/>
      <w:lvlText w:val="（%1）"/>
      <w:lvlJc w:val="left"/>
      <w:pPr>
        <w:ind w:left="0" w:firstLine="420"/>
      </w:pPr>
      <w:rPr>
        <w:rFonts w:hint="eastAsia"/>
      </w:rPr>
    </w:lvl>
  </w:abstractNum>
  <w:abstractNum w:abstractNumId="9">
    <w:nsid w:val="6503C7EE"/>
    <w:multiLevelType w:val="singleLevel"/>
    <w:tmpl w:val="6503C7EE"/>
    <w:lvl w:ilvl="0" w:tentative="0">
      <w:start w:val="1"/>
      <w:numFmt w:val="decimal"/>
      <w:suff w:val="nothing"/>
      <w:lvlText w:val="%1．"/>
      <w:lvlJc w:val="left"/>
      <w:pPr>
        <w:ind w:left="0" w:firstLine="400"/>
      </w:pPr>
      <w:rPr>
        <w:rFonts w:hint="default"/>
      </w:rPr>
    </w:lvl>
  </w:abstractNum>
  <w:abstractNum w:abstractNumId="10">
    <w:nsid w:val="6503F9F0"/>
    <w:multiLevelType w:val="singleLevel"/>
    <w:tmpl w:val="6503F9F0"/>
    <w:lvl w:ilvl="0" w:tentative="0">
      <w:start w:val="1"/>
      <w:numFmt w:val="decimal"/>
      <w:suff w:val="nothing"/>
      <w:lvlText w:val="%1．"/>
      <w:lvlJc w:val="left"/>
      <w:pPr>
        <w:ind w:left="0" w:firstLine="400"/>
      </w:pPr>
      <w:rPr>
        <w:rFonts w:hint="default"/>
      </w:rPr>
    </w:lvl>
  </w:abstractNum>
  <w:abstractNum w:abstractNumId="11">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12">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13">
    <w:nsid w:val="6503FABA"/>
    <w:multiLevelType w:val="singleLevel"/>
    <w:tmpl w:val="6503FABA"/>
    <w:lvl w:ilvl="0" w:tentative="0">
      <w:start w:val="1"/>
      <w:numFmt w:val="decimal"/>
      <w:suff w:val="nothing"/>
      <w:lvlText w:val="%1．"/>
      <w:lvlJc w:val="left"/>
      <w:pPr>
        <w:ind w:left="0" w:firstLine="400"/>
      </w:pPr>
      <w:rPr>
        <w:rFonts w:hint="default"/>
      </w:rPr>
    </w:lvl>
  </w:abstractNum>
  <w:abstractNum w:abstractNumId="14">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15">
    <w:nsid w:val="6503FB17"/>
    <w:multiLevelType w:val="singleLevel"/>
    <w:tmpl w:val="6503FB17"/>
    <w:lvl w:ilvl="0" w:tentative="0">
      <w:start w:val="1"/>
      <w:numFmt w:val="decimal"/>
      <w:suff w:val="nothing"/>
      <w:lvlText w:val="%1．"/>
      <w:lvlJc w:val="left"/>
      <w:pPr>
        <w:ind w:left="0" w:firstLine="400"/>
      </w:pPr>
      <w:rPr>
        <w:rFonts w:hint="default"/>
      </w:rPr>
    </w:lvl>
  </w:abstractNum>
  <w:abstractNum w:abstractNumId="16">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17">
    <w:nsid w:val="65040292"/>
    <w:multiLevelType w:val="singleLevel"/>
    <w:tmpl w:val="65040292"/>
    <w:lvl w:ilvl="0" w:tentative="0">
      <w:start w:val="1"/>
      <w:numFmt w:val="decimal"/>
      <w:suff w:val="nothing"/>
      <w:lvlText w:val="%1．"/>
      <w:lvlJc w:val="left"/>
      <w:pPr>
        <w:ind w:left="0" w:firstLine="400"/>
      </w:pPr>
      <w:rPr>
        <w:rFonts w:hint="default"/>
      </w:rPr>
    </w:lvl>
  </w:abstractNum>
  <w:abstractNum w:abstractNumId="18">
    <w:nsid w:val="650D4A54"/>
    <w:multiLevelType w:val="singleLevel"/>
    <w:tmpl w:val="650D4A54"/>
    <w:lvl w:ilvl="0" w:tentative="0">
      <w:start w:val="1"/>
      <w:numFmt w:val="decimal"/>
      <w:suff w:val="nothing"/>
      <w:lvlText w:val="%1．"/>
      <w:lvlJc w:val="left"/>
      <w:pPr>
        <w:ind w:left="0" w:firstLine="400"/>
      </w:pPr>
      <w:rPr>
        <w:rFonts w:hint="default"/>
      </w:rPr>
    </w:lvl>
  </w:abstractNum>
  <w:abstractNum w:abstractNumId="19">
    <w:nsid w:val="6524ECB5"/>
    <w:multiLevelType w:val="singleLevel"/>
    <w:tmpl w:val="6524ECB5"/>
    <w:lvl w:ilvl="0" w:tentative="0">
      <w:start w:val="1"/>
      <w:numFmt w:val="chineseCounting"/>
      <w:suff w:val="nothing"/>
      <w:lvlText w:val="%1、"/>
      <w:lvlJc w:val="left"/>
      <w:pPr>
        <w:ind w:left="0" w:firstLine="420"/>
      </w:pPr>
      <w:rPr>
        <w:rFonts w:hint="eastAsia"/>
      </w:rPr>
    </w:lvl>
  </w:abstractNum>
  <w:abstractNum w:abstractNumId="20">
    <w:nsid w:val="6524ECDD"/>
    <w:multiLevelType w:val="singleLevel"/>
    <w:tmpl w:val="6524ECDD"/>
    <w:lvl w:ilvl="0" w:tentative="0">
      <w:start w:val="1"/>
      <w:numFmt w:val="chineseCounting"/>
      <w:suff w:val="nothing"/>
      <w:lvlText w:val="(%1)"/>
      <w:lvlJc w:val="left"/>
    </w:lvl>
  </w:abstractNum>
  <w:abstractNum w:abstractNumId="21">
    <w:nsid w:val="6524EDFB"/>
    <w:multiLevelType w:val="singleLevel"/>
    <w:tmpl w:val="6524EDFB"/>
    <w:lvl w:ilvl="0" w:tentative="0">
      <w:start w:val="1"/>
      <w:numFmt w:val="chineseCounting"/>
      <w:suff w:val="nothing"/>
      <w:lvlText w:val="（%1）"/>
      <w:lvlJc w:val="left"/>
      <w:pPr>
        <w:ind w:left="0" w:firstLine="420"/>
      </w:pPr>
      <w:rPr>
        <w:rFonts w:hint="eastAsia"/>
      </w:rPr>
    </w:lvl>
  </w:abstractNum>
  <w:abstractNum w:abstractNumId="22">
    <w:nsid w:val="6524EE33"/>
    <w:multiLevelType w:val="singleLevel"/>
    <w:tmpl w:val="6524EE33"/>
    <w:lvl w:ilvl="0" w:tentative="0">
      <w:start w:val="1"/>
      <w:numFmt w:val="decimal"/>
      <w:suff w:val="nothing"/>
      <w:lvlText w:val="%1．"/>
      <w:lvlJc w:val="left"/>
      <w:pPr>
        <w:ind w:left="0" w:firstLine="400"/>
      </w:pPr>
      <w:rPr>
        <w:rFonts w:hint="default"/>
      </w:rPr>
    </w:lvl>
  </w:abstractNum>
  <w:abstractNum w:abstractNumId="23">
    <w:nsid w:val="6524F034"/>
    <w:multiLevelType w:val="singleLevel"/>
    <w:tmpl w:val="6524F034"/>
    <w:lvl w:ilvl="0" w:tentative="0">
      <w:start w:val="1"/>
      <w:numFmt w:val="decimalEnclosedCircleChinese"/>
      <w:suff w:val="nothing"/>
      <w:lvlText w:val="%1　"/>
      <w:lvlJc w:val="left"/>
      <w:pPr>
        <w:ind w:left="0" w:firstLine="400"/>
      </w:pPr>
      <w:rPr>
        <w:rFonts w:hint="eastAsia"/>
      </w:rPr>
    </w:lvl>
  </w:abstractNum>
  <w:abstractNum w:abstractNumId="24">
    <w:nsid w:val="6524F21A"/>
    <w:multiLevelType w:val="singleLevel"/>
    <w:tmpl w:val="6524F21A"/>
    <w:lvl w:ilvl="0" w:tentative="0">
      <w:start w:val="1"/>
      <w:numFmt w:val="decimalEnclosedCircleChinese"/>
      <w:suff w:val="nothing"/>
      <w:lvlText w:val="%1　"/>
      <w:lvlJc w:val="left"/>
      <w:pPr>
        <w:ind w:left="0" w:firstLine="400"/>
      </w:pPr>
      <w:rPr>
        <w:rFonts w:hint="eastAsia"/>
      </w:rPr>
    </w:lvl>
  </w:abstractNum>
  <w:abstractNum w:abstractNumId="25">
    <w:nsid w:val="6524F26B"/>
    <w:multiLevelType w:val="singleLevel"/>
    <w:tmpl w:val="6524F26B"/>
    <w:lvl w:ilvl="0" w:tentative="0">
      <w:start w:val="1"/>
      <w:numFmt w:val="decimalEnclosedCircleChinese"/>
      <w:suff w:val="nothing"/>
      <w:lvlText w:val="%1　"/>
      <w:lvlJc w:val="left"/>
      <w:pPr>
        <w:ind w:left="0" w:firstLine="400"/>
      </w:pPr>
      <w:rPr>
        <w:rFonts w:hint="eastAsia"/>
      </w:rPr>
    </w:lvl>
  </w:abstractNum>
  <w:abstractNum w:abstractNumId="26">
    <w:nsid w:val="6524F28D"/>
    <w:multiLevelType w:val="singleLevel"/>
    <w:tmpl w:val="6524F28D"/>
    <w:lvl w:ilvl="0" w:tentative="0">
      <w:start w:val="1"/>
      <w:numFmt w:val="decimalEnclosedCircleChinese"/>
      <w:suff w:val="nothing"/>
      <w:lvlText w:val="%1　"/>
      <w:lvlJc w:val="left"/>
      <w:pPr>
        <w:ind w:left="0" w:firstLine="400"/>
      </w:pPr>
      <w:rPr>
        <w:rFonts w:hint="eastAsia"/>
      </w:rPr>
    </w:lvl>
  </w:abstractNum>
  <w:abstractNum w:abstractNumId="27">
    <w:nsid w:val="6524F2AF"/>
    <w:multiLevelType w:val="singleLevel"/>
    <w:tmpl w:val="6524F2AF"/>
    <w:lvl w:ilvl="0" w:tentative="0">
      <w:start w:val="1"/>
      <w:numFmt w:val="decimalEnclosedCircleChinese"/>
      <w:suff w:val="nothing"/>
      <w:lvlText w:val="%1　"/>
      <w:lvlJc w:val="left"/>
      <w:pPr>
        <w:ind w:left="0" w:firstLine="400"/>
      </w:pPr>
      <w:rPr>
        <w:rFonts w:hint="eastAsia"/>
      </w:rPr>
    </w:lvl>
  </w:abstractNum>
  <w:abstractNum w:abstractNumId="28">
    <w:nsid w:val="6524F2E0"/>
    <w:multiLevelType w:val="singleLevel"/>
    <w:tmpl w:val="6524F2E0"/>
    <w:lvl w:ilvl="0" w:tentative="0">
      <w:start w:val="1"/>
      <w:numFmt w:val="decimalEnclosedCircleChinese"/>
      <w:suff w:val="nothing"/>
      <w:lvlText w:val="%1　"/>
      <w:lvlJc w:val="left"/>
      <w:pPr>
        <w:ind w:left="0" w:firstLine="400"/>
      </w:pPr>
      <w:rPr>
        <w:rFonts w:hint="eastAsia"/>
      </w:rPr>
    </w:lvl>
  </w:abstractNum>
  <w:abstractNum w:abstractNumId="29">
    <w:nsid w:val="6524F31A"/>
    <w:multiLevelType w:val="singleLevel"/>
    <w:tmpl w:val="6524F31A"/>
    <w:lvl w:ilvl="0" w:tentative="0">
      <w:start w:val="1"/>
      <w:numFmt w:val="decimalEnclosedCircleChinese"/>
      <w:suff w:val="nothing"/>
      <w:lvlText w:val="%1　"/>
      <w:lvlJc w:val="left"/>
      <w:pPr>
        <w:ind w:left="0" w:firstLine="400"/>
      </w:pPr>
      <w:rPr>
        <w:rFonts w:hint="eastAsia"/>
      </w:rPr>
    </w:lvl>
  </w:abstractNum>
  <w:abstractNum w:abstractNumId="30">
    <w:nsid w:val="6524F358"/>
    <w:multiLevelType w:val="singleLevel"/>
    <w:tmpl w:val="6524F358"/>
    <w:lvl w:ilvl="0" w:tentative="0">
      <w:start w:val="1"/>
      <w:numFmt w:val="decimalEnclosedCircleChinese"/>
      <w:suff w:val="nothing"/>
      <w:lvlText w:val="%1　"/>
      <w:lvlJc w:val="left"/>
      <w:pPr>
        <w:ind w:left="0" w:firstLine="400"/>
      </w:pPr>
      <w:rPr>
        <w:rFonts w:hint="eastAsia"/>
      </w:rPr>
    </w:lvl>
  </w:abstractNum>
  <w:abstractNum w:abstractNumId="31">
    <w:nsid w:val="6524F3E1"/>
    <w:multiLevelType w:val="singleLevel"/>
    <w:tmpl w:val="6524F3E1"/>
    <w:lvl w:ilvl="0" w:tentative="0">
      <w:start w:val="1"/>
      <w:numFmt w:val="decimalEnclosedCircleChinese"/>
      <w:suff w:val="nothing"/>
      <w:lvlText w:val="%1　"/>
      <w:lvlJc w:val="left"/>
      <w:pPr>
        <w:ind w:left="0" w:firstLine="400"/>
      </w:pPr>
      <w:rPr>
        <w:rFonts w:hint="eastAsia"/>
      </w:rPr>
    </w:lvl>
  </w:abstractNum>
  <w:abstractNum w:abstractNumId="32">
    <w:nsid w:val="6524F44E"/>
    <w:multiLevelType w:val="singleLevel"/>
    <w:tmpl w:val="6524F44E"/>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9"/>
  </w:num>
  <w:num w:numId="3">
    <w:abstractNumId w:val="20"/>
  </w:num>
  <w:num w:numId="4">
    <w:abstractNumId w:val="2"/>
  </w:num>
  <w:num w:numId="5">
    <w:abstractNumId w:val="3"/>
  </w:num>
  <w:num w:numId="6">
    <w:abstractNumId w:val="4"/>
  </w:num>
  <w:num w:numId="7">
    <w:abstractNumId w:val="7"/>
  </w:num>
  <w:num w:numId="8">
    <w:abstractNumId w:val="5"/>
  </w:num>
  <w:num w:numId="9">
    <w:abstractNumId w:val="6"/>
  </w:num>
  <w:num w:numId="10">
    <w:abstractNumId w:val="8"/>
  </w:num>
  <w:num w:numId="11">
    <w:abstractNumId w:val="9"/>
  </w:num>
  <w:num w:numId="12">
    <w:abstractNumId w:val="21"/>
  </w:num>
  <w:num w:numId="13">
    <w:abstractNumId w:val="17"/>
  </w:num>
  <w:num w:numId="14">
    <w:abstractNumId w:val="22"/>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8"/>
  </w:num>
  <w:num w:numId="22">
    <w:abstractNumId w:val="16"/>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1D509F"/>
    <w:rsid w:val="08452D77"/>
    <w:rsid w:val="086401F8"/>
    <w:rsid w:val="08751CAA"/>
    <w:rsid w:val="087E4C40"/>
    <w:rsid w:val="08A871D0"/>
    <w:rsid w:val="08D66AD6"/>
    <w:rsid w:val="08DA33A3"/>
    <w:rsid w:val="08E80F13"/>
    <w:rsid w:val="08EA06CF"/>
    <w:rsid w:val="08EB7887"/>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C65EFC"/>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11AED"/>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E92CC0"/>
    <w:rsid w:val="1F0A0FF3"/>
    <w:rsid w:val="1F5771FF"/>
    <w:rsid w:val="1FD52DD5"/>
    <w:rsid w:val="1FE868A9"/>
    <w:rsid w:val="20034907"/>
    <w:rsid w:val="20173E4B"/>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6B0BF5"/>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A90320"/>
    <w:rsid w:val="32BE5C2C"/>
    <w:rsid w:val="32C13B45"/>
    <w:rsid w:val="32EA6EFE"/>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8D5588"/>
    <w:rsid w:val="35DD1042"/>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6F5C13"/>
    <w:rsid w:val="40A0133A"/>
    <w:rsid w:val="40C30DD4"/>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B60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DC907A5"/>
    <w:rsid w:val="4E1C7B69"/>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8D5434"/>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9877B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5232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高乐怡</cp:lastModifiedBy>
  <cp:lastPrinted>2023-09-06T02:17:00Z</cp:lastPrinted>
  <dcterms:modified xsi:type="dcterms:W3CDTF">2024-01-23T02:00:49Z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