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highlight w:val="yellow"/>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径山镇综合性文体中心前期物业服务项目招标文件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项目编号</w:t>
      </w:r>
      <w:r>
        <w:rPr>
          <w:rFonts w:ascii="仿宋" w:hAnsi="仿宋" w:eastAsia="仿宋" w:cs="仿宋_GB2312"/>
          <w:sz w:val="30"/>
          <w:szCs w:val="30"/>
        </w:rPr>
        <w:t>:</w:t>
      </w:r>
      <w:r>
        <w:t xml:space="preserve"> </w:t>
      </w:r>
      <w:r>
        <w:rPr>
          <w:rFonts w:ascii="仿宋" w:hAnsi="仿宋" w:eastAsia="仿宋" w:cs="仿宋_GB2312"/>
          <w:sz w:val="30"/>
          <w:szCs w:val="30"/>
        </w:rPr>
        <w:t>HZYHZFCG-2022-006</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杭州市余杭区径山镇人民政府</w:t>
      </w:r>
    </w:p>
    <w:p>
      <w:pPr>
        <w:snapToGrid w:val="0"/>
        <w:spacing w:line="360" w:lineRule="auto"/>
        <w:jc w:val="center"/>
        <w:rPr>
          <w:rFonts w:ascii="仿宋" w:hAnsi="仿宋" w:eastAsia="仿宋" w:cs="仿宋"/>
          <w:color w:val="000000"/>
          <w:sz w:val="32"/>
          <w:szCs w:val="32"/>
        </w:rPr>
      </w:pPr>
      <w:r>
        <w:rPr>
          <w:rFonts w:hint="eastAsia" w:ascii="仿宋" w:hAnsi="仿宋" w:eastAsia="仿宋" w:cs="仿宋"/>
          <w:color w:val="000000"/>
          <w:sz w:val="32"/>
          <w:szCs w:val="32"/>
        </w:rPr>
        <w:t>杭州市公共资源交易中心余杭分中心</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rPr>
        <w:t>二</w:t>
      </w:r>
      <w:r>
        <w:rPr>
          <w:rFonts w:hint="eastAsia" w:ascii="仿宋_GB2312" w:hAnsi="仿宋_GB2312" w:eastAsia="仿宋_GB2312" w:cs="仿宋_GB2312"/>
          <w:bCs/>
          <w:sz w:val="32"/>
          <w:szCs w:val="32"/>
        </w:rPr>
        <w:t>年五月二十日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径山镇综合性文体中心前期物业服务项目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6月10日13点30分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ascii="仿宋_GB2312" w:hAnsi="仿宋" w:eastAsia="仿宋_GB2312"/>
          <w:sz w:val="24"/>
        </w:rPr>
        <w:t>HZYHZFCG-2022-006</w:t>
      </w:r>
    </w:p>
    <w:p>
      <w:pPr>
        <w:spacing w:line="360" w:lineRule="auto"/>
        <w:ind w:firstLine="482" w:firstLineChars="200"/>
        <w:rPr>
          <w:rFonts w:ascii="仿宋_GB2312" w:hAnsi="仿宋" w:eastAsia="仿宋_GB2312" w:cs="仿宋_GB2312"/>
          <w:sz w:val="24"/>
        </w:rPr>
      </w:pPr>
      <w:r>
        <w:rPr>
          <w:rFonts w:ascii="仿宋_GB2312" w:hAnsi="仿宋" w:eastAsia="仿宋_GB2312"/>
          <w:b/>
          <w:sz w:val="24"/>
        </w:rPr>
        <w:t>项目名称：</w:t>
      </w:r>
      <w:r>
        <w:rPr>
          <w:rFonts w:hint="eastAsia" w:ascii="仿宋_GB2312" w:hAnsi="仿宋" w:eastAsia="仿宋_GB2312" w:cs="仿宋_GB2312"/>
          <w:sz w:val="24"/>
        </w:rPr>
        <w:t>径山镇综合性文体中心前期物业服务项目</w:t>
      </w:r>
    </w:p>
    <w:p>
      <w:pPr>
        <w:spacing w:line="360" w:lineRule="auto"/>
        <w:ind w:firstLine="482" w:firstLineChars="200"/>
        <w:rPr>
          <w:rFonts w:ascii="仿宋_GB2312" w:hAnsi="仿宋" w:eastAsia="仿宋_GB2312" w:cs="仿宋_GB2312"/>
          <w:sz w:val="24"/>
        </w:rPr>
      </w:pPr>
      <w:r>
        <w:rPr>
          <w:rFonts w:hint="eastAsia" w:ascii="仿宋_GB2312" w:hAnsi="仿宋" w:eastAsia="仿宋_GB2312" w:cs="仿宋_GB2312"/>
          <w:b/>
          <w:sz w:val="24"/>
        </w:rPr>
        <w:t>确认书编号</w:t>
      </w:r>
      <w:r>
        <w:rPr>
          <w:rFonts w:hint="eastAsia" w:ascii="仿宋_GB2312" w:hAnsi="仿宋" w:eastAsia="仿宋_GB2312" w:cs="仿宋_GB2312"/>
          <w:sz w:val="24"/>
        </w:rPr>
        <w:t>：余政采集-2022-00014</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w:t>
      </w:r>
      <w:r>
        <w:rPr>
          <w:rFonts w:ascii="仿宋_GB2312" w:hAnsi="仿宋" w:eastAsia="仿宋_GB2312"/>
          <w:sz w:val="24"/>
        </w:rPr>
        <w:t>94.82万元</w:t>
      </w:r>
    </w:p>
    <w:p>
      <w:pPr>
        <w:pStyle w:val="5"/>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rPr>
        <w:t>径山镇综合性文体中心前期物业服务项目主要内容：</w:t>
      </w:r>
      <w:r>
        <w:rPr>
          <w:rFonts w:hint="eastAsia" w:ascii="仿宋" w:hAnsi="仿宋" w:eastAsia="仿宋" w:cs="仿宋"/>
          <w:bCs/>
          <w:kern w:val="2"/>
          <w:sz w:val="24"/>
          <w:szCs w:val="22"/>
        </w:rPr>
        <w:t>保洁服务（范围：径山镇文体大楼、径山画院）、保安服务、会务服务、房屋内设施设备的零星养护维修服务及日常水电维修服务、空调维护、服务范围内电梯养护、室内盆栽租赁更换养护、部分绿化养护等</w:t>
      </w:r>
      <w:r>
        <w:rPr>
          <w:rFonts w:ascii="仿宋_GB2312" w:hAnsi="仿宋" w:eastAsia="仿宋_GB2312"/>
          <w:bCs/>
          <w:color w:val="auto"/>
          <w:kern w:val="2"/>
          <w:sz w:val="24"/>
          <w:szCs w:val="24"/>
        </w:rPr>
        <w:t>。</w:t>
      </w:r>
      <w:r>
        <w:rPr>
          <w:rFonts w:hint="eastAsia" w:ascii="仿宋_GB2312" w:hAnsi="仿宋" w:eastAsia="仿宋_GB2312"/>
          <w:bCs/>
          <w:color w:val="auto"/>
          <w:kern w:val="2"/>
          <w:sz w:val="24"/>
          <w:szCs w:val="24"/>
        </w:rPr>
        <w:t>详见招标文件第三部分采购需求。</w:t>
      </w:r>
    </w:p>
    <w:p>
      <w:pPr>
        <w:pStyle w:val="85"/>
        <w:ind w:firstLine="482"/>
        <w:outlineLvl w:val="2"/>
        <w:rPr>
          <w:rFonts w:ascii="仿宋_GB2312" w:hAnsi="仿宋" w:eastAsia="仿宋_GB2312"/>
          <w:highlight w:val="yellow"/>
        </w:rPr>
      </w:pPr>
      <w:r>
        <w:rPr>
          <w:rFonts w:hint="eastAsia" w:ascii="仿宋_GB2312" w:hAnsi="仿宋" w:eastAsia="仿宋_GB2312"/>
          <w:b/>
        </w:rPr>
        <w:t>合同履约期限：</w:t>
      </w:r>
      <w:r>
        <w:rPr>
          <w:rFonts w:hint="eastAsia" w:ascii="仿宋_GB2312" w:hAnsi="仿宋" w:eastAsia="仿宋_GB2312"/>
        </w:rPr>
        <w:t>自合同签订之日起12个月。若在合同期内中标单位有严重违约行为，采购人有权提前终止合同，由此造成的一切后果和损失由中标单位承担。</w:t>
      </w:r>
    </w:p>
    <w:p>
      <w:pPr>
        <w:pStyle w:val="85"/>
        <w:ind w:firstLine="482"/>
        <w:outlineLvl w:val="2"/>
        <w:rPr>
          <w:rFonts w:ascii="仿宋_GB2312" w:hAnsi="仿宋" w:eastAsia="仿宋_GB2312"/>
          <w:b/>
        </w:rPr>
      </w:pPr>
      <w:r>
        <w:rPr>
          <w:rFonts w:hint="eastAsia" w:ascii="仿宋_GB2312" w:hAnsi="仿宋" w:eastAsia="仿宋_GB2312"/>
          <w:b/>
        </w:rPr>
        <w:t>本项目接受联合体投标：</w:t>
      </w:r>
      <w:r>
        <w:rPr>
          <w:rFonts w:hint="eastAsia" w:ascii="MS Mincho" w:hAnsi="MS Mincho" w:eastAsia="MS Mincho" w:cs="MS Mincho"/>
          <w:b/>
        </w:rPr>
        <w:t>☐</w:t>
      </w:r>
      <w:r>
        <w:rPr>
          <w:rFonts w:hint="eastAsia" w:ascii="仿宋_GB2312" w:hAnsi="仿宋" w:eastAsia="仿宋_GB2312"/>
          <w:b/>
        </w:rPr>
        <w:t>是，</w:t>
      </w:r>
      <w:r>
        <w:rPr>
          <w:rFonts w:ascii="MS Gothic" w:hAnsi="MS Gothic" w:eastAsia="MS Gothic" w:cs="Arial"/>
          <w:kern w:val="0"/>
        </w:rPr>
        <w:sym w:font="Wingdings" w:char="F0FE"/>
      </w:r>
      <w:r>
        <w:rPr>
          <w:rFonts w:hint="eastAsia" w:ascii="仿宋_GB2312" w:hAnsi="仿宋" w:eastAsia="仿宋_GB2312"/>
          <w:b/>
        </w:rPr>
        <w:t>否</w:t>
      </w:r>
      <w:r>
        <w:rPr>
          <w:rFonts w:hint="eastAsia" w:ascii="宋体" w:hAnsi="宋体" w:cs="Arial"/>
          <w:kern w:val="0"/>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t>☐</w:t>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F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t>☐</w:t>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sym w:font="Wingdings" w:char="F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Pr>
        <w:rPr>
          <w:highlight w:val="yellow"/>
        </w:rPr>
      </w:pP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6</w:t>
      </w:r>
      <w:r>
        <w:rPr>
          <w:rFonts w:ascii="仿宋_GB2312" w:hAnsi="仿宋" w:eastAsia="仿宋_GB2312"/>
          <w:sz w:val="24"/>
          <w:u w:val="single"/>
        </w:rPr>
        <w:t>月</w:t>
      </w:r>
      <w:r>
        <w:rPr>
          <w:rFonts w:hint="eastAsia" w:ascii="仿宋_GB2312" w:hAnsi="仿宋" w:eastAsia="仿宋_GB2312"/>
          <w:sz w:val="24"/>
          <w:u w:val="single"/>
        </w:rPr>
        <w:t>10</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6月10日13点30分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6月10日13点30分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hint="eastAsia" w:ascii="仿宋" w:hAnsi="仿宋" w:eastAsia="仿宋" w:cs="仿宋"/>
          <w:b/>
          <w:bCs/>
          <w:color w:val="000000"/>
          <w:sz w:val="24"/>
        </w:rPr>
        <w:t>杭州市公共资源交易中心余杭分中心</w:t>
      </w:r>
      <w:r>
        <w:rPr>
          <w:rFonts w:hint="eastAsia" w:ascii="仿宋" w:hAnsi="仿宋" w:eastAsia="仿宋" w:cs="仿宋"/>
          <w:color w:val="000000"/>
          <w:sz w:val="24"/>
        </w:rPr>
        <w:t>(</w:t>
      </w:r>
      <w:r>
        <w:rPr>
          <w:rFonts w:hint="eastAsia" w:ascii="仿宋" w:hAnsi="仿宋" w:eastAsia="仿宋" w:cs="仿宋"/>
          <w:color w:val="171A1D"/>
          <w:sz w:val="24"/>
          <w:shd w:val="clear" w:color="auto" w:fill="FFFFFF"/>
        </w:rPr>
        <w:t>杭州市余杭区瓶窑镇前程路20号余杭市民之家北六楼</w:t>
      </w:r>
      <w:r>
        <w:rPr>
          <w:rFonts w:hint="eastAsia" w:ascii="仿宋" w:hAnsi="仿宋" w:eastAsia="仿宋" w:cs="仿宋"/>
          <w:color w:val="000000"/>
          <w:sz w:val="24"/>
        </w:rPr>
        <w:t>)</w:t>
      </w:r>
      <w:r>
        <w:rPr>
          <w:rFonts w:hint="eastAsia" w:ascii="仿宋" w:hAnsi="仿宋" w:eastAsia="仿宋" w:cs="仿宋"/>
          <w:b/>
          <w:color w:val="000000"/>
          <w:kern w:val="0"/>
          <w:sz w:val="24"/>
          <w:u w:val="single"/>
        </w:rPr>
        <w:t>1</w:t>
      </w:r>
      <w:r>
        <w:rPr>
          <w:rFonts w:hint="eastAsia" w:ascii="仿宋" w:hAnsi="仿宋" w:eastAsia="仿宋" w:cs="仿宋"/>
          <w:b/>
          <w:color w:val="000000"/>
          <w:kern w:val="0"/>
          <w:sz w:val="24"/>
        </w:rPr>
        <w:t xml:space="preserve"> 号开标室</w:t>
      </w:r>
      <w:r>
        <w:rPr>
          <w:rFonts w:hint="eastAsia" w:ascii="宋体" w:hAnsi="宋体"/>
          <w:sz w:val="24"/>
        </w:rPr>
        <w:t xml:space="preserve"> ，</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ind w:firstLine="480"/>
        <w:rPr>
          <w:rFonts w:ascii="仿宋_GB2312" w:hAnsi="仿宋" w:eastAsia="仿宋_GB2312"/>
          <w:sz w:val="24"/>
        </w:rPr>
      </w:pPr>
      <w:r>
        <w:rPr>
          <w:rFonts w:ascii="仿宋_GB2312" w:hAnsi="仿宋" w:eastAsia="仿宋_GB2312"/>
          <w:sz w:val="24"/>
        </w:rPr>
        <w:t>名    称：</w:t>
      </w:r>
      <w:r>
        <w:rPr>
          <w:rFonts w:hint="eastAsia" w:ascii="仿宋_GB2312" w:hAnsi="仿宋" w:eastAsia="仿宋_GB2312"/>
          <w:sz w:val="24"/>
        </w:rPr>
        <w:t>杭州市余杭区径山镇人民政府</w:t>
      </w:r>
    </w:p>
    <w:p>
      <w:pPr>
        <w:spacing w:line="360" w:lineRule="auto"/>
        <w:ind w:firstLine="480"/>
        <w:rPr>
          <w:rFonts w:ascii="仿宋_GB2312" w:hAnsi="仿宋" w:eastAsia="仿宋_GB2312"/>
          <w:sz w:val="24"/>
        </w:rPr>
      </w:pPr>
      <w:r>
        <w:rPr>
          <w:rFonts w:ascii="仿宋_GB2312" w:hAnsi="仿宋" w:eastAsia="仿宋_GB2312"/>
          <w:sz w:val="24"/>
        </w:rPr>
        <w:t>地    址：</w:t>
      </w:r>
      <w:r>
        <w:rPr>
          <w:rFonts w:hint="eastAsia" w:ascii="仿宋_GB2312" w:hAnsi="仿宋" w:eastAsia="仿宋_GB2312"/>
          <w:sz w:val="24"/>
        </w:rPr>
        <w:t>余杭区径山镇龙皇路12号</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项目联系人（询问）：宋晨晖</w:t>
      </w:r>
      <w:r>
        <w:rPr>
          <w:rFonts w:ascii="仿宋_GB2312" w:hAnsi="仿宋" w:eastAsia="仿宋_GB2312"/>
          <w:sz w:val="24"/>
        </w:rPr>
        <w:t xml:space="preserve"> </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 xml:space="preserve">0571- </w:t>
      </w:r>
      <w:r>
        <w:rPr>
          <w:rFonts w:ascii="仿宋_GB2312" w:hAnsi="仿宋" w:eastAsia="仿宋_GB2312"/>
          <w:sz w:val="24"/>
        </w:rPr>
        <w:t>88585585</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 w:hAnsi="仿宋" w:eastAsia="仿宋"/>
          <w:sz w:val="24"/>
        </w:rPr>
        <w:t>陈海峰</w:t>
      </w:r>
    </w:p>
    <w:p>
      <w:pPr>
        <w:spacing w:line="360" w:lineRule="auto"/>
        <w:ind w:firstLine="480"/>
        <w:rPr>
          <w:rFonts w:ascii="仿宋_GB2312" w:hAnsi="仿宋" w:eastAsia="仿宋_GB2312"/>
          <w:sz w:val="24"/>
        </w:rPr>
      </w:pPr>
      <w:r>
        <w:rPr>
          <w:rFonts w:ascii="仿宋_GB2312" w:hAnsi="仿宋" w:eastAsia="仿宋_GB2312"/>
          <w:sz w:val="24"/>
        </w:rPr>
        <w:t>质疑联系方式：0571- 88582901</w:t>
      </w:r>
    </w:p>
    <w:p>
      <w:pPr>
        <w:spacing w:line="360" w:lineRule="auto"/>
        <w:ind w:firstLine="480"/>
        <w:rPr>
          <w:rFonts w:ascii="仿宋" w:hAnsi="仿宋" w:eastAsia="仿宋" w:cs="仿宋"/>
          <w:color w:val="000000"/>
          <w:sz w:val="24"/>
        </w:rPr>
      </w:pPr>
      <w:r>
        <w:rPr>
          <w:rFonts w:hint="eastAsia" w:ascii="仿宋" w:hAnsi="仿宋" w:eastAsia="仿宋" w:cs="仿宋"/>
          <w:color w:val="000000"/>
          <w:sz w:val="24"/>
        </w:rPr>
        <w:t xml:space="preserve">2.采购代理机构信息            </w:t>
      </w:r>
    </w:p>
    <w:p>
      <w:pPr>
        <w:spacing w:line="360" w:lineRule="auto"/>
        <w:ind w:firstLine="480"/>
        <w:rPr>
          <w:rFonts w:ascii="仿宋" w:hAnsi="仿宋" w:eastAsia="仿宋" w:cs="仿宋"/>
          <w:color w:val="000000"/>
          <w:sz w:val="24"/>
        </w:rPr>
      </w:pPr>
      <w:r>
        <w:rPr>
          <w:rFonts w:hint="eastAsia" w:ascii="仿宋" w:hAnsi="仿宋" w:eastAsia="仿宋" w:cs="仿宋"/>
          <w:color w:val="000000"/>
          <w:sz w:val="24"/>
        </w:rPr>
        <w:t>名    称：杭州市公共资源交易中心余杭分中心</w:t>
      </w:r>
    </w:p>
    <w:p>
      <w:pPr>
        <w:spacing w:line="360" w:lineRule="auto"/>
        <w:ind w:firstLine="480"/>
        <w:rPr>
          <w:rFonts w:ascii="仿宋" w:hAnsi="仿宋" w:eastAsia="仿宋" w:cs="仿宋"/>
          <w:color w:val="000000"/>
          <w:sz w:val="24"/>
        </w:rPr>
      </w:pPr>
      <w:r>
        <w:rPr>
          <w:rFonts w:hint="eastAsia" w:ascii="仿宋" w:hAnsi="仿宋" w:eastAsia="仿宋" w:cs="仿宋"/>
          <w:color w:val="000000"/>
          <w:sz w:val="24"/>
        </w:rPr>
        <w:t xml:space="preserve">地    址： 杭州市余杭区瓶窑镇前程路20号市民之家北六楼 </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传    真：/             </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项目联系人（询问）： 高乐怡        </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项目联系方式（询问）： 0571-89392722 </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质疑联系人：  邵华民    </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质疑联系方式： 0571-89385161</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3.同级政府采购监督管理部门            </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名    称： 杭州市余杭区财政局</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地    址： 余杭区五常街道溪沁路8号 中国电信浙江创新园</w:t>
      </w:r>
    </w:p>
    <w:p>
      <w:pPr>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 xml:space="preserve">  传    真： 0571-88728858</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联系人 ：杜国强  </w:t>
      </w:r>
    </w:p>
    <w:p>
      <w:pPr>
        <w:spacing w:line="360" w:lineRule="auto"/>
        <w:ind w:firstLine="480" w:firstLineChars="200"/>
        <w:rPr>
          <w:rFonts w:ascii="仿宋_GB2312" w:hAnsi="仿宋" w:eastAsia="仿宋_GB2312"/>
          <w:sz w:val="24"/>
        </w:rPr>
      </w:pPr>
      <w:r>
        <w:rPr>
          <w:rFonts w:hint="eastAsia" w:ascii="仿宋" w:hAnsi="仿宋" w:eastAsia="仿宋" w:cs="仿宋"/>
          <w:color w:val="000000"/>
          <w:sz w:val="24"/>
        </w:rPr>
        <w:t xml:space="preserve">监督投诉电话：0571-88728858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35"/>
        <w:gridCol w:w="8"/>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6103"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sz w:val="24"/>
                <w:szCs w:val="20"/>
              </w:rPr>
              <w:t>1</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项目属性与核心产品</w:t>
            </w:r>
          </w:p>
        </w:tc>
        <w:tc>
          <w:tcPr>
            <w:tcW w:w="6103"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MS Mincho" w:hAnsi="MS Mincho" w:eastAsia="MS Mincho" w:cs="MS Mincho"/>
                <w:kern w:val="0"/>
                <w:sz w:val="24"/>
                <w:szCs w:val="20"/>
              </w:rPr>
              <w:t>☐</w:t>
            </w:r>
            <w:r>
              <w:rPr>
                <w:rFonts w:ascii="仿宋_GB2312" w:hAnsi="仿宋" w:eastAsia="仿宋_GB2312" w:cs="Arial"/>
                <w:kern w:val="0"/>
                <w:sz w:val="24"/>
                <w:szCs w:val="20"/>
              </w:rPr>
              <w:t>A</w:t>
            </w:r>
            <w:r>
              <w:rPr>
                <w:rFonts w:hint="eastAsia" w:ascii="仿宋_GB2312" w:hAnsi="仿宋" w:eastAsia="仿宋_GB2312"/>
                <w:sz w:val="24"/>
                <w:szCs w:val="20"/>
              </w:rPr>
              <w:t>货物类，单一产品或</w:t>
            </w:r>
            <w:r>
              <w:rPr>
                <w:rFonts w:hint="eastAsia" w:ascii="仿宋_GB2312" w:hAnsi="仿宋" w:eastAsia="仿宋_GB2312"/>
                <w:kern w:val="0"/>
                <w:sz w:val="24"/>
                <w:szCs w:val="20"/>
              </w:rPr>
              <w:t>核心产品为：</w:t>
            </w:r>
            <w:r>
              <w:rPr>
                <w:rFonts w:hint="eastAsia" w:ascii="仿宋_GB2312" w:hAnsi="仿宋" w:eastAsia="仿宋_GB2312"/>
                <w:sz w:val="24"/>
                <w:szCs w:val="20"/>
                <w:u w:val="single"/>
              </w:rPr>
              <w:t xml:space="preserve">    </w:t>
            </w:r>
            <w:r>
              <w:rPr>
                <w:rFonts w:hint="eastAsia" w:ascii="仿宋_GB2312" w:hAnsi="仿宋" w:eastAsia="仿宋_GB2312"/>
                <w:sz w:val="24"/>
                <w:szCs w:val="20"/>
              </w:rPr>
              <w:t>。</w:t>
            </w:r>
          </w:p>
          <w:p>
            <w:pPr>
              <w:spacing w:line="360" w:lineRule="auto"/>
              <w:rPr>
                <w:rFonts w:ascii="仿宋_GB2312" w:hAnsi="仿宋" w:eastAsia="仿宋_GB2312" w:cs="仿宋_GB2312"/>
                <w:b/>
                <w:sz w:val="24"/>
                <w:szCs w:val="20"/>
              </w:rPr>
            </w:pPr>
            <w:r>
              <w:rPr>
                <w:rFonts w:ascii="Wingdings" w:hAnsi="Wingdings" w:eastAsia="仿宋_GB2312" w:cs="Arial"/>
                <w:kern w:val="0"/>
                <w:sz w:val="24"/>
                <w:szCs w:val="20"/>
              </w:rPr>
              <w:t></w:t>
            </w:r>
            <w:r>
              <w:rPr>
                <w:rFonts w:ascii="仿宋_GB2312" w:hAnsi="仿宋" w:eastAsia="仿宋_GB2312" w:cs="Arial"/>
                <w:kern w:val="0"/>
                <w:sz w:val="24"/>
                <w:szCs w:val="20"/>
              </w:rPr>
              <w:t>B</w:t>
            </w:r>
            <w:r>
              <w:rPr>
                <w:rFonts w:hint="eastAsia" w:ascii="仿宋_GB2312" w:hAnsi="仿宋" w:eastAsia="仿宋_GB2312"/>
                <w:sz w:val="24"/>
                <w:szCs w:val="20"/>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2</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采购标的对应的中小企业划分标准所属行业</w:t>
            </w:r>
          </w:p>
        </w:tc>
        <w:tc>
          <w:tcPr>
            <w:tcW w:w="6103" w:type="dxa"/>
            <w:gridSpan w:val="2"/>
            <w:tcBorders>
              <w:top w:val="single" w:color="000000" w:sz="8" w:space="0"/>
              <w:left w:val="single" w:color="000000" w:sz="2" w:space="0"/>
              <w:bottom w:val="single" w:color="000000" w:sz="8" w:space="0"/>
              <w:right w:val="single" w:color="000000" w:sz="8" w:space="0"/>
            </w:tcBorders>
            <w:vAlign w:val="center"/>
          </w:tcPr>
          <w:p>
            <w:pPr>
              <w:pStyle w:val="3"/>
              <w:rPr>
                <w:rFonts w:ascii="MS Gothic" w:hAnsi="MS Gothic" w:cs="Arial"/>
                <w:kern w:val="0"/>
                <w:sz w:val="24"/>
                <w:szCs w:val="20"/>
              </w:rPr>
            </w:pPr>
            <w:r>
              <w:rPr>
                <w:rFonts w:hint="eastAsia" w:ascii="Calibri" w:hAnsi="Calibri" w:cs="Arial"/>
                <w:b w:val="0"/>
                <w:bCs w:val="0"/>
                <w:kern w:val="0"/>
                <w:sz w:val="24"/>
                <w:szCs w:val="24"/>
                <w:lang w:val="en-US"/>
              </w:rPr>
              <w:t>（1）标的：物业管理服务，属于：物业管理行业。</w:t>
            </w:r>
            <w:r>
              <w:rPr>
                <w:rFonts w:ascii="MS Gothic" w:hAnsi="MS Gothic" w:cs="Arial"/>
                <w:kern w:val="0"/>
                <w:sz w:val="24"/>
                <w:szCs w:val="2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3</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是否允许采购进口产品</w:t>
            </w:r>
          </w:p>
        </w:tc>
        <w:tc>
          <w:tcPr>
            <w:tcW w:w="6103"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szCs w:val="20"/>
              </w:rPr>
            </w:pPr>
            <w:r>
              <w:rPr>
                <w:rFonts w:ascii="仿宋_GB2312" w:hAnsi="仿宋" w:eastAsia="仿宋_GB2312" w:cs="Arial"/>
                <w:kern w:val="0"/>
                <w:sz w:val="24"/>
                <w:szCs w:val="20"/>
              </w:rPr>
              <w:sym w:font="Wingdings" w:char="F0FE"/>
            </w:r>
            <w:r>
              <w:rPr>
                <w:rFonts w:hint="eastAsia" w:ascii="仿宋_GB2312" w:hAnsi="仿宋" w:eastAsia="仿宋_GB2312" w:cs="Arial"/>
                <w:kern w:val="0"/>
                <w:sz w:val="24"/>
                <w:szCs w:val="20"/>
              </w:rPr>
              <w:t>本项目不允许采购进口产品。</w:t>
            </w:r>
          </w:p>
          <w:p>
            <w:pPr>
              <w:spacing w:line="360" w:lineRule="auto"/>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4</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szCs w:val="20"/>
              </w:rPr>
            </w:pPr>
            <w:r>
              <w:rPr>
                <w:rFonts w:hint="eastAsia" w:ascii="仿宋_GB2312" w:hAnsi="仿宋" w:eastAsia="仿宋_GB2312" w:cs="仿宋_GB2312"/>
                <w:b/>
                <w:sz w:val="24"/>
                <w:szCs w:val="20"/>
              </w:rPr>
              <w:t>分包</w:t>
            </w:r>
          </w:p>
        </w:tc>
        <w:tc>
          <w:tcPr>
            <w:tcW w:w="6103"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ascii="仿宋_GB2312" w:hAnsi="仿宋" w:eastAsia="仿宋_GB2312" w:cs="Arial"/>
                <w:kern w:val="0"/>
                <w:sz w:val="24"/>
                <w:szCs w:val="20"/>
              </w:rPr>
              <w:sym w:font="Wingdings" w:char="00FE"/>
            </w:r>
            <w:r>
              <w:rPr>
                <w:rFonts w:ascii="仿宋_GB2312" w:hAnsi="仿宋" w:eastAsia="仿宋_GB2312" w:cs="Arial"/>
                <w:kern w:val="0"/>
                <w:sz w:val="24"/>
                <w:szCs w:val="20"/>
              </w:rPr>
              <w:t xml:space="preserve"> A</w:t>
            </w:r>
            <w:r>
              <w:rPr>
                <w:rFonts w:hint="eastAsia" w:ascii="仿宋_GB2312" w:hAnsi="仿宋" w:eastAsia="仿宋_GB2312"/>
                <w:sz w:val="24"/>
                <w:szCs w:val="20"/>
              </w:rPr>
              <w:t>同意将非主体、非关键性的电梯维保养护、消监控维保工作、外墙面高空作业分包。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5</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6103"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ascii="仿宋_GB2312" w:hAnsi="仿宋" w:eastAsia="仿宋_GB2312" w:cs="Arial"/>
                <w:kern w:val="0"/>
                <w:sz w:val="24"/>
                <w:szCs w:val="20"/>
              </w:rPr>
              <w:sym w:font="Wingdings" w:char="00FE"/>
            </w:r>
            <w:r>
              <w:rPr>
                <w:rFonts w:ascii="仿宋_GB2312" w:hAnsi="仿宋" w:eastAsia="仿宋_GB2312" w:cs="Arial"/>
                <w:kern w:val="0"/>
                <w:sz w:val="24"/>
                <w:szCs w:val="20"/>
              </w:rPr>
              <w:t>A</w:t>
            </w:r>
            <w:r>
              <w:rPr>
                <w:rFonts w:hint="eastAsia" w:ascii="仿宋_GB2312" w:hAnsi="仿宋" w:eastAsia="仿宋_GB2312"/>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6</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样品提供</w:t>
            </w:r>
          </w:p>
        </w:tc>
        <w:tc>
          <w:tcPr>
            <w:tcW w:w="6103"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ascii="MS Gothic" w:hAnsi="MS Gothic" w:eastAsia="MS Gothic" w:cs="Arial"/>
                <w:kern w:val="0"/>
                <w:sz w:val="24"/>
                <w:szCs w:val="20"/>
              </w:rPr>
              <w:sym w:font="Wingdings" w:char="F0FE"/>
            </w:r>
            <w:r>
              <w:rPr>
                <w:rFonts w:ascii="仿宋_GB2312" w:hAnsi="仿宋" w:eastAsia="仿宋_GB2312" w:cs="Arial"/>
                <w:kern w:val="0"/>
                <w:sz w:val="24"/>
                <w:szCs w:val="20"/>
              </w:rPr>
              <w:t>A</w:t>
            </w:r>
            <w:r>
              <w:rPr>
                <w:rFonts w:hint="eastAsia" w:ascii="仿宋_GB2312" w:hAnsi="仿宋" w:eastAsia="仿宋_GB2312"/>
                <w:sz w:val="24"/>
                <w:szCs w:val="20"/>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7</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方案讲解演示</w:t>
            </w:r>
          </w:p>
        </w:tc>
        <w:tc>
          <w:tcPr>
            <w:tcW w:w="6103"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ascii="Wingdings" w:hAnsi="Wingdings" w:eastAsia="仿宋_GB2312" w:cs="Arial"/>
                <w:kern w:val="0"/>
                <w:sz w:val="24"/>
                <w:szCs w:val="20"/>
              </w:rPr>
              <w:t></w:t>
            </w:r>
            <w:r>
              <w:rPr>
                <w:rFonts w:ascii="仿宋_GB2312" w:hAnsi="仿宋" w:eastAsia="仿宋_GB2312" w:cs="Arial"/>
                <w:kern w:val="0"/>
                <w:sz w:val="24"/>
                <w:szCs w:val="20"/>
              </w:rPr>
              <w:t>A</w:t>
            </w:r>
            <w:r>
              <w:rPr>
                <w:rFonts w:hint="eastAsia" w:ascii="仿宋_GB2312" w:hAnsi="仿宋" w:eastAsia="仿宋_GB2312"/>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8</w:t>
            </w:r>
          </w:p>
        </w:tc>
        <w:tc>
          <w:tcPr>
            <w:tcW w:w="1835"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6103"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仿宋_GB2312" w:hAnsi="仿宋" w:eastAsia="仿宋_GB2312"/>
                <w:sz w:val="24"/>
                <w:szCs w:val="20"/>
              </w:rPr>
              <w:t>（</w:t>
            </w:r>
            <w:r>
              <w:rPr>
                <w:rFonts w:ascii="仿宋_GB2312" w:hAnsi="仿宋" w:eastAsia="仿宋_GB2312"/>
                <w:sz w:val="24"/>
                <w:szCs w:val="20"/>
              </w:rPr>
              <w:t>1）资格证明文件：见招标文件第二部分11.1。</w:t>
            </w:r>
          </w:p>
          <w:p>
            <w:pPr>
              <w:spacing w:line="360" w:lineRule="auto"/>
              <w:rPr>
                <w:rFonts w:ascii="MS Gothic" w:hAnsi="MS Gothic" w:eastAsia="MS Gothic" w:cs="Arial"/>
                <w:kern w:val="0"/>
                <w:sz w:val="24"/>
                <w:szCs w:val="20"/>
                <w:highlight w:val="yellow"/>
              </w:rPr>
            </w:pPr>
            <w:r>
              <w:rPr>
                <w:rFonts w:hint="eastAsia" w:ascii="仿宋_GB2312" w:hAnsi="仿宋" w:eastAsia="仿宋_GB2312"/>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szCs w:val="20"/>
              </w:rPr>
            </w:pPr>
          </w:p>
        </w:tc>
        <w:tc>
          <w:tcPr>
            <w:tcW w:w="1835"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p>
        </w:tc>
        <w:tc>
          <w:tcPr>
            <w:tcW w:w="6103"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MS Gothic" w:hAnsi="MS Gothic" w:eastAsia="MS Gothic" w:cs="Arial"/>
                <w:kern w:val="0"/>
                <w:sz w:val="24"/>
                <w:szCs w:val="20"/>
                <w:highlight w:val="yellow"/>
              </w:rPr>
            </w:pPr>
            <w:r>
              <w:rPr>
                <w:rFonts w:hint="eastAsia" w:ascii="仿宋_GB2312" w:hAnsi="仿宋" w:eastAsia="仿宋_GB2312"/>
                <w:sz w:val="24"/>
                <w:szCs w:val="20"/>
              </w:rPr>
              <w:t>（</w:t>
            </w:r>
            <w:r>
              <w:rPr>
                <w:rFonts w:ascii="仿宋_GB2312" w:hAnsi="仿宋" w:eastAsia="仿宋_GB2312"/>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9</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节能产品</w:t>
            </w:r>
            <w:r>
              <w:rPr>
                <w:rFonts w:hint="eastAsia" w:ascii="宋体" w:hAnsi="宋体" w:cs="宋体"/>
                <w:bCs/>
                <w:color w:val="000000"/>
                <w:kern w:val="0"/>
                <w:sz w:val="24"/>
                <w:szCs w:val="20"/>
              </w:rPr>
              <w:t>、</w:t>
            </w:r>
            <w:r>
              <w:rPr>
                <w:rFonts w:hint="eastAsia" w:ascii="仿宋_GB2312" w:hAnsi="仿宋" w:eastAsia="仿宋_GB2312" w:cs="仿宋_GB2312"/>
                <w:b/>
                <w:sz w:val="24"/>
                <w:szCs w:val="20"/>
              </w:rPr>
              <w:t>环境标志产品</w:t>
            </w:r>
          </w:p>
        </w:tc>
        <w:tc>
          <w:tcPr>
            <w:tcW w:w="6103"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szCs w:val="20"/>
              </w:rPr>
            </w:pPr>
            <w:r>
              <w:rPr>
                <w:rFonts w:hint="eastAsia" w:ascii="宋体" w:hAnsi="宋体" w:cs="宋体"/>
                <w:bCs/>
                <w:color w:val="000000"/>
                <w:kern w:val="0"/>
                <w:sz w:val="24"/>
                <w:szCs w:val="20"/>
              </w:rPr>
              <w:t xml:space="preserve">   </w:t>
            </w:r>
            <w:r>
              <w:rPr>
                <w:rFonts w:hint="eastAsia" w:ascii="仿宋" w:hAnsi="仿宋" w:eastAsia="仿宋" w:cs="仿宋"/>
                <w:kern w:val="0"/>
                <w:sz w:val="24"/>
                <w:szCs w:val="20"/>
              </w:rPr>
              <w:t xml:space="preserve">  1、根据《财政部 发展改革委 生态环境部 </w:t>
            </w:r>
            <w:r>
              <w:fldChar w:fldCharType="begin"/>
            </w:r>
            <w:r>
              <w:instrText xml:space="preserve"> HYPERLINK "http://www.tanjiaoyi.com/tanshichang/" \t "http://www.tanjiaoyi.com/_blank" </w:instrText>
            </w:r>
            <w:r>
              <w:fldChar w:fldCharType="separate"/>
            </w:r>
            <w:r>
              <w:rPr>
                <w:rFonts w:hint="eastAsia" w:ascii="仿宋" w:hAnsi="仿宋" w:eastAsia="仿宋" w:cs="仿宋"/>
                <w:kern w:val="0"/>
                <w:sz w:val="24"/>
                <w:szCs w:val="20"/>
              </w:rPr>
              <w:t>市场</w:t>
            </w:r>
            <w:r>
              <w:rPr>
                <w:rFonts w:hint="eastAsia" w:ascii="仿宋" w:hAnsi="仿宋" w:eastAsia="仿宋" w:cs="仿宋"/>
                <w:kern w:val="0"/>
                <w:sz w:val="24"/>
                <w:szCs w:val="20"/>
              </w:rPr>
              <w:fldChar w:fldCharType="end"/>
            </w:r>
            <w:r>
              <w:rPr>
                <w:rFonts w:hint="eastAsia" w:ascii="仿宋" w:hAnsi="仿宋" w:eastAsia="仿宋" w:cs="仿宋"/>
                <w:kern w:val="0"/>
                <w:sz w:val="24"/>
                <w:szCs w:val="20"/>
              </w:rPr>
              <w:t>监管总局关于调整优化</w:t>
            </w:r>
            <w:r>
              <w:fldChar w:fldCharType="begin"/>
            </w:r>
            <w:r>
              <w:instrText xml:space="preserve"> HYPERLINK "http://www.tanjiaoyi.com/jienengjianpai/" \t "http://www.tanjiaoyi.com/_blank" </w:instrText>
            </w:r>
            <w:r>
              <w:fldChar w:fldCharType="separate"/>
            </w:r>
            <w:r>
              <w:rPr>
                <w:rFonts w:hint="eastAsia" w:ascii="仿宋" w:hAnsi="仿宋" w:eastAsia="仿宋" w:cs="仿宋"/>
                <w:kern w:val="0"/>
                <w:sz w:val="24"/>
                <w:szCs w:val="20"/>
              </w:rPr>
              <w:t>节能</w:t>
            </w:r>
            <w:r>
              <w:rPr>
                <w:rFonts w:hint="eastAsia" w:ascii="仿宋" w:hAnsi="仿宋" w:eastAsia="仿宋" w:cs="仿宋"/>
                <w:kern w:val="0"/>
                <w:sz w:val="24"/>
                <w:szCs w:val="20"/>
              </w:rPr>
              <w:fldChar w:fldCharType="end"/>
            </w:r>
            <w:r>
              <w:rPr>
                <w:rFonts w:hint="eastAsia" w:ascii="仿宋" w:hAnsi="仿宋" w:eastAsia="仿宋" w:cs="仿宋"/>
                <w:kern w:val="0"/>
                <w:sz w:val="24"/>
                <w:szCs w:val="20"/>
              </w:rPr>
              <w:t>产品、环境标志产品政府采购执行机制的通知》（财库〔2019〕9号）文件要求，本项目如必须采购品目清单中的政府强制采购的产品，投标人所投的相应产品须为属于品目清单范围内、处于有效期内的产品。</w:t>
            </w:r>
          </w:p>
          <w:p>
            <w:pPr>
              <w:snapToGrid w:val="0"/>
              <w:spacing w:line="360" w:lineRule="auto"/>
              <w:rPr>
                <w:rFonts w:ascii="MS Gothic" w:hAnsi="MS Gothic" w:eastAsia="MS Gothic" w:cs="Arial"/>
                <w:kern w:val="0"/>
                <w:sz w:val="24"/>
                <w:szCs w:val="20"/>
                <w:highlight w:val="yellow"/>
              </w:rPr>
            </w:pPr>
            <w:r>
              <w:rPr>
                <w:rFonts w:hint="eastAsia" w:ascii="仿宋" w:hAnsi="仿宋" w:eastAsia="仿宋" w:cs="仿宋"/>
                <w:kern w:val="0"/>
                <w:sz w:val="24"/>
                <w:szCs w:val="20"/>
              </w:rPr>
              <w:t xml:space="preserve">    2、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3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r>
              <w:rPr>
                <w:rFonts w:ascii="仿宋_GB2312" w:hAnsi="仿宋" w:eastAsia="仿宋_GB2312" w:cs="仿宋_GB2312"/>
                <w:sz w:val="24"/>
                <w:szCs w:val="20"/>
              </w:rPr>
              <w:t>1</w:t>
            </w:r>
            <w:r>
              <w:rPr>
                <w:rFonts w:hint="eastAsia" w:ascii="仿宋_GB2312" w:hAnsi="仿宋" w:eastAsia="仿宋_GB2312" w:cs="仿宋_GB2312"/>
                <w:sz w:val="24"/>
                <w:szCs w:val="20"/>
              </w:rPr>
              <w:t>0</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6103"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szCs w:val="20"/>
                <w:lang w:val="zh-CN"/>
              </w:rPr>
            </w:pPr>
            <w:r>
              <w:rPr>
                <w:rFonts w:hint="eastAsia" w:ascii="仿宋_GB2312" w:hAnsi="仿宋" w:eastAsia="仿宋_GB2312"/>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p>
          <w:p>
            <w:pPr>
              <w:snapToGrid w:val="0"/>
              <w:spacing w:line="360" w:lineRule="auto"/>
              <w:jc w:val="left"/>
              <w:rPr>
                <w:rFonts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ascii="仿宋_GB2312" w:hAnsi="仿宋" w:eastAsia="仿宋_GB2312"/>
                <w:b/>
                <w:kern w:val="0"/>
                <w:sz w:val="24"/>
                <w:szCs w:val="20"/>
                <w:lang w:val="zh-CN"/>
              </w:rPr>
              <w:t>;</w:t>
            </w:r>
          </w:p>
          <w:p>
            <w:pPr>
              <w:spacing w:line="360" w:lineRule="auto"/>
              <w:ind w:firstLine="241" w:firstLineChars="100"/>
              <w:rPr>
                <w:rFonts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1"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r>
              <w:rPr>
                <w:rFonts w:ascii="仿宋_GB2312" w:hAnsi="仿宋" w:eastAsia="仿宋_GB2312" w:cs="仿宋_GB2312"/>
                <w:sz w:val="24"/>
                <w:szCs w:val="20"/>
              </w:rPr>
              <w:t>11</w:t>
            </w:r>
          </w:p>
        </w:tc>
        <w:tc>
          <w:tcPr>
            <w:tcW w:w="1843" w:type="dxa"/>
            <w:gridSpan w:val="2"/>
            <w:tcBorders>
              <w:top w:val="single" w:color="000000" w:sz="8" w:space="0"/>
              <w:left w:val="single" w:color="000000" w:sz="2" w:space="0"/>
              <w:right w:val="single" w:color="auto" w:sz="4"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FF0000"/>
                <w:sz w:val="24"/>
                <w:szCs w:val="20"/>
              </w:rPr>
            </w:pPr>
            <w:r>
              <w:rPr>
                <w:rFonts w:hint="eastAsia" w:ascii="仿宋" w:hAnsi="仿宋" w:eastAsia="仿宋" w:cs="仿宋"/>
                <w:color w:val="000000"/>
                <w:sz w:val="24"/>
                <w:szCs w:val="20"/>
              </w:rPr>
              <w:t xml:space="preserve">    根据《余杭区政府采购支持中小企业信用融资暂行办法》（余财采〔2015〕1号）的规定，凡已在浙江政府采购网上注册入库，并取得余杭区政府采购合同的区内中小企业供应商，均可申请政府采购信用融资。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0"/>
              </w:rPr>
            </w:pPr>
            <w:r>
              <w:rPr>
                <w:rFonts w:ascii="仿宋_GB2312" w:hAnsi="仿宋" w:eastAsia="仿宋_GB2312" w:cs="仿宋_GB2312"/>
                <w:sz w:val="24"/>
                <w:szCs w:val="20"/>
              </w:rPr>
              <w:t>12</w:t>
            </w:r>
          </w:p>
        </w:tc>
        <w:tc>
          <w:tcPr>
            <w:tcW w:w="1843"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备份投标文件送达地点和签收人员</w:t>
            </w:r>
            <w:r>
              <w:rPr>
                <w:rFonts w:ascii="仿宋_GB2312" w:hAnsi="仿宋" w:eastAsia="仿宋_GB2312" w:cs="仿宋_GB2312"/>
                <w:b/>
                <w:sz w:val="24"/>
                <w:szCs w:val="20"/>
              </w:rPr>
              <w:t xml:space="preserve"> </w:t>
            </w:r>
          </w:p>
        </w:tc>
        <w:tc>
          <w:tcPr>
            <w:tcW w:w="6095"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s="仿宋"/>
                <w:color w:val="000000"/>
                <w:kern w:val="0"/>
                <w:sz w:val="24"/>
                <w:szCs w:val="20"/>
              </w:rPr>
            </w:pPr>
            <w:r>
              <w:rPr>
                <w:rFonts w:hint="eastAsia" w:ascii="仿宋" w:hAnsi="仿宋" w:eastAsia="仿宋" w:cs="仿宋"/>
                <w:color w:val="000000"/>
                <w:kern w:val="0"/>
                <w:sz w:val="24"/>
                <w:szCs w:val="20"/>
              </w:rPr>
              <w:t>投标人应当在投标截止时间前半小时内将以介质存储的数据电文形式的备份投标文件密封送交到</w:t>
            </w:r>
            <w:r>
              <w:rPr>
                <w:rFonts w:hint="eastAsia" w:ascii="仿宋" w:hAnsi="仿宋" w:eastAsia="仿宋" w:cs="仿宋"/>
                <w:b/>
                <w:bCs/>
                <w:color w:val="000000"/>
                <w:sz w:val="24"/>
                <w:szCs w:val="20"/>
              </w:rPr>
              <w:t>杭州市公共资源交易中心余杭分中心</w:t>
            </w:r>
            <w:r>
              <w:rPr>
                <w:rFonts w:hint="eastAsia" w:ascii="仿宋" w:hAnsi="仿宋" w:eastAsia="仿宋" w:cs="仿宋"/>
                <w:color w:val="000000"/>
                <w:sz w:val="24"/>
                <w:szCs w:val="20"/>
              </w:rPr>
              <w:t>(</w:t>
            </w:r>
            <w:r>
              <w:rPr>
                <w:rFonts w:hint="eastAsia" w:ascii="仿宋" w:hAnsi="仿宋" w:eastAsia="仿宋" w:cs="仿宋"/>
                <w:color w:val="171A1D"/>
                <w:sz w:val="24"/>
                <w:szCs w:val="20"/>
                <w:shd w:val="clear" w:color="auto" w:fill="FFFFFF"/>
              </w:rPr>
              <w:t>杭州市余杭区瓶窑镇前程路20号余杭市民之家北六楼</w:t>
            </w:r>
            <w:r>
              <w:rPr>
                <w:rFonts w:hint="eastAsia" w:ascii="仿宋" w:hAnsi="仿宋" w:eastAsia="仿宋" w:cs="仿宋"/>
                <w:color w:val="000000"/>
                <w:sz w:val="24"/>
                <w:szCs w:val="20"/>
              </w:rPr>
              <w:t>)</w:t>
            </w:r>
            <w:r>
              <w:rPr>
                <w:rFonts w:hint="eastAsia" w:ascii="仿宋" w:hAnsi="仿宋" w:eastAsia="仿宋" w:cs="仿宋"/>
                <w:b/>
                <w:color w:val="000000"/>
                <w:kern w:val="0"/>
                <w:sz w:val="24"/>
                <w:szCs w:val="20"/>
                <w:u w:val="single"/>
              </w:rPr>
              <w:t xml:space="preserve"> 1</w:t>
            </w:r>
            <w:r>
              <w:rPr>
                <w:rFonts w:hint="eastAsia" w:ascii="仿宋" w:hAnsi="仿宋" w:eastAsia="仿宋" w:cs="仿宋"/>
                <w:b/>
                <w:color w:val="000000"/>
                <w:kern w:val="0"/>
                <w:sz w:val="24"/>
                <w:szCs w:val="20"/>
              </w:rPr>
              <w:t xml:space="preserve"> 号开标室</w:t>
            </w:r>
            <w:r>
              <w:rPr>
                <w:rFonts w:hint="eastAsia" w:ascii="仿宋" w:hAnsi="仿宋" w:eastAsia="仿宋" w:cs="仿宋"/>
                <w:color w:val="000000"/>
                <w:kern w:val="0"/>
                <w:sz w:val="24"/>
                <w:szCs w:val="20"/>
              </w:rPr>
              <w:t>，逾期送达或未密封将被拒收。</w:t>
            </w:r>
          </w:p>
          <w:p>
            <w:pPr>
              <w:pStyle w:val="32"/>
              <w:spacing w:line="360" w:lineRule="auto"/>
              <w:rPr>
                <w:rFonts w:ascii="仿宋_GB2312" w:hAnsi="仿宋" w:eastAsia="仿宋_GB2312" w:cs="Times New Roman"/>
                <w:kern w:val="28"/>
                <w:sz w:val="24"/>
                <w:szCs w:val="20"/>
              </w:rPr>
            </w:pPr>
            <w:r>
              <w:rPr>
                <w:rFonts w:hint="eastAsia" w:ascii="仿宋_GB2312" w:hAnsi="仿宋" w:eastAsia="仿宋_GB2312" w:cs="仿宋_GB2312"/>
                <w:b/>
                <w:sz w:val="24"/>
                <w:szCs w:val="24"/>
              </w:rPr>
              <w:t xml:space="preserve">    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0"/>
              </w:rPr>
            </w:pPr>
            <w:r>
              <w:rPr>
                <w:rFonts w:ascii="仿宋_GB2312" w:hAnsi="仿宋" w:eastAsia="仿宋_GB2312" w:cs="仿宋_GB2312"/>
                <w:sz w:val="24"/>
                <w:szCs w:val="20"/>
              </w:rPr>
              <w:t>13</w:t>
            </w:r>
          </w:p>
        </w:tc>
        <w:tc>
          <w:tcPr>
            <w:tcW w:w="1843"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szCs w:val="20"/>
              </w:rPr>
            </w:pPr>
            <w:r>
              <w:rPr>
                <w:rFonts w:hint="eastAsia" w:ascii="仿宋_GB2312" w:hAnsi="仿宋" w:eastAsia="仿宋_GB2312"/>
                <w:snapToGrid w:val="0"/>
                <w:kern w:val="28"/>
                <w:sz w:val="24"/>
                <w:szCs w:val="20"/>
              </w:rPr>
              <w:t>无</w:t>
            </w:r>
            <w:r>
              <w:rPr>
                <w:rFonts w:hint="eastAsia" w:ascii="仿宋_GB2312" w:hAnsi="仿宋" w:eastAsia="仿宋_GB2312" w:cs="宋体"/>
                <w:b/>
                <w:kern w:val="0"/>
                <w:sz w:val="24"/>
                <w:szCs w:val="20"/>
              </w:rPr>
              <w:t>。</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2" w:firstLineChars="200"/>
        <w:rPr>
          <w:rFonts w:ascii="仿宋_GB2312" w:hAnsi="仿宋" w:eastAsia="仿宋_GB2312"/>
          <w:b/>
          <w:bCs/>
          <w:sz w:val="28"/>
          <w:szCs w:val="28"/>
        </w:rPr>
      </w:pPr>
      <w:r>
        <w:rPr>
          <w:rFonts w:ascii="仿宋_GB2312" w:hAnsi="仿宋" w:eastAsia="仿宋_GB2312"/>
          <w:b/>
          <w:bCs/>
          <w:sz w:val="24"/>
        </w:rPr>
        <w:t xml:space="preserve">2.7 </w:t>
      </w:r>
      <w:r>
        <w:rPr>
          <w:rFonts w:hint="eastAsia" w:ascii="仿宋_GB2312" w:hAnsi="仿宋" w:eastAsia="仿宋_GB2312"/>
          <w:b/>
          <w:bCs/>
          <w:sz w:val="24"/>
        </w:rPr>
        <w:t>“▲”</w:t>
      </w:r>
      <w:r>
        <w:rPr>
          <w:rFonts w:ascii="仿宋_GB2312" w:hAnsi="仿宋" w:eastAsia="仿宋_GB2312"/>
          <w:b/>
          <w:bCs/>
          <w:sz w:val="24"/>
        </w:rPr>
        <w:t xml:space="preserve"> </w:t>
      </w:r>
      <w:r>
        <w:rPr>
          <w:rFonts w:hint="eastAsia" w:ascii="仿宋_GB2312" w:hAnsi="仿宋" w:eastAsia="仿宋_GB2312"/>
          <w:b/>
          <w:bCs/>
          <w:sz w:val="24"/>
        </w:rPr>
        <w:t>系指实质性要求条款，“★”系产品采购项目中单一产品或核心产品，“</w:t>
      </w:r>
      <w:r>
        <w:rPr>
          <w:rFonts w:ascii="Wingdings" w:hAnsi="Wingdings" w:eastAsia="仿宋_GB2312" w:cs="Arial"/>
          <w:b/>
          <w:bCs/>
          <w:kern w:val="0"/>
          <w:sz w:val="24"/>
        </w:rPr>
        <w:t></w:t>
      </w:r>
      <w:r>
        <w:rPr>
          <w:rFonts w:hint="eastAsia" w:ascii="仿宋_GB2312" w:hAnsi="仿宋" w:eastAsia="仿宋_GB2312"/>
          <w:b/>
          <w:bCs/>
          <w:sz w:val="24"/>
        </w:rPr>
        <w:t>”</w:t>
      </w:r>
      <w:r>
        <w:rPr>
          <w:rFonts w:ascii="仿宋_GB2312" w:hAnsi="仿宋" w:eastAsia="仿宋_GB2312"/>
          <w:b/>
          <w:bCs/>
          <w:sz w:val="24"/>
        </w:rPr>
        <w:t xml:space="preserve"> </w:t>
      </w:r>
      <w:r>
        <w:rPr>
          <w:rFonts w:hint="eastAsia" w:ascii="仿宋_GB2312" w:hAnsi="仿宋" w:eastAsia="仿宋_GB2312"/>
          <w:b/>
          <w:bCs/>
          <w:sz w:val="24"/>
        </w:rPr>
        <w:t>系指适用本项目的要求，“</w:t>
      </w:r>
      <w:r>
        <w:rPr>
          <w:rFonts w:ascii="MS Gothic" w:hAnsi="MS Gothic" w:eastAsia="MS Gothic" w:cs="Arial"/>
          <w:b/>
          <w:bCs/>
          <w:kern w:val="0"/>
          <w:sz w:val="24"/>
        </w:rPr>
        <w:t>☐</w:t>
      </w:r>
      <w:r>
        <w:rPr>
          <w:rFonts w:hint="eastAsia" w:ascii="仿宋_GB2312" w:hAnsi="仿宋" w:eastAsia="仿宋_GB2312"/>
          <w:b/>
          <w:bCs/>
          <w:sz w:val="24"/>
        </w:rPr>
        <w:t>”</w:t>
      </w:r>
      <w:r>
        <w:rPr>
          <w:rFonts w:ascii="仿宋_GB2312" w:hAnsi="仿宋" w:eastAsia="仿宋_GB2312"/>
          <w:b/>
          <w:bCs/>
          <w:sz w:val="24"/>
        </w:rPr>
        <w:t xml:space="preserve"> </w:t>
      </w:r>
      <w:r>
        <w:rPr>
          <w:rFonts w:hint="eastAsia" w:ascii="仿宋_GB2312" w:hAnsi="仿宋" w:eastAsia="仿宋_GB2312"/>
          <w:b/>
          <w:bCs/>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b/>
          <w:bCs/>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w:t>
      </w:r>
      <w:r>
        <w:rPr>
          <w:rFonts w:hint="eastAsia" w:ascii="仿宋_GB2312" w:hAnsi="仿宋" w:eastAsia="仿宋_GB2312"/>
          <w:b/>
          <w:bCs/>
          <w:sz w:val="24"/>
        </w:rPr>
        <w:t>对小型和微型企业的投标报价给予</w:t>
      </w:r>
      <w:r>
        <w:rPr>
          <w:rFonts w:ascii="仿宋_GB2312" w:hAnsi="仿宋" w:eastAsia="仿宋_GB2312"/>
          <w:b/>
          <w:bCs/>
          <w:sz w:val="24"/>
        </w:rPr>
        <w:t>10%的扣除，用扣除后的价格参与评审。接受大中型企业与小微企业组成联合体或者允许大中型企业向一家或者多家小微企业分包的</w:t>
      </w:r>
      <w:r>
        <w:rPr>
          <w:rFonts w:hint="eastAsia" w:ascii="仿宋_GB2312" w:hAnsi="仿宋" w:eastAsia="仿宋_GB2312"/>
          <w:b/>
          <w:bCs/>
          <w:sz w:val="24"/>
        </w:rPr>
        <w:t>政府</w:t>
      </w:r>
      <w:r>
        <w:rPr>
          <w:rFonts w:ascii="仿宋_GB2312" w:hAnsi="仿宋" w:eastAsia="仿宋_GB2312"/>
          <w:b/>
          <w:bCs/>
          <w:sz w:val="24"/>
        </w:rPr>
        <w:t>采购</w:t>
      </w:r>
      <w:r>
        <w:rPr>
          <w:rFonts w:hint="eastAsia" w:ascii="仿宋_GB2312" w:hAnsi="仿宋" w:eastAsia="仿宋_GB2312"/>
          <w:b/>
          <w:bCs/>
          <w:sz w:val="24"/>
        </w:rPr>
        <w:t>货物或服务</w:t>
      </w:r>
      <w:r>
        <w:rPr>
          <w:rFonts w:ascii="仿宋_GB2312" w:hAnsi="仿宋" w:eastAsia="仿宋_GB2312"/>
          <w:b/>
          <w:bCs/>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b/>
          <w:bCs/>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b/>
          <w:bCs/>
          <w:sz w:val="24"/>
        </w:rPr>
        <w:t>自认定之日起</w:t>
      </w:r>
      <w:r>
        <w:rPr>
          <w:rFonts w:ascii="仿宋_GB2312" w:hAnsi="仿宋" w:eastAsia="仿宋_GB2312"/>
          <w:b/>
          <w:bCs/>
          <w:sz w:val="24"/>
        </w:rPr>
        <w:t>2年内视同已具备相应销售业绩，参加政府采购活动</w:t>
      </w:r>
      <w:r>
        <w:rPr>
          <w:rFonts w:hint="eastAsia" w:ascii="仿宋_GB2312" w:hAnsi="仿宋" w:eastAsia="仿宋_GB2312"/>
          <w:b/>
          <w:bCs/>
          <w:sz w:val="24"/>
        </w:rPr>
        <w:t>时业绩分值为满分。</w:t>
      </w:r>
    </w:p>
    <w:p>
      <w:pPr>
        <w:spacing w:line="360" w:lineRule="auto"/>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w:t>
      </w:r>
      <w:r>
        <w:rPr>
          <w:rFonts w:ascii="仿宋_GB2312" w:hAnsi="仿宋" w:eastAsia="仿宋_GB2312"/>
          <w:b/>
          <w:bCs/>
        </w:rPr>
        <w:t>质疑</w:t>
      </w:r>
      <w:r>
        <w:rPr>
          <w:rFonts w:hint="eastAsia" w:ascii="仿宋_GB2312" w:hAnsi="仿宋" w:eastAsia="仿宋_GB2312"/>
          <w:b/>
          <w:bCs/>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5"/>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5"/>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5"/>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5"/>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5"/>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5"/>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5"/>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15.1投标人在电子交易平台传输递交投标文件后，还可以在投标截止时间前直接提交备份投标文件1份，</w:t>
      </w:r>
      <w:r>
        <w:rPr>
          <w:rFonts w:hint="eastAsia" w:ascii="仿宋_GB2312" w:hAnsi="仿宋" w:eastAsia="仿宋_GB2312" w:cs="仿宋_GB2312"/>
          <w:b/>
          <w:sz w:val="24"/>
          <w:szCs w:val="24"/>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1" w:firstLineChars="150"/>
        <w:rPr>
          <w:rFonts w:ascii="仿宋_GB2312" w:hAnsi="仿宋" w:eastAsia="仿宋_GB2312" w:cs="仿宋_GB2312"/>
          <w:b/>
          <w:bCs/>
          <w:szCs w:val="21"/>
        </w:rPr>
      </w:pPr>
      <w:r>
        <w:rPr>
          <w:rFonts w:hint="eastAsia" w:ascii="仿宋_GB2312" w:hAnsi="仿宋" w:eastAsia="仿宋_GB2312" w:cs="仿宋_GB2312"/>
          <w:b/>
          <w:bCs/>
          <w:szCs w:val="21"/>
        </w:rPr>
        <w:t>有招标文件第四部分</w:t>
      </w:r>
      <w:r>
        <w:rPr>
          <w:rFonts w:hint="eastAsia" w:ascii="仿宋_GB2312" w:hAnsi="仿宋" w:eastAsia="仿宋_GB2312"/>
          <w:b/>
          <w:bCs/>
        </w:rPr>
        <w:t>第4.2</w:t>
      </w:r>
      <w:r>
        <w:rPr>
          <w:rFonts w:ascii="仿宋_GB2312" w:hAnsi="仿宋" w:eastAsia="仿宋_GB2312"/>
          <w:b/>
          <w:bCs/>
        </w:rPr>
        <w:t>项规定</w:t>
      </w:r>
      <w:r>
        <w:rPr>
          <w:rFonts w:hint="eastAsia" w:ascii="仿宋_GB2312" w:hAnsi="仿宋" w:eastAsia="仿宋_GB2312" w:cs="仿宋_GB2312"/>
          <w:b/>
          <w:bCs/>
          <w:szCs w:val="21"/>
        </w:rPr>
        <w:t>的情形之一的，投标无效。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5"/>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5"/>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仿宋_GB2312" w:hAnsi="仿宋" w:eastAsia="仿宋_GB2312" w:cs="仿宋_GB2312"/>
          <w:b/>
          <w:sz w:val="32"/>
        </w:rPr>
      </w:pPr>
    </w:p>
    <w:p>
      <w:pPr>
        <w:pStyle w:val="85"/>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0"/>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5"/>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5"/>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采购人将自收到评审报告之日起2</w:t>
      </w:r>
      <w:r>
        <w:rPr>
          <w:rFonts w:ascii="仿宋_GB2312" w:hAnsi="仿宋" w:eastAsia="仿宋_GB2312" w:cs="仿宋_GB2312"/>
          <w:szCs w:val="24"/>
        </w:rPr>
        <w:t>个工作日内通过电子交易平台在评审报告推荐的中标候选人中按顺序确定中标供应商。</w:t>
      </w:r>
    </w:p>
    <w:p>
      <w:pPr>
        <w:pStyle w:val="85"/>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w:t>
      </w:r>
      <w:r>
        <w:rPr>
          <w:rFonts w:hint="eastAsia" w:ascii="仿宋_GB2312" w:hAnsi="仿宋" w:eastAsia="仿宋_GB2312" w:cs="Arial"/>
          <w:kern w:val="0"/>
          <w:sz w:val="24"/>
        </w:rPr>
        <w:t>10个工作日</w:t>
      </w:r>
      <w:r>
        <w:rPr>
          <w:rFonts w:ascii="仿宋_GB2312" w:hAnsi="仿宋" w:eastAsia="仿宋_GB2312" w:cs="Arial"/>
          <w:kern w:val="0"/>
          <w:sz w:val="24"/>
        </w:rPr>
        <w:t>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5"/>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。履约保证金的数额不得超过政府采购合同金额的2.5</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pStyle w:val="3"/>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5"/>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5"/>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5"/>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30295"/>
      <w:bookmarkEnd w:id="14"/>
      <w:bookmarkStart w:id="15" w:name="_Hlt68072998"/>
      <w:bookmarkEnd w:id="15"/>
      <w:bookmarkStart w:id="16" w:name="_Hlt74729768"/>
      <w:bookmarkEnd w:id="16"/>
      <w:bookmarkStart w:id="17" w:name="_Hlt74707468"/>
      <w:bookmarkEnd w:id="17"/>
      <w:bookmarkStart w:id="18" w:name="_Hlt75236290"/>
      <w:bookmarkEnd w:id="18"/>
      <w:bookmarkStart w:id="19" w:name="_Hlt68057669"/>
      <w:bookmarkEnd w:id="19"/>
      <w:bookmarkStart w:id="20" w:name="_Hlt74714665"/>
      <w:bookmarkEnd w:id="20"/>
      <w:bookmarkStart w:id="21" w:name="_Hlt68403820"/>
      <w:bookmarkEnd w:id="21"/>
      <w:bookmarkStart w:id="22" w:name="_Hlt68073093"/>
      <w:bookmarkEnd w:id="22"/>
      <w:bookmarkStart w:id="23" w:name="_Hlt75236101"/>
      <w:bookmarkEnd w:id="23"/>
      <w:bookmarkStart w:id="24" w:name="_Hlt68072990"/>
      <w:bookmarkEnd w:id="24"/>
      <w:bookmarkStart w:id="25" w:name="_Hlt75236011"/>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360" w:lineRule="auto"/>
        <w:ind w:firstLine="181" w:firstLineChars="50"/>
        <w:rPr>
          <w:rFonts w:ascii="仿宋_GB2312" w:hAnsi="仿宋" w:eastAsia="仿宋_GB2312" w:cs="仿宋_GB2312"/>
          <w:b/>
          <w:sz w:val="36"/>
          <w:szCs w:val="36"/>
        </w:rPr>
      </w:pPr>
    </w:p>
    <w:p>
      <w:pPr>
        <w:snapToGrid w:val="0"/>
        <w:spacing w:line="360" w:lineRule="auto"/>
        <w:rPr>
          <w:rFonts w:ascii="仿宋" w:hAnsi="仿宋" w:eastAsia="仿宋" w:cs="仿宋"/>
          <w:b/>
          <w:bCs/>
          <w:sz w:val="24"/>
          <w:szCs w:val="22"/>
        </w:rPr>
      </w:pPr>
      <w:r>
        <w:rPr>
          <w:rFonts w:hint="eastAsia" w:ascii="仿宋" w:hAnsi="仿宋" w:eastAsia="仿宋" w:cs="仿宋"/>
          <w:b/>
          <w:bCs/>
          <w:sz w:val="24"/>
          <w:szCs w:val="22"/>
        </w:rPr>
        <w:t xml:space="preserve"> 一、项目概述：</w:t>
      </w:r>
    </w:p>
    <w:p>
      <w:pPr>
        <w:snapToGrid w:val="0"/>
        <w:spacing w:line="360" w:lineRule="auto"/>
        <w:ind w:firstLine="480" w:firstLineChars="200"/>
        <w:rPr>
          <w:rFonts w:ascii="仿宋" w:hAnsi="仿宋" w:eastAsia="仿宋" w:cs="仿宋"/>
          <w:bCs/>
          <w:sz w:val="24"/>
          <w:szCs w:val="22"/>
        </w:rPr>
      </w:pPr>
      <w:r>
        <w:rPr>
          <w:rFonts w:hint="eastAsia" w:ascii="仿宋" w:hAnsi="仿宋" w:eastAsia="仿宋" w:cs="仿宋"/>
          <w:bCs/>
          <w:sz w:val="24"/>
          <w:szCs w:val="22"/>
        </w:rPr>
        <w:t>本项目为“交钥匙”项目，采购内容包括保洁服务（范围：径山镇文体大楼、径山画院）、保安服务、会务服务、房屋内设施设备的零星养护维修服务及日常水电维修服务、空调维护、服务范围内电梯养护、室内盆栽租赁更换养护、部分绿化养护等。</w:t>
      </w:r>
    </w:p>
    <w:p>
      <w:pPr>
        <w:snapToGrid w:val="0"/>
        <w:spacing w:line="360" w:lineRule="auto"/>
        <w:ind w:firstLine="480" w:firstLineChars="200"/>
        <w:rPr>
          <w:rFonts w:ascii="仿宋" w:hAnsi="仿宋" w:eastAsia="仿宋" w:cs="仿宋"/>
          <w:bCs/>
          <w:sz w:val="24"/>
          <w:szCs w:val="22"/>
        </w:rPr>
      </w:pPr>
      <w:r>
        <w:rPr>
          <w:rFonts w:hint="eastAsia" w:ascii="仿宋" w:hAnsi="仿宋" w:eastAsia="仿宋" w:cs="仿宋"/>
          <w:bCs/>
          <w:sz w:val="24"/>
          <w:szCs w:val="22"/>
        </w:rPr>
        <w:t>费用包含：房屋内设施设备的零星养护维修服务及日常水电维修费用、保洁类工具耗材费用、服务范围内电梯养护、室内盆栽租赁更换养护、部分绿化养护费用及针对本项目物业管理所产生的费用，包括人员、管理费、税费、材料费、设备维护产生的费用及合同包含的所有风险、责任等各项全部费用。采购人不再支付其他费用。</w:t>
      </w:r>
    </w:p>
    <w:p>
      <w:pPr>
        <w:snapToGrid w:val="0"/>
        <w:spacing w:line="360" w:lineRule="auto"/>
        <w:ind w:firstLine="480" w:firstLineChars="200"/>
        <w:rPr>
          <w:rFonts w:ascii="仿宋" w:hAnsi="仿宋" w:eastAsia="仿宋" w:cs="仿宋"/>
          <w:bCs/>
          <w:sz w:val="24"/>
          <w:szCs w:val="22"/>
        </w:rPr>
      </w:pPr>
      <w:r>
        <w:rPr>
          <w:rFonts w:hint="eastAsia" w:ascii="仿宋" w:hAnsi="仿宋" w:eastAsia="仿宋" w:cs="仿宋"/>
          <w:bCs/>
          <w:sz w:val="24"/>
          <w:szCs w:val="22"/>
        </w:rPr>
        <w:t>范围：1、径山镇综合性文体活动中心位于径山镇人民政府东侧，本项目服务范围包含但不限于楼内地下一层至地上四层、室外红线范围内的全部物业服务内容，总建筑面积15700㎡。</w:t>
      </w:r>
    </w:p>
    <w:p>
      <w:pPr>
        <w:snapToGrid w:val="0"/>
        <w:spacing w:line="360" w:lineRule="auto"/>
        <w:ind w:firstLine="1200" w:firstLineChars="500"/>
        <w:rPr>
          <w:rFonts w:ascii="仿宋" w:hAnsi="仿宋" w:eastAsia="仿宋" w:cs="仿宋"/>
          <w:bCs/>
          <w:sz w:val="24"/>
          <w:szCs w:val="22"/>
        </w:rPr>
      </w:pPr>
      <w:r>
        <w:rPr>
          <w:rFonts w:hint="eastAsia" w:ascii="仿宋" w:hAnsi="仿宋" w:eastAsia="仿宋" w:cs="仿宋"/>
          <w:bCs/>
          <w:sz w:val="24"/>
          <w:szCs w:val="22"/>
        </w:rPr>
        <w:t>2、径山画院位于径山镇双溪步行街内，总建筑面积470㎡。</w:t>
      </w:r>
    </w:p>
    <w:p>
      <w:pPr>
        <w:snapToGrid w:val="0"/>
        <w:spacing w:line="360" w:lineRule="auto"/>
        <w:ind w:firstLine="480" w:firstLineChars="200"/>
        <w:rPr>
          <w:rFonts w:ascii="仿宋" w:hAnsi="仿宋" w:eastAsia="仿宋" w:cs="仿宋"/>
          <w:bCs/>
          <w:sz w:val="24"/>
          <w:szCs w:val="22"/>
        </w:rPr>
      </w:pPr>
    </w:p>
    <w:p>
      <w:pPr>
        <w:snapToGrid w:val="0"/>
        <w:spacing w:line="360" w:lineRule="auto"/>
        <w:rPr>
          <w:rFonts w:ascii="仿宋" w:hAnsi="仿宋" w:eastAsia="仿宋" w:cs="仿宋"/>
          <w:b/>
          <w:bCs/>
          <w:sz w:val="24"/>
          <w:szCs w:val="22"/>
        </w:rPr>
      </w:pPr>
      <w:r>
        <w:rPr>
          <w:rFonts w:hint="eastAsia" w:ascii="仿宋" w:hAnsi="仿宋" w:eastAsia="仿宋" w:cs="仿宋"/>
          <w:b/>
          <w:bCs/>
          <w:sz w:val="24"/>
          <w:szCs w:val="22"/>
        </w:rPr>
        <w:t xml:space="preserve">   二、采购清单：</w:t>
      </w:r>
    </w:p>
    <w:tbl>
      <w:tblPr>
        <w:tblStyle w:val="62"/>
        <w:tblW w:w="8789" w:type="dxa"/>
        <w:tblInd w:w="108" w:type="dxa"/>
        <w:tblLayout w:type="fixed"/>
        <w:tblCellMar>
          <w:top w:w="0" w:type="dxa"/>
          <w:left w:w="108" w:type="dxa"/>
          <w:bottom w:w="0" w:type="dxa"/>
          <w:right w:w="108" w:type="dxa"/>
        </w:tblCellMar>
      </w:tblPr>
      <w:tblGrid>
        <w:gridCol w:w="1300"/>
        <w:gridCol w:w="7489"/>
      </w:tblGrid>
      <w:tr>
        <w:tblPrEx>
          <w:tblCellMar>
            <w:top w:w="0" w:type="dxa"/>
            <w:left w:w="108" w:type="dxa"/>
            <w:bottom w:w="0" w:type="dxa"/>
            <w:right w:w="108" w:type="dxa"/>
          </w:tblCellMar>
        </w:tblPrEx>
        <w:trPr>
          <w:trHeight w:val="270" w:hRule="atLeast"/>
        </w:trPr>
        <w:tc>
          <w:tcPr>
            <w:tcW w:w="1300"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rPr>
                <w:rFonts w:ascii="仿宋" w:hAnsi="仿宋" w:eastAsia="仿宋" w:cs="仿宋"/>
                <w:b/>
                <w:kern w:val="0"/>
                <w:sz w:val="22"/>
                <w:szCs w:val="22"/>
              </w:rPr>
            </w:pPr>
            <w:r>
              <w:rPr>
                <w:rFonts w:hint="eastAsia" w:ascii="仿宋" w:hAnsi="仿宋" w:eastAsia="仿宋" w:cs="仿宋"/>
                <w:b/>
                <w:kern w:val="0"/>
                <w:sz w:val="22"/>
                <w:szCs w:val="22"/>
              </w:rPr>
              <w:t>项目</w:t>
            </w:r>
          </w:p>
        </w:tc>
        <w:tc>
          <w:tcPr>
            <w:tcW w:w="7489" w:type="dxa"/>
            <w:tcBorders>
              <w:top w:val="single" w:color="auto" w:sz="4" w:space="0"/>
              <w:left w:val="nil"/>
              <w:bottom w:val="single" w:color="auto" w:sz="4" w:space="0"/>
              <w:right w:val="single" w:color="auto" w:sz="4" w:space="0"/>
            </w:tcBorders>
            <w:shd w:val="clear" w:color="auto" w:fill="D7D7D7"/>
            <w:vAlign w:val="center"/>
          </w:tcPr>
          <w:p>
            <w:pPr>
              <w:widowControl/>
              <w:jc w:val="center"/>
              <w:rPr>
                <w:rFonts w:ascii="仿宋" w:hAnsi="仿宋" w:eastAsia="仿宋" w:cs="仿宋"/>
                <w:b/>
                <w:kern w:val="0"/>
                <w:sz w:val="22"/>
                <w:szCs w:val="22"/>
              </w:rPr>
            </w:pPr>
            <w:r>
              <w:rPr>
                <w:rFonts w:hint="eastAsia" w:ascii="仿宋" w:hAnsi="仿宋" w:eastAsia="仿宋" w:cs="仿宋"/>
                <w:b/>
                <w:kern w:val="0"/>
                <w:sz w:val="22"/>
                <w:szCs w:val="22"/>
              </w:rPr>
              <w:t>服务要求</w:t>
            </w:r>
          </w:p>
        </w:tc>
      </w:tr>
      <w:tr>
        <w:tblPrEx>
          <w:tblCellMar>
            <w:top w:w="0" w:type="dxa"/>
            <w:left w:w="108" w:type="dxa"/>
            <w:bottom w:w="0" w:type="dxa"/>
            <w:right w:w="108" w:type="dxa"/>
          </w:tblCellMar>
        </w:tblPrEx>
        <w:trPr>
          <w:trHeight w:val="270" w:hRule="atLeast"/>
        </w:trPr>
        <w:tc>
          <w:tcPr>
            <w:tcW w:w="13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一、项目总负责人（兼零星维修）</w:t>
            </w: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人员要求：</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项目总负责人1名，要求有物业管理经验3年以上，有较高的职业素质、责任感，良好的管理理念、服务意识、应急处理能力，年龄50周岁以下。</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工作职责：</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1、负责日常物业服务管理工作，兼顾零星维修；</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2、负责拟定保洁、保安、保洁、会务等运行管理的规章制度、应急预案、工作流程、标准和规范并上报业主单位批准后实施；</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3、负责现场管理及执行情况的检查监督；</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4、组织制定工作管理办法、工作程序制度，编制、审核物业项目年度、月度计划；</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5、检查、督促、考核物业员工严格执行各项制度、程序、规范及工作进度，了解员工思想状况，对不良倾向及时纠正；</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6、完成采购人交办的其他各项工作。</w:t>
            </w:r>
          </w:p>
        </w:tc>
      </w:tr>
      <w:tr>
        <w:tblPrEx>
          <w:tblCellMar>
            <w:top w:w="0" w:type="dxa"/>
            <w:left w:w="108" w:type="dxa"/>
            <w:bottom w:w="0" w:type="dxa"/>
            <w:right w:w="108" w:type="dxa"/>
          </w:tblCellMar>
        </w:tblPrEx>
        <w:trPr>
          <w:trHeight w:val="270" w:hRule="atLeast"/>
        </w:trPr>
        <w:tc>
          <w:tcPr>
            <w:tcW w:w="13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二、保洁服务（范围：径山镇文体大楼及径山画院内）</w:t>
            </w: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（一）</w:t>
            </w:r>
            <w:r>
              <w:rPr>
                <w:rFonts w:hint="eastAsia" w:ascii="宋体" w:hAnsi="宋体"/>
                <w:sz w:val="24"/>
              </w:rPr>
              <w:t>▲</w:t>
            </w:r>
            <w:r>
              <w:rPr>
                <w:rFonts w:hint="eastAsia" w:ascii="仿宋" w:hAnsi="仿宋" w:eastAsia="仿宋" w:cs="仿宋"/>
                <w:kern w:val="0"/>
                <w:sz w:val="22"/>
                <w:szCs w:val="22"/>
              </w:rPr>
              <w:t>保洁人员要求：保洁人员不少于2人。</w:t>
            </w:r>
          </w:p>
        </w:tc>
      </w:tr>
      <w:tr>
        <w:tblPrEx>
          <w:tblCellMar>
            <w:top w:w="0" w:type="dxa"/>
            <w:left w:w="108" w:type="dxa"/>
            <w:bottom w:w="0" w:type="dxa"/>
            <w:right w:w="108" w:type="dxa"/>
          </w:tblCellMar>
        </w:tblPrEx>
        <w:trPr>
          <w:trHeight w:val="9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1、保洁人员要求按劳动部门相关规定依法执行，身体健康，无不良嗜好，工作认真负责并定期接受培训。</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2、上岗时佩戴统一标志，按需求穿戴统一制服，仪容仪表规范整齐。</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3、严格遵守劳动纪律，不迟到、早退、不无故旷工、不串岗。每天在业主单位职工上班提前搞好自己包干区域的卫生工作。</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4、服从上级领导工作分配(临时)，团结同事、互帮互助、说话和气，文明服务、礼貌待人。认真完成所交办的工作。</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5、服从采购方要求的工作时间，并提供优质服务。</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（二）保洁服务内容及要求：</w:t>
            </w:r>
          </w:p>
        </w:tc>
      </w:tr>
      <w:tr>
        <w:tblPrEx>
          <w:tblCellMar>
            <w:top w:w="0" w:type="dxa"/>
            <w:left w:w="108" w:type="dxa"/>
            <w:bottom w:w="0" w:type="dxa"/>
            <w:right w:w="108" w:type="dxa"/>
          </w:tblCellMar>
        </w:tblPrEx>
        <w:trPr>
          <w:trHeight w:val="81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1、服务内容:完成本物业文体大楼的楼梯、大厅、走廊、吊顶、平台、雨棚、卫生间、茶水间、花盆、会议室、接待室、公共区域及单位部分办公室、公共活动场所的台（地）面、明沟、墙面、门、窗、灯具、果壳箱等设施和器皿，道路、园林、停车场(库)、垃圾房等所有公共场地及设施和门前三包区域的日常保洁保养以及垃圾、废弃物清理和灭“四害”等所有环境卫生保洁。完成径山画院的室内日常保洁。具体如下：</w:t>
            </w:r>
          </w:p>
        </w:tc>
      </w:tr>
      <w:tr>
        <w:tblPrEx>
          <w:tblCellMar>
            <w:top w:w="0" w:type="dxa"/>
            <w:left w:w="108" w:type="dxa"/>
            <w:bottom w:w="0" w:type="dxa"/>
            <w:right w:w="108" w:type="dxa"/>
          </w:tblCellMar>
        </w:tblPrEx>
        <w:trPr>
          <w:trHeight w:val="81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1）公共场所日常服务内容：水泥地面、石材地面、扶手、门窗玻璃、门及门窗框及有关附体，沙发、桌子、各类宣传牌、橱窗及有关附体，天花板、栏杆、消防楼梯区域等，楼道地面、楼梯每日至少拖洗一次，扶手、门每日至少擦抹一次，天花板、公共楼道灯、会议室吊灯：每季至少除尘一次，做到巡回保洁，及时清除各种垃圾等杂物，无积灰、印迹、污渍。</w:t>
            </w:r>
          </w:p>
        </w:tc>
      </w:tr>
      <w:tr>
        <w:tblPrEx>
          <w:tblCellMar>
            <w:top w:w="0" w:type="dxa"/>
            <w:left w:w="108" w:type="dxa"/>
            <w:bottom w:w="0" w:type="dxa"/>
            <w:right w:w="108" w:type="dxa"/>
          </w:tblCellMar>
        </w:tblPrEx>
        <w:trPr>
          <w:trHeight w:val="9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2）门厅、办公室、值班室等特定区域保洁服务内容：地面、大厅石材墙面、天花板、大厅、门窗玻璃、门及门窗框、墙壁附体，灯具、音响、垃圾桶等公共区域及公用设施表面及卫生间等严格按要求做好清洁、保养、清运及日常消杀工作，无积灰、印迹、污渍。卫生间每天至少拖洗一次，保持地面清洁、无杂物、无积水、无毛发、无异味、便池、水池下水道要畅通。配备洗手液、卫生纸、擦手纸等相关保洁耗材，每日检查，发现用完及时补充，有破损的及时更换，确保运作正常；瓷砖：2米以下每日擦抹不少于一次；2米以上每月清洁不少于一次，无明显积灰、水渍，石材、灯具每季度进行一次清洁；暂时空置的房间每周进行一次卫生保洁，确保地面、桌面、玻璃面整洁干净。白色墙面及顶面如有污渍等应及时清除。对物业服务范围内建筑物内部地面每年要求四次深度保洁。</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（3）顶篷等边缘区域服务内容：屋顶屋面、沟槽、地面、雨篷及边角区域，各种附体的表面清洁，大厅遮阳玻璃清洁干净。</w:t>
            </w:r>
          </w:p>
        </w:tc>
      </w:tr>
      <w:tr>
        <w:tblPrEx>
          <w:tblCellMar>
            <w:top w:w="0" w:type="dxa"/>
            <w:left w:w="108" w:type="dxa"/>
            <w:bottom w:w="0" w:type="dxa"/>
            <w:right w:w="108" w:type="dxa"/>
          </w:tblCellMar>
        </w:tblPrEx>
        <w:trPr>
          <w:trHeight w:val="54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（4）水电和设备等设施类服务内容：一般机器表面清洁（有特殊规定的设备除外），开关盒、表箱盖2米以下的每日擦抹不少于一次；2米以上每周不少于一次，无灰尘、污迹。</w:t>
            </w:r>
          </w:p>
        </w:tc>
      </w:tr>
      <w:tr>
        <w:tblPrEx>
          <w:tblCellMar>
            <w:top w:w="0" w:type="dxa"/>
            <w:left w:w="108" w:type="dxa"/>
            <w:bottom w:w="0" w:type="dxa"/>
            <w:right w:w="108" w:type="dxa"/>
          </w:tblCellMar>
        </w:tblPrEx>
        <w:trPr>
          <w:trHeight w:val="54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(5)不锈钢保洁服务内容：包括所有不锈钢制品、设施、设备，除有明确规定的保洁要求外，至少每二个月用不锈钢油保养一次。哑光不锈钢表面无污渍、无灰尘；镜面不锈钢表面光亮，三米内能清晰映出人影。</w:t>
            </w:r>
          </w:p>
        </w:tc>
      </w:tr>
      <w:tr>
        <w:tblPrEx>
          <w:tblCellMar>
            <w:top w:w="0" w:type="dxa"/>
            <w:left w:w="108" w:type="dxa"/>
            <w:bottom w:w="0" w:type="dxa"/>
            <w:right w:w="108" w:type="dxa"/>
          </w:tblCellMar>
        </w:tblPrEx>
        <w:trPr>
          <w:trHeight w:val="54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6）垃圾清运服务内容：垃圾不在筒箱内过夜。垃圾集中投放点位工具摆放整齐，垃圾存量不超过三分之二且做到日产日清，定期清洗，每周消毒一次，无明显积水，无蚊蝇飞舞。垃圾清运工具应保持清洁无破损，收集清理过程中不得产生二次污染，公共区、卫生间无堆积垃圾。（不包含清运到环卫站）</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（7）爱护公物，节约清洁材料，每日保洁工作后必须将劳动工具清洗、整理干净，统一放在指定地点。</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2、服务质量标准:严格按照保洁服务方面的程序和规程进行操作。</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（1）未列入的且为正常保洁工作以及突发性事件造成的保洁工作的项目、部位均包括在内，因此必须及时处理不得拒绝提供保洁服务。</w:t>
            </w:r>
          </w:p>
        </w:tc>
      </w:tr>
      <w:tr>
        <w:tblPrEx>
          <w:tblCellMar>
            <w:top w:w="0" w:type="dxa"/>
            <w:left w:w="108" w:type="dxa"/>
            <w:bottom w:w="0" w:type="dxa"/>
            <w:right w:w="108" w:type="dxa"/>
          </w:tblCellMar>
        </w:tblPrEx>
        <w:trPr>
          <w:trHeight w:val="268"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（2）建立“四害”消杀工作管理制度，根据实际情况定期开展消杀工作，有效控制鼠、蟑、蝇、蚊等害虫孳生，定期对各类病虫害进行预防控制，适时投放消杀药物和设施。</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（三）其他</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1、工作纪律：保洁员在工作期间要接受领导监督，完成其它临时性工作。遵守有关规章制度。</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2、在遇到来咨询和服务的老人、残疾人需要帮助时，应主动热情。</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3、外墙面每年大清洗不得少于1次，所涉及窗帘布每年大清洗不得少于1次。（如涉及高空作业的，允许中标人分包给具备相应资质的单位实施，但分包前需经招标人审核同意）</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4、保洁工具及公共区域（卫生间、值班室、会议室）的洗手液、卫生纸、擦手纸等相关保洁耗材由中标方承担，物品质量、数量须由采购方确认。</w:t>
            </w:r>
          </w:p>
        </w:tc>
      </w:tr>
      <w:tr>
        <w:tblPrEx>
          <w:tblCellMar>
            <w:top w:w="0" w:type="dxa"/>
            <w:left w:w="108" w:type="dxa"/>
            <w:bottom w:w="0" w:type="dxa"/>
            <w:right w:w="108" w:type="dxa"/>
          </w:tblCellMar>
        </w:tblPrEx>
        <w:trPr>
          <w:trHeight w:val="540" w:hRule="atLeast"/>
        </w:trPr>
        <w:tc>
          <w:tcPr>
            <w:tcW w:w="13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三、保安服务</w:t>
            </w: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1、</w:t>
            </w:r>
            <w:r>
              <w:rPr>
                <w:rFonts w:hint="eastAsia" w:ascii="宋体" w:hAnsi="宋体"/>
                <w:sz w:val="24"/>
              </w:rPr>
              <w:t>▲</w:t>
            </w:r>
            <w:r>
              <w:rPr>
                <w:rFonts w:hint="eastAsia" w:ascii="仿宋" w:hAnsi="仿宋" w:eastAsia="仿宋" w:cs="仿宋"/>
                <w:kern w:val="0"/>
                <w:sz w:val="22"/>
                <w:szCs w:val="22"/>
              </w:rPr>
              <w:t>人员要求：不少于6人。其中保安不少于4人，消控安保不少于2人。</w:t>
            </w:r>
          </w:p>
        </w:tc>
      </w:tr>
      <w:tr>
        <w:tblPrEx>
          <w:tblCellMar>
            <w:top w:w="0" w:type="dxa"/>
            <w:left w:w="108" w:type="dxa"/>
            <w:bottom w:w="0" w:type="dxa"/>
            <w:right w:w="108" w:type="dxa"/>
          </w:tblCellMar>
        </w:tblPrEx>
        <w:trPr>
          <w:trHeight w:val="327"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2、工作内容具体如下：</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（1）因本次招标范围为公共场所，中标单位须保证全年有保安人员在岗在位，具体班次组织安排由中标单位根据劳动法合理安排人员上岗时间；远程监控24小时服务。</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（2）本次招标物业范围内的巡逻，守护，安全检查，消防、报警监控；对重点区域，重点部位每1小时至少巡逻1次；配有安全监控设施的，实施24小时监控；</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（3）查验出入采购方区域人员的证件，对进出采购方区域的车辆实施证，卡管理，引导车辆有序通行，停放，维护公共秩序；</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（4）上岗时按照规定统一着保安员服装，佩带全国统一的保安服务标志，做到文明执勤，礼貌待人；</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（5）及时制止发生在采购方区域内的违法犯罪行为，对火灾、治安、公共卫生等突发事件有应急预案，事发时立即报告采购方，并协助采取相应措施；</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（6）遵守采购方各项规章制度，服从采购方的管理（包括岗位，值班计划等）；</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（7）采购方要求的其他相关工作。</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3、供应方保安员不得有下列行为：</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（1）限制他人人身自由，搜查他人身体或者侮辱，殴打他人；</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（2）扣押，没收他人证件，财物；</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（3）阻碍依法执行公务；</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（4）参与追索债务，采用暴力或者以暴力相威胁的手段处置纠纷；</w:t>
            </w:r>
          </w:p>
        </w:tc>
      </w:tr>
      <w:tr>
        <w:tblPrEx>
          <w:tblCellMar>
            <w:top w:w="0" w:type="dxa"/>
            <w:left w:w="108" w:type="dxa"/>
            <w:bottom w:w="0" w:type="dxa"/>
            <w:right w:w="108" w:type="dxa"/>
          </w:tblCellMar>
        </w:tblPrEx>
        <w:trPr>
          <w:trHeight w:val="357"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（5）删改或者扩散保安服务中形成的监控影像资料，报警记录；</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（6）侵犯个人或者泄露在保安服务中获知的国家秘密，商业秘密以及客户单位明确要求保密的信息；</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（7）违法法律，行政法律的其他行为。</w:t>
            </w:r>
          </w:p>
        </w:tc>
      </w:tr>
      <w:tr>
        <w:tblPrEx>
          <w:tblCellMar>
            <w:top w:w="0" w:type="dxa"/>
            <w:left w:w="108" w:type="dxa"/>
            <w:bottom w:w="0" w:type="dxa"/>
            <w:right w:w="108" w:type="dxa"/>
          </w:tblCellMar>
        </w:tblPrEx>
        <w:trPr>
          <w:trHeight w:val="270" w:hRule="atLeast"/>
        </w:trPr>
        <w:tc>
          <w:tcPr>
            <w:tcW w:w="13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四、会务服务（兼零星保洁）</w:t>
            </w: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宋体" w:hAnsi="宋体"/>
                <w:sz w:val="24"/>
              </w:rPr>
              <w:t>▲</w:t>
            </w:r>
            <w:r>
              <w:rPr>
                <w:rFonts w:hint="eastAsia" w:ascii="仿宋" w:hAnsi="仿宋" w:eastAsia="仿宋" w:cs="仿宋"/>
                <w:kern w:val="0"/>
                <w:sz w:val="22"/>
                <w:szCs w:val="22"/>
              </w:rPr>
              <w:t>人员要求：不少于2人。其中文体大楼会务服务1人，画院会务服务1人。要求女性，40周岁以下，有三年该项工作经验以上，气质佳。</w:t>
            </w:r>
          </w:p>
        </w:tc>
      </w:tr>
      <w:tr>
        <w:tblPrEx>
          <w:tblCellMar>
            <w:top w:w="0" w:type="dxa"/>
            <w:left w:w="108" w:type="dxa"/>
            <w:bottom w:w="0" w:type="dxa"/>
            <w:right w:w="108" w:type="dxa"/>
          </w:tblCellMar>
        </w:tblPrEx>
        <w:trPr>
          <w:trHeight w:val="27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工作内容：</w:t>
            </w:r>
          </w:p>
        </w:tc>
      </w:tr>
      <w:tr>
        <w:tblPrEx>
          <w:tblCellMar>
            <w:top w:w="0" w:type="dxa"/>
            <w:left w:w="108" w:type="dxa"/>
            <w:bottom w:w="0" w:type="dxa"/>
            <w:right w:w="108" w:type="dxa"/>
          </w:tblCellMar>
        </w:tblPrEx>
        <w:trPr>
          <w:trHeight w:val="54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1．接待准备：落实各会议培训班服务人员，保证与会议进程同步的适时服务。做好各种相关设备、设施的检查，并根据会议特殊需要进行调整。要做好培训会议所需的桌签、茶饮物品。</w:t>
            </w:r>
          </w:p>
        </w:tc>
      </w:tr>
      <w:tr>
        <w:tblPrEx>
          <w:tblCellMar>
            <w:top w:w="0" w:type="dxa"/>
            <w:left w:w="108" w:type="dxa"/>
            <w:bottom w:w="0" w:type="dxa"/>
            <w:right w:w="108" w:type="dxa"/>
          </w:tblCellMar>
        </w:tblPrEx>
        <w:trPr>
          <w:trHeight w:val="54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2、会议服务过程服务：向每位参加会议人员提供茶水服务，茶泡好后，要为客人斟茶。一手端壶把，一手拿壶盖，茶水倒入茶杯4/5量为好。斟茶时，要注意茶杯把偏右，壶嘴朝外，不要对着客人，礼貌地请人用茶。会议进行中每20分钟进会场斟倒一次，根据会议需要选择，站立服务（会场内、会场外）。</w:t>
            </w:r>
          </w:p>
        </w:tc>
      </w:tr>
      <w:tr>
        <w:tblPrEx>
          <w:tblCellMar>
            <w:top w:w="0" w:type="dxa"/>
            <w:left w:w="108" w:type="dxa"/>
            <w:bottom w:w="0" w:type="dxa"/>
            <w:right w:w="108" w:type="dxa"/>
          </w:tblCellMar>
        </w:tblPrEx>
        <w:trPr>
          <w:trHeight w:val="540" w:hRule="atLeast"/>
        </w:trPr>
        <w:tc>
          <w:tcPr>
            <w:tcW w:w="130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3、会议结束：会议人员全部离开会场后，服务员要检查会场有无客人遗忘的物品。清理会场要不留死角，特别留意有无未熄灭的烟头，避免留下事故隐患。清扫卫生，桌椅归位，撤下会议所用之物，关闭电源、关好门窗，再巡视一遍，确认无误后撤出锁门。会务人员应在做到会前有准备，会后清理，会务工作时间根据采购方需求。</w:t>
            </w:r>
          </w:p>
        </w:tc>
      </w:tr>
      <w:tr>
        <w:tblPrEx>
          <w:tblCellMar>
            <w:top w:w="0" w:type="dxa"/>
            <w:left w:w="108" w:type="dxa"/>
            <w:bottom w:w="0" w:type="dxa"/>
            <w:right w:w="108" w:type="dxa"/>
          </w:tblCellMar>
        </w:tblPrEx>
        <w:trPr>
          <w:trHeight w:val="270" w:hRule="atLeast"/>
        </w:trPr>
        <w:tc>
          <w:tcPr>
            <w:tcW w:w="1300" w:type="dxa"/>
            <w:vMerge w:val="restart"/>
            <w:tcBorders>
              <w:top w:val="nil"/>
              <w:left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五、</w:t>
            </w:r>
            <w:r>
              <w:rPr>
                <w:rFonts w:hint="eastAsia" w:ascii="仿宋" w:hAnsi="仿宋" w:eastAsia="仿宋" w:cs="仿宋"/>
                <w:bCs/>
                <w:sz w:val="24"/>
                <w:szCs w:val="22"/>
              </w:rPr>
              <w:t>房屋内设施设备的零星养护维修服务</w:t>
            </w: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宋体" w:hAnsi="宋体"/>
                <w:sz w:val="24"/>
              </w:rPr>
              <w:t>▲</w:t>
            </w:r>
            <w:r>
              <w:rPr>
                <w:rFonts w:hint="eastAsia" w:ascii="仿宋" w:hAnsi="仿宋" w:eastAsia="仿宋" w:cs="仿宋"/>
                <w:kern w:val="0"/>
                <w:sz w:val="22"/>
                <w:szCs w:val="22"/>
              </w:rPr>
              <w:t>人员要求：水电维修1人，门锁维修1人，以上人员可兼职，但需具备相应资格，并确保在接到采购人的相关维修指令后半小时内响应并到现场进行维修。</w:t>
            </w:r>
          </w:p>
        </w:tc>
      </w:tr>
      <w:tr>
        <w:tblPrEx>
          <w:tblCellMar>
            <w:top w:w="0" w:type="dxa"/>
            <w:left w:w="108" w:type="dxa"/>
            <w:bottom w:w="0" w:type="dxa"/>
            <w:right w:w="108" w:type="dxa"/>
          </w:tblCellMar>
        </w:tblPrEx>
        <w:trPr>
          <w:trHeight w:val="270" w:hRule="atLeast"/>
        </w:trPr>
        <w:tc>
          <w:tcPr>
            <w:tcW w:w="1300" w:type="dxa"/>
            <w:vMerge w:val="continue"/>
            <w:tcBorders>
              <w:left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一、设施设备养护</w:t>
            </w:r>
          </w:p>
        </w:tc>
      </w:tr>
      <w:tr>
        <w:tblPrEx>
          <w:tblCellMar>
            <w:top w:w="0" w:type="dxa"/>
            <w:left w:w="108" w:type="dxa"/>
            <w:bottom w:w="0" w:type="dxa"/>
            <w:right w:w="108" w:type="dxa"/>
          </w:tblCellMar>
        </w:tblPrEx>
        <w:trPr>
          <w:trHeight w:val="270" w:hRule="atLeast"/>
        </w:trPr>
        <w:tc>
          <w:tcPr>
            <w:tcW w:w="1300" w:type="dxa"/>
            <w:vMerge w:val="continue"/>
            <w:tcBorders>
              <w:left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1、服务内容:对文体大楼整体区域室内外的设备、设施，如空调、电梯、强弱电配电箱、监控设备及主机、消防栓、消防管道、卫生间洁具、室外排水管及附属构筑物等进行日常养护维护，保持正常运行。</w:t>
            </w:r>
          </w:p>
        </w:tc>
      </w:tr>
      <w:tr>
        <w:tblPrEx>
          <w:tblCellMar>
            <w:top w:w="0" w:type="dxa"/>
            <w:left w:w="108" w:type="dxa"/>
            <w:bottom w:w="0" w:type="dxa"/>
            <w:right w:w="108" w:type="dxa"/>
          </w:tblCellMar>
        </w:tblPrEx>
        <w:trPr>
          <w:trHeight w:val="270" w:hRule="atLeast"/>
        </w:trPr>
        <w:tc>
          <w:tcPr>
            <w:tcW w:w="1300" w:type="dxa"/>
            <w:vMerge w:val="continue"/>
            <w:tcBorders>
              <w:left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2、服务质量标准:</w:t>
            </w:r>
          </w:p>
        </w:tc>
      </w:tr>
      <w:tr>
        <w:tblPrEx>
          <w:tblCellMar>
            <w:top w:w="0" w:type="dxa"/>
            <w:left w:w="108" w:type="dxa"/>
            <w:bottom w:w="0" w:type="dxa"/>
            <w:right w:w="108" w:type="dxa"/>
          </w:tblCellMar>
        </w:tblPrEx>
        <w:trPr>
          <w:trHeight w:val="270" w:hRule="atLeast"/>
        </w:trPr>
        <w:tc>
          <w:tcPr>
            <w:tcW w:w="1300" w:type="dxa"/>
            <w:vMerge w:val="continue"/>
            <w:tcBorders>
              <w:left w:val="single" w:color="auto" w:sz="4" w:space="0"/>
              <w:right w:val="single" w:color="auto" w:sz="4" w:space="0"/>
            </w:tcBorders>
            <w:vAlign w:val="center"/>
          </w:tcPr>
          <w:p>
            <w:pPr>
              <w:rPr>
                <w:rFonts w:ascii="仿宋" w:hAnsi="仿宋" w:eastAsia="仿宋" w:cs="仿宋"/>
                <w:sz w:val="20"/>
                <w:szCs w:val="20"/>
              </w:rPr>
            </w:pPr>
          </w:p>
        </w:tc>
        <w:tc>
          <w:tcPr>
            <w:tcW w:w="74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(1)每季度对水质处理、消毒装置、电开水炉及设备控制柜进行保养。</w:t>
            </w:r>
          </w:p>
        </w:tc>
      </w:tr>
      <w:tr>
        <w:tblPrEx>
          <w:tblCellMar>
            <w:top w:w="0" w:type="dxa"/>
            <w:left w:w="108" w:type="dxa"/>
            <w:bottom w:w="0" w:type="dxa"/>
            <w:right w:w="108" w:type="dxa"/>
          </w:tblCellMar>
        </w:tblPrEx>
        <w:trPr>
          <w:trHeight w:val="270" w:hRule="atLeast"/>
        </w:trPr>
        <w:tc>
          <w:tcPr>
            <w:tcW w:w="1300"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(2)每季度要定期检查疏通；窨井、窨沟、排水沟、集水井：管道通畅，无堵塞外溢现象，每月要定期检查清理。</w:t>
            </w:r>
          </w:p>
        </w:tc>
      </w:tr>
      <w:tr>
        <w:tblPrEx>
          <w:tblCellMar>
            <w:top w:w="0" w:type="dxa"/>
            <w:left w:w="108" w:type="dxa"/>
            <w:bottom w:w="0" w:type="dxa"/>
            <w:right w:w="108" w:type="dxa"/>
          </w:tblCellMar>
        </w:tblPrEx>
        <w:trPr>
          <w:trHeight w:val="270" w:hRule="atLeast"/>
        </w:trPr>
        <w:tc>
          <w:tcPr>
            <w:tcW w:w="1300" w:type="dxa"/>
            <w:vMerge w:val="continue"/>
            <w:tcBorders>
              <w:left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（3）办公区域内的卫生间、下水管设施设备日常维修。</w:t>
            </w:r>
          </w:p>
        </w:tc>
      </w:tr>
      <w:tr>
        <w:tblPrEx>
          <w:tblCellMar>
            <w:top w:w="0" w:type="dxa"/>
            <w:left w:w="108" w:type="dxa"/>
            <w:bottom w:w="0" w:type="dxa"/>
            <w:right w:w="108" w:type="dxa"/>
          </w:tblCellMar>
        </w:tblPrEx>
        <w:trPr>
          <w:trHeight w:val="540" w:hRule="atLeast"/>
        </w:trPr>
        <w:tc>
          <w:tcPr>
            <w:tcW w:w="1300" w:type="dxa"/>
            <w:vMerge w:val="continue"/>
            <w:tcBorders>
              <w:left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（4）对物业服务范围内的门锁进行定期修理和保养。</w:t>
            </w:r>
          </w:p>
        </w:tc>
      </w:tr>
      <w:tr>
        <w:tblPrEx>
          <w:tblCellMar>
            <w:top w:w="0" w:type="dxa"/>
            <w:left w:w="108" w:type="dxa"/>
            <w:bottom w:w="0" w:type="dxa"/>
            <w:right w:w="108" w:type="dxa"/>
          </w:tblCellMar>
        </w:tblPrEx>
        <w:trPr>
          <w:trHeight w:val="644" w:hRule="atLeast"/>
        </w:trPr>
        <w:tc>
          <w:tcPr>
            <w:tcW w:w="1300" w:type="dxa"/>
            <w:vMerge w:val="continue"/>
            <w:tcBorders>
              <w:left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（5）监控设备每年调试养护不少于2次。</w:t>
            </w:r>
          </w:p>
        </w:tc>
      </w:tr>
      <w:tr>
        <w:tblPrEx>
          <w:tblCellMar>
            <w:top w:w="0" w:type="dxa"/>
            <w:left w:w="108" w:type="dxa"/>
            <w:bottom w:w="0" w:type="dxa"/>
            <w:right w:w="108" w:type="dxa"/>
          </w:tblCellMar>
        </w:tblPrEx>
        <w:trPr>
          <w:trHeight w:val="540" w:hRule="atLeast"/>
        </w:trPr>
        <w:tc>
          <w:tcPr>
            <w:tcW w:w="1300" w:type="dxa"/>
            <w:vMerge w:val="continue"/>
            <w:tcBorders>
              <w:left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（6）灭火器根据要求定期检查更换。</w:t>
            </w:r>
          </w:p>
        </w:tc>
      </w:tr>
      <w:tr>
        <w:tblPrEx>
          <w:tblCellMar>
            <w:top w:w="0" w:type="dxa"/>
            <w:left w:w="108" w:type="dxa"/>
            <w:bottom w:w="0" w:type="dxa"/>
            <w:right w:w="108" w:type="dxa"/>
          </w:tblCellMar>
        </w:tblPrEx>
        <w:trPr>
          <w:trHeight w:val="270" w:hRule="atLeast"/>
        </w:trPr>
        <w:tc>
          <w:tcPr>
            <w:tcW w:w="1300" w:type="dxa"/>
            <w:vMerge w:val="continue"/>
            <w:tcBorders>
              <w:left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（7）定期给排水设备、设施的操作维修保养工作，确保正常供水。</w:t>
            </w:r>
          </w:p>
        </w:tc>
      </w:tr>
      <w:tr>
        <w:tblPrEx>
          <w:tblCellMar>
            <w:top w:w="0" w:type="dxa"/>
            <w:left w:w="108" w:type="dxa"/>
            <w:bottom w:w="0" w:type="dxa"/>
            <w:right w:w="108" w:type="dxa"/>
          </w:tblCellMar>
        </w:tblPrEx>
        <w:trPr>
          <w:trHeight w:val="270" w:hRule="atLeast"/>
        </w:trPr>
        <w:tc>
          <w:tcPr>
            <w:tcW w:w="1300" w:type="dxa"/>
            <w:vMerge w:val="continue"/>
            <w:tcBorders>
              <w:left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（8）定期做好电气设施、设备的操作维修保养工作，确保正常供电。</w:t>
            </w:r>
          </w:p>
        </w:tc>
      </w:tr>
      <w:tr>
        <w:tblPrEx>
          <w:tblCellMar>
            <w:top w:w="0" w:type="dxa"/>
            <w:left w:w="108" w:type="dxa"/>
            <w:bottom w:w="0" w:type="dxa"/>
            <w:right w:w="108" w:type="dxa"/>
          </w:tblCellMar>
        </w:tblPrEx>
        <w:trPr>
          <w:trHeight w:val="270" w:hRule="atLeast"/>
        </w:trPr>
        <w:tc>
          <w:tcPr>
            <w:tcW w:w="1300" w:type="dxa"/>
            <w:vMerge w:val="continue"/>
            <w:tcBorders>
              <w:left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二、建筑外立面及内部装修养护</w:t>
            </w:r>
          </w:p>
        </w:tc>
      </w:tr>
      <w:tr>
        <w:tblPrEx>
          <w:tblCellMar>
            <w:top w:w="0" w:type="dxa"/>
            <w:left w:w="108" w:type="dxa"/>
            <w:bottom w:w="0" w:type="dxa"/>
            <w:right w:w="108" w:type="dxa"/>
          </w:tblCellMar>
        </w:tblPrEx>
        <w:trPr>
          <w:trHeight w:val="270" w:hRule="atLeast"/>
        </w:trPr>
        <w:tc>
          <w:tcPr>
            <w:tcW w:w="1300" w:type="dxa"/>
            <w:vMerge w:val="continue"/>
            <w:tcBorders>
              <w:left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1、服务内容:物业管理区域内房屋地面、墙、台面及吊顶、门窗、楼梯、通风道、大厅大面积玻璃顶等的日常巡查和养护。</w:t>
            </w:r>
          </w:p>
        </w:tc>
      </w:tr>
      <w:tr>
        <w:tblPrEx>
          <w:tblCellMar>
            <w:top w:w="0" w:type="dxa"/>
            <w:left w:w="108" w:type="dxa"/>
            <w:bottom w:w="0" w:type="dxa"/>
            <w:right w:w="108" w:type="dxa"/>
          </w:tblCellMar>
        </w:tblPrEx>
        <w:trPr>
          <w:trHeight w:val="270" w:hRule="atLeast"/>
        </w:trPr>
        <w:tc>
          <w:tcPr>
            <w:tcW w:w="1300" w:type="dxa"/>
            <w:vMerge w:val="continue"/>
            <w:tcBorders>
              <w:left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2、服务质量标准:</w:t>
            </w:r>
          </w:p>
        </w:tc>
      </w:tr>
      <w:tr>
        <w:tblPrEx>
          <w:tblCellMar>
            <w:top w:w="0" w:type="dxa"/>
            <w:left w:w="108" w:type="dxa"/>
            <w:bottom w:w="0" w:type="dxa"/>
            <w:right w:w="108" w:type="dxa"/>
          </w:tblCellMar>
        </w:tblPrEx>
        <w:trPr>
          <w:trHeight w:val="270" w:hRule="atLeast"/>
        </w:trPr>
        <w:tc>
          <w:tcPr>
            <w:tcW w:w="1300" w:type="dxa"/>
            <w:vMerge w:val="continue"/>
            <w:tcBorders>
              <w:left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(1)确保物业管理区域内房屋及设施的完好等级和正常使用。</w:t>
            </w:r>
          </w:p>
        </w:tc>
      </w:tr>
      <w:tr>
        <w:tblPrEx>
          <w:tblCellMar>
            <w:top w:w="0" w:type="dxa"/>
            <w:left w:w="108" w:type="dxa"/>
            <w:bottom w:w="0" w:type="dxa"/>
            <w:right w:w="108" w:type="dxa"/>
          </w:tblCellMar>
        </w:tblPrEx>
        <w:trPr>
          <w:trHeight w:val="270" w:hRule="atLeast"/>
        </w:trPr>
        <w:tc>
          <w:tcPr>
            <w:tcW w:w="1300" w:type="dxa"/>
            <w:vMerge w:val="continue"/>
            <w:tcBorders>
              <w:left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(2)屋面排水沟、室内室外排水管保障畅通；雨前及时巡查，排除隐患。发现过滤网及管道破损及时修复或更换。</w:t>
            </w:r>
          </w:p>
        </w:tc>
      </w:tr>
      <w:tr>
        <w:tblPrEx>
          <w:tblCellMar>
            <w:top w:w="0" w:type="dxa"/>
            <w:left w:w="108" w:type="dxa"/>
            <w:bottom w:w="0" w:type="dxa"/>
            <w:right w:w="108" w:type="dxa"/>
          </w:tblCellMar>
        </w:tblPrEx>
        <w:trPr>
          <w:trHeight w:val="270" w:hRule="atLeast"/>
        </w:trPr>
        <w:tc>
          <w:tcPr>
            <w:tcW w:w="1300" w:type="dxa"/>
            <w:vMerge w:val="continue"/>
            <w:tcBorders>
              <w:left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(3)发现屋面或其他防水层有气鼓、破裂，隔热板有断裂、缺损的，屋面、墙面有渗漏的，应在3个工作日内及时维护。</w:t>
            </w:r>
          </w:p>
        </w:tc>
      </w:tr>
      <w:tr>
        <w:tblPrEx>
          <w:tblCellMar>
            <w:top w:w="0" w:type="dxa"/>
            <w:left w:w="108" w:type="dxa"/>
            <w:bottom w:w="0" w:type="dxa"/>
            <w:right w:w="108" w:type="dxa"/>
          </w:tblCellMar>
        </w:tblPrEx>
        <w:trPr>
          <w:trHeight w:val="270" w:hRule="atLeast"/>
        </w:trPr>
        <w:tc>
          <w:tcPr>
            <w:tcW w:w="1300" w:type="dxa"/>
            <w:vMerge w:val="continue"/>
            <w:tcBorders>
              <w:left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(4)及时完成家具、设备等各项零星维修任务，一般维修任务确保不超过24小时，确保家具、设备维修合格率达到100%。</w:t>
            </w:r>
          </w:p>
        </w:tc>
      </w:tr>
      <w:tr>
        <w:tblPrEx>
          <w:tblCellMar>
            <w:top w:w="0" w:type="dxa"/>
            <w:left w:w="108" w:type="dxa"/>
            <w:bottom w:w="0" w:type="dxa"/>
            <w:right w:w="108" w:type="dxa"/>
          </w:tblCellMar>
        </w:tblPrEx>
        <w:trPr>
          <w:trHeight w:val="790" w:hRule="atLeast"/>
        </w:trPr>
        <w:tc>
          <w:tcPr>
            <w:tcW w:w="1300" w:type="dxa"/>
            <w:vMerge w:val="continue"/>
            <w:tcBorders>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(5)楼内相关设施发现损坏应立即修复，安全标志等应清晰完整。保证各项设施、器材的正常使用。</w:t>
            </w:r>
          </w:p>
        </w:tc>
      </w:tr>
      <w:tr>
        <w:tblPrEx>
          <w:tblCellMar>
            <w:top w:w="0" w:type="dxa"/>
            <w:left w:w="108" w:type="dxa"/>
            <w:bottom w:w="0" w:type="dxa"/>
            <w:right w:w="108" w:type="dxa"/>
          </w:tblCellMar>
        </w:tblPrEx>
        <w:trPr>
          <w:trHeight w:val="417" w:hRule="atLeast"/>
        </w:trPr>
        <w:tc>
          <w:tcPr>
            <w:tcW w:w="130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r>
              <w:rPr>
                <w:rFonts w:hint="eastAsia" w:ascii="仿宋" w:hAnsi="仿宋" w:eastAsia="仿宋" w:cs="仿宋"/>
                <w:kern w:val="0"/>
                <w:sz w:val="22"/>
                <w:szCs w:val="22"/>
              </w:rPr>
              <w:t>六、空调维护</w:t>
            </w: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▲人员要求：空调维护1人（可兼职）</w:t>
            </w:r>
          </w:p>
        </w:tc>
      </w:tr>
      <w:tr>
        <w:tblPrEx>
          <w:tblCellMar>
            <w:top w:w="0" w:type="dxa"/>
            <w:left w:w="108" w:type="dxa"/>
            <w:bottom w:w="0" w:type="dxa"/>
            <w:right w:w="108" w:type="dxa"/>
          </w:tblCellMar>
        </w:tblPrEx>
        <w:trPr>
          <w:trHeight w:val="417" w:hRule="atLeast"/>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工作内容：对文体大楼整体区域的空调室内外机进行日常维护，保持正常运行。</w:t>
            </w:r>
          </w:p>
        </w:tc>
      </w:tr>
      <w:tr>
        <w:tblPrEx>
          <w:tblCellMar>
            <w:top w:w="0" w:type="dxa"/>
            <w:left w:w="108" w:type="dxa"/>
            <w:bottom w:w="0" w:type="dxa"/>
            <w:right w:w="108" w:type="dxa"/>
          </w:tblCellMar>
        </w:tblPrEx>
        <w:trPr>
          <w:trHeight w:val="417" w:hRule="atLeast"/>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服务标准：</w:t>
            </w:r>
          </w:p>
        </w:tc>
      </w:tr>
      <w:tr>
        <w:tblPrEx>
          <w:tblCellMar>
            <w:top w:w="0" w:type="dxa"/>
            <w:left w:w="108" w:type="dxa"/>
            <w:bottom w:w="0" w:type="dxa"/>
            <w:right w:w="108" w:type="dxa"/>
          </w:tblCellMar>
        </w:tblPrEx>
        <w:trPr>
          <w:trHeight w:val="417" w:hRule="atLeast"/>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left"/>
              <w:rPr>
                <w:rFonts w:ascii="仿宋" w:hAnsi="仿宋" w:eastAsia="仿宋" w:cs="仿宋"/>
                <w:kern w:val="0"/>
                <w:sz w:val="22"/>
                <w:szCs w:val="22"/>
              </w:rPr>
            </w:pPr>
            <w:r>
              <w:rPr>
                <w:rFonts w:hint="eastAsia" w:ascii="仿宋" w:hAnsi="仿宋" w:eastAsia="仿宋" w:cs="仿宋"/>
                <w:kern w:val="0"/>
                <w:sz w:val="22"/>
                <w:szCs w:val="22"/>
              </w:rPr>
              <w:t>定期对空调进行运行排查，保持空调正常使用；</w:t>
            </w:r>
          </w:p>
          <w:p>
            <w:pPr>
              <w:widowControl/>
              <w:numPr>
                <w:ilvl w:val="0"/>
                <w:numId w:val="1"/>
              </w:numPr>
              <w:jc w:val="left"/>
              <w:rPr>
                <w:rFonts w:ascii="仿宋" w:hAnsi="仿宋" w:eastAsia="仿宋" w:cs="仿宋"/>
                <w:kern w:val="0"/>
                <w:sz w:val="22"/>
                <w:szCs w:val="22"/>
              </w:rPr>
            </w:pPr>
            <w:r>
              <w:rPr>
                <w:rFonts w:hint="eastAsia" w:ascii="仿宋" w:hAnsi="仿宋" w:eastAsia="仿宋" w:cs="仿宋"/>
                <w:kern w:val="0"/>
                <w:sz w:val="22"/>
                <w:szCs w:val="22"/>
              </w:rPr>
              <w:t>发现空调有运行故障或电路损坏情况，应做好记录，并在24小时内维修完成。</w:t>
            </w:r>
          </w:p>
          <w:p>
            <w:pPr>
              <w:widowControl/>
              <w:numPr>
                <w:ilvl w:val="0"/>
                <w:numId w:val="1"/>
              </w:numPr>
              <w:jc w:val="left"/>
              <w:rPr>
                <w:rFonts w:ascii="仿宋" w:hAnsi="仿宋" w:eastAsia="仿宋" w:cs="仿宋"/>
                <w:kern w:val="0"/>
                <w:sz w:val="22"/>
                <w:szCs w:val="22"/>
              </w:rPr>
            </w:pPr>
            <w:r>
              <w:rPr>
                <w:rFonts w:hint="eastAsia" w:ascii="仿宋" w:hAnsi="仿宋" w:eastAsia="仿宋" w:cs="仿宋"/>
                <w:kern w:val="0"/>
                <w:sz w:val="22"/>
                <w:szCs w:val="22"/>
              </w:rPr>
              <w:t>空调维修不得对办公人员正在进行的会议或相关活动造成影响。</w:t>
            </w:r>
          </w:p>
          <w:p>
            <w:pPr>
              <w:widowControl/>
              <w:numPr>
                <w:ilvl w:val="0"/>
                <w:numId w:val="1"/>
              </w:numPr>
              <w:jc w:val="left"/>
              <w:rPr>
                <w:rFonts w:ascii="仿宋" w:hAnsi="仿宋" w:eastAsia="仿宋" w:cs="仿宋"/>
                <w:kern w:val="0"/>
                <w:sz w:val="22"/>
                <w:szCs w:val="22"/>
              </w:rPr>
            </w:pPr>
            <w:r>
              <w:rPr>
                <w:rFonts w:hint="eastAsia" w:ascii="仿宋" w:hAnsi="仿宋" w:eastAsia="仿宋" w:cs="仿宋"/>
                <w:kern w:val="0"/>
                <w:sz w:val="22"/>
                <w:szCs w:val="22"/>
              </w:rPr>
              <w:t>如遇空调机损坏，无法维修的情况，应立即记录并上报招标人，与招标人协商后再行决定。</w:t>
            </w:r>
          </w:p>
        </w:tc>
      </w:tr>
      <w:tr>
        <w:tblPrEx>
          <w:tblCellMar>
            <w:top w:w="0" w:type="dxa"/>
            <w:left w:w="108" w:type="dxa"/>
            <w:bottom w:w="0" w:type="dxa"/>
            <w:right w:w="108" w:type="dxa"/>
          </w:tblCellMar>
        </w:tblPrEx>
        <w:trPr>
          <w:trHeight w:val="417" w:hRule="atLeast"/>
        </w:trPr>
        <w:tc>
          <w:tcPr>
            <w:tcW w:w="130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2"/>
                <w:szCs w:val="22"/>
              </w:rPr>
            </w:pPr>
            <w:r>
              <w:rPr>
                <w:rFonts w:hint="eastAsia" w:ascii="仿宋" w:hAnsi="仿宋" w:eastAsia="仿宋" w:cs="仿宋"/>
                <w:kern w:val="0"/>
                <w:sz w:val="22"/>
                <w:szCs w:val="22"/>
              </w:rPr>
              <w:t>七、服务范围内电梯养护</w:t>
            </w: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▲人员要求：电梯养护人员不少于1人（可分包）</w:t>
            </w:r>
          </w:p>
        </w:tc>
      </w:tr>
      <w:tr>
        <w:tblPrEx>
          <w:tblCellMar>
            <w:top w:w="0" w:type="dxa"/>
            <w:left w:w="108" w:type="dxa"/>
            <w:bottom w:w="0" w:type="dxa"/>
            <w:right w:w="108" w:type="dxa"/>
          </w:tblCellMar>
        </w:tblPrEx>
        <w:trPr>
          <w:trHeight w:val="417" w:hRule="atLeast"/>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2"/>
                <w:szCs w:val="22"/>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工作内容：对招标范围内的电梯进行日常运维，保证电梯正常运行。</w:t>
            </w:r>
          </w:p>
        </w:tc>
      </w:tr>
      <w:tr>
        <w:tblPrEx>
          <w:tblCellMar>
            <w:top w:w="0" w:type="dxa"/>
            <w:left w:w="108" w:type="dxa"/>
            <w:bottom w:w="0" w:type="dxa"/>
            <w:right w:w="108" w:type="dxa"/>
          </w:tblCellMar>
        </w:tblPrEx>
        <w:trPr>
          <w:trHeight w:val="417" w:hRule="atLeast"/>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2"/>
                <w:szCs w:val="22"/>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服务内容：</w:t>
            </w:r>
          </w:p>
        </w:tc>
      </w:tr>
      <w:tr>
        <w:tblPrEx>
          <w:tblCellMar>
            <w:top w:w="0" w:type="dxa"/>
            <w:left w:w="108" w:type="dxa"/>
            <w:bottom w:w="0" w:type="dxa"/>
            <w:right w:w="108" w:type="dxa"/>
          </w:tblCellMar>
        </w:tblPrEx>
        <w:trPr>
          <w:trHeight w:val="417" w:hRule="atLeast"/>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2"/>
                <w:szCs w:val="22"/>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left"/>
              <w:rPr>
                <w:rFonts w:ascii="仿宋" w:hAnsi="仿宋" w:eastAsia="仿宋" w:cs="仿宋"/>
                <w:kern w:val="0"/>
                <w:sz w:val="22"/>
                <w:szCs w:val="22"/>
              </w:rPr>
            </w:pPr>
            <w:r>
              <w:rPr>
                <w:rFonts w:hint="eastAsia" w:ascii="仿宋" w:hAnsi="仿宋" w:eastAsia="仿宋" w:cs="仿宋"/>
                <w:kern w:val="0"/>
                <w:sz w:val="22"/>
                <w:szCs w:val="22"/>
              </w:rPr>
              <w:t>对电梯进行每日试运行，定期检查电梯相关设施设备，保证电梯的安全正常使用；</w:t>
            </w:r>
          </w:p>
          <w:p>
            <w:pPr>
              <w:widowControl/>
              <w:numPr>
                <w:ilvl w:val="0"/>
                <w:numId w:val="2"/>
              </w:numPr>
              <w:jc w:val="left"/>
              <w:rPr>
                <w:rFonts w:ascii="仿宋" w:hAnsi="仿宋" w:eastAsia="仿宋" w:cs="仿宋"/>
                <w:kern w:val="0"/>
                <w:sz w:val="22"/>
                <w:szCs w:val="22"/>
              </w:rPr>
            </w:pPr>
            <w:r>
              <w:rPr>
                <w:rFonts w:hint="eastAsia" w:ascii="仿宋" w:hAnsi="仿宋" w:eastAsia="仿宋" w:cs="仿宋"/>
                <w:kern w:val="0"/>
                <w:sz w:val="22"/>
                <w:szCs w:val="22"/>
              </w:rPr>
              <w:t>电梯维修期间放置安全标识牌，佩戴相关安全设施，保证电梯维修期间的维保人员及使用人员的安全；</w:t>
            </w:r>
          </w:p>
          <w:p>
            <w:pPr>
              <w:widowControl/>
              <w:numPr>
                <w:ilvl w:val="0"/>
                <w:numId w:val="2"/>
              </w:numPr>
              <w:jc w:val="left"/>
              <w:rPr>
                <w:rFonts w:ascii="仿宋" w:hAnsi="仿宋" w:eastAsia="仿宋" w:cs="仿宋"/>
                <w:kern w:val="0"/>
                <w:sz w:val="22"/>
                <w:szCs w:val="22"/>
              </w:rPr>
            </w:pPr>
            <w:r>
              <w:rPr>
                <w:rFonts w:hint="eastAsia" w:ascii="仿宋" w:hAnsi="仿宋" w:eastAsia="仿宋" w:cs="仿宋"/>
                <w:kern w:val="0"/>
                <w:sz w:val="22"/>
                <w:szCs w:val="22"/>
              </w:rPr>
              <w:t>如遇电梯故障，停运，应第一时间关闭电梯进行排查，如遇人员被困电梯厢，立即与招标人联系，并联系消防部门解救被困人员。</w:t>
            </w:r>
          </w:p>
        </w:tc>
      </w:tr>
      <w:tr>
        <w:tblPrEx>
          <w:tblCellMar>
            <w:top w:w="0" w:type="dxa"/>
            <w:left w:w="108" w:type="dxa"/>
            <w:bottom w:w="0" w:type="dxa"/>
            <w:right w:w="108" w:type="dxa"/>
          </w:tblCellMar>
        </w:tblPrEx>
        <w:trPr>
          <w:trHeight w:val="417" w:hRule="atLeast"/>
        </w:trPr>
        <w:tc>
          <w:tcPr>
            <w:tcW w:w="130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2"/>
                <w:szCs w:val="22"/>
              </w:rPr>
            </w:pPr>
            <w:r>
              <w:rPr>
                <w:rFonts w:hint="eastAsia" w:ascii="仿宋" w:hAnsi="仿宋" w:eastAsia="仿宋" w:cs="仿宋"/>
                <w:kern w:val="0"/>
                <w:sz w:val="22"/>
                <w:szCs w:val="22"/>
              </w:rPr>
              <w:t>八、室内盆栽租赁更换养护、部分绿化养护</w:t>
            </w: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▲人员要求：养护人员不少于1人（可兼职）</w:t>
            </w:r>
          </w:p>
        </w:tc>
      </w:tr>
      <w:tr>
        <w:tblPrEx>
          <w:tblCellMar>
            <w:top w:w="0" w:type="dxa"/>
            <w:left w:w="108" w:type="dxa"/>
            <w:bottom w:w="0" w:type="dxa"/>
            <w:right w:w="108" w:type="dxa"/>
          </w:tblCellMar>
        </w:tblPrEx>
        <w:trPr>
          <w:trHeight w:val="417" w:hRule="atLeast"/>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工作内容：对招标范围内的室内盆栽进行养护更换，对室外绿化进行日常养护。</w:t>
            </w:r>
          </w:p>
        </w:tc>
      </w:tr>
      <w:tr>
        <w:tblPrEx>
          <w:tblCellMar>
            <w:top w:w="0" w:type="dxa"/>
            <w:left w:w="108" w:type="dxa"/>
            <w:bottom w:w="0" w:type="dxa"/>
            <w:right w:w="108" w:type="dxa"/>
          </w:tblCellMar>
        </w:tblPrEx>
        <w:trPr>
          <w:trHeight w:val="417" w:hRule="atLeast"/>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服务内容：</w:t>
            </w:r>
          </w:p>
        </w:tc>
      </w:tr>
      <w:tr>
        <w:tblPrEx>
          <w:tblCellMar>
            <w:top w:w="0" w:type="dxa"/>
            <w:left w:w="108" w:type="dxa"/>
            <w:bottom w:w="0" w:type="dxa"/>
            <w:right w:w="108" w:type="dxa"/>
          </w:tblCellMar>
        </w:tblPrEx>
        <w:trPr>
          <w:trHeight w:val="417" w:hRule="atLeast"/>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c>
          <w:tcPr>
            <w:tcW w:w="7489"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jc w:val="left"/>
              <w:rPr>
                <w:rFonts w:ascii="仿宋" w:hAnsi="仿宋" w:eastAsia="仿宋" w:cs="仿宋"/>
                <w:kern w:val="0"/>
                <w:sz w:val="22"/>
                <w:szCs w:val="22"/>
              </w:rPr>
            </w:pPr>
            <w:r>
              <w:rPr>
                <w:rFonts w:hint="eastAsia" w:ascii="仿宋" w:hAnsi="仿宋" w:eastAsia="仿宋" w:cs="仿宋"/>
                <w:kern w:val="0"/>
                <w:sz w:val="22"/>
                <w:szCs w:val="22"/>
              </w:rPr>
              <w:t>对径山镇综合性文体活动中心及径山画院内部盆栽进行养护更换，确保绿植完好率95%以上。</w:t>
            </w:r>
          </w:p>
          <w:p>
            <w:pPr>
              <w:widowControl/>
              <w:numPr>
                <w:ilvl w:val="0"/>
                <w:numId w:val="3"/>
              </w:numPr>
              <w:jc w:val="left"/>
              <w:rPr>
                <w:rFonts w:ascii="仿宋" w:hAnsi="仿宋" w:eastAsia="仿宋" w:cs="仿宋"/>
                <w:kern w:val="0"/>
                <w:sz w:val="22"/>
                <w:szCs w:val="22"/>
              </w:rPr>
            </w:pPr>
            <w:r>
              <w:rPr>
                <w:rFonts w:hint="eastAsia" w:ascii="仿宋" w:hAnsi="仿宋" w:eastAsia="仿宋" w:cs="仿宋"/>
                <w:kern w:val="0"/>
                <w:sz w:val="22"/>
                <w:szCs w:val="22"/>
              </w:rPr>
              <w:t>对径山镇综合性文体活动中心及径山画院范围内的室外绿化内容进行养护，确保绿植完好率95%以上。</w:t>
            </w:r>
          </w:p>
          <w:p>
            <w:pPr>
              <w:widowControl/>
              <w:numPr>
                <w:ilvl w:val="0"/>
                <w:numId w:val="3"/>
              </w:numPr>
              <w:jc w:val="left"/>
              <w:rPr>
                <w:rFonts w:ascii="仿宋" w:hAnsi="仿宋" w:eastAsia="仿宋" w:cs="仿宋"/>
                <w:kern w:val="0"/>
                <w:sz w:val="22"/>
                <w:szCs w:val="22"/>
              </w:rPr>
            </w:pPr>
            <w:r>
              <w:rPr>
                <w:rFonts w:hint="eastAsia" w:ascii="仿宋" w:hAnsi="仿宋" w:eastAsia="仿宋" w:cs="仿宋"/>
                <w:kern w:val="0"/>
                <w:sz w:val="22"/>
                <w:szCs w:val="22"/>
              </w:rPr>
              <w:t>对服务范围内的室内盆栽及室外绿化内容定期养护，除虫，修剪等日常养护工作。</w:t>
            </w:r>
          </w:p>
        </w:tc>
      </w:tr>
    </w:tbl>
    <w:p>
      <w:pPr>
        <w:snapToGrid w:val="0"/>
        <w:spacing w:line="360" w:lineRule="auto"/>
        <w:rPr>
          <w:rFonts w:ascii="仿宋" w:hAnsi="仿宋" w:eastAsia="仿宋" w:cs="仿宋"/>
          <w:b/>
        </w:rPr>
      </w:pPr>
    </w:p>
    <w:p>
      <w:pPr>
        <w:snapToGrid w:val="0"/>
        <w:spacing w:line="360" w:lineRule="auto"/>
        <w:rPr>
          <w:rFonts w:ascii="仿宋" w:hAnsi="仿宋" w:eastAsia="仿宋" w:cs="仿宋"/>
          <w:b/>
          <w:bCs/>
          <w:sz w:val="24"/>
          <w:szCs w:val="22"/>
        </w:rPr>
      </w:pPr>
      <w:r>
        <w:rPr>
          <w:rFonts w:hint="eastAsia" w:ascii="仿宋" w:hAnsi="仿宋" w:eastAsia="仿宋" w:cs="仿宋"/>
          <w:b/>
          <w:bCs/>
          <w:sz w:val="24"/>
          <w:szCs w:val="22"/>
        </w:rPr>
        <w:t xml:space="preserve">   三、付款结算方式：</w:t>
      </w:r>
    </w:p>
    <w:p>
      <w:pPr>
        <w:snapToGrid w:val="0"/>
        <w:spacing w:line="360" w:lineRule="auto"/>
        <w:ind w:firstLine="480" w:firstLineChars="200"/>
        <w:rPr>
          <w:rFonts w:ascii="仿宋" w:hAnsi="仿宋" w:eastAsia="仿宋" w:cs="仿宋"/>
          <w:bCs/>
          <w:sz w:val="24"/>
          <w:szCs w:val="22"/>
        </w:rPr>
      </w:pPr>
      <w:r>
        <w:rPr>
          <w:rFonts w:hint="eastAsia" w:ascii="仿宋" w:hAnsi="仿宋" w:eastAsia="仿宋" w:cs="仿宋"/>
          <w:bCs/>
          <w:sz w:val="24"/>
          <w:szCs w:val="22"/>
        </w:rPr>
        <w:t>1、预付款：在合同生效以及具备实施条件后15日内采购人支付合同价20%预付款，后期每季度结算时扣除，直至结清。采购人支付预付款后供应商应提供预付款保函给采购人，确保项目按合同如期履行。</w:t>
      </w:r>
    </w:p>
    <w:p>
      <w:pPr>
        <w:snapToGrid w:val="0"/>
        <w:spacing w:line="360" w:lineRule="auto"/>
        <w:ind w:firstLine="480" w:firstLineChars="200"/>
        <w:rPr>
          <w:rFonts w:ascii="仿宋" w:hAnsi="仿宋" w:eastAsia="仿宋" w:cs="仿宋"/>
          <w:bCs/>
          <w:sz w:val="24"/>
          <w:szCs w:val="22"/>
        </w:rPr>
      </w:pPr>
      <w:r>
        <w:rPr>
          <w:rFonts w:hint="eastAsia" w:ascii="仿宋" w:hAnsi="仿宋" w:eastAsia="仿宋" w:cs="仿宋"/>
          <w:bCs/>
          <w:sz w:val="24"/>
          <w:szCs w:val="22"/>
        </w:rPr>
        <w:t>2、甲方付款前，乙方必须提交符合要求的发票。</w:t>
      </w:r>
    </w:p>
    <w:p>
      <w:pPr>
        <w:snapToGrid w:val="0"/>
        <w:spacing w:line="360" w:lineRule="auto"/>
        <w:ind w:firstLine="480" w:firstLineChars="200"/>
        <w:rPr>
          <w:rFonts w:ascii="仿宋" w:hAnsi="仿宋" w:eastAsia="仿宋" w:cs="仿宋"/>
          <w:bCs/>
          <w:sz w:val="24"/>
          <w:szCs w:val="22"/>
        </w:rPr>
      </w:pPr>
      <w:r>
        <w:rPr>
          <w:rFonts w:hint="eastAsia" w:ascii="仿宋" w:hAnsi="仿宋" w:eastAsia="仿宋" w:cs="仿宋"/>
          <w:bCs/>
          <w:sz w:val="24"/>
          <w:szCs w:val="22"/>
        </w:rPr>
        <w:t>3、结合考核结果（考核文件由采购人根据采购服务条款进行制定）按季度支付。</w:t>
      </w:r>
    </w:p>
    <w:p>
      <w:pPr>
        <w:snapToGrid w:val="0"/>
        <w:spacing w:line="360" w:lineRule="auto"/>
        <w:ind w:firstLine="480" w:firstLineChars="200"/>
        <w:rPr>
          <w:rFonts w:ascii="仿宋" w:hAnsi="仿宋" w:eastAsia="仿宋" w:cs="仿宋"/>
          <w:bCs/>
          <w:sz w:val="24"/>
          <w:szCs w:val="22"/>
        </w:rPr>
      </w:pPr>
      <w:r>
        <w:rPr>
          <w:rFonts w:hint="eastAsia" w:ascii="仿宋" w:hAnsi="仿宋" w:eastAsia="仿宋" w:cs="仿宋"/>
          <w:bCs/>
          <w:sz w:val="24"/>
          <w:szCs w:val="22"/>
        </w:rPr>
        <w:t>4、物业公司因工作失误造成的扣款在季付款的同时相应扣除。</w:t>
      </w:r>
    </w:p>
    <w:p>
      <w:pPr>
        <w:snapToGrid w:val="0"/>
        <w:spacing w:line="360" w:lineRule="auto"/>
        <w:rPr>
          <w:rFonts w:ascii="仿宋" w:hAnsi="仿宋" w:eastAsia="仿宋" w:cs="仿宋"/>
          <w:b/>
          <w:bCs/>
          <w:sz w:val="24"/>
          <w:szCs w:val="22"/>
        </w:rPr>
      </w:pPr>
      <w:r>
        <w:rPr>
          <w:rFonts w:hint="eastAsia" w:ascii="仿宋" w:hAnsi="仿宋" w:eastAsia="仿宋" w:cs="仿宋"/>
          <w:b/>
          <w:bCs/>
          <w:sz w:val="24"/>
          <w:szCs w:val="22"/>
        </w:rPr>
        <w:t xml:space="preserve">   四、履约保证金：</w:t>
      </w:r>
    </w:p>
    <w:p>
      <w:pPr>
        <w:pStyle w:val="618"/>
        <w:widowControl/>
        <w:rPr>
          <w:rFonts w:hint="default" w:ascii="仿宋" w:hAnsi="仿宋" w:eastAsia="仿宋" w:cs="仿宋"/>
          <w:color w:val="auto"/>
        </w:rPr>
      </w:pPr>
      <w:r>
        <w:rPr>
          <w:rFonts w:ascii="仿宋" w:hAnsi="仿宋" w:eastAsia="仿宋" w:cs="仿宋"/>
          <w:color w:val="auto"/>
        </w:rPr>
        <w:t>1、签订合同后15个工作日内，乙方须向甲方交纳相当于合同总额2.5%的履约保证金。以保证乙方遵守本合同的一切条款、条件和承诺，该保证金在甲方的规定存续期间不计息。</w:t>
      </w:r>
    </w:p>
    <w:p>
      <w:pPr>
        <w:pStyle w:val="618"/>
        <w:widowControl/>
        <w:rPr>
          <w:rFonts w:hint="default" w:ascii="仿宋" w:hAnsi="仿宋" w:eastAsia="仿宋" w:cs="仿宋"/>
          <w:color w:val="auto"/>
        </w:rPr>
      </w:pPr>
      <w:r>
        <w:rPr>
          <w:rFonts w:ascii="仿宋" w:hAnsi="仿宋" w:eastAsia="仿宋" w:cs="仿宋"/>
          <w:color w:val="auto"/>
        </w:rPr>
        <w:t>2、甲方有权从履约保证金中扣除用于因乙方违约而导致损失的金额和违约金。</w:t>
      </w:r>
    </w:p>
    <w:p>
      <w:pPr>
        <w:pStyle w:val="618"/>
        <w:widowControl/>
        <w:rPr>
          <w:rFonts w:hint="default" w:ascii="仿宋" w:hAnsi="仿宋" w:eastAsia="仿宋" w:cs="仿宋"/>
          <w:color w:val="auto"/>
        </w:rPr>
      </w:pPr>
      <w:r>
        <w:rPr>
          <w:rFonts w:ascii="仿宋" w:hAnsi="仿宋" w:eastAsia="仿宋" w:cs="仿宋"/>
          <w:color w:val="auto"/>
        </w:rPr>
        <w:t>3、甲方认为乙方在服务期内没有涉及甲方的应付而未付金额或违约行为，甲方在服务期满后（或提前终止承包后一个月内）全额退还履约保证金，否则，甲方将在扣除乙方应付金额或违约金后退还保证金余额。</w:t>
      </w:r>
    </w:p>
    <w:p>
      <w:pPr>
        <w:spacing w:line="360" w:lineRule="auto"/>
        <w:ind w:right="60"/>
        <w:rPr>
          <w:rFonts w:ascii="仿宋" w:hAnsi="仿宋" w:eastAsia="仿宋" w:cs="仿宋"/>
          <w:b/>
          <w:bCs/>
          <w:sz w:val="24"/>
          <w:szCs w:val="22"/>
        </w:rPr>
      </w:pPr>
      <w:r>
        <w:rPr>
          <w:rFonts w:hint="eastAsia" w:ascii="仿宋" w:hAnsi="仿宋" w:eastAsia="仿宋" w:cs="仿宋"/>
          <w:b/>
          <w:bCs/>
          <w:sz w:val="24"/>
          <w:szCs w:val="22"/>
        </w:rPr>
        <w:t xml:space="preserve">   五、管理服务费用要求：</w:t>
      </w:r>
    </w:p>
    <w:p>
      <w:pPr>
        <w:pStyle w:val="618"/>
        <w:widowControl/>
        <w:rPr>
          <w:rFonts w:hint="default" w:ascii="仿宋" w:hAnsi="仿宋" w:eastAsia="仿宋" w:cs="仿宋"/>
          <w:color w:val="auto"/>
        </w:rPr>
      </w:pPr>
      <w:r>
        <w:rPr>
          <w:rFonts w:ascii="仿宋" w:hAnsi="仿宋" w:eastAsia="仿宋" w:cs="仿宋"/>
          <w:color w:val="auto"/>
        </w:rPr>
        <w:t>1、物业管理服务费用以签订的合同价为准。</w:t>
      </w:r>
    </w:p>
    <w:p>
      <w:pPr>
        <w:pStyle w:val="618"/>
        <w:widowControl/>
        <w:rPr>
          <w:rFonts w:hint="default" w:ascii="仿宋" w:hAnsi="仿宋" w:eastAsia="仿宋" w:cs="仿宋"/>
          <w:color w:val="auto"/>
        </w:rPr>
      </w:pPr>
      <w:r>
        <w:rPr>
          <w:rFonts w:ascii="仿宋" w:hAnsi="仿宋" w:eastAsia="仿宋" w:cs="仿宋"/>
          <w:color w:val="auto"/>
        </w:rPr>
        <w:t>2、中标单位需承担相关所需安保用品、物业保洁和维护设备、工具及所有保洁消耗品。办公设备由采购单位按需配置在提供的办公区域内，办公用品所需耗材由中标单位自行承担。</w:t>
      </w:r>
    </w:p>
    <w:p>
      <w:pPr>
        <w:snapToGrid w:val="0"/>
        <w:spacing w:line="360" w:lineRule="auto"/>
        <w:rPr>
          <w:rFonts w:ascii="仿宋" w:hAnsi="仿宋" w:eastAsia="仿宋" w:cs="仿宋"/>
          <w:b/>
          <w:bCs/>
          <w:sz w:val="24"/>
          <w:szCs w:val="22"/>
        </w:rPr>
      </w:pPr>
      <w:r>
        <w:rPr>
          <w:rFonts w:hint="eastAsia" w:ascii="仿宋" w:hAnsi="仿宋" w:eastAsia="仿宋" w:cs="仿宋"/>
          <w:b/>
          <w:bCs/>
          <w:sz w:val="24"/>
          <w:szCs w:val="22"/>
        </w:rPr>
        <w:t xml:space="preserve">   六、服务期限：</w:t>
      </w:r>
    </w:p>
    <w:p>
      <w:pPr>
        <w:shd w:val="clear" w:color="040000" w:fill="FFFFFF"/>
        <w:snapToGrid w:val="0"/>
        <w:spacing w:line="360" w:lineRule="auto"/>
        <w:ind w:firstLine="480" w:firstLineChars="200"/>
        <w:rPr>
          <w:rFonts w:ascii="仿宋" w:hAnsi="仿宋" w:eastAsia="仿宋" w:cs="仿宋"/>
          <w:b/>
          <w:bCs/>
          <w:sz w:val="24"/>
          <w:szCs w:val="22"/>
          <w:shd w:val="clear" w:color="050000" w:fill="FFFFFF"/>
        </w:rPr>
      </w:pPr>
      <w:r>
        <w:rPr>
          <w:rFonts w:hint="eastAsia" w:ascii="仿宋" w:hAnsi="仿宋" w:eastAsia="仿宋" w:cs="仿宋"/>
          <w:sz w:val="24"/>
          <w:szCs w:val="22"/>
          <w:shd w:val="clear" w:color="040000" w:fill="FFFFFF"/>
        </w:rPr>
        <w:t>自合同签订之日起12个月。若在合同期内中标单位有严重违约行为，采购人有权提前终止合同，由此造成的一切后果和损失由中标单位承担</w:t>
      </w:r>
      <w:r>
        <w:rPr>
          <w:rFonts w:hint="eastAsia" w:ascii="仿宋" w:hAnsi="仿宋" w:eastAsia="仿宋" w:cs="仿宋"/>
          <w:b/>
          <w:bCs/>
          <w:sz w:val="24"/>
          <w:szCs w:val="22"/>
          <w:shd w:val="clear" w:color="060000" w:fill="FFFFFF"/>
        </w:rPr>
        <w:t>。</w:t>
      </w:r>
    </w:p>
    <w:p>
      <w:pPr>
        <w:snapToGrid w:val="0"/>
        <w:spacing w:line="360" w:lineRule="auto"/>
        <w:rPr>
          <w:rFonts w:ascii="仿宋" w:hAnsi="仿宋" w:eastAsia="仿宋" w:cs="仿宋"/>
          <w:b/>
          <w:bCs/>
          <w:sz w:val="24"/>
          <w:szCs w:val="22"/>
        </w:rPr>
      </w:pPr>
      <w:r>
        <w:rPr>
          <w:rFonts w:hint="eastAsia" w:ascii="仿宋" w:hAnsi="仿宋" w:eastAsia="仿宋" w:cs="仿宋"/>
          <w:b/>
          <w:bCs/>
          <w:sz w:val="24"/>
          <w:szCs w:val="22"/>
        </w:rPr>
        <w:t xml:space="preserve">   七、检查与考核：</w:t>
      </w:r>
    </w:p>
    <w:p>
      <w:pPr>
        <w:shd w:val="clear" w:color="040000" w:fill="FFFFFF"/>
        <w:snapToGrid w:val="0"/>
        <w:spacing w:line="360" w:lineRule="auto"/>
        <w:rPr>
          <w:rFonts w:ascii="仿宋" w:hAnsi="仿宋" w:eastAsia="仿宋" w:cs="仿宋"/>
          <w:sz w:val="24"/>
          <w:szCs w:val="22"/>
          <w:shd w:val="clear" w:color="040000" w:fill="FFFFFF"/>
        </w:rPr>
      </w:pPr>
      <w:r>
        <w:rPr>
          <w:rFonts w:hint="eastAsia" w:ascii="仿宋" w:hAnsi="仿宋" w:eastAsia="仿宋" w:cs="仿宋"/>
          <w:sz w:val="24"/>
          <w:szCs w:val="22"/>
          <w:shd w:val="clear" w:color="040000" w:fill="FFFFFF"/>
        </w:rPr>
        <w:t xml:space="preserve">    1、中标人应制订具体的质量保证措施及质量保证和相关服务承诺。供应商所有的工作除应按中标人的内部流程实施外，还应接受采购人或第三方的随时检查。如因质量未达到目标，采购人有权要求其整改，同时中标人应承担责任和经济赔偿（扣款或终止合同）。</w:t>
      </w:r>
    </w:p>
    <w:p>
      <w:pPr>
        <w:shd w:val="clear" w:color="040000" w:fill="FFFFFF"/>
        <w:snapToGrid w:val="0"/>
        <w:spacing w:line="360" w:lineRule="auto"/>
        <w:rPr>
          <w:rFonts w:ascii="仿宋" w:hAnsi="仿宋" w:eastAsia="仿宋" w:cs="仿宋"/>
          <w:sz w:val="24"/>
          <w:szCs w:val="22"/>
          <w:shd w:val="clear" w:color="040000" w:fill="FFFFFF"/>
        </w:rPr>
      </w:pPr>
      <w:r>
        <w:rPr>
          <w:rFonts w:hint="eastAsia" w:ascii="仿宋" w:hAnsi="仿宋" w:eastAsia="仿宋" w:cs="仿宋"/>
          <w:sz w:val="24"/>
          <w:szCs w:val="22"/>
          <w:shd w:val="clear" w:color="040000" w:fill="FFFFFF"/>
        </w:rPr>
        <w:t xml:space="preserve">    2、采购人定期和不定期地对中标人管理服务进行检查和抽查，检查记录和整改时限反馈服务方。并每季对保洁服务（范围：径山镇文体大楼、径山画院）、保安服务、会务服务、房屋内设施设备的零星养护维修服务及日常水电维修服务、空调维护、服务范围内电梯养护、室内盆栽租赁更换养护、部分绿化养护等内容的检查结果进行考核。</w:t>
      </w:r>
    </w:p>
    <w:p>
      <w:pPr>
        <w:shd w:val="clear" w:color="040000" w:fill="FFFFFF"/>
        <w:snapToGrid w:val="0"/>
        <w:spacing w:line="360" w:lineRule="auto"/>
        <w:rPr>
          <w:rFonts w:ascii="仿宋" w:hAnsi="仿宋" w:eastAsia="仿宋" w:cs="仿宋"/>
          <w:sz w:val="24"/>
          <w:szCs w:val="22"/>
          <w:shd w:val="clear" w:color="040000" w:fill="FFFFFF"/>
        </w:rPr>
      </w:pPr>
      <w:r>
        <w:rPr>
          <w:rFonts w:hint="eastAsia" w:ascii="仿宋" w:hAnsi="仿宋" w:eastAsia="仿宋" w:cs="仿宋"/>
          <w:sz w:val="24"/>
          <w:szCs w:val="22"/>
          <w:shd w:val="clear" w:color="040000" w:fill="FFFFFF"/>
        </w:rPr>
        <w:t xml:space="preserve">    3、中标人应严格按照招标文件和投标文件约定各项工资福利待遇给予发放给员工，采购人将定期和不定期对此进行检查、监督。未按要求发放工资福利待遇的，采购人将扣除相应款项，同时中标人应承担责任和经济赔偿（扣款或终止合同）。</w:t>
      </w:r>
    </w:p>
    <w:p>
      <w:pPr>
        <w:snapToGrid w:val="0"/>
        <w:spacing w:line="360" w:lineRule="auto"/>
        <w:rPr>
          <w:rFonts w:ascii="仿宋" w:hAnsi="仿宋" w:eastAsia="仿宋" w:cs="仿宋"/>
          <w:b/>
          <w:bCs/>
          <w:sz w:val="24"/>
          <w:szCs w:val="22"/>
        </w:rPr>
      </w:pPr>
      <w:r>
        <w:rPr>
          <w:rFonts w:hint="eastAsia" w:ascii="仿宋" w:hAnsi="仿宋" w:eastAsia="仿宋" w:cs="仿宋"/>
          <w:b/>
          <w:bCs/>
          <w:sz w:val="24"/>
          <w:szCs w:val="22"/>
        </w:rPr>
        <w:t xml:space="preserve">   八、相关场地及设备提供：</w:t>
      </w:r>
    </w:p>
    <w:p>
      <w:pPr>
        <w:shd w:val="clear" w:color="040000" w:fill="FFFFFF"/>
        <w:snapToGrid w:val="0"/>
        <w:spacing w:line="360" w:lineRule="auto"/>
        <w:ind w:firstLine="480" w:firstLineChars="200"/>
        <w:rPr>
          <w:rFonts w:ascii="仿宋" w:hAnsi="仿宋" w:eastAsia="仿宋" w:cs="仿宋"/>
          <w:sz w:val="24"/>
          <w:szCs w:val="22"/>
          <w:shd w:val="clear" w:color="030000" w:fill="FFFFFF"/>
        </w:rPr>
      </w:pPr>
      <w:r>
        <w:rPr>
          <w:rFonts w:hint="eastAsia" w:ascii="仿宋" w:hAnsi="仿宋" w:eastAsia="仿宋" w:cs="仿宋"/>
          <w:sz w:val="24"/>
          <w:szCs w:val="22"/>
          <w:shd w:val="clear" w:color="040000" w:fill="FFFFFF"/>
        </w:rPr>
        <w:t>1、采购单位提供物业管理的办公场地（办公室1间），但办公用品及所需耗材由中标单位自行解决。</w:t>
      </w:r>
    </w:p>
    <w:p>
      <w:pPr>
        <w:shd w:val="clear" w:color="040000" w:fill="FFFFFF"/>
        <w:snapToGrid w:val="0"/>
        <w:spacing w:line="360" w:lineRule="auto"/>
        <w:ind w:firstLine="480" w:firstLineChars="200"/>
        <w:rPr>
          <w:rFonts w:ascii="仿宋" w:hAnsi="仿宋" w:eastAsia="仿宋" w:cs="仿宋"/>
          <w:sz w:val="24"/>
          <w:szCs w:val="22"/>
          <w:shd w:val="clear" w:color="030000" w:fill="FFFFFF"/>
        </w:rPr>
      </w:pPr>
      <w:r>
        <w:rPr>
          <w:rFonts w:hint="eastAsia" w:ascii="仿宋" w:hAnsi="仿宋" w:eastAsia="仿宋" w:cs="仿宋"/>
          <w:sz w:val="24"/>
          <w:szCs w:val="22"/>
          <w:shd w:val="clear" w:color="040000" w:fill="FFFFFF"/>
        </w:rPr>
        <w:t>2、根据需要在适合的楼层配备洁具堆放间，其它房间（如工程管理需要的应急备件仓库、工程值班室、保洁仓库、员工的更衣室）进场后视情况协调解决。</w:t>
      </w:r>
    </w:p>
    <w:p>
      <w:pPr>
        <w:shd w:val="clear" w:color="040000" w:fill="FFFFFF"/>
        <w:snapToGrid w:val="0"/>
        <w:spacing w:line="360" w:lineRule="auto"/>
        <w:ind w:firstLine="480" w:firstLineChars="200"/>
        <w:rPr>
          <w:rFonts w:ascii="仿宋" w:hAnsi="仿宋" w:eastAsia="仿宋" w:cs="仿宋"/>
          <w:sz w:val="24"/>
          <w:szCs w:val="22"/>
          <w:shd w:val="clear" w:color="030000" w:fill="FFFFFF"/>
        </w:rPr>
      </w:pPr>
      <w:r>
        <w:rPr>
          <w:rFonts w:hint="eastAsia" w:ascii="仿宋" w:hAnsi="仿宋" w:eastAsia="仿宋" w:cs="仿宋"/>
          <w:sz w:val="24"/>
          <w:szCs w:val="22"/>
          <w:shd w:val="clear" w:color="040000" w:fill="FFFFFF"/>
        </w:rPr>
        <w:t>3、中标单位在中标后至少需提供扫地机、洗地机、高压清洗机、吸尘器等各一台。</w:t>
      </w:r>
    </w:p>
    <w:p>
      <w:pPr>
        <w:snapToGrid w:val="0"/>
        <w:spacing w:line="360" w:lineRule="auto"/>
        <w:ind w:firstLine="495"/>
        <w:rPr>
          <w:rFonts w:ascii="仿宋" w:hAnsi="仿宋" w:eastAsia="仿宋" w:cs="仿宋"/>
          <w:b/>
          <w:sz w:val="24"/>
          <w:szCs w:val="22"/>
        </w:rPr>
      </w:pPr>
      <w:r>
        <w:rPr>
          <w:rFonts w:hint="eastAsia" w:ascii="仿宋" w:hAnsi="仿宋" w:eastAsia="仿宋" w:cs="仿宋"/>
          <w:b/>
          <w:sz w:val="24"/>
          <w:szCs w:val="22"/>
        </w:rPr>
        <w:t>九、其他：</w:t>
      </w:r>
    </w:p>
    <w:p>
      <w:pPr>
        <w:snapToGrid w:val="0"/>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（1）中标单位应制订具体的质量保证措施及质量保证及相关服务的承诺。如因服务质量未达到目标，中标单位应因此承担责任和经济赔偿。在维保范围项目，中标单位无任何理由拒绝保养维修。</w:t>
      </w:r>
    </w:p>
    <w:p>
      <w:pPr>
        <w:snapToGrid w:val="0"/>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（2）中标单位应根据项目制定完整的物业突发事件的应急措施。</w:t>
      </w:r>
    </w:p>
    <w:p>
      <w:pPr>
        <w:snapToGrid w:val="0"/>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（3）中标单位在投标文件中如有提供实质性的智能化服务、亮点服务和升级服务，将纳入后续的考核范围之内。</w:t>
      </w:r>
    </w:p>
    <w:p>
      <w:pPr>
        <w:snapToGrid w:val="0"/>
        <w:spacing w:line="360" w:lineRule="auto"/>
        <w:ind w:firstLine="482" w:firstLineChars="200"/>
        <w:rPr>
          <w:rFonts w:ascii="仿宋" w:hAnsi="仿宋" w:eastAsia="仿宋" w:cs="仿宋"/>
          <w:bCs/>
          <w:sz w:val="24"/>
          <w:szCs w:val="20"/>
        </w:rPr>
      </w:pPr>
      <w:r>
        <w:rPr>
          <w:rFonts w:hint="eastAsia" w:ascii="仿宋_GB2312" w:hAnsi="仿宋" w:eastAsia="仿宋_GB2312"/>
          <w:b/>
          <w:bCs/>
          <w:sz w:val="24"/>
        </w:rPr>
        <w:t>▲</w:t>
      </w:r>
      <w:r>
        <w:rPr>
          <w:rFonts w:hint="eastAsia" w:ascii="仿宋" w:hAnsi="仿宋" w:eastAsia="仿宋" w:cs="仿宋"/>
          <w:bCs/>
          <w:sz w:val="24"/>
          <w:szCs w:val="20"/>
        </w:rPr>
        <w:t>（4）按要求和事项发生量及时配备足够和胜任的相关管理和服务人员，并保持人员的稳定。遇调动或辞职时，物业项目负责人需提前20天、保安、保洁、会务需提前7天告知业主并得到同意后才能更换，按要求及时补充相应人员，提前做好交接班。对业主认为无能力、工作失职或不合适人员，应立即更换。岗位人数不足时，按相应岗位成本扣除服务费。</w:t>
      </w:r>
    </w:p>
    <w:p>
      <w:pPr>
        <w:snapToGrid w:val="0"/>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（5）按国家和当地政府有关劳动法规、条例，向管理服务人员提供相应工种的劳动工资、加班工资、劳动保护等待遇。</w:t>
      </w:r>
    </w:p>
    <w:p>
      <w:pPr>
        <w:snapToGrid w:val="0"/>
        <w:spacing w:line="360" w:lineRule="auto"/>
        <w:ind w:firstLine="480" w:firstLineChars="200"/>
        <w:rPr>
          <w:rFonts w:ascii="仿宋" w:hAnsi="仿宋" w:eastAsia="仿宋" w:cs="仿宋"/>
          <w:sz w:val="24"/>
          <w:szCs w:val="20"/>
        </w:rPr>
      </w:pPr>
      <w:r>
        <w:rPr>
          <w:rFonts w:hint="eastAsia" w:ascii="仿宋" w:hAnsi="仿宋" w:eastAsia="仿宋" w:cs="仿宋"/>
          <w:sz w:val="24"/>
          <w:szCs w:val="22"/>
        </w:rPr>
        <w:t>（6）有关服务工种的人员，必须按国家规定具备相关工种的资格证、上岗证和“健康证”条件，要求持证上岗；并按国家有关部门规定定期体检且有年审合格记录。以上人员的工资不得低于杭州市政府公布的最低工资水平，并缴纳相关社会保险，提供福利待遇等</w:t>
      </w:r>
      <w:r>
        <w:rPr>
          <w:rFonts w:hint="eastAsia" w:ascii="仿宋" w:hAnsi="仿宋" w:eastAsia="仿宋" w:cs="仿宋"/>
          <w:sz w:val="24"/>
          <w:szCs w:val="20"/>
        </w:rPr>
        <w:t>方面的证明。</w:t>
      </w:r>
    </w:p>
    <w:p>
      <w:pPr>
        <w:snapToGrid w:val="0"/>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7）合同签订后，中标单位进场服务一个月内，须向采购人提供弱电、空调、消防设施、电梯保养、高空外墙清洗等国家规定的相应资质证书或有相应资质分包单位的分包协议，否则自动解除合同。其中包括弱电设备626件、电梯两组、中央空调三组、消防设施一套、新风系统一套、排烟系统3套，保证设备正常运行，完成基础保养。</w:t>
      </w:r>
    </w:p>
    <w:p>
      <w:pPr>
        <w:snapToGrid w:val="0"/>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（8）服务人员上岗时须统一着装，服装样式体现岗位特色和方便不同岗位操作，并经采购人认可。</w:t>
      </w:r>
    </w:p>
    <w:p>
      <w:pPr>
        <w:snapToGrid w:val="0"/>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（9）为提高物业管理服务水平，所有管理服务人员在服务期间按岗位要求进行定期短期培训。</w:t>
      </w:r>
    </w:p>
    <w:p>
      <w:pPr>
        <w:snapToGrid w:val="0"/>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（10）中标单位应承诺在合同期内，承包区域内提供物业安保、保洁、会议服务、水电与设备维护及其他相关服务，并承担由此带来的一切风险。</w:t>
      </w:r>
    </w:p>
    <w:p>
      <w:pPr>
        <w:snapToGrid w:val="0"/>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（11）中标单位所有的工作除应按中标单位的内部流程实施外还应接受采购单位或第三方的检查。中标单位达不到采购单位要求及各项服务承诺，采购单位有权要求其整改，直至扣款或终止合同。</w:t>
      </w:r>
    </w:p>
    <w:p>
      <w:pPr>
        <w:snapToGrid w:val="0"/>
        <w:spacing w:line="360" w:lineRule="auto"/>
        <w:ind w:firstLine="480" w:firstLineChars="200"/>
        <w:rPr>
          <w:rFonts w:ascii="仿宋" w:hAnsi="仿宋" w:eastAsia="仿宋" w:cs="仿宋"/>
          <w:sz w:val="24"/>
          <w:szCs w:val="22"/>
        </w:rPr>
      </w:pPr>
      <w:r>
        <w:rPr>
          <w:rFonts w:hint="eastAsia" w:ascii="仿宋" w:hAnsi="仿宋" w:eastAsia="仿宋" w:cs="仿宋"/>
          <w:sz w:val="24"/>
          <w:szCs w:val="22"/>
        </w:rPr>
        <w:t>（12）中标单位须按省、市、余杭区相关物业管理条例及其他国家有关标准和规范完成采购文件要求的物业管理工作。</w:t>
      </w: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2075"/>
      <w:bookmarkEnd w:id="27"/>
      <w:bookmarkStart w:id="28" w:name="_Toc184314471"/>
      <w:bookmarkEnd w:id="28"/>
      <w:bookmarkStart w:id="29" w:name="_Toc184313244"/>
      <w:bookmarkEnd w:id="29"/>
      <w:bookmarkStart w:id="30" w:name="_Toc184312073"/>
      <w:bookmarkEnd w:id="30"/>
      <w:bookmarkStart w:id="31" w:name="_Toc184314415"/>
      <w:bookmarkEnd w:id="31"/>
      <w:bookmarkStart w:id="32" w:name="_Toc184314414"/>
      <w:bookmarkEnd w:id="32"/>
      <w:bookmarkStart w:id="33" w:name="_Toc184314433"/>
      <w:bookmarkEnd w:id="33"/>
      <w:bookmarkStart w:id="34" w:name="_Toc184310272"/>
      <w:bookmarkEnd w:id="34"/>
      <w:bookmarkStart w:id="35" w:name="_Toc184312072"/>
      <w:bookmarkEnd w:id="35"/>
      <w:bookmarkStart w:id="36" w:name="_Toc184313246"/>
      <w:bookmarkEnd w:id="36"/>
      <w:bookmarkStart w:id="37" w:name="_Toc184310295"/>
      <w:bookmarkEnd w:id="37"/>
      <w:bookmarkStart w:id="38" w:name="_Toc184308038"/>
      <w:bookmarkEnd w:id="38"/>
      <w:bookmarkStart w:id="39" w:name="_Toc184310332"/>
      <w:bookmarkEnd w:id="39"/>
      <w:bookmarkStart w:id="40" w:name="_Toc184314417"/>
      <w:bookmarkEnd w:id="40"/>
      <w:bookmarkStart w:id="41" w:name="_Toc184308045"/>
      <w:bookmarkEnd w:id="41"/>
      <w:bookmarkStart w:id="42" w:name="_Toc184312074"/>
      <w:bookmarkEnd w:id="42"/>
      <w:bookmarkStart w:id="43" w:name="_Toc184308044"/>
      <w:bookmarkEnd w:id="43"/>
      <w:bookmarkStart w:id="44" w:name="_Toc184313305"/>
      <w:bookmarkEnd w:id="44"/>
      <w:bookmarkStart w:id="45" w:name="_Toc184312077"/>
      <w:bookmarkEnd w:id="45"/>
      <w:bookmarkStart w:id="46" w:name="_Toc184310339"/>
      <w:bookmarkEnd w:id="46"/>
      <w:bookmarkStart w:id="47" w:name="_Toc184313260"/>
      <w:bookmarkEnd w:id="47"/>
      <w:bookmarkStart w:id="48" w:name="_Toc184313245"/>
      <w:bookmarkEnd w:id="48"/>
      <w:bookmarkStart w:id="49" w:name="_Toc184310312"/>
      <w:bookmarkEnd w:id="49"/>
      <w:bookmarkStart w:id="50" w:name="_Toc184308041"/>
      <w:bookmarkEnd w:id="50"/>
      <w:bookmarkStart w:id="51" w:name="_Toc184308059"/>
      <w:bookmarkEnd w:id="51"/>
      <w:bookmarkStart w:id="52" w:name="_Toc184313290"/>
      <w:bookmarkEnd w:id="52"/>
      <w:bookmarkStart w:id="53" w:name="_Toc184314435"/>
      <w:bookmarkEnd w:id="53"/>
      <w:bookmarkStart w:id="54" w:name="_Toc184308060"/>
      <w:bookmarkEnd w:id="54"/>
      <w:bookmarkStart w:id="55" w:name="_Toc184310320"/>
      <w:bookmarkEnd w:id="55"/>
      <w:bookmarkStart w:id="56" w:name="_Toc184308062"/>
      <w:bookmarkEnd w:id="56"/>
      <w:bookmarkStart w:id="57" w:name="_Toc184308076"/>
      <w:bookmarkEnd w:id="57"/>
      <w:bookmarkStart w:id="58" w:name="_Toc184308104"/>
      <w:bookmarkEnd w:id="58"/>
      <w:bookmarkStart w:id="59" w:name="_Toc184313261"/>
      <w:bookmarkEnd w:id="59"/>
      <w:bookmarkStart w:id="60" w:name="_Toc184310279"/>
      <w:bookmarkEnd w:id="60"/>
      <w:bookmarkStart w:id="61" w:name="_Toc184312125"/>
      <w:bookmarkEnd w:id="61"/>
      <w:bookmarkStart w:id="62" w:name="_Toc184314437"/>
      <w:bookmarkEnd w:id="62"/>
      <w:bookmarkStart w:id="63" w:name="_Toc184314418"/>
      <w:bookmarkEnd w:id="63"/>
      <w:bookmarkStart w:id="64" w:name="_Toc184314411"/>
      <w:bookmarkEnd w:id="64"/>
      <w:bookmarkStart w:id="65" w:name="_Toc184308106"/>
      <w:bookmarkEnd w:id="65"/>
      <w:bookmarkStart w:id="66" w:name="_Toc184314472"/>
      <w:bookmarkEnd w:id="66"/>
      <w:bookmarkStart w:id="67" w:name="_Toc184310342"/>
      <w:bookmarkEnd w:id="67"/>
      <w:bookmarkStart w:id="68" w:name="_Toc184308075"/>
      <w:bookmarkEnd w:id="68"/>
      <w:bookmarkStart w:id="69" w:name="_Toc184308043"/>
      <w:bookmarkEnd w:id="69"/>
      <w:bookmarkStart w:id="70" w:name="_Toc184313282"/>
      <w:bookmarkEnd w:id="70"/>
      <w:bookmarkStart w:id="71" w:name="_Toc184310277"/>
      <w:bookmarkEnd w:id="71"/>
      <w:bookmarkStart w:id="72" w:name="_Toc184314416"/>
      <w:bookmarkEnd w:id="72"/>
      <w:bookmarkStart w:id="73" w:name="_Toc184310290"/>
      <w:bookmarkEnd w:id="73"/>
      <w:bookmarkStart w:id="74" w:name="_Toc184312090"/>
      <w:bookmarkEnd w:id="74"/>
      <w:bookmarkStart w:id="75" w:name="_Toc184313296"/>
      <w:bookmarkEnd w:id="75"/>
      <w:bookmarkStart w:id="76" w:name="_Toc184312111"/>
      <w:bookmarkEnd w:id="76"/>
      <w:bookmarkStart w:id="77" w:name="_Toc184310318"/>
      <w:bookmarkEnd w:id="77"/>
      <w:bookmarkStart w:id="78" w:name="_Toc184310276"/>
      <w:bookmarkEnd w:id="78"/>
      <w:bookmarkStart w:id="79" w:name="_Toc184308042"/>
      <w:bookmarkEnd w:id="79"/>
      <w:bookmarkStart w:id="80" w:name="_Toc184312092"/>
      <w:bookmarkEnd w:id="80"/>
      <w:bookmarkStart w:id="81" w:name="_Toc184314477"/>
      <w:bookmarkEnd w:id="81"/>
      <w:bookmarkStart w:id="82" w:name="_Toc184312082"/>
      <w:bookmarkEnd w:id="82"/>
      <w:bookmarkStart w:id="83" w:name="_Toc184308097"/>
      <w:bookmarkEnd w:id="83"/>
      <w:bookmarkStart w:id="84" w:name="_Toc184312076"/>
      <w:bookmarkEnd w:id="84"/>
      <w:bookmarkStart w:id="85" w:name="_Toc184313276"/>
      <w:bookmarkEnd w:id="85"/>
      <w:bookmarkStart w:id="86" w:name="_Toc184310344"/>
      <w:bookmarkEnd w:id="86"/>
      <w:bookmarkStart w:id="87" w:name="_Toc184312110"/>
      <w:bookmarkEnd w:id="87"/>
      <w:bookmarkStart w:id="88" w:name="_Toc184308046"/>
      <w:bookmarkEnd w:id="88"/>
      <w:bookmarkStart w:id="89" w:name="_Toc184314481"/>
      <w:bookmarkEnd w:id="89"/>
      <w:bookmarkStart w:id="90" w:name="_Toc184310278"/>
      <w:bookmarkEnd w:id="90"/>
      <w:bookmarkStart w:id="91" w:name="_Toc184313284"/>
      <w:bookmarkEnd w:id="91"/>
      <w:bookmarkStart w:id="92" w:name="_Toc184313265"/>
      <w:bookmarkEnd w:id="92"/>
      <w:bookmarkStart w:id="93" w:name="_Toc184308105"/>
      <w:bookmarkEnd w:id="93"/>
      <w:bookmarkStart w:id="94" w:name="_Toc184313278"/>
      <w:bookmarkEnd w:id="94"/>
      <w:bookmarkStart w:id="95" w:name="_Toc184314425"/>
      <w:bookmarkEnd w:id="95"/>
      <w:bookmarkStart w:id="96" w:name="_Toc184313243"/>
      <w:bookmarkEnd w:id="96"/>
      <w:bookmarkStart w:id="97" w:name="_Toc184313286"/>
      <w:bookmarkEnd w:id="97"/>
      <w:bookmarkStart w:id="98" w:name="_Toc184310304"/>
      <w:bookmarkEnd w:id="98"/>
      <w:bookmarkStart w:id="99" w:name="_Toc184314424"/>
      <w:bookmarkEnd w:id="99"/>
      <w:bookmarkStart w:id="100" w:name="_Toc184308050"/>
      <w:bookmarkEnd w:id="100"/>
      <w:bookmarkStart w:id="101" w:name="_Toc184310274"/>
      <w:bookmarkEnd w:id="101"/>
      <w:bookmarkStart w:id="102" w:name="_Toc184308095"/>
      <w:bookmarkEnd w:id="102"/>
      <w:bookmarkStart w:id="103" w:name="_Toc184310280"/>
      <w:bookmarkEnd w:id="103"/>
      <w:bookmarkStart w:id="104" w:name="_Toc184308103"/>
      <w:bookmarkEnd w:id="104"/>
      <w:bookmarkStart w:id="105" w:name="_Toc184314474"/>
      <w:bookmarkEnd w:id="105"/>
      <w:bookmarkStart w:id="106" w:name="_Toc184312133"/>
      <w:bookmarkEnd w:id="106"/>
      <w:bookmarkStart w:id="107" w:name="_Toc184313309"/>
      <w:bookmarkEnd w:id="107"/>
      <w:bookmarkStart w:id="108" w:name="_Toc184308098"/>
      <w:bookmarkEnd w:id="108"/>
      <w:bookmarkStart w:id="109" w:name="_Toc184312134"/>
      <w:bookmarkEnd w:id="109"/>
      <w:bookmarkStart w:id="110" w:name="_Toc184310335"/>
      <w:bookmarkEnd w:id="110"/>
      <w:bookmarkStart w:id="111" w:name="_Toc184310316"/>
      <w:bookmarkEnd w:id="111"/>
      <w:bookmarkStart w:id="112" w:name="_Toc184310321"/>
      <w:bookmarkEnd w:id="112"/>
      <w:bookmarkStart w:id="113" w:name="_Toc184308073"/>
      <w:bookmarkEnd w:id="113"/>
      <w:bookmarkStart w:id="114" w:name="_Toc184313300"/>
      <w:bookmarkEnd w:id="114"/>
      <w:bookmarkStart w:id="115" w:name="_Toc184310294"/>
      <w:bookmarkEnd w:id="115"/>
      <w:bookmarkStart w:id="116" w:name="_Toc184312109"/>
      <w:bookmarkEnd w:id="116"/>
      <w:bookmarkStart w:id="117" w:name="_Toc184308089"/>
      <w:bookmarkEnd w:id="117"/>
      <w:bookmarkStart w:id="118" w:name="_Toc184308080"/>
      <w:bookmarkEnd w:id="118"/>
      <w:bookmarkStart w:id="119" w:name="_Toc184312136"/>
      <w:bookmarkEnd w:id="119"/>
      <w:bookmarkStart w:id="120" w:name="_Toc184310329"/>
      <w:bookmarkEnd w:id="120"/>
      <w:bookmarkStart w:id="121" w:name="_Toc184314448"/>
      <w:bookmarkEnd w:id="121"/>
      <w:bookmarkStart w:id="122" w:name="_Toc184313299"/>
      <w:bookmarkEnd w:id="122"/>
      <w:bookmarkStart w:id="123" w:name="_Toc184312128"/>
      <w:bookmarkEnd w:id="123"/>
      <w:bookmarkStart w:id="124" w:name="_Toc184312114"/>
      <w:bookmarkEnd w:id="124"/>
      <w:bookmarkStart w:id="125" w:name="_Toc184308036"/>
      <w:bookmarkEnd w:id="125"/>
      <w:bookmarkStart w:id="126" w:name="_Toc184314470"/>
      <w:bookmarkEnd w:id="126"/>
      <w:bookmarkStart w:id="127" w:name="_Toc184313304"/>
      <w:bookmarkEnd w:id="127"/>
      <w:bookmarkStart w:id="128" w:name="_Toc184314476"/>
      <w:bookmarkEnd w:id="128"/>
      <w:bookmarkStart w:id="129" w:name="_Toc184310326"/>
      <w:bookmarkEnd w:id="129"/>
      <w:bookmarkStart w:id="130" w:name="_Toc184312122"/>
      <w:bookmarkEnd w:id="130"/>
      <w:bookmarkStart w:id="131" w:name="_Toc184312129"/>
      <w:bookmarkEnd w:id="131"/>
      <w:bookmarkStart w:id="132" w:name="_Toc184312089"/>
      <w:bookmarkEnd w:id="132"/>
      <w:bookmarkStart w:id="133" w:name="_Toc184310334"/>
      <w:bookmarkEnd w:id="133"/>
      <w:bookmarkStart w:id="134" w:name="_Toc184314412"/>
      <w:bookmarkEnd w:id="134"/>
      <w:bookmarkStart w:id="135" w:name="_Toc184308092"/>
      <w:bookmarkEnd w:id="135"/>
      <w:bookmarkStart w:id="136" w:name="_Toc184314427"/>
      <w:bookmarkEnd w:id="136"/>
      <w:bookmarkStart w:id="137" w:name="_Toc184308096"/>
      <w:bookmarkEnd w:id="137"/>
      <w:bookmarkStart w:id="138" w:name="_Toc184314468"/>
      <w:bookmarkEnd w:id="138"/>
      <w:bookmarkStart w:id="139" w:name="_Toc184312091"/>
      <w:bookmarkEnd w:id="139"/>
      <w:bookmarkStart w:id="140" w:name="_Toc184314466"/>
      <w:bookmarkEnd w:id="140"/>
      <w:bookmarkStart w:id="141" w:name="_Toc184310287"/>
      <w:bookmarkEnd w:id="141"/>
      <w:bookmarkStart w:id="142" w:name="_Toc184308087"/>
      <w:bookmarkEnd w:id="142"/>
      <w:bookmarkStart w:id="143" w:name="_Toc184308099"/>
      <w:bookmarkEnd w:id="143"/>
      <w:bookmarkStart w:id="144" w:name="_Toc184314469"/>
      <w:bookmarkEnd w:id="144"/>
      <w:bookmarkStart w:id="145" w:name="_Toc184312121"/>
      <w:bookmarkEnd w:id="145"/>
      <w:bookmarkStart w:id="146" w:name="_Toc184313242"/>
      <w:bookmarkEnd w:id="146"/>
      <w:bookmarkStart w:id="147" w:name="_Toc184312120"/>
      <w:bookmarkEnd w:id="147"/>
      <w:bookmarkStart w:id="148" w:name="_Toc184310313"/>
      <w:bookmarkEnd w:id="148"/>
      <w:bookmarkStart w:id="149" w:name="_Toc184314465"/>
      <w:bookmarkEnd w:id="149"/>
      <w:bookmarkStart w:id="150" w:name="_Toc184310330"/>
      <w:bookmarkEnd w:id="150"/>
      <w:bookmarkStart w:id="151" w:name="_Toc184312119"/>
      <w:bookmarkEnd w:id="151"/>
      <w:bookmarkStart w:id="152" w:name="_Toc184308077"/>
      <w:bookmarkEnd w:id="152"/>
      <w:bookmarkStart w:id="153" w:name="_Toc184308093"/>
      <w:bookmarkEnd w:id="153"/>
      <w:bookmarkStart w:id="154" w:name="_Toc184310340"/>
      <w:bookmarkEnd w:id="154"/>
      <w:bookmarkStart w:id="155" w:name="_Toc184314462"/>
      <w:bookmarkEnd w:id="155"/>
      <w:bookmarkStart w:id="156" w:name="_Toc184312127"/>
      <w:bookmarkEnd w:id="156"/>
      <w:bookmarkStart w:id="157" w:name="_Toc184313250"/>
      <w:bookmarkEnd w:id="157"/>
      <w:bookmarkStart w:id="158" w:name="_Toc184313248"/>
      <w:bookmarkEnd w:id="158"/>
      <w:bookmarkStart w:id="159" w:name="_Toc184308088"/>
      <w:bookmarkEnd w:id="159"/>
      <w:bookmarkStart w:id="160" w:name="_Toc184314479"/>
      <w:bookmarkEnd w:id="160"/>
      <w:bookmarkStart w:id="161" w:name="_Toc184308068"/>
      <w:bookmarkEnd w:id="161"/>
      <w:bookmarkStart w:id="162" w:name="_Toc184308037"/>
      <w:bookmarkEnd w:id="162"/>
      <w:bookmarkStart w:id="163" w:name="_Toc184312105"/>
      <w:bookmarkEnd w:id="163"/>
      <w:bookmarkStart w:id="164" w:name="_Toc184313294"/>
      <w:bookmarkEnd w:id="164"/>
      <w:bookmarkStart w:id="165" w:name="_Toc184312132"/>
      <w:bookmarkEnd w:id="165"/>
      <w:bookmarkStart w:id="166" w:name="_Toc184313298"/>
      <w:bookmarkEnd w:id="166"/>
      <w:bookmarkStart w:id="167" w:name="_Toc184312137"/>
      <w:bookmarkEnd w:id="167"/>
      <w:bookmarkStart w:id="168" w:name="_Toc184313252"/>
      <w:bookmarkEnd w:id="168"/>
      <w:bookmarkStart w:id="169" w:name="_Toc184312130"/>
      <w:bookmarkEnd w:id="169"/>
      <w:bookmarkStart w:id="170" w:name="_Toc184313288"/>
      <w:bookmarkEnd w:id="170"/>
      <w:bookmarkStart w:id="171" w:name="_Toc184312123"/>
      <w:bookmarkEnd w:id="171"/>
      <w:bookmarkStart w:id="172" w:name="_Toc184314452"/>
      <w:bookmarkEnd w:id="172"/>
      <w:bookmarkStart w:id="173" w:name="_Toc184310325"/>
      <w:bookmarkEnd w:id="173"/>
      <w:bookmarkStart w:id="174" w:name="_Toc184314456"/>
      <w:bookmarkEnd w:id="174"/>
      <w:bookmarkStart w:id="175" w:name="_Toc184310331"/>
      <w:bookmarkEnd w:id="175"/>
      <w:bookmarkStart w:id="176" w:name="_Toc184313297"/>
      <w:bookmarkEnd w:id="176"/>
      <w:bookmarkStart w:id="177" w:name="_Toc184314463"/>
      <w:bookmarkEnd w:id="177"/>
      <w:bookmarkStart w:id="178" w:name="_Toc184308063"/>
      <w:bookmarkEnd w:id="178"/>
      <w:bookmarkStart w:id="179" w:name="_Toc184313285"/>
      <w:bookmarkEnd w:id="179"/>
      <w:bookmarkStart w:id="180" w:name="_Toc184308091"/>
      <w:bookmarkEnd w:id="180"/>
      <w:bookmarkStart w:id="181" w:name="_Toc184310286"/>
      <w:bookmarkEnd w:id="181"/>
      <w:bookmarkStart w:id="182" w:name="_Toc184314422"/>
      <w:bookmarkEnd w:id="182"/>
      <w:bookmarkStart w:id="183" w:name="_Toc184308094"/>
      <w:bookmarkEnd w:id="183"/>
      <w:bookmarkStart w:id="184" w:name="_Toc184313241"/>
      <w:bookmarkEnd w:id="184"/>
      <w:bookmarkStart w:id="185" w:name="_Toc184312104"/>
      <w:bookmarkEnd w:id="185"/>
      <w:bookmarkStart w:id="186" w:name="_Toc184314451"/>
      <w:bookmarkEnd w:id="186"/>
      <w:bookmarkStart w:id="187" w:name="_Toc184312118"/>
      <w:bookmarkEnd w:id="187"/>
      <w:bookmarkStart w:id="188" w:name="_Toc184308085"/>
      <w:bookmarkEnd w:id="188"/>
      <w:bookmarkStart w:id="189" w:name="_Toc184314419"/>
      <w:bookmarkEnd w:id="189"/>
      <w:bookmarkStart w:id="190" w:name="_Toc184312113"/>
      <w:bookmarkEnd w:id="190"/>
      <w:bookmarkStart w:id="191" w:name="_Toc184313295"/>
      <w:bookmarkEnd w:id="191"/>
      <w:bookmarkStart w:id="192" w:name="_Toc184310338"/>
      <w:bookmarkEnd w:id="192"/>
      <w:bookmarkStart w:id="193" w:name="_Toc184314457"/>
      <w:bookmarkEnd w:id="193"/>
      <w:bookmarkStart w:id="194" w:name="_Toc184313301"/>
      <w:bookmarkEnd w:id="194"/>
      <w:bookmarkStart w:id="195" w:name="_Toc184308107"/>
      <w:bookmarkEnd w:id="195"/>
      <w:bookmarkStart w:id="196" w:name="_Toc184312096"/>
      <w:bookmarkEnd w:id="196"/>
      <w:bookmarkStart w:id="197" w:name="_Toc184313302"/>
      <w:bookmarkEnd w:id="197"/>
      <w:bookmarkStart w:id="198" w:name="_Toc184314482"/>
      <w:bookmarkEnd w:id="198"/>
      <w:bookmarkStart w:id="199" w:name="_Toc184310324"/>
      <w:bookmarkEnd w:id="199"/>
      <w:bookmarkStart w:id="200" w:name="_Toc184314480"/>
      <w:bookmarkEnd w:id="200"/>
      <w:bookmarkStart w:id="201" w:name="_Toc184310327"/>
      <w:bookmarkEnd w:id="201"/>
      <w:bookmarkStart w:id="202" w:name="_Toc184314439"/>
      <w:bookmarkEnd w:id="202"/>
      <w:bookmarkStart w:id="203" w:name="_Toc184308100"/>
      <w:bookmarkEnd w:id="203"/>
      <w:bookmarkStart w:id="204" w:name="_Toc184312079"/>
      <w:bookmarkEnd w:id="204"/>
      <w:bookmarkStart w:id="205" w:name="_Toc184312107"/>
      <w:bookmarkEnd w:id="205"/>
      <w:bookmarkStart w:id="206" w:name="_Toc184312071"/>
      <w:bookmarkEnd w:id="206"/>
      <w:bookmarkStart w:id="207" w:name="_Toc184308108"/>
      <w:bookmarkEnd w:id="207"/>
      <w:bookmarkStart w:id="208" w:name="_Toc184314423"/>
      <w:bookmarkEnd w:id="208"/>
      <w:bookmarkStart w:id="209" w:name="_Toc184310333"/>
      <w:bookmarkEnd w:id="209"/>
      <w:bookmarkStart w:id="210" w:name="_Toc184314421"/>
      <w:bookmarkEnd w:id="210"/>
      <w:bookmarkStart w:id="211" w:name="_Toc184314436"/>
      <w:bookmarkEnd w:id="211"/>
      <w:bookmarkStart w:id="212" w:name="_Toc184314444"/>
      <w:bookmarkEnd w:id="212"/>
      <w:bookmarkStart w:id="213" w:name="_Toc184314420"/>
      <w:bookmarkEnd w:id="213"/>
      <w:bookmarkStart w:id="214" w:name="_Toc184312102"/>
      <w:bookmarkEnd w:id="214"/>
      <w:bookmarkStart w:id="215" w:name="_Toc184313268"/>
      <w:bookmarkEnd w:id="215"/>
      <w:bookmarkStart w:id="216" w:name="_Toc184313289"/>
      <w:bookmarkEnd w:id="216"/>
      <w:bookmarkStart w:id="217" w:name="_Toc184308083"/>
      <w:bookmarkEnd w:id="217"/>
      <w:bookmarkStart w:id="218" w:name="_Toc184313270"/>
      <w:bookmarkEnd w:id="218"/>
      <w:bookmarkStart w:id="219" w:name="_Toc184313249"/>
      <w:bookmarkEnd w:id="219"/>
      <w:bookmarkStart w:id="220" w:name="_Toc184313293"/>
      <w:bookmarkEnd w:id="220"/>
      <w:bookmarkStart w:id="221" w:name="_Toc184308090"/>
      <w:bookmarkEnd w:id="221"/>
      <w:bookmarkStart w:id="222" w:name="_Toc184313310"/>
      <w:bookmarkEnd w:id="222"/>
      <w:bookmarkStart w:id="223" w:name="_Toc184310309"/>
      <w:bookmarkEnd w:id="223"/>
      <w:bookmarkStart w:id="224" w:name="_Toc184314461"/>
      <w:bookmarkEnd w:id="224"/>
      <w:bookmarkStart w:id="225" w:name="_Toc184308102"/>
      <w:bookmarkEnd w:id="225"/>
      <w:bookmarkStart w:id="226" w:name="_Toc184308071"/>
      <w:bookmarkEnd w:id="226"/>
      <w:bookmarkStart w:id="227" w:name="_Toc184312080"/>
      <w:bookmarkEnd w:id="227"/>
      <w:bookmarkStart w:id="228" w:name="_Toc184312081"/>
      <w:bookmarkEnd w:id="228"/>
      <w:bookmarkStart w:id="229" w:name="_Toc184308070"/>
      <w:bookmarkEnd w:id="229"/>
      <w:bookmarkStart w:id="230" w:name="_Toc184314464"/>
      <w:bookmarkEnd w:id="230"/>
      <w:bookmarkStart w:id="231" w:name="_Toc184313247"/>
      <w:bookmarkEnd w:id="231"/>
      <w:bookmarkStart w:id="232" w:name="_Toc184308072"/>
      <w:bookmarkEnd w:id="232"/>
      <w:bookmarkStart w:id="233" w:name="_Toc184313279"/>
      <w:bookmarkEnd w:id="233"/>
      <w:bookmarkStart w:id="234" w:name="_Toc184310323"/>
      <w:bookmarkEnd w:id="234"/>
      <w:bookmarkStart w:id="235" w:name="_Toc184312099"/>
      <w:bookmarkEnd w:id="235"/>
      <w:bookmarkStart w:id="236" w:name="_Toc184314460"/>
      <w:bookmarkEnd w:id="236"/>
      <w:bookmarkStart w:id="237" w:name="_Toc184310328"/>
      <w:bookmarkEnd w:id="237"/>
      <w:bookmarkStart w:id="238" w:name="_Toc184312078"/>
      <w:bookmarkEnd w:id="238"/>
      <w:bookmarkStart w:id="239" w:name="_Toc184312108"/>
      <w:bookmarkEnd w:id="239"/>
      <w:bookmarkStart w:id="240" w:name="_Toc184312138"/>
      <w:bookmarkEnd w:id="240"/>
      <w:bookmarkStart w:id="241" w:name="_Toc184314467"/>
      <w:bookmarkEnd w:id="241"/>
      <w:bookmarkStart w:id="242" w:name="_Toc184313255"/>
      <w:bookmarkEnd w:id="242"/>
      <w:bookmarkStart w:id="243" w:name="_Toc184312124"/>
      <w:bookmarkEnd w:id="243"/>
      <w:bookmarkStart w:id="244" w:name="_Toc184310319"/>
      <w:bookmarkEnd w:id="244"/>
      <w:bookmarkStart w:id="245" w:name="_Toc184310306"/>
      <w:bookmarkEnd w:id="245"/>
      <w:bookmarkStart w:id="246" w:name="_Toc184308086"/>
      <w:bookmarkEnd w:id="246"/>
      <w:bookmarkStart w:id="247" w:name="_Toc184314441"/>
      <w:bookmarkEnd w:id="247"/>
      <w:bookmarkStart w:id="248" w:name="_Toc184313291"/>
      <w:bookmarkEnd w:id="248"/>
      <w:bookmarkStart w:id="249" w:name="_Toc184314445"/>
      <w:bookmarkEnd w:id="249"/>
      <w:bookmarkStart w:id="250" w:name="_Toc184312131"/>
      <w:bookmarkEnd w:id="250"/>
      <w:bookmarkStart w:id="251" w:name="_Toc184312139"/>
      <w:bookmarkEnd w:id="251"/>
      <w:bookmarkStart w:id="252" w:name="_Toc184313308"/>
      <w:bookmarkEnd w:id="252"/>
      <w:bookmarkStart w:id="253" w:name="_Toc184308051"/>
      <w:bookmarkEnd w:id="253"/>
      <w:bookmarkStart w:id="254" w:name="_Toc184308079"/>
      <w:bookmarkEnd w:id="254"/>
      <w:bookmarkStart w:id="255" w:name="_Toc184313281"/>
      <w:bookmarkEnd w:id="255"/>
      <w:bookmarkStart w:id="256" w:name="_Toc184310307"/>
      <w:bookmarkEnd w:id="256"/>
      <w:bookmarkStart w:id="257" w:name="_Toc184314443"/>
      <w:bookmarkEnd w:id="257"/>
      <w:bookmarkStart w:id="258" w:name="_Toc184308069"/>
      <w:bookmarkEnd w:id="258"/>
      <w:bookmarkStart w:id="259" w:name="_Toc184310285"/>
      <w:bookmarkEnd w:id="259"/>
      <w:bookmarkStart w:id="260" w:name="_Toc184310302"/>
      <w:bookmarkEnd w:id="260"/>
      <w:bookmarkStart w:id="261" w:name="_Toc184314442"/>
      <w:bookmarkEnd w:id="261"/>
      <w:bookmarkStart w:id="262" w:name="_Toc184314440"/>
      <w:bookmarkEnd w:id="262"/>
      <w:bookmarkStart w:id="263" w:name="_Toc184314453"/>
      <w:bookmarkEnd w:id="263"/>
      <w:bookmarkStart w:id="264" w:name="_Toc184308047"/>
      <w:bookmarkEnd w:id="264"/>
      <w:bookmarkStart w:id="265" w:name="_Toc184313240"/>
      <w:bookmarkEnd w:id="265"/>
      <w:bookmarkStart w:id="266" w:name="_Toc184313272"/>
      <w:bookmarkEnd w:id="266"/>
      <w:bookmarkStart w:id="267" w:name="_Toc184313264"/>
      <w:bookmarkEnd w:id="267"/>
      <w:bookmarkStart w:id="268" w:name="_Toc184310293"/>
      <w:bookmarkEnd w:id="268"/>
      <w:bookmarkStart w:id="269" w:name="_Toc184312093"/>
      <w:bookmarkEnd w:id="269"/>
      <w:bookmarkStart w:id="270" w:name="_Toc184313269"/>
      <w:bookmarkEnd w:id="270"/>
      <w:bookmarkStart w:id="271" w:name="_Toc184312126"/>
      <w:bookmarkEnd w:id="271"/>
      <w:bookmarkStart w:id="272" w:name="_Toc184313274"/>
      <w:bookmarkEnd w:id="272"/>
      <w:bookmarkStart w:id="273" w:name="_Toc184312101"/>
      <w:bookmarkEnd w:id="273"/>
      <w:bookmarkStart w:id="274" w:name="_Toc184312068"/>
      <w:bookmarkEnd w:id="274"/>
      <w:bookmarkStart w:id="275" w:name="_Toc184314426"/>
      <w:bookmarkEnd w:id="275"/>
      <w:bookmarkStart w:id="276" w:name="_Toc184310291"/>
      <w:bookmarkEnd w:id="276"/>
      <w:bookmarkStart w:id="277" w:name="_Toc184308084"/>
      <w:bookmarkEnd w:id="277"/>
      <w:bookmarkStart w:id="278" w:name="_Toc184314410"/>
      <w:bookmarkEnd w:id="278"/>
      <w:bookmarkStart w:id="279" w:name="_Toc184308078"/>
      <w:bookmarkEnd w:id="279"/>
      <w:bookmarkStart w:id="280" w:name="_Toc184313257"/>
      <w:bookmarkEnd w:id="280"/>
      <w:bookmarkStart w:id="281" w:name="_Toc184310283"/>
      <w:bookmarkEnd w:id="281"/>
      <w:bookmarkStart w:id="282" w:name="_Toc184314473"/>
      <w:bookmarkEnd w:id="282"/>
      <w:bookmarkStart w:id="283" w:name="_Toc184314431"/>
      <w:bookmarkEnd w:id="283"/>
      <w:bookmarkStart w:id="284" w:name="_Toc184314455"/>
      <w:bookmarkEnd w:id="284"/>
      <w:bookmarkStart w:id="285" w:name="_Toc184313239"/>
      <w:bookmarkEnd w:id="285"/>
      <w:bookmarkStart w:id="286" w:name="_Toc184312083"/>
      <w:bookmarkEnd w:id="286"/>
      <w:bookmarkStart w:id="287" w:name="_Toc184310308"/>
      <w:bookmarkEnd w:id="287"/>
      <w:bookmarkStart w:id="288" w:name="_Toc184313273"/>
      <w:bookmarkEnd w:id="288"/>
      <w:bookmarkStart w:id="289" w:name="_Toc184308058"/>
      <w:bookmarkEnd w:id="289"/>
      <w:bookmarkStart w:id="290" w:name="_Toc184310341"/>
      <w:bookmarkEnd w:id="290"/>
      <w:bookmarkStart w:id="291" w:name="_Toc184313238"/>
      <w:bookmarkEnd w:id="291"/>
      <w:bookmarkStart w:id="292" w:name="_Toc184308048"/>
      <w:bookmarkEnd w:id="292"/>
      <w:bookmarkStart w:id="293" w:name="_Toc184312095"/>
      <w:bookmarkEnd w:id="293"/>
      <w:bookmarkStart w:id="294" w:name="_Toc184310301"/>
      <w:bookmarkEnd w:id="294"/>
      <w:bookmarkStart w:id="295" w:name="_Toc184313271"/>
      <w:bookmarkEnd w:id="295"/>
      <w:bookmarkStart w:id="296" w:name="_Toc184310284"/>
      <w:bookmarkEnd w:id="296"/>
      <w:bookmarkStart w:id="297" w:name="_Toc184314447"/>
      <w:bookmarkEnd w:id="297"/>
      <w:bookmarkStart w:id="298" w:name="_Toc184313258"/>
      <w:bookmarkEnd w:id="298"/>
      <w:bookmarkStart w:id="299" w:name="_Toc184312088"/>
      <w:bookmarkEnd w:id="299"/>
      <w:bookmarkStart w:id="300" w:name="_Toc184310303"/>
      <w:bookmarkEnd w:id="300"/>
      <w:bookmarkStart w:id="301" w:name="_Toc184308064"/>
      <w:bookmarkEnd w:id="301"/>
      <w:bookmarkStart w:id="302" w:name="_Toc184312103"/>
      <w:bookmarkEnd w:id="302"/>
      <w:bookmarkStart w:id="303" w:name="_Toc184312106"/>
      <w:bookmarkEnd w:id="303"/>
      <w:bookmarkStart w:id="304" w:name="_Toc184310305"/>
      <w:bookmarkEnd w:id="304"/>
      <w:bookmarkStart w:id="305" w:name="_Toc184310310"/>
      <w:bookmarkEnd w:id="305"/>
      <w:bookmarkStart w:id="306" w:name="_Toc184308039"/>
      <w:bookmarkEnd w:id="306"/>
      <w:bookmarkStart w:id="307" w:name="_Toc184312098"/>
      <w:bookmarkEnd w:id="307"/>
      <w:bookmarkStart w:id="308" w:name="_Toc184312087"/>
      <w:bookmarkEnd w:id="308"/>
      <w:bookmarkStart w:id="309" w:name="_Toc184310311"/>
      <w:bookmarkEnd w:id="309"/>
      <w:bookmarkStart w:id="310" w:name="_Toc184314434"/>
      <w:bookmarkEnd w:id="310"/>
      <w:bookmarkStart w:id="311" w:name="_Toc184314475"/>
      <w:bookmarkEnd w:id="311"/>
      <w:bookmarkStart w:id="312" w:name="_Toc184312116"/>
      <w:bookmarkEnd w:id="312"/>
      <w:bookmarkStart w:id="313" w:name="_Toc184313306"/>
      <w:bookmarkEnd w:id="313"/>
      <w:bookmarkStart w:id="314" w:name="_Toc184310300"/>
      <w:bookmarkEnd w:id="314"/>
      <w:bookmarkStart w:id="315" w:name="_Toc184313266"/>
      <w:bookmarkEnd w:id="315"/>
      <w:bookmarkStart w:id="316" w:name="_Toc184314428"/>
      <w:bookmarkEnd w:id="316"/>
      <w:bookmarkStart w:id="317" w:name="_Toc184314446"/>
      <w:bookmarkEnd w:id="317"/>
      <w:bookmarkStart w:id="318" w:name="_Toc184312100"/>
      <w:bookmarkEnd w:id="318"/>
      <w:bookmarkStart w:id="319" w:name="_Toc184308052"/>
      <w:bookmarkEnd w:id="319"/>
      <w:bookmarkStart w:id="320" w:name="_Toc184313303"/>
      <w:bookmarkEnd w:id="320"/>
      <w:bookmarkStart w:id="321" w:name="_Toc184312086"/>
      <w:bookmarkEnd w:id="321"/>
      <w:bookmarkStart w:id="322" w:name="_Toc184312084"/>
      <w:bookmarkEnd w:id="322"/>
      <w:bookmarkStart w:id="323" w:name="_Toc184310315"/>
      <w:bookmarkEnd w:id="323"/>
      <w:bookmarkStart w:id="324" w:name="_Toc184308057"/>
      <w:bookmarkEnd w:id="324"/>
      <w:bookmarkStart w:id="325" w:name="_Toc184310282"/>
      <w:bookmarkEnd w:id="325"/>
      <w:bookmarkStart w:id="326" w:name="_Toc184308040"/>
      <w:bookmarkEnd w:id="326"/>
      <w:bookmarkStart w:id="327" w:name="_Toc184308082"/>
      <w:bookmarkEnd w:id="327"/>
      <w:bookmarkStart w:id="328" w:name="_Toc184310273"/>
      <w:bookmarkEnd w:id="328"/>
      <w:bookmarkStart w:id="329" w:name="_Toc184313256"/>
      <w:bookmarkEnd w:id="329"/>
      <w:bookmarkStart w:id="330" w:name="_Toc184308074"/>
      <w:bookmarkEnd w:id="330"/>
      <w:bookmarkStart w:id="331" w:name="_Toc184310314"/>
      <w:bookmarkEnd w:id="331"/>
      <w:bookmarkStart w:id="332" w:name="_Toc184308053"/>
      <w:bookmarkEnd w:id="332"/>
      <w:bookmarkStart w:id="333" w:name="_Toc184310343"/>
      <w:bookmarkEnd w:id="333"/>
      <w:bookmarkStart w:id="334" w:name="_Toc184310337"/>
      <w:bookmarkEnd w:id="334"/>
      <w:bookmarkStart w:id="335" w:name="_Toc184312115"/>
      <w:bookmarkEnd w:id="335"/>
      <w:bookmarkStart w:id="336" w:name="_Toc184310317"/>
      <w:bookmarkEnd w:id="336"/>
      <w:bookmarkStart w:id="337" w:name="_Toc184313267"/>
      <w:bookmarkEnd w:id="337"/>
      <w:bookmarkStart w:id="338" w:name="_Toc184312117"/>
      <w:bookmarkEnd w:id="338"/>
      <w:bookmarkStart w:id="339" w:name="_Toc184313254"/>
      <w:bookmarkEnd w:id="339"/>
      <w:bookmarkStart w:id="340" w:name="_Toc184314454"/>
      <w:bookmarkEnd w:id="340"/>
      <w:bookmarkStart w:id="341" w:name="_Toc184310289"/>
      <w:bookmarkEnd w:id="341"/>
      <w:bookmarkStart w:id="342" w:name="_Toc184313259"/>
      <w:bookmarkEnd w:id="342"/>
      <w:bookmarkStart w:id="343" w:name="_Toc184312069"/>
      <w:bookmarkEnd w:id="343"/>
      <w:bookmarkStart w:id="344" w:name="_Toc184310292"/>
      <w:bookmarkEnd w:id="344"/>
      <w:bookmarkStart w:id="345" w:name="_Toc184310322"/>
      <w:bookmarkEnd w:id="345"/>
      <w:bookmarkStart w:id="346" w:name="_Toc184312094"/>
      <w:bookmarkEnd w:id="346"/>
      <w:bookmarkStart w:id="347" w:name="_Toc184308066"/>
      <w:bookmarkEnd w:id="347"/>
      <w:bookmarkStart w:id="348" w:name="_Toc184314432"/>
      <w:bookmarkEnd w:id="348"/>
      <w:bookmarkStart w:id="349" w:name="_Toc184313263"/>
      <w:bookmarkEnd w:id="349"/>
      <w:bookmarkStart w:id="350" w:name="_Toc184312097"/>
      <w:bookmarkEnd w:id="350"/>
      <w:bookmarkStart w:id="351" w:name="_Toc184308055"/>
      <w:bookmarkEnd w:id="351"/>
      <w:bookmarkStart w:id="352" w:name="_Toc184308081"/>
      <w:bookmarkEnd w:id="352"/>
      <w:bookmarkStart w:id="353" w:name="_Toc184312135"/>
      <w:bookmarkEnd w:id="353"/>
      <w:bookmarkStart w:id="354" w:name="_Toc184313275"/>
      <w:bookmarkEnd w:id="354"/>
      <w:bookmarkStart w:id="355" w:name="_Toc184313307"/>
      <w:bookmarkEnd w:id="355"/>
      <w:bookmarkStart w:id="356" w:name="_Toc184313280"/>
      <w:bookmarkEnd w:id="356"/>
      <w:bookmarkStart w:id="357" w:name="_Toc184314458"/>
      <w:bookmarkEnd w:id="357"/>
      <w:bookmarkStart w:id="358" w:name="_Toc184308101"/>
      <w:bookmarkEnd w:id="358"/>
      <w:bookmarkStart w:id="359" w:name="_Toc184314459"/>
      <w:bookmarkEnd w:id="359"/>
      <w:bookmarkStart w:id="360" w:name="_Toc184312085"/>
      <w:bookmarkEnd w:id="360"/>
      <w:bookmarkStart w:id="361" w:name="_Toc184310336"/>
      <w:bookmarkEnd w:id="361"/>
      <w:bookmarkStart w:id="362" w:name="_Toc184308049"/>
      <w:bookmarkEnd w:id="362"/>
      <w:bookmarkStart w:id="363" w:name="_Toc184312067"/>
      <w:bookmarkEnd w:id="363"/>
      <w:bookmarkStart w:id="364" w:name="_Toc184314413"/>
      <w:bookmarkEnd w:id="364"/>
      <w:bookmarkStart w:id="365" w:name="_Toc184310281"/>
      <w:bookmarkEnd w:id="365"/>
      <w:bookmarkStart w:id="366" w:name="_Toc184314438"/>
      <w:bookmarkEnd w:id="366"/>
      <w:bookmarkStart w:id="367" w:name="_Toc184308054"/>
      <w:bookmarkEnd w:id="367"/>
      <w:bookmarkStart w:id="368" w:name="_Toc184313283"/>
      <w:bookmarkEnd w:id="368"/>
      <w:bookmarkStart w:id="369" w:name="_Toc184313251"/>
      <w:bookmarkEnd w:id="369"/>
      <w:bookmarkStart w:id="370" w:name="_Toc184308056"/>
      <w:bookmarkEnd w:id="370"/>
      <w:bookmarkStart w:id="371" w:name="_Toc184313262"/>
      <w:bookmarkEnd w:id="371"/>
      <w:bookmarkStart w:id="372" w:name="_Toc184310296"/>
      <w:bookmarkEnd w:id="372"/>
      <w:bookmarkStart w:id="373" w:name="_Toc184312112"/>
      <w:bookmarkEnd w:id="373"/>
      <w:bookmarkStart w:id="374" w:name="_Toc184308061"/>
      <w:bookmarkEnd w:id="374"/>
      <w:bookmarkStart w:id="375" w:name="_Toc184314449"/>
      <w:bookmarkEnd w:id="375"/>
      <w:bookmarkStart w:id="376" w:name="_Toc184313253"/>
      <w:bookmarkEnd w:id="376"/>
      <w:bookmarkStart w:id="377" w:name="_Toc184308065"/>
      <w:bookmarkEnd w:id="377"/>
      <w:bookmarkStart w:id="378" w:name="_Toc184310288"/>
      <w:bookmarkEnd w:id="378"/>
      <w:bookmarkStart w:id="379" w:name="_Toc184310275"/>
      <w:bookmarkEnd w:id="379"/>
      <w:bookmarkStart w:id="380" w:name="_Toc184310297"/>
      <w:bookmarkEnd w:id="380"/>
      <w:bookmarkStart w:id="381" w:name="_Toc184310299"/>
      <w:bookmarkEnd w:id="381"/>
      <w:bookmarkStart w:id="382" w:name="_Toc184310298"/>
      <w:bookmarkEnd w:id="382"/>
      <w:bookmarkStart w:id="383" w:name="_Toc184314430"/>
      <w:bookmarkEnd w:id="383"/>
      <w:bookmarkStart w:id="384" w:name="_Toc184312070"/>
      <w:bookmarkEnd w:id="384"/>
      <w:bookmarkStart w:id="385" w:name="_Toc184308067"/>
      <w:bookmarkEnd w:id="385"/>
      <w:bookmarkStart w:id="386" w:name="_Toc184313292"/>
      <w:bookmarkEnd w:id="386"/>
      <w:bookmarkStart w:id="387" w:name="_Toc184314429"/>
      <w:bookmarkEnd w:id="387"/>
      <w:bookmarkStart w:id="388" w:name="_Toc184313277"/>
      <w:bookmarkEnd w:id="388"/>
      <w:bookmarkStart w:id="389" w:name="_Toc184313287"/>
      <w:bookmarkEnd w:id="389"/>
      <w:bookmarkStart w:id="390" w:name="_Toc184314450"/>
      <w:bookmarkEnd w:id="390"/>
      <w:bookmarkStart w:id="391" w:name="_Toc184314478"/>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3"/>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4252"/>
        <w:gridCol w:w="709"/>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Align w:val="center"/>
          </w:tcPr>
          <w:p>
            <w:pPr>
              <w:snapToGrid w:val="0"/>
              <w:ind w:firstLine="120" w:firstLineChars="50"/>
              <w:rPr>
                <w:rFonts w:ascii="仿宋" w:hAnsi="仿宋" w:eastAsia="仿宋" w:cs="仿宋_GB2312"/>
                <w:sz w:val="24"/>
              </w:rPr>
            </w:pPr>
            <w:r>
              <w:rPr>
                <w:rFonts w:hint="eastAsia" w:ascii="仿宋" w:hAnsi="仿宋" w:eastAsia="仿宋" w:cs="仿宋_GB2312"/>
                <w:sz w:val="24"/>
              </w:rPr>
              <w:t>序号</w:t>
            </w:r>
          </w:p>
        </w:tc>
        <w:tc>
          <w:tcPr>
            <w:tcW w:w="4252" w:type="dxa"/>
            <w:vAlign w:val="center"/>
          </w:tcPr>
          <w:p>
            <w:pPr>
              <w:snapToGrid w:val="0"/>
              <w:jc w:val="center"/>
              <w:rPr>
                <w:rFonts w:ascii="仿宋" w:hAnsi="仿宋" w:eastAsia="仿宋" w:cs="仿宋_GB2312"/>
                <w:sz w:val="24"/>
              </w:rPr>
            </w:pPr>
            <w:r>
              <w:rPr>
                <w:rFonts w:hint="eastAsia" w:ascii="仿宋" w:hAnsi="仿宋" w:eastAsia="仿宋" w:cs="仿宋_GB2312"/>
                <w:sz w:val="24"/>
              </w:rPr>
              <w:t>评标标准</w:t>
            </w:r>
          </w:p>
        </w:tc>
        <w:tc>
          <w:tcPr>
            <w:tcW w:w="709" w:type="dxa"/>
            <w:vAlign w:val="center"/>
          </w:tcPr>
          <w:p>
            <w:pPr>
              <w:snapToGrid w:val="0"/>
              <w:jc w:val="center"/>
              <w:rPr>
                <w:rFonts w:ascii="仿宋" w:hAnsi="仿宋" w:eastAsia="仿宋" w:cs="仿宋_GB2312"/>
                <w:sz w:val="24"/>
              </w:rPr>
            </w:pPr>
            <w:r>
              <w:rPr>
                <w:rFonts w:hint="eastAsia" w:ascii="仿宋" w:hAnsi="仿宋" w:eastAsia="仿宋" w:cs="仿宋_GB2312"/>
                <w:sz w:val="24"/>
              </w:rPr>
              <w:t>权重</w:t>
            </w:r>
          </w:p>
        </w:tc>
        <w:tc>
          <w:tcPr>
            <w:tcW w:w="2374" w:type="dxa"/>
            <w:vAlign w:val="center"/>
          </w:tcPr>
          <w:p>
            <w:pPr>
              <w:snapToGrid w:val="0"/>
              <w:jc w:val="center"/>
              <w:rPr>
                <w:rFonts w:ascii="仿宋" w:hAnsi="仿宋" w:eastAsia="仿宋" w:cs="仿宋_GB2312"/>
                <w:sz w:val="24"/>
              </w:rPr>
            </w:pPr>
            <w:r>
              <w:rPr>
                <w:rFonts w:hint="eastAsia" w:ascii="仿宋" w:hAnsi="仿宋" w:eastAsia="仿宋" w:cs="仿宋_GB2312"/>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Align w:val="center"/>
          </w:tcPr>
          <w:p>
            <w:pPr>
              <w:snapToGrid w:val="0"/>
              <w:jc w:val="center"/>
              <w:rPr>
                <w:rFonts w:ascii="仿宋" w:hAnsi="仿宋" w:eastAsia="仿宋" w:cs="仿宋_GB2312"/>
                <w:sz w:val="24"/>
              </w:rPr>
            </w:pPr>
            <w:r>
              <w:rPr>
                <w:rFonts w:hint="eastAsia" w:ascii="仿宋" w:hAnsi="仿宋" w:eastAsia="仿宋" w:cs="仿宋_GB2312"/>
                <w:sz w:val="24"/>
              </w:rPr>
              <w:t>1</w:t>
            </w:r>
          </w:p>
        </w:tc>
        <w:tc>
          <w:tcPr>
            <w:tcW w:w="4252" w:type="dxa"/>
            <w:vAlign w:val="center"/>
          </w:tcPr>
          <w:p>
            <w:pPr>
              <w:snapToGrid w:val="0"/>
              <w:jc w:val="left"/>
              <w:rPr>
                <w:rFonts w:ascii="仿宋" w:hAnsi="仿宋" w:eastAsia="仿宋" w:cs="仿宋_GB2312"/>
                <w:sz w:val="24"/>
              </w:rPr>
            </w:pPr>
            <w:r>
              <w:rPr>
                <w:rFonts w:hint="eastAsia" w:ascii="仿宋" w:hAnsi="仿宋" w:eastAsia="仿宋" w:cs="仿宋_GB2312"/>
                <w:sz w:val="24"/>
              </w:rPr>
              <w:t>根据各项子服务：</w:t>
            </w:r>
          </w:p>
          <w:p>
            <w:pPr>
              <w:numPr>
                <w:ilvl w:val="0"/>
                <w:numId w:val="4"/>
              </w:numPr>
              <w:snapToGrid w:val="0"/>
              <w:jc w:val="left"/>
              <w:rPr>
                <w:rFonts w:ascii="仿宋" w:hAnsi="仿宋" w:eastAsia="仿宋" w:cs="仿宋_GB2312"/>
                <w:sz w:val="24"/>
              </w:rPr>
            </w:pPr>
            <w:r>
              <w:rPr>
                <w:rFonts w:hint="eastAsia" w:ascii="仿宋" w:hAnsi="仿宋" w:eastAsia="仿宋" w:cs="仿宋_GB2312"/>
                <w:sz w:val="24"/>
              </w:rPr>
              <w:t>保安服务：服务内容是否明确（0-1.5分）；相关管理措施是否明确（0-1.5分）；岗位责任制是否明确（0-1.5分）；服务流程是否明确（0-1.5分）；</w:t>
            </w:r>
          </w:p>
          <w:p>
            <w:pPr>
              <w:numPr>
                <w:ilvl w:val="0"/>
                <w:numId w:val="4"/>
              </w:numPr>
              <w:snapToGrid w:val="0"/>
              <w:jc w:val="left"/>
              <w:rPr>
                <w:rFonts w:ascii="仿宋" w:hAnsi="仿宋" w:eastAsia="仿宋" w:cs="仿宋_GB2312"/>
                <w:sz w:val="24"/>
              </w:rPr>
            </w:pPr>
            <w:r>
              <w:rPr>
                <w:rFonts w:hint="eastAsia" w:ascii="仿宋" w:hAnsi="仿宋" w:eastAsia="仿宋" w:cs="仿宋_GB2312"/>
                <w:sz w:val="24"/>
              </w:rPr>
              <w:t>保洁服务：服务内容是否明确（0-1.5分）；相关管理措施是否明确（0-1.5分）；岗位责任制是否明确（0-1.5分）；服务流程是否明确（0-1.5分）；</w:t>
            </w:r>
          </w:p>
          <w:p>
            <w:pPr>
              <w:numPr>
                <w:ilvl w:val="0"/>
                <w:numId w:val="4"/>
              </w:numPr>
              <w:snapToGrid w:val="0"/>
              <w:jc w:val="left"/>
              <w:rPr>
                <w:rFonts w:ascii="仿宋" w:hAnsi="仿宋" w:eastAsia="仿宋" w:cs="仿宋_GB2312"/>
                <w:sz w:val="24"/>
              </w:rPr>
            </w:pPr>
            <w:r>
              <w:rPr>
                <w:rFonts w:hint="eastAsia" w:ascii="仿宋" w:hAnsi="仿宋" w:eastAsia="仿宋" w:cs="仿宋_GB2312"/>
                <w:sz w:val="24"/>
              </w:rPr>
              <w:t>会务服务：服务内容是否明确（0-1.5分）；相关管理措施是否明确（0-1.5分）；岗位责任制是否明确（0-1.5分）；服务流程是否明确（0-1.5分）；</w:t>
            </w:r>
          </w:p>
          <w:p>
            <w:pPr>
              <w:snapToGrid w:val="0"/>
              <w:jc w:val="left"/>
              <w:rPr>
                <w:rFonts w:ascii="仿宋" w:hAnsi="仿宋" w:eastAsia="仿宋" w:cs="仿宋_GB2312"/>
                <w:sz w:val="24"/>
              </w:rPr>
            </w:pPr>
            <w:r>
              <w:rPr>
                <w:rFonts w:hint="eastAsia" w:ascii="仿宋" w:hAnsi="仿宋" w:eastAsia="仿宋" w:cs="仿宋"/>
                <w:bCs/>
                <w:sz w:val="24"/>
                <w:szCs w:val="22"/>
              </w:rPr>
              <w:t>4）房屋内设施设备的零星养护维修服务及日常水电维修服务、空调维护、室内盆栽租赁更换养护、部分绿化养护</w:t>
            </w:r>
            <w:r>
              <w:rPr>
                <w:rFonts w:hint="eastAsia" w:ascii="仿宋" w:hAnsi="仿宋" w:eastAsia="仿宋" w:cs="仿宋_GB2312"/>
                <w:sz w:val="24"/>
              </w:rPr>
              <w:t>：服务内容是否明确（0-1.5分）；相关管理措施是否明确（0-1.5分）；岗位责任制是否明确（0-1.5分）；服务流程是否明确（0-1.5分）。</w:t>
            </w:r>
          </w:p>
        </w:tc>
        <w:tc>
          <w:tcPr>
            <w:tcW w:w="709" w:type="dxa"/>
            <w:vAlign w:val="center"/>
          </w:tcPr>
          <w:p>
            <w:pPr>
              <w:snapToGrid w:val="0"/>
              <w:jc w:val="center"/>
              <w:rPr>
                <w:rFonts w:ascii="仿宋" w:hAnsi="仿宋" w:eastAsia="仿宋" w:cs="仿宋_GB2312"/>
                <w:sz w:val="24"/>
              </w:rPr>
            </w:pPr>
            <w:r>
              <w:rPr>
                <w:rFonts w:hint="eastAsia" w:ascii="仿宋" w:hAnsi="仿宋" w:eastAsia="仿宋" w:cs="仿宋_GB2312"/>
                <w:sz w:val="24"/>
              </w:rPr>
              <w:t>24</w:t>
            </w:r>
          </w:p>
        </w:tc>
        <w:tc>
          <w:tcPr>
            <w:tcW w:w="2374" w:type="dxa"/>
            <w:vAlign w:val="center"/>
          </w:tcPr>
          <w:p>
            <w:pPr>
              <w:snapToGrid w:val="0"/>
              <w:jc w:val="left"/>
              <w:rPr>
                <w:rFonts w:ascii="仿宋" w:hAnsi="仿宋" w:eastAsia="仿宋" w:cs="仿宋_GB2312"/>
                <w:sz w:val="24"/>
              </w:rPr>
            </w:pPr>
            <w:r>
              <w:rPr>
                <w:rFonts w:hint="eastAsia" w:ascii="仿宋" w:hAnsi="仿宋" w:eastAsia="仿宋" w:cs="仿宋_GB2312"/>
                <w:sz w:val="24"/>
              </w:rPr>
              <w:t>服务内容、相关管理措施、岗位责任制和服务流程说明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Align w:val="center"/>
          </w:tcPr>
          <w:p>
            <w:pPr>
              <w:snapToGrid w:val="0"/>
              <w:jc w:val="center"/>
              <w:rPr>
                <w:rFonts w:ascii="仿宋" w:hAnsi="仿宋" w:eastAsia="仿宋" w:cs="仿宋_GB2312"/>
                <w:sz w:val="24"/>
              </w:rPr>
            </w:pPr>
            <w:r>
              <w:rPr>
                <w:rFonts w:hint="eastAsia" w:ascii="仿宋" w:hAnsi="仿宋" w:eastAsia="仿宋" w:cs="仿宋_GB2312"/>
                <w:sz w:val="24"/>
              </w:rPr>
              <w:t>2</w:t>
            </w:r>
          </w:p>
        </w:tc>
        <w:tc>
          <w:tcPr>
            <w:tcW w:w="4252" w:type="dxa"/>
            <w:vAlign w:val="center"/>
          </w:tcPr>
          <w:p>
            <w:pPr>
              <w:snapToGrid w:val="0"/>
              <w:jc w:val="left"/>
              <w:rPr>
                <w:rFonts w:ascii="仿宋" w:hAnsi="仿宋" w:eastAsia="仿宋"/>
                <w:sz w:val="24"/>
              </w:rPr>
            </w:pPr>
            <w:r>
              <w:rPr>
                <w:rFonts w:hint="eastAsia" w:ascii="仿宋" w:hAnsi="仿宋" w:eastAsia="仿宋"/>
                <w:sz w:val="24"/>
              </w:rPr>
              <w:t>①拟派人员岗位配置情况（0-5分）：根据项目负责人、保安、保洁、水电维修、垃圾分类等人员配置是否充分满足各岗位和工作量的需要进行打分。</w:t>
            </w:r>
          </w:p>
          <w:p>
            <w:pPr>
              <w:snapToGrid w:val="0"/>
              <w:jc w:val="left"/>
              <w:rPr>
                <w:rFonts w:ascii="仿宋" w:hAnsi="仿宋" w:eastAsia="仿宋"/>
                <w:sz w:val="24"/>
              </w:rPr>
            </w:pPr>
            <w:r>
              <w:rPr>
                <w:rFonts w:hint="eastAsia" w:ascii="仿宋" w:hAnsi="仿宋" w:eastAsia="仿宋"/>
                <w:sz w:val="24"/>
              </w:rPr>
              <w:t>②各岗位拟派人员相关证书（12分）：</w:t>
            </w:r>
          </w:p>
          <w:p>
            <w:pPr>
              <w:snapToGrid w:val="0"/>
              <w:jc w:val="left"/>
              <w:rPr>
                <w:rFonts w:ascii="仿宋" w:hAnsi="仿宋" w:eastAsia="仿宋"/>
                <w:sz w:val="24"/>
              </w:rPr>
            </w:pPr>
            <w:r>
              <w:rPr>
                <w:rFonts w:hint="eastAsia" w:ascii="仿宋" w:hAnsi="仿宋" w:eastAsia="仿宋"/>
                <w:b/>
                <w:bCs/>
                <w:sz w:val="24"/>
              </w:rPr>
              <w:t>1）</w:t>
            </w:r>
            <w:r>
              <w:rPr>
                <w:rFonts w:hint="eastAsia" w:ascii="仿宋" w:hAnsi="仿宋" w:eastAsia="仿宋"/>
                <w:b/>
                <w:sz w:val="24"/>
              </w:rPr>
              <w:t>项目负责人：</w:t>
            </w:r>
            <w:r>
              <w:rPr>
                <w:rFonts w:hint="eastAsia" w:ascii="仿宋" w:hAnsi="仿宋" w:eastAsia="仿宋"/>
                <w:sz w:val="24"/>
              </w:rPr>
              <w:t>持有全国物业经理上岗证的，得2分，本项最高得2分；</w:t>
            </w:r>
          </w:p>
          <w:p>
            <w:pPr>
              <w:snapToGrid w:val="0"/>
              <w:jc w:val="left"/>
              <w:rPr>
                <w:rFonts w:ascii="仿宋" w:hAnsi="仿宋" w:eastAsia="仿宋"/>
                <w:sz w:val="24"/>
              </w:rPr>
            </w:pPr>
            <w:r>
              <w:rPr>
                <w:rFonts w:hint="eastAsia" w:ascii="仿宋" w:hAnsi="仿宋" w:eastAsia="仿宋"/>
                <w:b/>
                <w:sz w:val="24"/>
              </w:rPr>
              <w:t>2）保安员：</w:t>
            </w:r>
            <w:r>
              <w:rPr>
                <w:rFonts w:hint="eastAsia" w:ascii="仿宋" w:hAnsi="仿宋" w:eastAsia="仿宋"/>
                <w:sz w:val="24"/>
              </w:rPr>
              <w:t>持有保安员证，每提供1本得1分，最多得4分；</w:t>
            </w:r>
          </w:p>
          <w:p>
            <w:pPr>
              <w:snapToGrid w:val="0"/>
              <w:jc w:val="left"/>
              <w:rPr>
                <w:rFonts w:ascii="仿宋" w:hAnsi="仿宋" w:eastAsia="仿宋"/>
                <w:sz w:val="24"/>
              </w:rPr>
            </w:pPr>
            <w:r>
              <w:rPr>
                <w:rFonts w:hint="eastAsia" w:ascii="仿宋" w:hAnsi="仿宋" w:eastAsia="仿宋"/>
                <w:b/>
                <w:sz w:val="24"/>
              </w:rPr>
              <w:t>3）消监控员：</w:t>
            </w:r>
            <w:r>
              <w:rPr>
                <w:rFonts w:hint="eastAsia" w:ascii="仿宋" w:hAnsi="仿宋" w:eastAsia="仿宋"/>
                <w:sz w:val="24"/>
              </w:rPr>
              <w:t>同时持有消防设施操作员的和持有保安员证的，每提供1人得2分，本项最高得4分；</w:t>
            </w:r>
          </w:p>
          <w:p>
            <w:pPr>
              <w:snapToGrid w:val="0"/>
              <w:jc w:val="left"/>
              <w:rPr>
                <w:rFonts w:ascii="仿宋" w:hAnsi="仿宋" w:eastAsia="仿宋"/>
                <w:sz w:val="24"/>
              </w:rPr>
            </w:pPr>
            <w:r>
              <w:rPr>
                <w:rFonts w:hint="eastAsia" w:ascii="仿宋" w:hAnsi="仿宋" w:eastAsia="仿宋"/>
                <w:b/>
                <w:bCs/>
                <w:sz w:val="24"/>
              </w:rPr>
              <w:t>4）</w:t>
            </w:r>
            <w:r>
              <w:rPr>
                <w:rFonts w:hint="eastAsia" w:ascii="仿宋" w:hAnsi="仿宋" w:eastAsia="仿宋"/>
                <w:b/>
                <w:sz w:val="24"/>
              </w:rPr>
              <w:t>维修人员：</w:t>
            </w:r>
            <w:r>
              <w:rPr>
                <w:rFonts w:hint="eastAsia" w:ascii="仿宋" w:hAnsi="仿宋" w:eastAsia="仿宋"/>
                <w:sz w:val="24"/>
              </w:rPr>
              <w:t>同时持有高压电工作业证和低压电工作业证的，每提供1人得2分，最高得2分，本项最高得2分；</w:t>
            </w:r>
          </w:p>
          <w:p>
            <w:pPr>
              <w:snapToGrid w:val="0"/>
              <w:jc w:val="left"/>
              <w:rPr>
                <w:rFonts w:ascii="仿宋" w:hAnsi="仿宋" w:eastAsia="仿宋"/>
                <w:sz w:val="24"/>
              </w:rPr>
            </w:pPr>
            <w:r>
              <w:rPr>
                <w:rFonts w:hint="eastAsia" w:ascii="仿宋" w:hAnsi="仿宋" w:eastAsia="仿宋"/>
                <w:b/>
                <w:bCs/>
                <w:sz w:val="24"/>
              </w:rPr>
              <w:t>注：以上所有拟派人员须同时提供相应证书复印件或者扫描件和在本单位缴纳的有效社保证明材料复印件或者扫描件；且以上人员不重复得分</w:t>
            </w:r>
            <w:r>
              <w:rPr>
                <w:rFonts w:hint="eastAsia" w:ascii="仿宋" w:hAnsi="仿宋" w:eastAsia="仿宋"/>
                <w:sz w:val="24"/>
              </w:rPr>
              <w:t>。</w:t>
            </w:r>
          </w:p>
        </w:tc>
        <w:tc>
          <w:tcPr>
            <w:tcW w:w="709" w:type="dxa"/>
            <w:vAlign w:val="center"/>
          </w:tcPr>
          <w:p>
            <w:pPr>
              <w:snapToGrid w:val="0"/>
              <w:jc w:val="center"/>
              <w:rPr>
                <w:rFonts w:ascii="仿宋" w:hAnsi="仿宋" w:eastAsia="仿宋" w:cs="仿宋_GB2312"/>
                <w:sz w:val="24"/>
              </w:rPr>
            </w:pPr>
            <w:r>
              <w:rPr>
                <w:rFonts w:hint="eastAsia" w:ascii="仿宋" w:hAnsi="仿宋" w:eastAsia="仿宋" w:cs="仿宋_GB2312"/>
                <w:sz w:val="24"/>
              </w:rPr>
              <w:t>17</w:t>
            </w:r>
          </w:p>
        </w:tc>
        <w:tc>
          <w:tcPr>
            <w:tcW w:w="2374" w:type="dxa"/>
            <w:vAlign w:val="center"/>
          </w:tcPr>
          <w:p>
            <w:pPr>
              <w:snapToGrid w:val="0"/>
              <w:jc w:val="left"/>
              <w:rPr>
                <w:rFonts w:ascii="仿宋" w:hAnsi="仿宋" w:eastAsia="仿宋" w:cs="仿宋_GB2312"/>
                <w:sz w:val="24"/>
              </w:rPr>
            </w:pPr>
            <w:r>
              <w:rPr>
                <w:rFonts w:hint="eastAsia" w:ascii="仿宋" w:hAnsi="仿宋" w:eastAsia="仿宋" w:cs="仿宋_GB2312"/>
                <w:sz w:val="24"/>
              </w:rPr>
              <w:t>拟派项目实施人员的配备情况及管理人员、专业人员的综合素质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Align w:val="center"/>
          </w:tcPr>
          <w:p>
            <w:pPr>
              <w:snapToGrid w:val="0"/>
              <w:jc w:val="center"/>
              <w:rPr>
                <w:rFonts w:ascii="仿宋" w:hAnsi="仿宋" w:eastAsia="仿宋" w:cs="仿宋_GB2312"/>
                <w:sz w:val="24"/>
              </w:rPr>
            </w:pPr>
            <w:r>
              <w:rPr>
                <w:rFonts w:hint="eastAsia" w:ascii="仿宋" w:hAnsi="仿宋" w:eastAsia="仿宋" w:cs="仿宋_GB2312"/>
                <w:sz w:val="24"/>
              </w:rPr>
              <w:t>3</w:t>
            </w:r>
          </w:p>
        </w:tc>
        <w:tc>
          <w:tcPr>
            <w:tcW w:w="4252" w:type="dxa"/>
            <w:vAlign w:val="center"/>
          </w:tcPr>
          <w:p>
            <w:pPr>
              <w:snapToGrid w:val="0"/>
              <w:jc w:val="left"/>
              <w:rPr>
                <w:rFonts w:ascii="仿宋" w:hAnsi="仿宋" w:eastAsia="仿宋"/>
                <w:sz w:val="24"/>
              </w:rPr>
            </w:pPr>
            <w:r>
              <w:rPr>
                <w:rFonts w:hint="eastAsia" w:ascii="仿宋" w:hAnsi="仿宋" w:eastAsia="仿宋"/>
                <w:sz w:val="24"/>
              </w:rPr>
              <w:t>根据本项目的特点就物业管理与服务的各项内容，培训方案是否具有完整性（0-2分）、合理性（0-2分）；是否具备培训内部员工的培训能力与经验，每提供一个案例得1分（0-2分）。</w:t>
            </w:r>
            <w:r>
              <w:rPr>
                <w:rFonts w:hint="eastAsia" w:ascii="仿宋" w:hAnsi="仿宋" w:eastAsia="仿宋"/>
                <w:b/>
                <w:bCs/>
                <w:sz w:val="24"/>
              </w:rPr>
              <w:t>注：1、培训方案（需体现内容、计划等）；2、培训能力与经验（需体现培训内容、案例及图片），否则不得分。</w:t>
            </w:r>
          </w:p>
        </w:tc>
        <w:tc>
          <w:tcPr>
            <w:tcW w:w="709" w:type="dxa"/>
            <w:vAlign w:val="center"/>
          </w:tcPr>
          <w:p>
            <w:pPr>
              <w:snapToGrid w:val="0"/>
              <w:jc w:val="center"/>
              <w:rPr>
                <w:rFonts w:ascii="仿宋" w:hAnsi="仿宋" w:eastAsia="仿宋" w:cs="仿宋_GB2312"/>
                <w:sz w:val="24"/>
              </w:rPr>
            </w:pPr>
            <w:r>
              <w:rPr>
                <w:rFonts w:hint="eastAsia" w:ascii="仿宋" w:hAnsi="仿宋" w:eastAsia="仿宋" w:cs="仿宋_GB2312"/>
                <w:sz w:val="24"/>
              </w:rPr>
              <w:t>6</w:t>
            </w:r>
          </w:p>
        </w:tc>
        <w:tc>
          <w:tcPr>
            <w:tcW w:w="2374" w:type="dxa"/>
            <w:vAlign w:val="center"/>
          </w:tcPr>
          <w:p>
            <w:pPr>
              <w:snapToGrid w:val="0"/>
              <w:jc w:val="left"/>
              <w:rPr>
                <w:rFonts w:ascii="仿宋" w:hAnsi="仿宋" w:eastAsia="仿宋" w:cs="仿宋_GB2312"/>
                <w:sz w:val="24"/>
              </w:rPr>
            </w:pPr>
            <w:r>
              <w:rPr>
                <w:rFonts w:hint="eastAsia" w:ascii="仿宋" w:hAnsi="仿宋" w:eastAsia="仿宋" w:cs="仿宋_GB2312"/>
                <w:sz w:val="24"/>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Align w:val="center"/>
          </w:tcPr>
          <w:p>
            <w:pPr>
              <w:snapToGrid w:val="0"/>
              <w:jc w:val="center"/>
              <w:rPr>
                <w:rFonts w:ascii="仿宋" w:hAnsi="仿宋" w:eastAsia="仿宋" w:cs="仿宋_GB2312"/>
                <w:sz w:val="24"/>
              </w:rPr>
            </w:pPr>
            <w:r>
              <w:rPr>
                <w:rFonts w:hint="eastAsia" w:ascii="仿宋" w:hAnsi="仿宋" w:eastAsia="仿宋" w:cs="仿宋_GB2312"/>
                <w:sz w:val="24"/>
              </w:rPr>
              <w:t>4</w:t>
            </w:r>
          </w:p>
        </w:tc>
        <w:tc>
          <w:tcPr>
            <w:tcW w:w="4252" w:type="dxa"/>
            <w:vAlign w:val="center"/>
          </w:tcPr>
          <w:p>
            <w:pPr>
              <w:snapToGrid w:val="0"/>
              <w:jc w:val="left"/>
              <w:rPr>
                <w:rFonts w:ascii="仿宋" w:hAnsi="仿宋" w:eastAsia="仿宋"/>
                <w:sz w:val="24"/>
              </w:rPr>
            </w:pPr>
            <w:r>
              <w:rPr>
                <w:rFonts w:hint="eastAsia" w:ascii="仿宋" w:hAnsi="仿宋" w:eastAsia="仿宋"/>
                <w:sz w:val="24"/>
              </w:rPr>
              <w:t>根据本项目采购需求制定</w:t>
            </w:r>
            <w:r>
              <w:rPr>
                <w:rFonts w:hint="eastAsia" w:ascii="仿宋_GB2312" w:hAnsi="仿宋" w:eastAsia="仿宋_GB2312"/>
                <w:sz w:val="24"/>
                <w:szCs w:val="20"/>
              </w:rPr>
              <w:t>电梯维保养护、消监控维保工作、外墙面高空作业分包方案</w:t>
            </w:r>
            <w:r>
              <w:rPr>
                <w:rFonts w:hint="eastAsia" w:ascii="仿宋" w:hAnsi="仿宋" w:eastAsia="仿宋"/>
                <w:sz w:val="24"/>
              </w:rPr>
              <w:t>，根据以上方案的合理性（0-2分）、根据以上方案的完整性（0-2分）进行打分。</w:t>
            </w:r>
          </w:p>
        </w:tc>
        <w:tc>
          <w:tcPr>
            <w:tcW w:w="709" w:type="dxa"/>
            <w:vAlign w:val="center"/>
          </w:tcPr>
          <w:p>
            <w:pPr>
              <w:snapToGrid w:val="0"/>
              <w:jc w:val="center"/>
              <w:rPr>
                <w:rFonts w:ascii="仿宋" w:hAnsi="仿宋" w:eastAsia="仿宋" w:cs="仿宋_GB2312"/>
                <w:sz w:val="24"/>
              </w:rPr>
            </w:pPr>
            <w:r>
              <w:rPr>
                <w:rFonts w:hint="eastAsia" w:ascii="仿宋" w:hAnsi="仿宋" w:eastAsia="仿宋" w:cs="仿宋_GB2312"/>
                <w:sz w:val="24"/>
              </w:rPr>
              <w:t>4</w:t>
            </w:r>
          </w:p>
        </w:tc>
        <w:tc>
          <w:tcPr>
            <w:tcW w:w="2374" w:type="dxa"/>
            <w:vAlign w:val="center"/>
          </w:tcPr>
          <w:p>
            <w:pPr>
              <w:snapToGrid w:val="0"/>
              <w:jc w:val="left"/>
              <w:rPr>
                <w:rFonts w:ascii="仿宋" w:hAnsi="仿宋" w:eastAsia="仿宋" w:cs="仿宋_GB2312"/>
                <w:sz w:val="24"/>
              </w:rPr>
            </w:pPr>
            <w:r>
              <w:rPr>
                <w:rFonts w:hint="eastAsia" w:ascii="仿宋" w:hAnsi="仿宋" w:eastAsia="仿宋" w:cs="仿宋_GB2312"/>
                <w:sz w:val="24"/>
              </w:rPr>
              <w:t>设施设备维保方案、</w:t>
            </w:r>
            <w:r>
              <w:rPr>
                <w:rFonts w:hint="eastAsia" w:ascii="仿宋_GB2312" w:hAnsi="仿宋" w:eastAsia="仿宋_GB2312"/>
                <w:sz w:val="24"/>
                <w:szCs w:val="20"/>
              </w:rPr>
              <w:t>外墙面高空作业方案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jc w:val="center"/>
        </w:trPr>
        <w:tc>
          <w:tcPr>
            <w:tcW w:w="1042" w:type="dxa"/>
            <w:vAlign w:val="center"/>
          </w:tcPr>
          <w:p>
            <w:pPr>
              <w:snapToGrid w:val="0"/>
              <w:jc w:val="center"/>
              <w:rPr>
                <w:rFonts w:ascii="仿宋" w:hAnsi="仿宋" w:eastAsia="仿宋" w:cs="仿宋_GB2312"/>
                <w:sz w:val="24"/>
              </w:rPr>
            </w:pPr>
            <w:r>
              <w:rPr>
                <w:rFonts w:hint="eastAsia" w:ascii="仿宋" w:hAnsi="仿宋" w:eastAsia="仿宋" w:cs="仿宋_GB2312"/>
                <w:sz w:val="24"/>
              </w:rPr>
              <w:t>5</w:t>
            </w:r>
          </w:p>
        </w:tc>
        <w:tc>
          <w:tcPr>
            <w:tcW w:w="4252" w:type="dxa"/>
            <w:vAlign w:val="center"/>
          </w:tcPr>
          <w:p>
            <w:pPr>
              <w:snapToGrid w:val="0"/>
              <w:jc w:val="left"/>
              <w:rPr>
                <w:rFonts w:ascii="仿宋" w:hAnsi="仿宋" w:eastAsia="仿宋"/>
                <w:sz w:val="24"/>
              </w:rPr>
            </w:pPr>
            <w:r>
              <w:rPr>
                <w:rFonts w:hint="eastAsia" w:ascii="仿宋" w:hAnsi="仿宋" w:eastAsia="仿宋"/>
                <w:sz w:val="24"/>
              </w:rPr>
              <w:t>①针对管理区域内：具备完善的安全防范紧急预案(0-2分）；具备完善的消防、抗台、抗震等紧急预案（0-2分）；②对管理区域内的：防盗、防火的安全防范巡查措施体现合理规范性(0-2分）；应急供电系统、给排水设备应急检修措施体现合理规范性（0-2分）；电气照明装置等设备应急检修措施体现合理规范性（0-2分）。</w:t>
            </w:r>
          </w:p>
        </w:tc>
        <w:tc>
          <w:tcPr>
            <w:tcW w:w="709" w:type="dxa"/>
            <w:vAlign w:val="center"/>
          </w:tcPr>
          <w:p>
            <w:pPr>
              <w:snapToGrid w:val="0"/>
              <w:jc w:val="center"/>
              <w:rPr>
                <w:rFonts w:ascii="仿宋" w:hAnsi="仿宋" w:eastAsia="仿宋" w:cs="仿宋_GB2312"/>
                <w:sz w:val="24"/>
              </w:rPr>
            </w:pPr>
            <w:r>
              <w:rPr>
                <w:rFonts w:hint="eastAsia" w:ascii="仿宋" w:hAnsi="仿宋" w:eastAsia="仿宋" w:cs="仿宋_GB2312"/>
                <w:sz w:val="24"/>
              </w:rPr>
              <w:t>10</w:t>
            </w:r>
          </w:p>
        </w:tc>
        <w:tc>
          <w:tcPr>
            <w:tcW w:w="2374" w:type="dxa"/>
            <w:vAlign w:val="center"/>
          </w:tcPr>
          <w:p>
            <w:pPr>
              <w:snapToGrid w:val="0"/>
              <w:jc w:val="left"/>
              <w:rPr>
                <w:rFonts w:ascii="仿宋" w:hAnsi="仿宋" w:eastAsia="仿宋" w:cs="仿宋_GB2312"/>
                <w:sz w:val="24"/>
              </w:rPr>
            </w:pPr>
            <w:r>
              <w:rPr>
                <w:rFonts w:hint="eastAsia" w:ascii="仿宋" w:hAnsi="仿宋" w:eastAsia="仿宋" w:cs="仿宋_GB2312"/>
                <w:sz w:val="24"/>
              </w:rPr>
              <w:t>物业突发事件的应急措施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Align w:val="center"/>
          </w:tcPr>
          <w:p>
            <w:pPr>
              <w:snapToGrid w:val="0"/>
              <w:jc w:val="center"/>
              <w:rPr>
                <w:rFonts w:ascii="仿宋" w:hAnsi="仿宋" w:eastAsia="仿宋" w:cs="仿宋_GB2312"/>
                <w:sz w:val="24"/>
              </w:rPr>
            </w:pPr>
            <w:r>
              <w:rPr>
                <w:rFonts w:hint="eastAsia" w:ascii="仿宋" w:hAnsi="仿宋" w:eastAsia="仿宋" w:cs="仿宋_GB2312"/>
                <w:sz w:val="24"/>
              </w:rPr>
              <w:t>6</w:t>
            </w:r>
          </w:p>
        </w:tc>
        <w:tc>
          <w:tcPr>
            <w:tcW w:w="4252" w:type="dxa"/>
            <w:vAlign w:val="center"/>
          </w:tcPr>
          <w:p>
            <w:pPr>
              <w:snapToGrid w:val="0"/>
              <w:jc w:val="left"/>
              <w:rPr>
                <w:rFonts w:ascii="仿宋" w:hAnsi="仿宋" w:eastAsia="仿宋"/>
                <w:sz w:val="24"/>
              </w:rPr>
            </w:pPr>
            <w:r>
              <w:rPr>
                <w:rFonts w:hint="eastAsia" w:ascii="仿宋" w:hAnsi="仿宋" w:eastAsia="仿宋"/>
                <w:sz w:val="24"/>
              </w:rPr>
              <w:t>1）亮点服务，夏季防台、防雷、停水、停电的温馨提示和紧急处理措施（0-2分）；冬季防雪、防冻的温馨提示，提醒业主做好办事处设备及水管的防冻措施（0-2分）；平时防火、防盗、楼梯安全、禁止攀爬、安全疏散等预防性温馨提示和警示标识（0-2分）。</w:t>
            </w:r>
          </w:p>
          <w:p>
            <w:pPr>
              <w:snapToGrid w:val="0"/>
              <w:jc w:val="left"/>
              <w:rPr>
                <w:rFonts w:ascii="仿宋" w:hAnsi="仿宋" w:eastAsia="仿宋"/>
                <w:sz w:val="24"/>
              </w:rPr>
            </w:pPr>
            <w:r>
              <w:rPr>
                <w:rFonts w:hint="eastAsia" w:ascii="仿宋" w:hAnsi="仿宋" w:eastAsia="仿宋"/>
                <w:sz w:val="24"/>
              </w:rPr>
              <w:t>2)升级服务（如夏日提供凉茶、应急迎检、人员临时调控）等。每具有一个可行的升级服务的得1分，最多得3分（0-3分） 。（投标文件中需提供承诺函并加盖公章，否则不得分）。</w:t>
            </w:r>
          </w:p>
        </w:tc>
        <w:tc>
          <w:tcPr>
            <w:tcW w:w="709" w:type="dxa"/>
            <w:vAlign w:val="center"/>
          </w:tcPr>
          <w:p>
            <w:pPr>
              <w:snapToGrid w:val="0"/>
              <w:jc w:val="center"/>
              <w:rPr>
                <w:rFonts w:ascii="仿宋" w:hAnsi="仿宋" w:eastAsia="仿宋" w:cs="仿宋_GB2312"/>
                <w:sz w:val="24"/>
              </w:rPr>
            </w:pPr>
            <w:r>
              <w:rPr>
                <w:rFonts w:hint="eastAsia" w:ascii="仿宋" w:hAnsi="仿宋" w:eastAsia="仿宋" w:cs="仿宋_GB2312"/>
                <w:sz w:val="24"/>
              </w:rPr>
              <w:t>9</w:t>
            </w:r>
          </w:p>
        </w:tc>
        <w:tc>
          <w:tcPr>
            <w:tcW w:w="2374" w:type="dxa"/>
            <w:vAlign w:val="center"/>
          </w:tcPr>
          <w:p>
            <w:pPr>
              <w:snapToGrid w:val="0"/>
              <w:jc w:val="left"/>
              <w:rPr>
                <w:rFonts w:ascii="仿宋" w:hAnsi="仿宋" w:eastAsia="仿宋" w:cs="仿宋_GB2312"/>
                <w:sz w:val="24"/>
              </w:rPr>
            </w:pPr>
            <w:r>
              <w:rPr>
                <w:rFonts w:hint="eastAsia" w:ascii="仿宋" w:hAnsi="仿宋" w:eastAsia="仿宋" w:cs="仿宋_GB2312"/>
                <w:sz w:val="24"/>
              </w:rPr>
              <w:t>亮点服务和升级服务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Align w:val="center"/>
          </w:tcPr>
          <w:p>
            <w:pPr>
              <w:snapToGrid w:val="0"/>
              <w:jc w:val="center"/>
              <w:rPr>
                <w:rFonts w:ascii="仿宋" w:hAnsi="仿宋" w:eastAsia="仿宋" w:cs="仿宋_GB2312"/>
                <w:sz w:val="24"/>
              </w:rPr>
            </w:pPr>
            <w:r>
              <w:rPr>
                <w:rFonts w:hint="eastAsia" w:ascii="仿宋" w:hAnsi="仿宋" w:eastAsia="仿宋" w:cs="仿宋_GB2312"/>
                <w:sz w:val="24"/>
              </w:rPr>
              <w:t>7</w:t>
            </w:r>
          </w:p>
        </w:tc>
        <w:tc>
          <w:tcPr>
            <w:tcW w:w="4252" w:type="dxa"/>
            <w:vAlign w:val="center"/>
          </w:tcPr>
          <w:p>
            <w:pPr>
              <w:snapToGrid w:val="0"/>
              <w:jc w:val="left"/>
              <w:rPr>
                <w:rFonts w:ascii="仿宋" w:hAnsi="仿宋" w:eastAsia="仿宋"/>
                <w:sz w:val="24"/>
              </w:rPr>
            </w:pPr>
            <w:r>
              <w:rPr>
                <w:rFonts w:hint="eastAsia" w:ascii="仿宋" w:hAnsi="仿宋" w:eastAsia="仿宋"/>
                <w:sz w:val="24"/>
              </w:rPr>
              <w:t>本项目所需的相关设备清单：提供扫地机得1分、提供洗地机得1分、高压清洗机得1分、吸尘器得1分。最高得4分。以上设备需提供发票复印件，不提供者不得分。</w:t>
            </w:r>
          </w:p>
          <w:p>
            <w:pPr>
              <w:snapToGrid w:val="0"/>
              <w:jc w:val="left"/>
              <w:rPr>
                <w:rFonts w:ascii="仿宋" w:hAnsi="仿宋" w:eastAsia="仿宋"/>
                <w:sz w:val="24"/>
              </w:rPr>
            </w:pPr>
            <w:r>
              <w:rPr>
                <w:rFonts w:hint="eastAsia" w:ascii="仿宋" w:hAnsi="仿宋" w:eastAsia="仿宋"/>
                <w:sz w:val="24"/>
              </w:rPr>
              <w:t>详细说明投入药剂、耗材的环保性和优越性，提供相关药剂、耗材的品牌、型号、产地、数量等清单，品种、数量配置是否合理。符合得2分，部分符合得1分，不符合不得分。</w:t>
            </w:r>
          </w:p>
        </w:tc>
        <w:tc>
          <w:tcPr>
            <w:tcW w:w="709" w:type="dxa"/>
            <w:vAlign w:val="center"/>
          </w:tcPr>
          <w:p>
            <w:pPr>
              <w:snapToGrid w:val="0"/>
              <w:jc w:val="center"/>
              <w:rPr>
                <w:rFonts w:ascii="仿宋" w:hAnsi="仿宋" w:eastAsia="仿宋" w:cs="仿宋_GB2312"/>
                <w:sz w:val="24"/>
              </w:rPr>
            </w:pPr>
            <w:r>
              <w:rPr>
                <w:rFonts w:hint="eastAsia" w:ascii="仿宋" w:hAnsi="仿宋" w:eastAsia="仿宋" w:cs="仿宋_GB2312"/>
                <w:sz w:val="24"/>
              </w:rPr>
              <w:t>6</w:t>
            </w:r>
          </w:p>
        </w:tc>
        <w:tc>
          <w:tcPr>
            <w:tcW w:w="2374" w:type="dxa"/>
            <w:vAlign w:val="center"/>
          </w:tcPr>
          <w:p>
            <w:pPr>
              <w:snapToGrid w:val="0"/>
              <w:jc w:val="left"/>
              <w:rPr>
                <w:rFonts w:ascii="仿宋" w:hAnsi="仿宋" w:eastAsia="仿宋" w:cs="仿宋_GB2312"/>
                <w:sz w:val="24"/>
              </w:rPr>
            </w:pPr>
            <w:r>
              <w:rPr>
                <w:rFonts w:hint="eastAsia" w:ascii="仿宋" w:hAnsi="仿宋" w:eastAsia="仿宋" w:cs="仿宋_GB2312"/>
                <w:sz w:val="24"/>
              </w:rPr>
              <w:t>投入的设备、药剂及耗材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Align w:val="center"/>
          </w:tcPr>
          <w:p>
            <w:pPr>
              <w:snapToGrid w:val="0"/>
              <w:jc w:val="center"/>
              <w:rPr>
                <w:rFonts w:ascii="仿宋" w:hAnsi="仿宋" w:eastAsia="仿宋" w:cs="仿宋_GB2312"/>
                <w:sz w:val="24"/>
              </w:rPr>
            </w:pPr>
            <w:r>
              <w:rPr>
                <w:rFonts w:hint="eastAsia" w:ascii="仿宋" w:hAnsi="仿宋" w:eastAsia="仿宋" w:cs="仿宋_GB2312"/>
                <w:sz w:val="24"/>
              </w:rPr>
              <w:t>8</w:t>
            </w:r>
          </w:p>
        </w:tc>
        <w:tc>
          <w:tcPr>
            <w:tcW w:w="4252" w:type="dxa"/>
            <w:vAlign w:val="center"/>
          </w:tcPr>
          <w:p>
            <w:pPr>
              <w:snapToGrid w:val="0"/>
              <w:jc w:val="left"/>
              <w:rPr>
                <w:rFonts w:ascii="仿宋" w:hAnsi="仿宋" w:eastAsia="仿宋"/>
                <w:sz w:val="24"/>
              </w:rPr>
            </w:pPr>
            <w:r>
              <w:rPr>
                <w:rFonts w:hint="eastAsia" w:ascii="仿宋" w:hAnsi="仿宋" w:eastAsia="仿宋"/>
                <w:sz w:val="24"/>
              </w:rPr>
              <w:t>体系认证证书：</w:t>
            </w:r>
          </w:p>
          <w:p>
            <w:pPr>
              <w:snapToGrid w:val="0"/>
              <w:jc w:val="left"/>
              <w:rPr>
                <w:rFonts w:ascii="仿宋" w:hAnsi="仿宋" w:eastAsia="仿宋"/>
                <w:sz w:val="24"/>
              </w:rPr>
            </w:pPr>
            <w:r>
              <w:rPr>
                <w:rFonts w:hint="eastAsia" w:ascii="仿宋" w:hAnsi="仿宋" w:eastAsia="仿宋"/>
                <w:sz w:val="24"/>
              </w:rPr>
              <w:t>1）有效的质量管理体系认证证书（1分）；</w:t>
            </w:r>
          </w:p>
          <w:p>
            <w:pPr>
              <w:snapToGrid w:val="0"/>
              <w:jc w:val="left"/>
              <w:rPr>
                <w:rFonts w:ascii="仿宋" w:hAnsi="仿宋" w:eastAsia="仿宋"/>
                <w:sz w:val="24"/>
              </w:rPr>
            </w:pPr>
            <w:r>
              <w:rPr>
                <w:rFonts w:hint="eastAsia" w:ascii="仿宋" w:hAnsi="仿宋" w:eastAsia="仿宋"/>
                <w:sz w:val="24"/>
              </w:rPr>
              <w:t>2）有效的职业健康安全管理体系证书（1分）；</w:t>
            </w:r>
          </w:p>
          <w:p>
            <w:pPr>
              <w:snapToGrid w:val="0"/>
              <w:jc w:val="left"/>
              <w:rPr>
                <w:rFonts w:ascii="仿宋" w:hAnsi="仿宋" w:eastAsia="仿宋"/>
                <w:sz w:val="24"/>
              </w:rPr>
            </w:pPr>
            <w:r>
              <w:rPr>
                <w:rFonts w:hint="eastAsia" w:ascii="仿宋" w:hAnsi="仿宋" w:eastAsia="仿宋"/>
                <w:sz w:val="24"/>
              </w:rPr>
              <w:t>3）有效的环境管理体系认证书（1分）；</w:t>
            </w:r>
          </w:p>
          <w:p>
            <w:pPr>
              <w:snapToGrid w:val="0"/>
              <w:jc w:val="left"/>
              <w:rPr>
                <w:rFonts w:ascii="仿宋" w:hAnsi="仿宋" w:eastAsia="仿宋"/>
                <w:sz w:val="24"/>
              </w:rPr>
            </w:pPr>
            <w:r>
              <w:rPr>
                <w:rFonts w:hint="eastAsia" w:ascii="仿宋" w:hAnsi="仿宋" w:eastAsia="仿宋"/>
                <w:sz w:val="24"/>
              </w:rPr>
              <w:t>注：投标文件中须提供相关证书的复印件或扫描件，不提供者不得分。</w:t>
            </w:r>
          </w:p>
        </w:tc>
        <w:tc>
          <w:tcPr>
            <w:tcW w:w="709" w:type="dxa"/>
            <w:vAlign w:val="center"/>
          </w:tcPr>
          <w:p>
            <w:pPr>
              <w:snapToGrid w:val="0"/>
              <w:jc w:val="center"/>
              <w:rPr>
                <w:rFonts w:ascii="仿宋" w:hAnsi="仿宋" w:eastAsia="仿宋" w:cs="仿宋_GB2312"/>
                <w:sz w:val="24"/>
              </w:rPr>
            </w:pPr>
            <w:r>
              <w:rPr>
                <w:rFonts w:hint="eastAsia" w:ascii="仿宋" w:hAnsi="仿宋" w:eastAsia="仿宋" w:cs="仿宋_GB2312"/>
                <w:sz w:val="24"/>
              </w:rPr>
              <w:t>3</w:t>
            </w:r>
          </w:p>
        </w:tc>
        <w:tc>
          <w:tcPr>
            <w:tcW w:w="2374" w:type="dxa"/>
            <w:vAlign w:val="center"/>
          </w:tcPr>
          <w:p>
            <w:pPr>
              <w:snapToGrid w:val="0"/>
              <w:jc w:val="left"/>
              <w:rPr>
                <w:rFonts w:ascii="仿宋" w:hAnsi="仿宋" w:eastAsia="仿宋" w:cs="仿宋_GB2312"/>
                <w:sz w:val="24"/>
              </w:rPr>
            </w:pPr>
            <w:r>
              <w:rPr>
                <w:rFonts w:hint="eastAsia" w:ascii="仿宋" w:hAnsi="仿宋" w:eastAsia="仿宋" w:cs="仿宋_GB2312"/>
                <w:sz w:val="24"/>
              </w:rPr>
              <w:t>投标人基本情况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Align w:val="center"/>
          </w:tcPr>
          <w:p>
            <w:pPr>
              <w:snapToGrid w:val="0"/>
              <w:jc w:val="center"/>
              <w:rPr>
                <w:rFonts w:ascii="仿宋" w:hAnsi="仿宋" w:eastAsia="仿宋" w:cs="仿宋_GB2312"/>
                <w:sz w:val="24"/>
              </w:rPr>
            </w:pPr>
            <w:r>
              <w:rPr>
                <w:rFonts w:hint="eastAsia" w:ascii="仿宋" w:hAnsi="仿宋" w:eastAsia="仿宋" w:cs="仿宋_GB2312"/>
                <w:sz w:val="24"/>
              </w:rPr>
              <w:t>9</w:t>
            </w:r>
          </w:p>
        </w:tc>
        <w:tc>
          <w:tcPr>
            <w:tcW w:w="4252" w:type="dxa"/>
            <w:vAlign w:val="center"/>
          </w:tcPr>
          <w:p>
            <w:pPr>
              <w:snapToGrid w:val="0"/>
              <w:jc w:val="left"/>
              <w:rPr>
                <w:rFonts w:ascii="仿宋" w:hAnsi="仿宋" w:eastAsia="仿宋"/>
                <w:sz w:val="24"/>
              </w:rPr>
            </w:pPr>
            <w:r>
              <w:rPr>
                <w:rFonts w:hint="eastAsia" w:ascii="仿宋" w:hAnsi="仿宋" w:eastAsia="仿宋"/>
                <w:sz w:val="24"/>
              </w:rPr>
              <w:t>投标人自2018年1月1日以来实施的物业管理服务的成功案例，以签订时间为准，每提供一个得0.5分，最多1分。</w:t>
            </w:r>
          </w:p>
          <w:p>
            <w:pPr>
              <w:snapToGrid w:val="0"/>
              <w:jc w:val="left"/>
              <w:rPr>
                <w:rFonts w:ascii="仿宋" w:hAnsi="仿宋" w:eastAsia="仿宋"/>
                <w:sz w:val="24"/>
              </w:rPr>
            </w:pPr>
            <w:r>
              <w:rPr>
                <w:rFonts w:hint="eastAsia" w:ascii="仿宋" w:hAnsi="仿宋" w:eastAsia="仿宋"/>
                <w:sz w:val="24"/>
              </w:rPr>
              <w:t>注：投标文件中须提供合同的复印件或扫描件，不提供者不得分。</w:t>
            </w:r>
          </w:p>
        </w:tc>
        <w:tc>
          <w:tcPr>
            <w:tcW w:w="709" w:type="dxa"/>
            <w:vAlign w:val="center"/>
          </w:tcPr>
          <w:p>
            <w:pPr>
              <w:snapToGrid w:val="0"/>
              <w:jc w:val="center"/>
              <w:rPr>
                <w:rFonts w:ascii="仿宋" w:hAnsi="仿宋" w:eastAsia="仿宋" w:cs="仿宋_GB2312"/>
                <w:sz w:val="24"/>
              </w:rPr>
            </w:pPr>
            <w:r>
              <w:rPr>
                <w:rFonts w:hint="eastAsia" w:ascii="仿宋" w:hAnsi="仿宋" w:eastAsia="仿宋" w:cs="仿宋_GB2312"/>
                <w:sz w:val="24"/>
              </w:rPr>
              <w:t>1</w:t>
            </w:r>
          </w:p>
        </w:tc>
        <w:tc>
          <w:tcPr>
            <w:tcW w:w="2374" w:type="dxa"/>
            <w:vAlign w:val="center"/>
          </w:tcPr>
          <w:p>
            <w:pPr>
              <w:snapToGrid w:val="0"/>
              <w:jc w:val="left"/>
              <w:rPr>
                <w:rFonts w:ascii="仿宋" w:hAnsi="仿宋" w:eastAsia="仿宋" w:cs="仿宋_GB2312"/>
                <w:sz w:val="24"/>
              </w:rPr>
            </w:pPr>
            <w:r>
              <w:rPr>
                <w:rFonts w:hint="eastAsia" w:ascii="仿宋" w:hAnsi="仿宋" w:eastAsia="仿宋" w:cs="仿宋_GB2312"/>
                <w:sz w:val="24"/>
              </w:rPr>
              <w:t>投标人类似项目业绩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Align w:val="center"/>
          </w:tcPr>
          <w:p>
            <w:pPr>
              <w:snapToGrid w:val="0"/>
              <w:jc w:val="center"/>
              <w:rPr>
                <w:rFonts w:ascii="仿宋" w:hAnsi="仿宋" w:eastAsia="仿宋" w:cs="仿宋_GB2312"/>
                <w:sz w:val="24"/>
              </w:rPr>
            </w:pPr>
            <w:r>
              <w:rPr>
                <w:rFonts w:hint="eastAsia" w:ascii="仿宋" w:hAnsi="仿宋" w:eastAsia="仿宋" w:cs="仿宋_GB2312"/>
                <w:sz w:val="24"/>
              </w:rPr>
              <w:t>10</w:t>
            </w:r>
          </w:p>
        </w:tc>
        <w:tc>
          <w:tcPr>
            <w:tcW w:w="4252" w:type="dxa"/>
            <w:vAlign w:val="center"/>
          </w:tcPr>
          <w:p>
            <w:pPr>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2</w:t>
            </w:r>
            <w:bookmarkStart w:id="539" w:name="_GoBack"/>
            <w:bookmarkEnd w:id="539"/>
            <w:r>
              <w:rPr>
                <w:rFonts w:ascii="仿宋" w:hAnsi="仿宋" w:eastAsia="仿宋" w:cs="仿宋_GB2312"/>
                <w:sz w:val="24"/>
              </w:rPr>
              <w:t>0］的计算公式计算。</w:t>
            </w:r>
          </w:p>
          <w:p>
            <w:pPr>
              <w:widowControl/>
              <w:shd w:val="clear" w:color="auto" w:fill="FFFFFF"/>
              <w:adjustRightInd/>
              <w:spacing w:after="225"/>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ind w:firstLine="420"/>
              <w:jc w:val="left"/>
              <w:rPr>
                <w:rFonts w:ascii="仿宋" w:hAns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709" w:type="dxa"/>
            <w:vAlign w:val="center"/>
          </w:tcPr>
          <w:p>
            <w:pPr>
              <w:jc w:val="center"/>
              <w:outlineLvl w:val="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 xml:space="preserve">0 </w:t>
            </w:r>
          </w:p>
        </w:tc>
        <w:tc>
          <w:tcPr>
            <w:tcW w:w="2374" w:type="dxa"/>
            <w:vAlign w:val="center"/>
          </w:tcPr>
          <w:p>
            <w:pPr>
              <w:jc w:val="left"/>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jc w:val="center"/>
        <w:rPr>
          <w:rFonts w:ascii="仿宋" w:hAnsi="仿宋" w:eastAsia="仿宋" w:cs="仿宋_GB2312"/>
          <w:b/>
          <w:sz w:val="32"/>
          <w:szCs w:val="20"/>
        </w:rPr>
      </w:pPr>
    </w:p>
    <w:p>
      <w:pPr>
        <w:snapToGrid w:val="0"/>
        <w:spacing w:line="360" w:lineRule="auto"/>
        <w:jc w:val="center"/>
        <w:rPr>
          <w:rFonts w:ascii="仿宋" w:hAnsi="仿宋" w:eastAsia="仿宋" w:cs="仿宋_GB2312"/>
          <w:b/>
          <w:sz w:val="32"/>
          <w:szCs w:val="20"/>
        </w:rPr>
      </w:pPr>
    </w:p>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5"/>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5"/>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5"/>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5"/>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5"/>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5"/>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5"/>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5"/>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5"/>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w:t>
      </w:r>
      <w:r>
        <w:rPr>
          <w:rFonts w:hint="eastAsia" w:ascii="仿宋_GB2312" w:hAnsi="仿宋" w:eastAsia="仿宋_GB2312" w:cs="Arial"/>
          <w:b/>
          <w:bCs/>
          <w:kern w:val="0"/>
          <w:szCs w:val="24"/>
        </w:rPr>
        <w:t>给予投标人提交澄清、说明或补正的时间不得少于半小时，</w:t>
      </w:r>
      <w:r>
        <w:rPr>
          <w:rFonts w:hint="eastAsia" w:ascii="仿宋_GB2312" w:hAnsi="仿宋" w:eastAsia="仿宋_GB2312" w:cs="Arial"/>
          <w:kern w:val="0"/>
          <w:szCs w:val="24"/>
        </w:rPr>
        <w:t>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3"/>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4"/>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4"/>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widowControl/>
        <w:adjustRightInd/>
        <w:jc w:val="left"/>
        <w:rPr>
          <w:rFonts w:ascii="仿宋_GB2312" w:hAnsi="仿宋" w:eastAsia="仿宋_GB2312" w:cs="仿宋_GB2312"/>
          <w:b/>
          <w:sz w:val="36"/>
          <w:szCs w:val="36"/>
        </w:rPr>
      </w:pPr>
      <w:r>
        <w:rPr>
          <w:rFonts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（服务类）</w:t>
      </w:r>
    </w:p>
    <w:p>
      <w:pPr>
        <w:pStyle w:val="385"/>
        <w:rPr>
          <w:rFonts w:ascii="仿宋" w:hAnsi="仿宋" w:eastAsia="仿宋"/>
          <w:szCs w:val="24"/>
        </w:rPr>
      </w:pPr>
    </w:p>
    <w:p>
      <w:pPr>
        <w:pStyle w:val="385"/>
        <w:rPr>
          <w:rFonts w:ascii="仿宋" w:hAnsi="仿宋" w:eastAsia="仿宋"/>
          <w:szCs w:val="24"/>
        </w:rPr>
      </w:pPr>
    </w:p>
    <w:p>
      <w:pPr>
        <w:pStyle w:val="385"/>
        <w:jc w:val="center"/>
        <w:rPr>
          <w:rFonts w:ascii="仿宋" w:hAnsi="仿宋" w:eastAsia="仿宋"/>
          <w:szCs w:val="24"/>
        </w:rPr>
      </w:pPr>
    </w:p>
    <w:p>
      <w:pPr>
        <w:pStyle w:val="385"/>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widowControl/>
        <w:spacing w:line="560" w:lineRule="exact"/>
        <w:jc w:val="left"/>
        <w:rPr>
          <w:rFonts w:ascii="仿宋" w:hAnsi="仿宋" w:eastAsia="仿宋"/>
          <w:sz w:val="24"/>
        </w:rPr>
      </w:pPr>
      <w:bookmarkStart w:id="394" w:name="_Toc331685783"/>
      <w:r>
        <w:rPr>
          <w:rFonts w:ascii="仿宋" w:hAnsi="仿宋" w:eastAsia="仿宋"/>
          <w:sz w:val="24"/>
        </w:rPr>
        <w:t>甲方：（买方）</w:t>
      </w:r>
    </w:p>
    <w:p>
      <w:pPr>
        <w:widowControl/>
        <w:spacing w:line="560" w:lineRule="exact"/>
        <w:jc w:val="left"/>
        <w:rPr>
          <w:rFonts w:ascii="仿宋" w:hAnsi="仿宋" w:eastAsia="仿宋"/>
          <w:sz w:val="24"/>
        </w:rPr>
      </w:pPr>
      <w:r>
        <w:rPr>
          <w:rFonts w:ascii="仿宋" w:hAnsi="仿宋" w:eastAsia="仿宋"/>
          <w:sz w:val="24"/>
        </w:rPr>
        <w:t>乙方：（卖方）</w:t>
      </w:r>
    </w:p>
    <w:p>
      <w:pPr>
        <w:widowControl/>
        <w:spacing w:line="560" w:lineRule="exact"/>
        <w:jc w:val="left"/>
        <w:rPr>
          <w:rFonts w:ascii="仿宋" w:hAnsi="仿宋" w:eastAsia="仿宋"/>
          <w:sz w:val="24"/>
        </w:rPr>
      </w:pPr>
      <w:r>
        <w:rPr>
          <w:rFonts w:ascii="仿宋" w:hAnsi="仿宋" w:eastAsia="仿宋"/>
          <w:sz w:val="24"/>
        </w:rPr>
        <w:t>鉴证方：</w:t>
      </w:r>
    </w:p>
    <w:p>
      <w:pPr>
        <w:widowControl/>
        <w:spacing w:line="560" w:lineRule="exact"/>
        <w:jc w:val="left"/>
        <w:rPr>
          <w:rFonts w:ascii="仿宋" w:hAnsi="仿宋" w:eastAsia="仿宋"/>
          <w:sz w:val="24"/>
        </w:rPr>
      </w:pPr>
      <w:r>
        <w:rPr>
          <w:rFonts w:ascii="仿宋" w:hAnsi="仿宋" w:eastAsia="仿宋"/>
          <w:b/>
          <w:sz w:val="24"/>
        </w:rPr>
        <w:t xml:space="preserve">  </w:t>
      </w:r>
      <w:r>
        <w:rPr>
          <w:rFonts w:ascii="仿宋" w:hAnsi="仿宋" w:eastAsia="仿宋"/>
          <w:sz w:val="24"/>
        </w:rPr>
        <w:t xml:space="preserve"> 甲、乙双方基于</w:t>
      </w:r>
      <w:r>
        <w:rPr>
          <w:rFonts w:ascii="仿宋" w:hAnsi="仿宋" w:eastAsia="仿宋"/>
          <w:sz w:val="24"/>
          <w:u w:val="single"/>
        </w:rPr>
        <w:t xml:space="preserve">                  </w:t>
      </w:r>
      <w:r>
        <w:rPr>
          <w:rFonts w:ascii="仿宋" w:hAnsi="仿宋" w:eastAsia="仿宋"/>
          <w:sz w:val="24"/>
        </w:rPr>
        <w:t xml:space="preserve">项目（项目编号：HZYHZFCG-20  -    ）的采购结果，根据《中国人民共和国合同法》等有关法律法规，经友好协商，在平等自愿的基础上签署本合同。  </w:t>
      </w:r>
    </w:p>
    <w:p>
      <w:pPr>
        <w:widowControl/>
        <w:spacing w:line="560" w:lineRule="exact"/>
        <w:jc w:val="left"/>
        <w:rPr>
          <w:rFonts w:ascii="仿宋" w:hAnsi="仿宋" w:eastAsia="仿宋"/>
          <w:b/>
          <w:bCs/>
          <w:sz w:val="24"/>
        </w:rPr>
      </w:pPr>
      <w:r>
        <w:rPr>
          <w:rFonts w:ascii="仿宋" w:hAnsi="仿宋" w:eastAsia="仿宋"/>
          <w:b/>
          <w:bCs/>
          <w:sz w:val="24"/>
        </w:rPr>
        <w:t>第一条：服务内容</w:t>
      </w:r>
    </w:p>
    <w:p>
      <w:pPr>
        <w:widowControl/>
        <w:spacing w:line="560" w:lineRule="exact"/>
        <w:jc w:val="left"/>
        <w:rPr>
          <w:rFonts w:ascii="仿宋" w:hAnsi="仿宋" w:eastAsia="仿宋"/>
          <w:sz w:val="24"/>
        </w:rPr>
      </w:pPr>
      <w:r>
        <w:rPr>
          <w:rFonts w:ascii="仿宋" w:hAnsi="仿宋" w:eastAsia="仿宋"/>
          <w:sz w:val="24"/>
        </w:rPr>
        <w:t>1、</w:t>
      </w:r>
      <w:r>
        <w:rPr>
          <w:rFonts w:ascii="仿宋" w:hAnsi="仿宋" w:eastAsia="仿宋"/>
          <w:sz w:val="24"/>
          <w:u w:val="single"/>
        </w:rPr>
        <w:t xml:space="preserve">            </w:t>
      </w:r>
    </w:p>
    <w:p>
      <w:pPr>
        <w:widowControl/>
        <w:spacing w:line="560" w:lineRule="exact"/>
        <w:jc w:val="left"/>
        <w:rPr>
          <w:rFonts w:ascii="仿宋" w:hAnsi="仿宋" w:eastAsia="仿宋"/>
          <w:sz w:val="24"/>
        </w:rPr>
      </w:pPr>
      <w:r>
        <w:rPr>
          <w:rFonts w:ascii="仿宋" w:hAnsi="仿宋" w:eastAsia="仿宋"/>
          <w:sz w:val="24"/>
        </w:rPr>
        <w:t>2、</w:t>
      </w:r>
      <w:r>
        <w:rPr>
          <w:rFonts w:ascii="仿宋" w:hAnsi="仿宋" w:eastAsia="仿宋"/>
          <w:sz w:val="24"/>
          <w:u w:val="single"/>
        </w:rPr>
        <w:t xml:space="preserve">            </w:t>
      </w:r>
    </w:p>
    <w:p>
      <w:pPr>
        <w:widowControl/>
        <w:numPr>
          <w:ilvl w:val="0"/>
          <w:numId w:val="5"/>
        </w:numPr>
        <w:spacing w:line="560" w:lineRule="exact"/>
        <w:jc w:val="left"/>
        <w:rPr>
          <w:rFonts w:ascii="仿宋" w:hAnsi="仿宋" w:eastAsia="仿宋"/>
          <w:b/>
          <w:bCs/>
          <w:sz w:val="24"/>
        </w:rPr>
      </w:pPr>
      <w:r>
        <w:rPr>
          <w:rFonts w:ascii="仿宋" w:hAnsi="仿宋" w:eastAsia="仿宋"/>
          <w:b/>
          <w:bCs/>
          <w:sz w:val="24"/>
        </w:rPr>
        <w:t>：服务期限</w:t>
      </w:r>
    </w:p>
    <w:p>
      <w:pPr>
        <w:widowControl/>
        <w:spacing w:line="560" w:lineRule="exact"/>
        <w:jc w:val="left"/>
        <w:rPr>
          <w:rFonts w:ascii="仿宋" w:hAnsi="仿宋" w:eastAsia="仿宋"/>
          <w:sz w:val="24"/>
        </w:rPr>
      </w:pPr>
      <w:r>
        <w:rPr>
          <w:rFonts w:ascii="仿宋" w:hAnsi="仿宋" w:eastAsia="仿宋"/>
          <w:sz w:val="24"/>
        </w:rPr>
        <w:t xml:space="preserve">自20 </w:t>
      </w:r>
      <w:r>
        <w:rPr>
          <w:rFonts w:ascii="仿宋" w:hAnsi="仿宋" w:eastAsia="仿宋"/>
          <w:sz w:val="24"/>
          <w:u w:val="single"/>
        </w:rPr>
        <w:t xml:space="preserve">   </w:t>
      </w:r>
      <w:r>
        <w:rPr>
          <w:rFonts w:ascii="仿宋" w:hAnsi="仿宋" w:eastAsia="仿宋"/>
          <w:sz w:val="24"/>
        </w:rPr>
        <w:t>年</w:t>
      </w:r>
      <w:r>
        <w:rPr>
          <w:rFonts w:ascii="仿宋" w:hAnsi="仿宋" w:eastAsia="仿宋"/>
          <w:sz w:val="24"/>
          <w:u w:val="single"/>
        </w:rPr>
        <w:t xml:space="preserve">   </w:t>
      </w:r>
      <w:r>
        <w:rPr>
          <w:rFonts w:ascii="仿宋" w:hAnsi="仿宋" w:eastAsia="仿宋"/>
          <w:sz w:val="24"/>
        </w:rPr>
        <w:t>月</w:t>
      </w:r>
      <w:r>
        <w:rPr>
          <w:rFonts w:ascii="仿宋" w:hAnsi="仿宋" w:eastAsia="仿宋"/>
          <w:sz w:val="24"/>
          <w:u w:val="single"/>
        </w:rPr>
        <w:t xml:space="preserve">   </w:t>
      </w:r>
      <w:r>
        <w:rPr>
          <w:rFonts w:ascii="仿宋" w:hAnsi="仿宋" w:eastAsia="仿宋"/>
          <w:sz w:val="24"/>
        </w:rPr>
        <w:t>日至20</w:t>
      </w:r>
      <w:r>
        <w:rPr>
          <w:rFonts w:ascii="仿宋" w:hAnsi="仿宋" w:eastAsia="仿宋"/>
          <w:sz w:val="24"/>
          <w:u w:val="single"/>
        </w:rPr>
        <w:t xml:space="preserve">    </w:t>
      </w:r>
      <w:r>
        <w:rPr>
          <w:rFonts w:ascii="仿宋" w:hAnsi="仿宋" w:eastAsia="仿宋"/>
          <w:sz w:val="24"/>
        </w:rPr>
        <w:t xml:space="preserve">年 </w:t>
      </w:r>
      <w:r>
        <w:rPr>
          <w:rFonts w:ascii="仿宋" w:hAnsi="仿宋" w:eastAsia="仿宋"/>
          <w:sz w:val="24"/>
          <w:u w:val="single"/>
        </w:rPr>
        <w:t xml:space="preserve">   </w:t>
      </w:r>
      <w:r>
        <w:rPr>
          <w:rFonts w:ascii="仿宋" w:hAnsi="仿宋" w:eastAsia="仿宋"/>
          <w:sz w:val="24"/>
        </w:rPr>
        <w:t>月</w:t>
      </w:r>
      <w:r>
        <w:rPr>
          <w:rFonts w:ascii="仿宋" w:hAnsi="仿宋" w:eastAsia="仿宋"/>
          <w:sz w:val="24"/>
          <w:u w:val="single"/>
        </w:rPr>
        <w:t xml:space="preserve">     </w:t>
      </w:r>
      <w:r>
        <w:rPr>
          <w:rFonts w:ascii="仿宋" w:hAnsi="仿宋" w:eastAsia="仿宋"/>
          <w:sz w:val="24"/>
        </w:rPr>
        <w:t>日（或者自合同生效之日起</w:t>
      </w:r>
      <w:r>
        <w:rPr>
          <w:rFonts w:ascii="仿宋" w:hAnsi="仿宋" w:eastAsia="仿宋"/>
          <w:sz w:val="24"/>
          <w:u w:val="single"/>
        </w:rPr>
        <w:t xml:space="preserve">    </w:t>
      </w:r>
      <w:r>
        <w:rPr>
          <w:rFonts w:ascii="仿宋" w:hAnsi="仿宋" w:eastAsia="仿宋"/>
          <w:sz w:val="24"/>
        </w:rPr>
        <w:t>年）。</w:t>
      </w:r>
    </w:p>
    <w:p>
      <w:pPr>
        <w:widowControl/>
        <w:numPr>
          <w:ilvl w:val="0"/>
          <w:numId w:val="5"/>
        </w:numPr>
        <w:spacing w:line="560" w:lineRule="exact"/>
        <w:jc w:val="left"/>
        <w:rPr>
          <w:rFonts w:ascii="仿宋" w:hAnsi="仿宋" w:eastAsia="仿宋"/>
          <w:b/>
          <w:bCs/>
          <w:sz w:val="24"/>
        </w:rPr>
      </w:pPr>
      <w:r>
        <w:rPr>
          <w:rFonts w:ascii="仿宋" w:hAnsi="仿宋" w:eastAsia="仿宋"/>
          <w:b/>
          <w:bCs/>
          <w:sz w:val="24"/>
        </w:rPr>
        <w:t>：服务费用及支付方式</w:t>
      </w:r>
    </w:p>
    <w:p>
      <w:pPr>
        <w:widowControl/>
        <w:spacing w:line="560" w:lineRule="exact"/>
        <w:jc w:val="left"/>
        <w:rPr>
          <w:rFonts w:ascii="仿宋" w:hAnsi="仿宋" w:eastAsia="仿宋"/>
          <w:sz w:val="24"/>
        </w:rPr>
      </w:pPr>
      <w:r>
        <w:rPr>
          <w:rFonts w:ascii="仿宋" w:hAnsi="仿宋" w:eastAsia="仿宋"/>
          <w:sz w:val="24"/>
        </w:rPr>
        <w:t>1、本项目合同金额为人民币</w:t>
      </w:r>
      <w:r>
        <w:rPr>
          <w:rFonts w:ascii="仿宋" w:hAnsi="仿宋" w:eastAsia="仿宋"/>
          <w:sz w:val="24"/>
          <w:u w:val="single"/>
        </w:rPr>
        <w:t xml:space="preserve">            </w:t>
      </w:r>
      <w:r>
        <w:rPr>
          <w:rFonts w:ascii="仿宋" w:hAnsi="仿宋" w:eastAsia="仿宋"/>
          <w:sz w:val="24"/>
        </w:rPr>
        <w:t>整（￥</w:t>
      </w:r>
      <w:r>
        <w:rPr>
          <w:rFonts w:ascii="仿宋" w:hAnsi="仿宋" w:eastAsia="仿宋"/>
          <w:sz w:val="24"/>
          <w:u w:val="single"/>
        </w:rPr>
        <w:t xml:space="preserve">        </w:t>
      </w:r>
      <w:r>
        <w:rPr>
          <w:rFonts w:ascii="仿宋" w:hAnsi="仿宋" w:eastAsia="仿宋"/>
          <w:sz w:val="24"/>
        </w:rPr>
        <w:t>元）。</w:t>
      </w:r>
    </w:p>
    <w:p>
      <w:pPr>
        <w:widowControl/>
        <w:spacing w:line="560" w:lineRule="exact"/>
        <w:jc w:val="left"/>
        <w:rPr>
          <w:rFonts w:ascii="仿宋" w:hAnsi="仿宋" w:eastAsia="仿宋"/>
          <w:sz w:val="24"/>
        </w:rPr>
      </w:pPr>
      <w:r>
        <w:rPr>
          <w:rFonts w:ascii="仿宋" w:hAnsi="仿宋" w:eastAsia="仿宋"/>
          <w:sz w:val="24"/>
        </w:rPr>
        <w:t>2、支付方式为</w:t>
      </w:r>
      <w:r>
        <w:rPr>
          <w:rFonts w:ascii="仿宋" w:hAnsi="仿宋" w:eastAsia="仿宋"/>
          <w:sz w:val="24"/>
          <w:u w:val="single"/>
        </w:rPr>
        <w:t xml:space="preserve">            </w:t>
      </w:r>
      <w:r>
        <w:rPr>
          <w:rFonts w:ascii="仿宋" w:hAnsi="仿宋" w:eastAsia="仿宋"/>
          <w:sz w:val="24"/>
        </w:rPr>
        <w:t>。</w:t>
      </w:r>
    </w:p>
    <w:p>
      <w:pPr>
        <w:widowControl/>
        <w:spacing w:line="560" w:lineRule="exact"/>
        <w:jc w:val="left"/>
        <w:rPr>
          <w:rFonts w:ascii="仿宋" w:hAnsi="仿宋" w:eastAsia="仿宋"/>
          <w:sz w:val="24"/>
        </w:rPr>
      </w:pPr>
      <w:r>
        <w:rPr>
          <w:rFonts w:hint="eastAsia" w:ascii="仿宋" w:hAnsi="仿宋" w:eastAsia="仿宋"/>
          <w:sz w:val="24"/>
        </w:rPr>
        <w:t>3、合同预付款：</w:t>
      </w:r>
    </w:p>
    <w:p>
      <w:pPr>
        <w:widowControl/>
        <w:spacing w:line="560" w:lineRule="exact"/>
        <w:jc w:val="left"/>
        <w:rPr>
          <w:rFonts w:ascii="仿宋" w:hAnsi="仿宋" w:eastAsia="仿宋"/>
          <w:b/>
          <w:bCs/>
          <w:sz w:val="24"/>
        </w:rPr>
      </w:pPr>
      <w:r>
        <w:rPr>
          <w:rFonts w:hint="eastAsia" w:ascii="仿宋" w:hAnsi="仿宋" w:eastAsia="仿宋"/>
          <w:sz w:val="24"/>
        </w:rPr>
        <w:t>（预付款比例原则上不低于合同金额的40％；项目分年安排预算的，每年预付款比例不低于项目年度计划支付资金额的40％。采购项目实施以人工投入为主的，可适当降低预付款比例，但不得低于20%。与疫情防控有关的采购合同最高预付比例可达100%。）</w:t>
      </w:r>
    </w:p>
    <w:p>
      <w:pPr>
        <w:widowControl/>
        <w:numPr>
          <w:ilvl w:val="0"/>
          <w:numId w:val="5"/>
        </w:numPr>
        <w:spacing w:line="560" w:lineRule="exact"/>
        <w:jc w:val="left"/>
        <w:rPr>
          <w:rFonts w:ascii="仿宋" w:hAnsi="仿宋" w:eastAsia="仿宋"/>
          <w:b/>
          <w:bCs/>
          <w:sz w:val="24"/>
        </w:rPr>
      </w:pPr>
      <w:r>
        <w:rPr>
          <w:rFonts w:ascii="仿宋" w:hAnsi="仿宋" w:eastAsia="仿宋"/>
          <w:b/>
          <w:bCs/>
          <w:sz w:val="24"/>
        </w:rPr>
        <w:t>：保证金条款</w:t>
      </w:r>
    </w:p>
    <w:p>
      <w:pPr>
        <w:widowControl/>
        <w:spacing w:line="560" w:lineRule="exact"/>
        <w:jc w:val="left"/>
        <w:rPr>
          <w:rFonts w:ascii="仿宋" w:hAnsi="仿宋" w:eastAsia="仿宋"/>
          <w:sz w:val="24"/>
        </w:rPr>
      </w:pPr>
      <w:r>
        <w:rPr>
          <w:rFonts w:ascii="仿宋" w:hAnsi="仿宋" w:eastAsia="仿宋"/>
          <w:sz w:val="24"/>
        </w:rPr>
        <w:t>1、乙方向甲方交纳相当于合同总额</w:t>
      </w:r>
      <w:r>
        <w:rPr>
          <w:rFonts w:ascii="仿宋" w:hAnsi="仿宋" w:eastAsia="仿宋"/>
          <w:sz w:val="24"/>
          <w:u w:val="single"/>
        </w:rPr>
        <w:t xml:space="preserve">    </w:t>
      </w:r>
      <w:r>
        <w:rPr>
          <w:rFonts w:ascii="仿宋" w:hAnsi="仿宋" w:eastAsia="仿宋"/>
          <w:sz w:val="24"/>
        </w:rPr>
        <w:t>%的履约保证金。以保证乙方遵守本合同的一切条款、条件和承诺，该保证金在甲方的规定存续期间不计息。</w:t>
      </w:r>
    </w:p>
    <w:p>
      <w:pPr>
        <w:widowControl/>
        <w:spacing w:line="560" w:lineRule="exact"/>
        <w:jc w:val="left"/>
        <w:rPr>
          <w:rFonts w:ascii="仿宋" w:hAnsi="仿宋" w:eastAsia="仿宋"/>
          <w:sz w:val="24"/>
        </w:rPr>
      </w:pPr>
      <w:r>
        <w:rPr>
          <w:rFonts w:ascii="仿宋" w:hAnsi="仿宋" w:eastAsia="仿宋"/>
          <w:sz w:val="24"/>
        </w:rPr>
        <w:t>2、甲方有权从履约保证金中扣除用于</w:t>
      </w:r>
      <w:r>
        <w:rPr>
          <w:rFonts w:ascii="仿宋" w:hAnsi="仿宋" w:eastAsia="仿宋"/>
          <w:sz w:val="24"/>
          <w:u w:val="single"/>
        </w:rPr>
        <w:t xml:space="preserve">         </w:t>
      </w:r>
      <w:r>
        <w:rPr>
          <w:rFonts w:ascii="仿宋" w:hAnsi="仿宋" w:eastAsia="仿宋"/>
          <w:sz w:val="24"/>
        </w:rPr>
        <w:t>或因乙方违约而导致损失的金额和违约金，</w:t>
      </w:r>
      <w:r>
        <w:rPr>
          <w:rFonts w:ascii="仿宋" w:hAnsi="仿宋" w:eastAsia="仿宋"/>
          <w:sz w:val="24"/>
          <w:u w:val="single"/>
        </w:rPr>
        <w:t xml:space="preserve">                  </w:t>
      </w:r>
      <w:r>
        <w:rPr>
          <w:rFonts w:ascii="仿宋" w:hAnsi="仿宋" w:eastAsia="仿宋"/>
          <w:sz w:val="24"/>
        </w:rPr>
        <w:t>。</w:t>
      </w:r>
    </w:p>
    <w:p>
      <w:pPr>
        <w:widowControl/>
        <w:spacing w:line="560" w:lineRule="exact"/>
        <w:jc w:val="left"/>
        <w:rPr>
          <w:rFonts w:ascii="仿宋" w:hAnsi="仿宋" w:eastAsia="仿宋"/>
          <w:sz w:val="24"/>
        </w:rPr>
      </w:pPr>
      <w:r>
        <w:rPr>
          <w:rFonts w:ascii="仿宋" w:hAnsi="仿宋" w:eastAsia="仿宋"/>
          <w:sz w:val="24"/>
        </w:rPr>
        <w:t>3、甲方认为乙方在服务期内没有涉及甲方的应付而未付金额或违约行为，甲方在服务期满后（或提前终止承包后一个月内）全额退还履约保证金，否则，甲方将在扣除乙方应付金额或违约金后退还保证金余额。</w:t>
      </w:r>
    </w:p>
    <w:p>
      <w:pPr>
        <w:widowControl/>
        <w:numPr>
          <w:ilvl w:val="0"/>
          <w:numId w:val="5"/>
        </w:numPr>
        <w:spacing w:line="560" w:lineRule="exact"/>
        <w:jc w:val="left"/>
        <w:rPr>
          <w:rFonts w:ascii="仿宋" w:hAnsi="仿宋" w:eastAsia="仿宋"/>
          <w:b/>
          <w:bCs/>
          <w:sz w:val="24"/>
        </w:rPr>
      </w:pPr>
      <w:r>
        <w:rPr>
          <w:rFonts w:ascii="仿宋" w:hAnsi="仿宋" w:eastAsia="仿宋"/>
          <w:b/>
          <w:bCs/>
          <w:sz w:val="24"/>
        </w:rPr>
        <w:t>：甲方的权利和义务</w:t>
      </w:r>
    </w:p>
    <w:p>
      <w:pPr>
        <w:widowControl/>
        <w:spacing w:line="560" w:lineRule="exact"/>
        <w:jc w:val="left"/>
        <w:rPr>
          <w:rFonts w:ascii="仿宋" w:hAnsi="仿宋" w:eastAsia="仿宋"/>
          <w:sz w:val="24"/>
        </w:rPr>
      </w:pPr>
      <w:r>
        <w:rPr>
          <w:rFonts w:ascii="仿宋" w:hAnsi="仿宋" w:eastAsia="仿宋"/>
          <w:sz w:val="24"/>
        </w:rPr>
        <w:t>1、</w:t>
      </w:r>
      <w:r>
        <w:rPr>
          <w:rFonts w:ascii="仿宋" w:hAnsi="仿宋" w:eastAsia="仿宋"/>
          <w:sz w:val="24"/>
          <w:u w:val="single"/>
        </w:rPr>
        <w:t xml:space="preserve">            </w:t>
      </w:r>
    </w:p>
    <w:p>
      <w:pPr>
        <w:widowControl/>
        <w:spacing w:line="560" w:lineRule="exact"/>
        <w:jc w:val="left"/>
        <w:rPr>
          <w:rFonts w:ascii="仿宋" w:hAnsi="仿宋" w:eastAsia="仿宋"/>
          <w:sz w:val="24"/>
        </w:rPr>
      </w:pPr>
      <w:r>
        <w:rPr>
          <w:rFonts w:ascii="仿宋" w:hAnsi="仿宋" w:eastAsia="仿宋"/>
          <w:sz w:val="24"/>
        </w:rPr>
        <w:t>2、</w:t>
      </w:r>
      <w:r>
        <w:rPr>
          <w:rFonts w:ascii="仿宋" w:hAnsi="仿宋" w:eastAsia="仿宋"/>
          <w:sz w:val="24"/>
          <w:u w:val="single"/>
        </w:rPr>
        <w:t xml:space="preserve">            </w:t>
      </w:r>
    </w:p>
    <w:p>
      <w:pPr>
        <w:widowControl/>
        <w:numPr>
          <w:ilvl w:val="0"/>
          <w:numId w:val="5"/>
        </w:numPr>
        <w:spacing w:line="560" w:lineRule="exact"/>
        <w:jc w:val="left"/>
        <w:rPr>
          <w:rFonts w:ascii="仿宋" w:hAnsi="仿宋" w:eastAsia="仿宋"/>
          <w:b/>
          <w:bCs/>
          <w:sz w:val="24"/>
        </w:rPr>
      </w:pPr>
      <w:r>
        <w:rPr>
          <w:rFonts w:ascii="仿宋" w:hAnsi="仿宋" w:eastAsia="仿宋"/>
          <w:b/>
          <w:bCs/>
          <w:sz w:val="24"/>
        </w:rPr>
        <w:t>：乙方的权利和义务</w:t>
      </w:r>
    </w:p>
    <w:p>
      <w:pPr>
        <w:widowControl/>
        <w:spacing w:line="560" w:lineRule="exact"/>
        <w:jc w:val="left"/>
        <w:rPr>
          <w:rFonts w:ascii="仿宋" w:hAnsi="仿宋" w:eastAsia="仿宋"/>
          <w:sz w:val="24"/>
        </w:rPr>
      </w:pPr>
      <w:r>
        <w:rPr>
          <w:rFonts w:ascii="仿宋" w:hAnsi="仿宋" w:eastAsia="仿宋"/>
          <w:sz w:val="24"/>
        </w:rPr>
        <w:t>1、</w:t>
      </w:r>
      <w:r>
        <w:rPr>
          <w:rFonts w:ascii="仿宋" w:hAnsi="仿宋" w:eastAsia="仿宋"/>
          <w:sz w:val="24"/>
          <w:u w:val="single"/>
        </w:rPr>
        <w:t xml:space="preserve">            </w:t>
      </w:r>
    </w:p>
    <w:p>
      <w:pPr>
        <w:widowControl/>
        <w:spacing w:line="560" w:lineRule="exact"/>
        <w:jc w:val="left"/>
        <w:rPr>
          <w:rFonts w:ascii="仿宋" w:hAnsi="仿宋" w:eastAsia="仿宋"/>
          <w:sz w:val="24"/>
        </w:rPr>
      </w:pPr>
      <w:r>
        <w:rPr>
          <w:rFonts w:ascii="仿宋" w:hAnsi="仿宋" w:eastAsia="仿宋"/>
          <w:sz w:val="24"/>
        </w:rPr>
        <w:t>2、</w:t>
      </w:r>
      <w:r>
        <w:rPr>
          <w:rFonts w:ascii="仿宋" w:hAnsi="仿宋" w:eastAsia="仿宋"/>
          <w:sz w:val="24"/>
          <w:u w:val="single"/>
        </w:rPr>
        <w:t xml:space="preserve">            </w:t>
      </w:r>
    </w:p>
    <w:p>
      <w:pPr>
        <w:widowControl/>
        <w:numPr>
          <w:ilvl w:val="0"/>
          <w:numId w:val="5"/>
        </w:numPr>
        <w:spacing w:line="560" w:lineRule="exact"/>
        <w:jc w:val="left"/>
        <w:rPr>
          <w:rFonts w:ascii="仿宋" w:hAnsi="仿宋" w:eastAsia="仿宋"/>
          <w:b/>
          <w:bCs/>
          <w:sz w:val="24"/>
        </w:rPr>
      </w:pPr>
      <w:r>
        <w:rPr>
          <w:rFonts w:ascii="仿宋" w:hAnsi="仿宋" w:eastAsia="仿宋"/>
          <w:b/>
          <w:bCs/>
          <w:sz w:val="24"/>
        </w:rPr>
        <w:t>：其他特殊条款（如保密条款、保险规定、知识产权条款、分包或者转包的规定等等）</w:t>
      </w:r>
    </w:p>
    <w:p>
      <w:pPr>
        <w:widowControl/>
        <w:spacing w:line="560" w:lineRule="exact"/>
        <w:jc w:val="left"/>
        <w:rPr>
          <w:rFonts w:ascii="仿宋" w:hAnsi="仿宋" w:eastAsia="仿宋"/>
          <w:b/>
          <w:bCs/>
          <w:sz w:val="24"/>
        </w:rPr>
      </w:pPr>
      <w:r>
        <w:rPr>
          <w:rFonts w:ascii="仿宋" w:hAnsi="仿宋" w:eastAsia="仿宋"/>
          <w:b/>
          <w:bCs/>
          <w:sz w:val="24"/>
        </w:rPr>
        <w:t xml:space="preserve"> </w:t>
      </w:r>
    </w:p>
    <w:p>
      <w:pPr>
        <w:widowControl/>
        <w:numPr>
          <w:ilvl w:val="0"/>
          <w:numId w:val="5"/>
        </w:numPr>
        <w:spacing w:line="560" w:lineRule="exact"/>
        <w:jc w:val="left"/>
        <w:rPr>
          <w:rFonts w:ascii="仿宋" w:hAnsi="仿宋" w:eastAsia="仿宋"/>
          <w:b/>
          <w:bCs/>
          <w:sz w:val="24"/>
        </w:rPr>
      </w:pPr>
      <w:r>
        <w:rPr>
          <w:rFonts w:ascii="仿宋" w:hAnsi="仿宋" w:eastAsia="仿宋"/>
          <w:b/>
          <w:bCs/>
          <w:sz w:val="24"/>
        </w:rPr>
        <w:t>：合同解除和终止条款</w:t>
      </w:r>
    </w:p>
    <w:p>
      <w:pPr>
        <w:widowControl/>
        <w:spacing w:line="560" w:lineRule="exact"/>
        <w:jc w:val="left"/>
        <w:rPr>
          <w:rFonts w:ascii="仿宋" w:hAnsi="仿宋" w:eastAsia="仿宋"/>
          <w:b/>
          <w:bCs/>
          <w:sz w:val="24"/>
        </w:rPr>
      </w:pPr>
      <w:r>
        <w:rPr>
          <w:rFonts w:ascii="仿宋" w:hAnsi="仿宋" w:eastAsia="仿宋"/>
          <w:b/>
          <w:bCs/>
          <w:sz w:val="24"/>
        </w:rPr>
        <w:t xml:space="preserve"> </w:t>
      </w:r>
    </w:p>
    <w:p>
      <w:pPr>
        <w:widowControl/>
        <w:numPr>
          <w:ilvl w:val="0"/>
          <w:numId w:val="5"/>
        </w:numPr>
        <w:spacing w:line="560" w:lineRule="exact"/>
        <w:jc w:val="left"/>
        <w:rPr>
          <w:rFonts w:ascii="仿宋" w:hAnsi="仿宋" w:eastAsia="仿宋"/>
          <w:b/>
          <w:bCs/>
          <w:sz w:val="24"/>
        </w:rPr>
      </w:pPr>
      <w:r>
        <w:rPr>
          <w:rFonts w:ascii="仿宋" w:hAnsi="仿宋" w:eastAsia="仿宋"/>
          <w:b/>
          <w:bCs/>
          <w:sz w:val="24"/>
        </w:rPr>
        <w:t>：验收或考核条款</w:t>
      </w:r>
    </w:p>
    <w:p>
      <w:pPr>
        <w:widowControl/>
        <w:spacing w:line="560" w:lineRule="exact"/>
        <w:jc w:val="left"/>
        <w:rPr>
          <w:rFonts w:ascii="仿宋" w:hAnsi="仿宋" w:eastAsia="仿宋"/>
          <w:b/>
          <w:bCs/>
          <w:sz w:val="24"/>
        </w:rPr>
      </w:pPr>
      <w:r>
        <w:rPr>
          <w:rFonts w:ascii="仿宋" w:hAnsi="仿宋" w:eastAsia="仿宋"/>
          <w:b/>
          <w:bCs/>
          <w:sz w:val="24"/>
        </w:rPr>
        <w:t xml:space="preserve"> </w:t>
      </w:r>
    </w:p>
    <w:p>
      <w:pPr>
        <w:widowControl/>
        <w:numPr>
          <w:ilvl w:val="0"/>
          <w:numId w:val="5"/>
        </w:numPr>
        <w:spacing w:line="560" w:lineRule="exact"/>
        <w:jc w:val="left"/>
        <w:rPr>
          <w:rFonts w:ascii="仿宋" w:hAnsi="仿宋" w:eastAsia="仿宋"/>
          <w:b/>
          <w:bCs/>
          <w:sz w:val="24"/>
        </w:rPr>
      </w:pPr>
      <w:r>
        <w:rPr>
          <w:rFonts w:ascii="仿宋" w:hAnsi="仿宋" w:eastAsia="仿宋"/>
          <w:b/>
          <w:bCs/>
          <w:sz w:val="24"/>
        </w:rPr>
        <w:t>：免责条款（关于不可抗力事件的约定）</w:t>
      </w:r>
    </w:p>
    <w:p>
      <w:pPr>
        <w:widowControl/>
        <w:spacing w:line="560" w:lineRule="exact"/>
        <w:jc w:val="left"/>
        <w:rPr>
          <w:rFonts w:ascii="仿宋" w:hAnsi="仿宋" w:eastAsia="仿宋"/>
          <w:sz w:val="24"/>
        </w:rPr>
      </w:pPr>
      <w:r>
        <w:rPr>
          <w:rFonts w:ascii="仿宋" w:hAnsi="仿宋" w:eastAsia="仿宋"/>
          <w:sz w:val="24"/>
        </w:rPr>
        <w:t>1、在合同有效期内，任何一方因为不可抗力事件，如：停电、道路中断、战争、台风、洪水、地震等双方共同认为属于不可抗力且足以引起被迫停止或推迟合同执行的原因，则合同履行期可相应顺延，顺延的时间等于不可抗力事件发生作用的时间。</w:t>
      </w:r>
    </w:p>
    <w:p>
      <w:pPr>
        <w:widowControl/>
        <w:spacing w:line="560" w:lineRule="exact"/>
        <w:jc w:val="left"/>
        <w:rPr>
          <w:rFonts w:ascii="仿宋" w:hAnsi="仿宋" w:eastAsia="仿宋"/>
          <w:sz w:val="24"/>
        </w:rPr>
      </w:pPr>
      <w:r>
        <w:rPr>
          <w:rFonts w:ascii="仿宋" w:hAnsi="仿宋" w:eastAsia="仿宋"/>
          <w:sz w:val="24"/>
        </w:rPr>
        <w:t>2、受影响的一方应将不可抗力事件的出现尽快通过电传或传真通知另一方。</w:t>
      </w:r>
    </w:p>
    <w:p>
      <w:pPr>
        <w:widowControl/>
        <w:spacing w:line="560" w:lineRule="exact"/>
        <w:jc w:val="left"/>
        <w:rPr>
          <w:rFonts w:ascii="仿宋" w:hAnsi="仿宋" w:eastAsia="仿宋"/>
          <w:sz w:val="24"/>
        </w:rPr>
      </w:pPr>
      <w:r>
        <w:rPr>
          <w:rFonts w:ascii="仿宋" w:hAnsi="仿宋" w:eastAsia="仿宋"/>
          <w:sz w:val="24"/>
        </w:rPr>
        <w:t>3、受影响的一方应在不可抗力事件终止或被排除后尽快通过电传或传真通知另一方。如果不可抗力持续作用超过</w:t>
      </w:r>
      <w:r>
        <w:rPr>
          <w:rFonts w:ascii="仿宋" w:hAnsi="仿宋" w:eastAsia="仿宋"/>
          <w:sz w:val="24"/>
          <w:u w:val="single"/>
        </w:rPr>
        <w:t xml:space="preserve">      </w:t>
      </w:r>
      <w:r>
        <w:rPr>
          <w:rFonts w:ascii="仿宋" w:hAnsi="仿宋" w:eastAsia="仿宋"/>
          <w:sz w:val="24"/>
        </w:rPr>
        <w:t>，双方通过友好协商解决未来的合同履行问题。</w:t>
      </w:r>
    </w:p>
    <w:p>
      <w:pPr>
        <w:widowControl/>
        <w:numPr>
          <w:ilvl w:val="0"/>
          <w:numId w:val="5"/>
        </w:numPr>
        <w:spacing w:line="560" w:lineRule="exact"/>
        <w:jc w:val="left"/>
        <w:rPr>
          <w:rFonts w:ascii="仿宋" w:hAnsi="仿宋" w:eastAsia="仿宋"/>
          <w:b/>
          <w:bCs/>
          <w:sz w:val="24"/>
        </w:rPr>
      </w:pPr>
      <w:r>
        <w:rPr>
          <w:rFonts w:ascii="仿宋" w:hAnsi="仿宋" w:eastAsia="仿宋"/>
          <w:b/>
          <w:bCs/>
          <w:sz w:val="24"/>
        </w:rPr>
        <w:t>：管辖条款</w:t>
      </w:r>
    </w:p>
    <w:p>
      <w:pPr>
        <w:widowControl/>
        <w:spacing w:line="560" w:lineRule="exact"/>
        <w:jc w:val="left"/>
        <w:rPr>
          <w:rFonts w:ascii="仿宋" w:hAnsi="仿宋" w:eastAsia="仿宋"/>
          <w:sz w:val="24"/>
        </w:rPr>
      </w:pPr>
      <w:r>
        <w:rPr>
          <w:rFonts w:ascii="仿宋" w:hAnsi="仿宋" w:eastAsia="仿宋"/>
          <w:sz w:val="24"/>
        </w:rPr>
        <w:t>有关本合同出现的任何争议应由甲乙双方友好协商。协议不成的，交由</w:t>
      </w:r>
      <w:r>
        <w:rPr>
          <w:rFonts w:ascii="仿宋" w:hAnsi="仿宋" w:eastAsia="仿宋"/>
          <w:sz w:val="24"/>
          <w:u w:val="single"/>
        </w:rPr>
        <w:t xml:space="preserve">            </w:t>
      </w:r>
      <w:r>
        <w:rPr>
          <w:rFonts w:ascii="仿宋" w:hAnsi="仿宋" w:eastAsia="仿宋"/>
          <w:sz w:val="24"/>
        </w:rPr>
        <w:t>裁决（或者向</w:t>
      </w:r>
      <w:r>
        <w:rPr>
          <w:rFonts w:ascii="仿宋" w:hAnsi="仿宋" w:eastAsia="仿宋"/>
          <w:sz w:val="24"/>
          <w:u w:val="single"/>
        </w:rPr>
        <w:t xml:space="preserve">            </w:t>
      </w:r>
      <w:r>
        <w:rPr>
          <w:rFonts w:ascii="仿宋" w:hAnsi="仿宋" w:eastAsia="仿宋"/>
          <w:sz w:val="24"/>
        </w:rPr>
        <w:t>所在地法院起诉）。</w:t>
      </w:r>
    </w:p>
    <w:p>
      <w:pPr>
        <w:widowControl/>
        <w:numPr>
          <w:ilvl w:val="0"/>
          <w:numId w:val="5"/>
        </w:numPr>
        <w:spacing w:line="560" w:lineRule="exact"/>
        <w:jc w:val="left"/>
        <w:rPr>
          <w:rFonts w:ascii="仿宋" w:hAnsi="仿宋" w:eastAsia="仿宋"/>
          <w:b/>
          <w:bCs/>
          <w:sz w:val="24"/>
        </w:rPr>
      </w:pPr>
      <w:r>
        <w:rPr>
          <w:rFonts w:ascii="仿宋" w:hAnsi="仿宋" w:eastAsia="仿宋"/>
          <w:b/>
          <w:bCs/>
          <w:sz w:val="24"/>
        </w:rPr>
        <w:t>：合同生效</w:t>
      </w:r>
    </w:p>
    <w:p>
      <w:pPr>
        <w:widowControl/>
        <w:spacing w:line="560" w:lineRule="exact"/>
        <w:jc w:val="left"/>
        <w:rPr>
          <w:rFonts w:ascii="仿宋" w:hAnsi="仿宋" w:eastAsia="仿宋"/>
          <w:sz w:val="24"/>
        </w:rPr>
      </w:pPr>
      <w:r>
        <w:rPr>
          <w:rFonts w:ascii="仿宋" w:hAnsi="仿宋" w:eastAsia="仿宋"/>
          <w:sz w:val="24"/>
        </w:rPr>
        <w:t>1、采购文件、投标文件、更正公告、中标通知书、承诺函等均作为本合同组成部分，具有同等效力。</w:t>
      </w:r>
    </w:p>
    <w:p>
      <w:pPr>
        <w:widowControl/>
        <w:spacing w:line="560" w:lineRule="exact"/>
        <w:jc w:val="left"/>
        <w:rPr>
          <w:rFonts w:ascii="仿宋" w:hAnsi="仿宋" w:eastAsia="仿宋"/>
          <w:sz w:val="24"/>
        </w:rPr>
      </w:pPr>
      <w:r>
        <w:rPr>
          <w:rFonts w:ascii="仿宋" w:hAnsi="仿宋" w:eastAsia="仿宋"/>
          <w:sz w:val="24"/>
        </w:rPr>
        <w:t>2、合同执行中涉及采购资金和采购内容修改或补充的，须经财政部门审批，并签书面补充协议报政府采购监督管理部门备案，作为主合同不可分割的一部分。</w:t>
      </w:r>
    </w:p>
    <w:p>
      <w:pPr>
        <w:widowControl/>
        <w:spacing w:line="560" w:lineRule="exact"/>
        <w:jc w:val="left"/>
        <w:rPr>
          <w:rFonts w:ascii="仿宋" w:hAnsi="仿宋" w:eastAsia="仿宋"/>
          <w:sz w:val="24"/>
        </w:rPr>
      </w:pPr>
      <w:r>
        <w:rPr>
          <w:rFonts w:ascii="仿宋" w:hAnsi="仿宋" w:eastAsia="仿宋"/>
          <w:sz w:val="24"/>
        </w:rPr>
        <w:t>3、</w:t>
      </w:r>
      <w:r>
        <w:rPr>
          <w:rFonts w:ascii="仿宋" w:hAnsi="仿宋" w:eastAsia="仿宋"/>
          <w:sz w:val="24"/>
          <w:lang w:val="zh-CN"/>
        </w:rPr>
        <w:t>本合同</w:t>
      </w:r>
      <w:r>
        <w:rPr>
          <w:rFonts w:ascii="仿宋" w:hAnsi="仿宋" w:eastAsia="仿宋"/>
          <w:sz w:val="24"/>
        </w:rPr>
        <w:t>（□是  □</w:t>
      </w:r>
      <w:r>
        <w:rPr>
          <w:rFonts w:ascii="仿宋" w:hAnsi="仿宋" w:eastAsia="仿宋"/>
          <w:sz w:val="24"/>
          <w:lang w:val="zh-CN"/>
        </w:rPr>
        <w:t>否</w:t>
      </w:r>
      <w:r>
        <w:rPr>
          <w:rFonts w:ascii="仿宋" w:hAnsi="仿宋" w:eastAsia="仿宋"/>
          <w:sz w:val="24"/>
        </w:rPr>
        <w:t>）</w:t>
      </w:r>
      <w:r>
        <w:rPr>
          <w:rFonts w:ascii="仿宋" w:hAnsi="仿宋" w:eastAsia="仿宋"/>
          <w:sz w:val="24"/>
          <w:lang w:val="zh-CN"/>
        </w:rPr>
        <w:t>为可融资合同</w:t>
      </w:r>
      <w:r>
        <w:rPr>
          <w:rFonts w:ascii="仿宋" w:hAnsi="仿宋" w:eastAsia="仿宋"/>
          <w:sz w:val="24"/>
        </w:rPr>
        <w:t>，</w:t>
      </w:r>
      <w:r>
        <w:rPr>
          <w:rFonts w:ascii="仿宋" w:hAnsi="仿宋" w:eastAsia="仿宋"/>
          <w:sz w:val="24"/>
          <w:lang w:val="zh-CN"/>
        </w:rPr>
        <w:t>关于中小企业信用融资事项</w:t>
      </w:r>
      <w:r>
        <w:rPr>
          <w:rFonts w:ascii="仿宋" w:hAnsi="仿宋" w:eastAsia="仿宋"/>
          <w:sz w:val="24"/>
        </w:rPr>
        <w:t>可</w:t>
      </w:r>
      <w:r>
        <w:rPr>
          <w:rFonts w:hint="eastAsia" w:ascii="仿宋" w:hAnsi="仿宋" w:eastAsia="仿宋"/>
          <w:sz w:val="24"/>
        </w:rPr>
        <w:t>参见《余杭区政府采购支持中小企业信用融资暂行办法》（余财采〔2015〕1号）</w:t>
      </w:r>
      <w:r>
        <w:rPr>
          <w:rFonts w:ascii="仿宋" w:hAnsi="仿宋" w:eastAsia="仿宋"/>
          <w:sz w:val="24"/>
        </w:rPr>
        <w:t>进行查询。</w:t>
      </w:r>
    </w:p>
    <w:p>
      <w:pPr>
        <w:widowControl/>
        <w:spacing w:line="560" w:lineRule="exact"/>
        <w:jc w:val="left"/>
        <w:rPr>
          <w:rFonts w:ascii="仿宋" w:hAnsi="仿宋" w:eastAsia="仿宋"/>
          <w:sz w:val="24"/>
        </w:rPr>
      </w:pPr>
      <w:r>
        <w:rPr>
          <w:rFonts w:ascii="仿宋" w:hAnsi="仿宋" w:eastAsia="仿宋"/>
          <w:sz w:val="24"/>
        </w:rPr>
        <w:t>4、本合同未尽事宜，遵照《合同法》有关条文执行。</w:t>
      </w:r>
    </w:p>
    <w:p>
      <w:pPr>
        <w:widowControl/>
        <w:spacing w:line="560" w:lineRule="exact"/>
        <w:jc w:val="left"/>
        <w:rPr>
          <w:rFonts w:ascii="仿宋" w:hAnsi="仿宋" w:eastAsia="仿宋"/>
          <w:sz w:val="24"/>
        </w:rPr>
      </w:pPr>
      <w:r>
        <w:rPr>
          <w:rFonts w:ascii="仿宋" w:hAnsi="仿宋" w:eastAsia="仿宋"/>
          <w:sz w:val="24"/>
        </w:rPr>
        <w:t>5、本合同一式多份，具有同等法律效力，甲乙双方、区公共资源交易中心、余杭区财政局采购监管科，各执一份。</w:t>
      </w:r>
    </w:p>
    <w:p>
      <w:pPr>
        <w:widowControl/>
        <w:spacing w:line="560" w:lineRule="exact"/>
        <w:jc w:val="left"/>
        <w:rPr>
          <w:rFonts w:ascii="仿宋" w:hAnsi="仿宋" w:eastAsia="仿宋"/>
          <w:sz w:val="24"/>
        </w:rPr>
      </w:pPr>
    </w:p>
    <w:p>
      <w:pPr>
        <w:widowControl/>
        <w:spacing w:line="560" w:lineRule="exact"/>
        <w:jc w:val="left"/>
        <w:rPr>
          <w:rFonts w:ascii="仿宋" w:hAnsi="仿宋" w:eastAsia="仿宋"/>
          <w:sz w:val="24"/>
        </w:rPr>
      </w:pPr>
      <w:r>
        <w:rPr>
          <w:rFonts w:ascii="仿宋" w:hAnsi="仿宋" w:eastAsia="仿宋"/>
          <w:sz w:val="24"/>
        </w:rPr>
        <w:t xml:space="preserve"> 甲方（盖章）：                          乙方（盖章）：                 </w:t>
      </w:r>
    </w:p>
    <w:p>
      <w:pPr>
        <w:widowControl/>
        <w:spacing w:line="560" w:lineRule="exact"/>
        <w:jc w:val="left"/>
        <w:rPr>
          <w:rFonts w:ascii="仿宋" w:hAnsi="仿宋" w:eastAsia="仿宋"/>
          <w:sz w:val="24"/>
        </w:rPr>
      </w:pPr>
      <w:r>
        <w:rPr>
          <w:rFonts w:ascii="仿宋" w:hAnsi="仿宋" w:eastAsia="仿宋"/>
          <w:sz w:val="24"/>
        </w:rPr>
        <w:t xml:space="preserve">法定代表人：                           法定代表人：                </w:t>
      </w:r>
    </w:p>
    <w:p>
      <w:pPr>
        <w:widowControl/>
        <w:spacing w:line="560" w:lineRule="exact"/>
        <w:jc w:val="left"/>
        <w:rPr>
          <w:rFonts w:ascii="仿宋" w:hAnsi="仿宋" w:eastAsia="仿宋"/>
          <w:sz w:val="24"/>
        </w:rPr>
      </w:pPr>
      <w:r>
        <w:rPr>
          <w:rFonts w:ascii="仿宋" w:hAnsi="仿宋" w:eastAsia="仿宋"/>
          <w:sz w:val="24"/>
        </w:rPr>
        <w:t xml:space="preserve">或授权代表（签字）：                    或授权代表（签字）：           </w:t>
      </w:r>
    </w:p>
    <w:p>
      <w:pPr>
        <w:widowControl/>
        <w:spacing w:line="560" w:lineRule="exact"/>
        <w:jc w:val="left"/>
        <w:rPr>
          <w:rFonts w:ascii="仿宋" w:hAnsi="仿宋" w:eastAsia="仿宋"/>
          <w:sz w:val="24"/>
        </w:rPr>
      </w:pPr>
      <w:r>
        <w:rPr>
          <w:rFonts w:ascii="仿宋" w:hAnsi="仿宋" w:eastAsia="仿宋"/>
          <w:sz w:val="24"/>
        </w:rPr>
        <w:t xml:space="preserve">地址：                                 地址：    </w:t>
      </w:r>
    </w:p>
    <w:p>
      <w:pPr>
        <w:widowControl/>
        <w:spacing w:line="560" w:lineRule="exact"/>
        <w:jc w:val="left"/>
        <w:rPr>
          <w:rFonts w:ascii="仿宋" w:hAnsi="仿宋" w:eastAsia="仿宋"/>
          <w:sz w:val="24"/>
        </w:rPr>
      </w:pPr>
      <w:r>
        <w:rPr>
          <w:rFonts w:ascii="仿宋" w:hAnsi="仿宋" w:eastAsia="仿宋"/>
          <w:sz w:val="24"/>
        </w:rPr>
        <w:t xml:space="preserve">邮编：                                 邮编：                     </w:t>
      </w:r>
    </w:p>
    <w:p>
      <w:pPr>
        <w:widowControl/>
        <w:spacing w:line="560" w:lineRule="exact"/>
        <w:jc w:val="left"/>
        <w:rPr>
          <w:rFonts w:ascii="仿宋" w:hAnsi="仿宋" w:eastAsia="仿宋"/>
          <w:sz w:val="24"/>
        </w:rPr>
      </w:pPr>
      <w:r>
        <w:rPr>
          <w:rFonts w:ascii="仿宋" w:hAnsi="仿宋" w:eastAsia="仿宋"/>
          <w:sz w:val="24"/>
        </w:rPr>
        <w:t xml:space="preserve">电话：                                 电话：             </w:t>
      </w:r>
    </w:p>
    <w:p>
      <w:pPr>
        <w:widowControl/>
        <w:spacing w:line="560" w:lineRule="exact"/>
        <w:jc w:val="left"/>
        <w:rPr>
          <w:rFonts w:ascii="仿宋" w:hAnsi="仿宋" w:eastAsia="仿宋"/>
          <w:sz w:val="24"/>
        </w:rPr>
      </w:pPr>
      <w:r>
        <w:rPr>
          <w:rFonts w:ascii="仿宋" w:hAnsi="仿宋" w:eastAsia="仿宋"/>
          <w:sz w:val="24"/>
        </w:rPr>
        <w:t xml:space="preserve">传真：                                 传真：         </w:t>
      </w:r>
    </w:p>
    <w:p>
      <w:pPr>
        <w:widowControl/>
        <w:spacing w:line="560" w:lineRule="exact"/>
        <w:jc w:val="left"/>
        <w:rPr>
          <w:rFonts w:ascii="仿宋" w:hAnsi="仿宋" w:eastAsia="仿宋"/>
          <w:sz w:val="24"/>
        </w:rPr>
      </w:pPr>
      <w:r>
        <w:rPr>
          <w:rFonts w:ascii="仿宋" w:hAnsi="仿宋" w:eastAsia="仿宋"/>
          <w:sz w:val="24"/>
        </w:rPr>
        <w:t xml:space="preserve">开户银行：                             开户银行：    </w:t>
      </w:r>
    </w:p>
    <w:p>
      <w:pPr>
        <w:widowControl/>
        <w:spacing w:line="560" w:lineRule="exact"/>
        <w:jc w:val="left"/>
        <w:rPr>
          <w:rFonts w:ascii="仿宋" w:hAnsi="仿宋" w:eastAsia="仿宋"/>
          <w:sz w:val="24"/>
        </w:rPr>
      </w:pPr>
      <w:r>
        <w:rPr>
          <w:rFonts w:ascii="仿宋" w:hAnsi="仿宋" w:eastAsia="仿宋"/>
          <w:sz w:val="24"/>
        </w:rPr>
        <w:t xml:space="preserve">帐号：                                 帐号：     </w:t>
      </w:r>
    </w:p>
    <w:p>
      <w:pPr>
        <w:widowControl/>
        <w:spacing w:line="560" w:lineRule="exact"/>
        <w:jc w:val="left"/>
        <w:rPr>
          <w:rFonts w:ascii="仿宋" w:hAnsi="仿宋" w:eastAsia="仿宋"/>
          <w:sz w:val="24"/>
        </w:rPr>
      </w:pPr>
    </w:p>
    <w:p>
      <w:pPr>
        <w:widowControl/>
        <w:spacing w:line="560" w:lineRule="exact"/>
        <w:jc w:val="left"/>
        <w:rPr>
          <w:rFonts w:ascii="仿宋" w:hAnsi="仿宋" w:eastAsia="仿宋"/>
          <w:sz w:val="24"/>
        </w:rPr>
      </w:pPr>
    </w:p>
    <w:p>
      <w:pPr>
        <w:widowControl/>
        <w:spacing w:line="560" w:lineRule="exact"/>
        <w:jc w:val="left"/>
        <w:rPr>
          <w:rFonts w:ascii="仿宋" w:hAnsi="仿宋" w:eastAsia="仿宋"/>
          <w:sz w:val="24"/>
        </w:rPr>
      </w:pPr>
      <w:r>
        <w:rPr>
          <w:rFonts w:ascii="仿宋" w:hAnsi="仿宋" w:eastAsia="仿宋"/>
          <w:sz w:val="24"/>
        </w:rPr>
        <w:t>签约时间：      年    月   日</w:t>
      </w:r>
    </w:p>
    <w:p>
      <w:pPr>
        <w:widowControl/>
        <w:spacing w:line="560" w:lineRule="exact"/>
        <w:jc w:val="left"/>
        <w:rPr>
          <w:rFonts w:ascii="仿宋" w:hAnsi="仿宋" w:eastAsia="仿宋"/>
          <w:sz w:val="24"/>
        </w:rPr>
      </w:pPr>
      <w:r>
        <w:rPr>
          <w:rFonts w:ascii="仿宋" w:hAnsi="仿宋" w:eastAsia="仿宋"/>
          <w:sz w:val="24"/>
        </w:rPr>
        <w:t xml:space="preserve">签约地点：                    </w:t>
      </w:r>
    </w:p>
    <w:p>
      <w:pPr>
        <w:widowControl/>
        <w:spacing w:line="560" w:lineRule="exact"/>
        <w:jc w:val="left"/>
        <w:rPr>
          <w:rFonts w:ascii="仿宋" w:hAnsi="仿宋" w:eastAsia="仿宋"/>
          <w:b/>
          <w:bCs/>
          <w:sz w:val="24"/>
        </w:rPr>
      </w:pPr>
      <w:bookmarkStart w:id="395" w:name="_Toc349721554"/>
      <w:bookmarkStart w:id="396" w:name="_Toc339872468"/>
      <w:bookmarkStart w:id="397" w:name="_Toc326765771"/>
      <w:bookmarkStart w:id="398" w:name="_Toc328381300"/>
      <w:bookmarkStart w:id="399" w:name="_Toc350327365"/>
      <w:r>
        <w:rPr>
          <w:rFonts w:hint="eastAsia" w:ascii="仿宋" w:hAnsi="仿宋" w:eastAsia="仿宋"/>
          <w:b/>
          <w:bCs/>
          <w:sz w:val="24"/>
        </w:rPr>
        <w:t>★</w:t>
      </w:r>
      <w:r>
        <w:rPr>
          <w:rFonts w:ascii="仿宋" w:hAnsi="仿宋" w:eastAsia="仿宋"/>
          <w:b/>
          <w:bCs/>
          <w:sz w:val="24"/>
        </w:rPr>
        <w:t xml:space="preserve"> 此仅为合同书样本，中标单位需根据实际情况和采购人签订相应的合同！</w:t>
      </w:r>
      <w:bookmarkEnd w:id="395"/>
      <w:bookmarkEnd w:id="396"/>
      <w:bookmarkEnd w:id="397"/>
      <w:bookmarkEnd w:id="398"/>
      <w:bookmarkEnd w:id="399"/>
    </w:p>
    <w:p>
      <w:pPr>
        <w:widowControl/>
        <w:spacing w:line="560" w:lineRule="exact"/>
        <w:jc w:val="left"/>
        <w:rPr>
          <w:rFonts w:ascii="仿宋" w:hAnsi="仿宋" w:eastAsia="仿宋"/>
          <w:sz w:val="24"/>
        </w:rPr>
      </w:pPr>
    </w:p>
    <w:p>
      <w:pPr>
        <w:widowControl/>
        <w:spacing w:line="560" w:lineRule="exact"/>
        <w:jc w:val="left"/>
        <w:rPr>
          <w:rFonts w:ascii="仿宋" w:hAnsi="仿宋" w:eastAsia="仿宋"/>
          <w:b/>
          <w:sz w:val="24"/>
        </w:rPr>
      </w:pPr>
    </w:p>
    <w:p>
      <w:pPr>
        <w:pStyle w:val="385"/>
        <w:spacing w:line="560" w:lineRule="exact"/>
        <w:ind w:firstLine="482"/>
        <w:jc w:val="center"/>
        <w:rPr>
          <w:rFonts w:ascii="仿宋" w:hAnsi="仿宋" w:eastAsia="仿宋"/>
          <w:b/>
          <w:szCs w:val="24"/>
        </w:rPr>
      </w:pPr>
      <w:r>
        <w:rPr>
          <w:rFonts w:hint="eastAsia" w:ascii="仿宋" w:hAnsi="仿宋" w:eastAsia="仿宋"/>
          <w:b/>
          <w:szCs w:val="24"/>
        </w:rPr>
        <w:t>第二部分</w:t>
      </w:r>
      <w:r>
        <w:rPr>
          <w:rFonts w:ascii="仿宋" w:hAnsi="仿宋" w:eastAsia="仿宋"/>
          <w:b/>
          <w:szCs w:val="24"/>
        </w:rPr>
        <w:t xml:space="preserve"> </w:t>
      </w:r>
      <w:r>
        <w:rPr>
          <w:rFonts w:hint="eastAsia" w:ascii="仿宋" w:hAnsi="仿宋" w:eastAsia="仿宋"/>
          <w:b/>
          <w:szCs w:val="24"/>
        </w:rPr>
        <w:t>合同一般条款</w:t>
      </w:r>
      <w:bookmarkEnd w:id="394"/>
    </w:p>
    <w:p>
      <w:pPr>
        <w:spacing w:line="560" w:lineRule="exact"/>
        <w:ind w:firstLine="482" w:firstLineChars="200"/>
        <w:outlineLvl w:val="0"/>
        <w:rPr>
          <w:rFonts w:ascii="仿宋" w:hAnsi="仿宋" w:eastAsia="仿宋"/>
          <w:b/>
          <w:sz w:val="24"/>
        </w:rPr>
      </w:pPr>
      <w:bookmarkStart w:id="400" w:name="_Ref467379205"/>
      <w:bookmarkStart w:id="401" w:name="_Ref467379094"/>
      <w:bookmarkStart w:id="402" w:name="_Toc28763"/>
      <w:bookmarkStart w:id="403" w:name="_Toc16917"/>
      <w:bookmarkStart w:id="404" w:name="_Ref467379109"/>
      <w:bookmarkStart w:id="405" w:name="_Toc487900349"/>
      <w:bookmarkStart w:id="406" w:name="_Ref467379214"/>
      <w:bookmarkStart w:id="407" w:name="_Ref467378463"/>
      <w:bookmarkStart w:id="408" w:name="_Toc19614"/>
      <w:bookmarkStart w:id="409" w:name="_Ref467378499"/>
      <w:bookmarkStart w:id="410" w:name="_Ref467378404"/>
      <w:bookmarkStart w:id="411" w:name="_Toc279701240"/>
      <w:bookmarkStart w:id="412" w:name="_Ref467379195"/>
      <w:bookmarkStart w:id="413" w:name="_Toc259093669"/>
      <w:bookmarkStart w:id="414" w:name="_Ref467379101"/>
      <w:bookmarkStart w:id="415" w:name="_Ref467379225"/>
      <w:r>
        <w:rPr>
          <w:rFonts w:ascii="仿宋" w:hAnsi="仿宋" w:eastAsia="仿宋"/>
          <w:b/>
          <w:sz w:val="24"/>
        </w:rPr>
        <w:t xml:space="preserve">2.1 </w:t>
      </w:r>
      <w:r>
        <w:rPr>
          <w:rFonts w:hint="eastAsia" w:ascii="仿宋" w:hAnsi="仿宋" w:eastAsia="仿宋"/>
          <w:b/>
          <w:sz w:val="24"/>
        </w:rPr>
        <w:t>定义</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16"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16"/>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17"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17"/>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18"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18"/>
    </w:p>
    <w:p>
      <w:pPr>
        <w:spacing w:line="560" w:lineRule="exact"/>
        <w:ind w:firstLine="482" w:firstLineChars="200"/>
        <w:outlineLvl w:val="0"/>
        <w:rPr>
          <w:rFonts w:ascii="仿宋" w:hAnsi="仿宋" w:eastAsia="仿宋"/>
          <w:b/>
          <w:sz w:val="24"/>
        </w:rPr>
      </w:pPr>
      <w:bookmarkStart w:id="419" w:name="_Toc27635"/>
      <w:bookmarkStart w:id="420" w:name="_Toc487900350"/>
      <w:bookmarkStart w:id="421" w:name="_Toc32504"/>
      <w:bookmarkStart w:id="422" w:name="_Toc13336"/>
      <w:bookmarkStart w:id="423" w:name="_Toc279701241"/>
      <w:bookmarkStart w:id="424" w:name="_Toc259093670"/>
      <w:r>
        <w:rPr>
          <w:rFonts w:ascii="仿宋" w:hAnsi="仿宋" w:eastAsia="仿宋"/>
          <w:b/>
          <w:sz w:val="24"/>
        </w:rPr>
        <w:t xml:space="preserve">2.2 </w:t>
      </w:r>
      <w:r>
        <w:rPr>
          <w:rFonts w:hint="eastAsia" w:ascii="仿宋" w:hAnsi="仿宋" w:eastAsia="仿宋"/>
          <w:b/>
          <w:sz w:val="24"/>
        </w:rPr>
        <w:t>技术规范</w:t>
      </w:r>
      <w:bookmarkEnd w:id="419"/>
      <w:bookmarkEnd w:id="420"/>
      <w:bookmarkEnd w:id="421"/>
      <w:bookmarkEnd w:id="422"/>
      <w:bookmarkEnd w:id="423"/>
      <w:bookmarkEnd w:id="424"/>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25" w:name="_Toc487900351"/>
      <w:bookmarkStart w:id="426" w:name="_Toc259093671"/>
      <w:bookmarkStart w:id="427" w:name="_Toc27853"/>
      <w:bookmarkStart w:id="428" w:name="_Toc9829"/>
      <w:bookmarkStart w:id="429" w:name="_Toc31634"/>
      <w:bookmarkStart w:id="430" w:name="_Toc279701242"/>
      <w:r>
        <w:rPr>
          <w:rFonts w:ascii="仿宋" w:hAnsi="仿宋" w:eastAsia="仿宋"/>
          <w:b/>
          <w:sz w:val="24"/>
        </w:rPr>
        <w:t xml:space="preserve">2.3 </w:t>
      </w:r>
      <w:r>
        <w:rPr>
          <w:rFonts w:hint="eastAsia" w:ascii="仿宋" w:hAnsi="仿宋" w:eastAsia="仿宋"/>
          <w:b/>
          <w:sz w:val="24"/>
        </w:rPr>
        <w:t>知识产权</w:t>
      </w:r>
      <w:bookmarkEnd w:id="425"/>
      <w:bookmarkEnd w:id="426"/>
      <w:bookmarkEnd w:id="427"/>
      <w:bookmarkEnd w:id="428"/>
      <w:bookmarkEnd w:id="429"/>
      <w:bookmarkEnd w:id="430"/>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31" w:name="_Toc11932"/>
      <w:bookmarkStart w:id="432" w:name="_Toc29149"/>
      <w:bookmarkStart w:id="433" w:name="_Toc4194"/>
      <w:r>
        <w:rPr>
          <w:rFonts w:ascii="仿宋" w:hAnsi="仿宋" w:eastAsia="仿宋"/>
          <w:b/>
          <w:sz w:val="24"/>
        </w:rPr>
        <w:t xml:space="preserve">2.4 </w:t>
      </w:r>
      <w:r>
        <w:rPr>
          <w:rFonts w:hint="eastAsia" w:ascii="仿宋" w:hAnsi="仿宋" w:eastAsia="仿宋"/>
          <w:b/>
          <w:sz w:val="24"/>
        </w:rPr>
        <w:t>包装和装运</w:t>
      </w:r>
      <w:bookmarkEnd w:id="431"/>
      <w:bookmarkEnd w:id="432"/>
      <w:bookmarkEnd w:id="433"/>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34" w:name="_Ref467379542"/>
      <w:bookmarkStart w:id="435" w:name="_Ref467378541"/>
      <w:bookmarkStart w:id="436" w:name="_Toc259093674"/>
      <w:bookmarkStart w:id="437" w:name="_Ref467378591"/>
      <w:bookmarkStart w:id="438" w:name="_Ref467379536"/>
      <w:bookmarkStart w:id="439" w:name="_Ref467379527"/>
      <w:bookmarkStart w:id="440" w:name="_Toc279701245"/>
      <w:bookmarkStart w:id="441" w:name="_Toc487900354"/>
      <w:bookmarkStart w:id="442" w:name="_Toc19074"/>
      <w:bookmarkStart w:id="443" w:name="_Toc30272"/>
      <w:bookmarkStart w:id="444" w:name="_Toc26182"/>
      <w:r>
        <w:rPr>
          <w:rFonts w:ascii="仿宋" w:hAnsi="仿宋" w:eastAsia="仿宋"/>
          <w:b/>
          <w:sz w:val="24"/>
        </w:rPr>
        <w:t>2.</w:t>
      </w:r>
      <w:bookmarkEnd w:id="434"/>
      <w:bookmarkEnd w:id="435"/>
      <w:bookmarkEnd w:id="436"/>
      <w:bookmarkEnd w:id="437"/>
      <w:bookmarkEnd w:id="438"/>
      <w:bookmarkEnd w:id="439"/>
      <w:bookmarkEnd w:id="440"/>
      <w:bookmarkEnd w:id="441"/>
      <w:r>
        <w:rPr>
          <w:rFonts w:ascii="仿宋" w:hAnsi="仿宋" w:eastAsia="仿宋"/>
          <w:b/>
          <w:sz w:val="24"/>
        </w:rPr>
        <w:t xml:space="preserve">5 </w:t>
      </w:r>
      <w:r>
        <w:rPr>
          <w:rFonts w:hint="eastAsia" w:ascii="仿宋" w:hAnsi="仿宋" w:eastAsia="仿宋"/>
          <w:b/>
          <w:sz w:val="24"/>
        </w:rPr>
        <w:t>履约检查和问题反馈</w:t>
      </w:r>
      <w:bookmarkEnd w:id="442"/>
      <w:bookmarkEnd w:id="443"/>
      <w:bookmarkEnd w:id="444"/>
    </w:p>
    <w:p>
      <w:pPr>
        <w:spacing w:line="560" w:lineRule="exact"/>
        <w:ind w:firstLine="480" w:firstLineChars="200"/>
        <w:rPr>
          <w:rFonts w:ascii="仿宋" w:hAnsi="仿宋" w:eastAsia="仿宋"/>
          <w:sz w:val="24"/>
        </w:rPr>
      </w:pPr>
      <w:bookmarkStart w:id="445" w:name="_Ref467379657"/>
      <w:r>
        <w:rPr>
          <w:rFonts w:ascii="仿宋" w:hAnsi="仿宋" w:eastAsia="仿宋"/>
          <w:sz w:val="24"/>
        </w:rPr>
        <w:t>2.5.1</w:t>
      </w:r>
      <w:bookmarkEnd w:id="445"/>
      <w:bookmarkStart w:id="446" w:name="_Toc186431854"/>
      <w:bookmarkStart w:id="447" w:name="_Toc487900357"/>
      <w:bookmarkStart w:id="448" w:name="_Toc279701247"/>
      <w:bookmarkStart w:id="449" w:name="_Ref467379793"/>
      <w:bookmarkStart w:id="450" w:name="_Ref467379807"/>
      <w:bookmarkStart w:id="451" w:name="_Toc259093676"/>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46"/>
      <w:bookmarkStart w:id="452" w:name="_Toc186431855"/>
      <w:r>
        <w:rPr>
          <w:rFonts w:hint="eastAsia" w:ascii="仿宋" w:hAnsi="仿宋" w:eastAsia="仿宋"/>
          <w:sz w:val="24"/>
        </w:rPr>
        <w:t>。</w:t>
      </w:r>
    </w:p>
    <w:bookmarkEnd w:id="447"/>
    <w:bookmarkEnd w:id="448"/>
    <w:bookmarkEnd w:id="449"/>
    <w:bookmarkEnd w:id="450"/>
    <w:bookmarkEnd w:id="451"/>
    <w:bookmarkEnd w:id="452"/>
    <w:p>
      <w:pPr>
        <w:spacing w:line="560" w:lineRule="exact"/>
        <w:ind w:firstLine="482" w:firstLineChars="200"/>
        <w:outlineLvl w:val="0"/>
        <w:rPr>
          <w:rFonts w:ascii="仿宋" w:hAnsi="仿宋" w:eastAsia="仿宋"/>
          <w:b/>
          <w:sz w:val="24"/>
        </w:rPr>
      </w:pPr>
      <w:bookmarkStart w:id="453" w:name="_Ref467379863"/>
      <w:bookmarkStart w:id="454" w:name="_Ref467379852"/>
      <w:bookmarkStart w:id="455" w:name="_Ref467379923"/>
      <w:bookmarkStart w:id="456" w:name="_Toc259093677"/>
      <w:bookmarkStart w:id="457" w:name="_Toc487900358"/>
      <w:bookmarkStart w:id="458" w:name="_Toc279701248"/>
      <w:bookmarkStart w:id="459" w:name="_Toc16110"/>
      <w:bookmarkStart w:id="460" w:name="_Toc3225"/>
      <w:bookmarkStart w:id="461" w:name="_Toc774"/>
      <w:r>
        <w:rPr>
          <w:rFonts w:ascii="仿宋" w:hAnsi="仿宋" w:eastAsia="仿宋"/>
          <w:b/>
          <w:sz w:val="24"/>
        </w:rPr>
        <w:t xml:space="preserve">2.6 </w:t>
      </w:r>
      <w:r>
        <w:rPr>
          <w:rFonts w:hint="eastAsia" w:ascii="仿宋" w:hAnsi="仿宋" w:eastAsia="仿宋"/>
          <w:b/>
          <w:sz w:val="24"/>
        </w:rPr>
        <w:t>技术资料</w:t>
      </w:r>
      <w:bookmarkEnd w:id="453"/>
      <w:bookmarkEnd w:id="454"/>
      <w:bookmarkEnd w:id="455"/>
      <w:bookmarkEnd w:id="456"/>
      <w:bookmarkEnd w:id="457"/>
      <w:bookmarkEnd w:id="458"/>
      <w:r>
        <w:rPr>
          <w:rFonts w:hint="eastAsia" w:ascii="仿宋" w:hAnsi="仿宋" w:eastAsia="仿宋"/>
          <w:b/>
          <w:sz w:val="24"/>
        </w:rPr>
        <w:t>和保密义务</w:t>
      </w:r>
      <w:bookmarkEnd w:id="459"/>
      <w:bookmarkEnd w:id="460"/>
      <w:bookmarkEnd w:id="461"/>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62" w:name="_Toc7860"/>
      <w:r>
        <w:rPr>
          <w:rFonts w:ascii="仿宋" w:hAnsi="仿宋" w:eastAsia="仿宋"/>
          <w:b/>
          <w:sz w:val="24"/>
        </w:rPr>
        <w:t xml:space="preserve">2.7 </w:t>
      </w:r>
      <w:r>
        <w:rPr>
          <w:rFonts w:hint="eastAsia" w:ascii="仿宋" w:hAnsi="仿宋" w:eastAsia="仿宋"/>
          <w:b/>
          <w:sz w:val="24"/>
        </w:rPr>
        <w:t>质量保证</w:t>
      </w:r>
      <w:bookmarkEnd w:id="462"/>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63" w:name="_Toc17244"/>
      <w:bookmarkStart w:id="464" w:name="_Toc279701252"/>
      <w:bookmarkStart w:id="465" w:name="_Toc487900362"/>
      <w:bookmarkStart w:id="466" w:name="_Toc259093681"/>
      <w:r>
        <w:rPr>
          <w:rFonts w:ascii="仿宋" w:hAnsi="仿宋" w:eastAsia="仿宋"/>
          <w:b/>
          <w:sz w:val="24"/>
        </w:rPr>
        <w:t xml:space="preserve">2.8 </w:t>
      </w:r>
      <w:r>
        <w:rPr>
          <w:rFonts w:hint="eastAsia" w:ascii="仿宋" w:hAnsi="仿宋" w:eastAsia="仿宋"/>
          <w:b/>
          <w:sz w:val="24"/>
        </w:rPr>
        <w:t>货物的风险负担</w:t>
      </w:r>
      <w:bookmarkEnd w:id="463"/>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67" w:name="_Toc14055"/>
      <w:r>
        <w:rPr>
          <w:rFonts w:ascii="仿宋" w:hAnsi="仿宋" w:eastAsia="仿宋"/>
          <w:b/>
          <w:sz w:val="24"/>
        </w:rPr>
        <w:t xml:space="preserve">2.9 </w:t>
      </w:r>
      <w:r>
        <w:rPr>
          <w:rFonts w:hint="eastAsia" w:ascii="仿宋" w:hAnsi="仿宋" w:eastAsia="仿宋"/>
          <w:b/>
          <w:sz w:val="24"/>
        </w:rPr>
        <w:t>延迟交货</w:t>
      </w:r>
      <w:bookmarkEnd w:id="464"/>
      <w:bookmarkEnd w:id="465"/>
      <w:bookmarkEnd w:id="466"/>
      <w:bookmarkEnd w:id="467"/>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468" w:name="_Toc7502"/>
      <w:bookmarkStart w:id="469" w:name="_Ref467378121"/>
      <w:bookmarkStart w:id="470" w:name="_Toc259093683"/>
      <w:bookmarkStart w:id="471" w:name="_Toc487900364"/>
      <w:bookmarkStart w:id="472" w:name="_Toc279701254"/>
      <w:r>
        <w:rPr>
          <w:rFonts w:ascii="仿宋" w:hAnsi="仿宋" w:eastAsia="仿宋"/>
          <w:b/>
          <w:sz w:val="24"/>
        </w:rPr>
        <w:t xml:space="preserve">2.10 </w:t>
      </w:r>
      <w:r>
        <w:rPr>
          <w:rFonts w:hint="eastAsia" w:ascii="仿宋" w:hAnsi="仿宋" w:eastAsia="仿宋"/>
          <w:b/>
          <w:sz w:val="24"/>
        </w:rPr>
        <w:t>合同变更</w:t>
      </w:r>
      <w:bookmarkEnd w:id="468"/>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73" w:name="_Toc279701259"/>
      <w:bookmarkStart w:id="474" w:name="_Toc487900369"/>
      <w:bookmarkStart w:id="475" w:name="_Toc259093688"/>
    </w:p>
    <w:p>
      <w:pPr>
        <w:spacing w:line="560" w:lineRule="exact"/>
        <w:ind w:firstLine="482" w:firstLineChars="200"/>
        <w:outlineLvl w:val="0"/>
        <w:rPr>
          <w:rFonts w:ascii="仿宋" w:hAnsi="仿宋" w:eastAsia="仿宋"/>
          <w:b/>
          <w:sz w:val="24"/>
        </w:rPr>
      </w:pPr>
      <w:bookmarkStart w:id="476" w:name="_Toc15237"/>
      <w:bookmarkStart w:id="477" w:name="_Toc22955"/>
      <w:bookmarkStart w:id="478" w:name="_Toc10366"/>
      <w:r>
        <w:rPr>
          <w:rFonts w:ascii="仿宋" w:hAnsi="仿宋" w:eastAsia="仿宋"/>
          <w:b/>
          <w:sz w:val="24"/>
        </w:rPr>
        <w:t xml:space="preserve">2.11 </w:t>
      </w:r>
      <w:r>
        <w:rPr>
          <w:rFonts w:hint="eastAsia" w:ascii="仿宋" w:hAnsi="仿宋" w:eastAsia="仿宋"/>
          <w:b/>
          <w:sz w:val="24"/>
        </w:rPr>
        <w:t>合同转让</w:t>
      </w:r>
      <w:bookmarkEnd w:id="473"/>
      <w:bookmarkEnd w:id="474"/>
      <w:bookmarkEnd w:id="475"/>
      <w:r>
        <w:rPr>
          <w:rFonts w:hint="eastAsia" w:ascii="仿宋" w:hAnsi="仿宋" w:eastAsia="仿宋"/>
          <w:b/>
          <w:sz w:val="24"/>
        </w:rPr>
        <w:t>和分包</w:t>
      </w:r>
      <w:bookmarkEnd w:id="476"/>
      <w:bookmarkEnd w:id="477"/>
      <w:bookmarkEnd w:id="478"/>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479" w:name="_Toc13566"/>
      <w:bookmarkStart w:id="480" w:name="_Toc14066"/>
      <w:bookmarkStart w:id="481" w:name="_Toc16508"/>
      <w:r>
        <w:rPr>
          <w:rFonts w:ascii="仿宋" w:hAnsi="仿宋" w:eastAsia="仿宋"/>
          <w:b/>
          <w:sz w:val="24"/>
        </w:rPr>
        <w:t xml:space="preserve">2.12 </w:t>
      </w:r>
      <w:r>
        <w:rPr>
          <w:rFonts w:hint="eastAsia" w:ascii="仿宋" w:hAnsi="仿宋" w:eastAsia="仿宋"/>
          <w:b/>
          <w:sz w:val="24"/>
        </w:rPr>
        <w:t>不可抗力</w:t>
      </w:r>
      <w:bookmarkEnd w:id="479"/>
      <w:bookmarkEnd w:id="480"/>
      <w:bookmarkEnd w:id="481"/>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482" w:name="_Toc30676"/>
      <w:bookmarkStart w:id="483" w:name="_Toc279701255"/>
      <w:bookmarkStart w:id="484" w:name="_Toc487900365"/>
      <w:bookmarkStart w:id="485" w:name="_Toc6969"/>
      <w:bookmarkStart w:id="486" w:name="_Toc259093684"/>
      <w:bookmarkStart w:id="487" w:name="_Toc689"/>
      <w:r>
        <w:rPr>
          <w:rFonts w:ascii="仿宋" w:hAnsi="仿宋" w:eastAsia="仿宋"/>
          <w:b/>
          <w:sz w:val="24"/>
        </w:rPr>
        <w:t xml:space="preserve">2.13 </w:t>
      </w:r>
      <w:r>
        <w:rPr>
          <w:rFonts w:hint="eastAsia" w:ascii="仿宋" w:hAnsi="仿宋" w:eastAsia="仿宋"/>
          <w:b/>
          <w:sz w:val="24"/>
        </w:rPr>
        <w:t>税费</w:t>
      </w:r>
      <w:bookmarkEnd w:id="482"/>
      <w:bookmarkEnd w:id="483"/>
      <w:bookmarkEnd w:id="484"/>
      <w:bookmarkEnd w:id="485"/>
      <w:bookmarkEnd w:id="486"/>
      <w:bookmarkEnd w:id="487"/>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488" w:name="_Toc279701258"/>
      <w:bookmarkStart w:id="489" w:name="_Toc16959"/>
      <w:bookmarkStart w:id="490" w:name="_Toc8298"/>
      <w:bookmarkStart w:id="491" w:name="_Toc487900368"/>
      <w:bookmarkStart w:id="492" w:name="_Toc7102"/>
      <w:bookmarkStart w:id="493" w:name="_Toc259093687"/>
      <w:r>
        <w:rPr>
          <w:rFonts w:ascii="仿宋" w:hAnsi="仿宋" w:eastAsia="仿宋"/>
          <w:b/>
          <w:sz w:val="24"/>
        </w:rPr>
        <w:t>2.14乙方破产</w:t>
      </w:r>
      <w:bookmarkEnd w:id="488"/>
      <w:bookmarkEnd w:id="489"/>
      <w:bookmarkEnd w:id="490"/>
      <w:bookmarkEnd w:id="491"/>
      <w:bookmarkEnd w:id="492"/>
      <w:bookmarkEnd w:id="493"/>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494" w:name="_Toc29333"/>
      <w:bookmarkStart w:id="495" w:name="_Toc15387"/>
      <w:bookmarkStart w:id="496" w:name="_Toc6134"/>
      <w:r>
        <w:rPr>
          <w:rFonts w:ascii="仿宋" w:hAnsi="仿宋" w:eastAsia="仿宋"/>
          <w:b/>
          <w:sz w:val="24"/>
        </w:rPr>
        <w:t xml:space="preserve">2.15 </w:t>
      </w:r>
      <w:r>
        <w:rPr>
          <w:rFonts w:hint="eastAsia" w:ascii="仿宋" w:hAnsi="仿宋" w:eastAsia="仿宋"/>
          <w:b/>
          <w:sz w:val="24"/>
        </w:rPr>
        <w:t>合同中止、终止</w:t>
      </w:r>
      <w:bookmarkEnd w:id="494"/>
      <w:bookmarkEnd w:id="495"/>
      <w:bookmarkEnd w:id="496"/>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497" w:name="_Toc6596"/>
      <w:bookmarkStart w:id="498" w:name="_Toc1125"/>
      <w:bookmarkStart w:id="499" w:name="_Toc14563"/>
      <w:r>
        <w:rPr>
          <w:rFonts w:ascii="仿宋" w:hAnsi="仿宋" w:eastAsia="仿宋"/>
          <w:b/>
          <w:sz w:val="24"/>
        </w:rPr>
        <w:t>2.16检验和验收</w:t>
      </w:r>
      <w:bookmarkEnd w:id="497"/>
      <w:bookmarkEnd w:id="498"/>
      <w:bookmarkEnd w:id="499"/>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69"/>
    <w:bookmarkEnd w:id="470"/>
    <w:bookmarkEnd w:id="471"/>
    <w:bookmarkEnd w:id="472"/>
    <w:p>
      <w:pPr>
        <w:spacing w:line="560" w:lineRule="exact"/>
        <w:ind w:firstLine="482" w:firstLineChars="200"/>
        <w:outlineLvl w:val="0"/>
        <w:rPr>
          <w:rFonts w:ascii="仿宋" w:hAnsi="仿宋" w:eastAsia="仿宋"/>
          <w:b/>
          <w:sz w:val="24"/>
        </w:rPr>
      </w:pPr>
      <w:bookmarkStart w:id="500" w:name="_Toc279701261"/>
      <w:bookmarkStart w:id="501" w:name="_Toc259093690"/>
      <w:bookmarkStart w:id="502" w:name="_Toc487900371"/>
      <w:bookmarkStart w:id="503" w:name="_Toc19604"/>
      <w:bookmarkStart w:id="504" w:name="_Toc25182"/>
      <w:bookmarkStart w:id="505" w:name="_Toc11284"/>
      <w:r>
        <w:rPr>
          <w:rFonts w:ascii="仿宋" w:hAnsi="仿宋" w:eastAsia="仿宋"/>
          <w:b/>
          <w:sz w:val="24"/>
        </w:rPr>
        <w:t xml:space="preserve">2.17 </w:t>
      </w:r>
      <w:r>
        <w:rPr>
          <w:rFonts w:hint="eastAsia" w:ascii="仿宋" w:hAnsi="仿宋" w:eastAsia="仿宋"/>
          <w:b/>
          <w:sz w:val="24"/>
        </w:rPr>
        <w:t>通知</w:t>
      </w:r>
      <w:bookmarkEnd w:id="500"/>
      <w:bookmarkEnd w:id="501"/>
      <w:bookmarkEnd w:id="502"/>
      <w:r>
        <w:rPr>
          <w:rFonts w:hint="eastAsia" w:ascii="仿宋" w:hAnsi="仿宋" w:eastAsia="仿宋"/>
          <w:b/>
          <w:sz w:val="24"/>
        </w:rPr>
        <w:t>和送达</w:t>
      </w:r>
      <w:bookmarkEnd w:id="503"/>
      <w:bookmarkEnd w:id="504"/>
      <w:bookmarkEnd w:id="505"/>
    </w:p>
    <w:p>
      <w:pPr>
        <w:spacing w:line="560" w:lineRule="exact"/>
        <w:ind w:firstLine="480" w:firstLineChars="200"/>
        <w:rPr>
          <w:rFonts w:ascii="仿宋" w:hAnsi="仿宋" w:eastAsia="仿宋"/>
          <w:sz w:val="24"/>
        </w:rPr>
      </w:pPr>
      <w:bookmarkStart w:id="506" w:name="_Toc6698"/>
      <w:bookmarkStart w:id="507" w:name="_Toc3135"/>
      <w:bookmarkStart w:id="508" w:name="_Toc279701262"/>
      <w:bookmarkStart w:id="509" w:name="_Toc259093691"/>
      <w:bookmarkStart w:id="510" w:name="_Toc487900372"/>
      <w:r>
        <w:rPr>
          <w:rFonts w:ascii="仿宋" w:hAnsi="仿宋" w:eastAsia="仿宋"/>
          <w:sz w:val="24"/>
        </w:rPr>
        <w:t>2.17.1</w:t>
      </w:r>
      <w:r>
        <w:rPr>
          <w:rFonts w:hint="eastAsia" w:ascii="仿宋" w:hAnsi="仿宋" w:eastAsia="仿宋"/>
          <w:sz w:val="24"/>
        </w:rPr>
        <w:t>任何一方因履行合同而以合同第一部分尾部所列明的传真或电子邮件</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06"/>
      <w:bookmarkEnd w:id="507"/>
    </w:p>
    <w:p>
      <w:pPr>
        <w:spacing w:line="560" w:lineRule="exact"/>
        <w:ind w:firstLine="480" w:firstLineChars="200"/>
        <w:rPr>
          <w:rFonts w:ascii="仿宋" w:hAnsi="仿宋" w:eastAsia="仿宋"/>
          <w:sz w:val="24"/>
        </w:rPr>
      </w:pPr>
      <w:bookmarkStart w:id="511" w:name="_Toc23294"/>
      <w:bookmarkStart w:id="512" w:name="_Toc23128"/>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11"/>
      <w:bookmarkEnd w:id="512"/>
    </w:p>
    <w:p>
      <w:pPr>
        <w:spacing w:line="560" w:lineRule="exact"/>
        <w:ind w:firstLine="482" w:firstLineChars="200"/>
        <w:outlineLvl w:val="0"/>
        <w:rPr>
          <w:rFonts w:ascii="仿宋" w:hAnsi="仿宋" w:eastAsia="仿宋"/>
          <w:b/>
          <w:sz w:val="24"/>
        </w:rPr>
      </w:pPr>
      <w:bookmarkStart w:id="513" w:name="_Toc30599"/>
      <w:bookmarkStart w:id="514" w:name="_Toc18540"/>
      <w:bookmarkStart w:id="515" w:name="_Toc4355"/>
      <w:r>
        <w:rPr>
          <w:rFonts w:ascii="仿宋" w:hAnsi="仿宋" w:eastAsia="仿宋"/>
          <w:b/>
          <w:sz w:val="24"/>
        </w:rPr>
        <w:t xml:space="preserve">2.18 </w:t>
      </w:r>
      <w:r>
        <w:rPr>
          <w:rFonts w:hint="eastAsia" w:ascii="仿宋" w:hAnsi="仿宋" w:eastAsia="仿宋"/>
          <w:b/>
          <w:sz w:val="24"/>
        </w:rPr>
        <w:t>计量单位</w:t>
      </w:r>
      <w:bookmarkEnd w:id="508"/>
      <w:bookmarkEnd w:id="509"/>
      <w:bookmarkEnd w:id="510"/>
      <w:bookmarkEnd w:id="513"/>
      <w:bookmarkEnd w:id="514"/>
      <w:bookmarkEnd w:id="515"/>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16" w:name="_Toc12773"/>
      <w:bookmarkStart w:id="517" w:name="_Toc18567"/>
      <w:bookmarkStart w:id="518" w:name="_Toc259093692"/>
      <w:bookmarkStart w:id="519" w:name="_Toc10330"/>
      <w:bookmarkStart w:id="520" w:name="_Toc279701263"/>
      <w:bookmarkStart w:id="521" w:name="_Toc487900373"/>
      <w:r>
        <w:rPr>
          <w:rFonts w:ascii="仿宋" w:hAnsi="仿宋" w:eastAsia="仿宋"/>
          <w:b/>
          <w:sz w:val="24"/>
        </w:rPr>
        <w:t xml:space="preserve">2.19 </w:t>
      </w:r>
      <w:r>
        <w:rPr>
          <w:rFonts w:hint="eastAsia" w:ascii="仿宋" w:hAnsi="仿宋" w:eastAsia="仿宋"/>
          <w:b/>
          <w:sz w:val="24"/>
        </w:rPr>
        <w:t>合同使用的文字和适用的法律</w:t>
      </w:r>
      <w:bookmarkEnd w:id="516"/>
      <w:bookmarkEnd w:id="517"/>
      <w:bookmarkEnd w:id="518"/>
      <w:bookmarkEnd w:id="519"/>
      <w:bookmarkEnd w:id="520"/>
      <w:bookmarkEnd w:id="521"/>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522" w:name="_Toc16673"/>
      <w:bookmarkStart w:id="523" w:name="_Toc12004"/>
      <w:bookmarkStart w:id="524" w:name="_Toc3148"/>
      <w:bookmarkStart w:id="525" w:name="_Toc259093693"/>
      <w:bookmarkStart w:id="526" w:name="_Toc279701264"/>
      <w:bookmarkStart w:id="527" w:name="_Toc487900374"/>
      <w:r>
        <w:rPr>
          <w:rFonts w:ascii="仿宋" w:hAnsi="仿宋" w:eastAsia="仿宋"/>
          <w:b/>
          <w:sz w:val="24"/>
        </w:rPr>
        <w:t xml:space="preserve">2.20 </w:t>
      </w:r>
      <w:r>
        <w:rPr>
          <w:rFonts w:hint="eastAsia" w:ascii="仿宋" w:hAnsi="仿宋" w:eastAsia="仿宋"/>
          <w:b/>
          <w:sz w:val="24"/>
        </w:rPr>
        <w:t>履约保证金</w:t>
      </w:r>
      <w:bookmarkEnd w:id="522"/>
      <w:bookmarkEnd w:id="523"/>
      <w:bookmarkEnd w:id="524"/>
      <w:bookmarkEnd w:id="525"/>
      <w:bookmarkEnd w:id="526"/>
    </w:p>
    <w:p>
      <w:pPr>
        <w:pStyle w:val="617"/>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5%的履约保证金；鼓励和支持乙方以银行、保险公司出具的保函形式提供履约保证。</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27"/>
    <w:p>
      <w:pPr>
        <w:spacing w:line="560" w:lineRule="exact"/>
        <w:ind w:firstLine="482" w:firstLineChars="200"/>
        <w:outlineLvl w:val="0"/>
        <w:rPr>
          <w:rFonts w:ascii="仿宋" w:hAnsi="仿宋" w:eastAsia="仿宋"/>
          <w:b/>
          <w:sz w:val="24"/>
        </w:rPr>
      </w:pPr>
      <w:bookmarkStart w:id="528" w:name="_Toc6885"/>
      <w:bookmarkStart w:id="529" w:name="_Toc14001"/>
      <w:bookmarkStart w:id="530" w:name="_Toc19890"/>
      <w:r>
        <w:rPr>
          <w:rFonts w:ascii="仿宋" w:hAnsi="仿宋" w:eastAsia="仿宋"/>
          <w:b/>
          <w:sz w:val="24"/>
        </w:rPr>
        <w:t>2.2</w:t>
      </w:r>
      <w:r>
        <w:rPr>
          <w:rFonts w:hint="eastAsia" w:ascii="仿宋" w:hAnsi="仿宋" w:eastAsia="仿宋"/>
          <w:b/>
          <w:sz w:val="24"/>
        </w:rPr>
        <w:t>2合同份数</w:t>
      </w:r>
      <w:bookmarkEnd w:id="528"/>
      <w:bookmarkEnd w:id="529"/>
      <w:bookmarkEnd w:id="530"/>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385"/>
        <w:spacing w:line="560" w:lineRule="exact"/>
        <w:jc w:val="center"/>
        <w:rPr>
          <w:rFonts w:ascii="仿宋" w:hAnsi="仿宋" w:eastAsia="仿宋"/>
          <w:b/>
          <w:szCs w:val="24"/>
        </w:rPr>
      </w:pPr>
      <w:r>
        <w:rPr>
          <w:rFonts w:ascii="仿宋" w:hAnsi="仿宋" w:eastAsia="仿宋" w:cs="黑体"/>
          <w:kern w:val="0"/>
          <w:szCs w:val="24"/>
        </w:rPr>
        <w:br w:type="page"/>
      </w:r>
      <w:bookmarkStart w:id="531" w:name="_Toc331685784"/>
      <w:r>
        <w:rPr>
          <w:rFonts w:hint="eastAsia" w:ascii="仿宋" w:hAnsi="仿宋" w:eastAsia="仿宋"/>
          <w:b/>
          <w:szCs w:val="24"/>
        </w:rPr>
        <w:t xml:space="preserve"> </w:t>
      </w:r>
      <w:bookmarkEnd w:id="531"/>
      <w:r>
        <w:rPr>
          <w:rFonts w:hint="eastAsia" w:ascii="仿宋" w:hAnsi="仿宋" w:eastAsia="仿宋"/>
          <w:b/>
          <w:szCs w:val="24"/>
        </w:rPr>
        <w:t>第三部分</w:t>
      </w:r>
      <w:r>
        <w:rPr>
          <w:rFonts w:ascii="仿宋" w:hAnsi="仿宋" w:eastAsia="仿宋"/>
          <w:b/>
          <w:szCs w:val="24"/>
        </w:rPr>
        <w:t xml:space="preserve">  </w:t>
      </w:r>
      <w:r>
        <w:rPr>
          <w:rFonts w:hint="eastAsia" w:ascii="仿宋" w:hAnsi="仿宋" w:eastAsia="仿宋"/>
          <w:b/>
          <w:szCs w:val="24"/>
        </w:rPr>
        <w:t>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szCs w:val="20"/>
              </w:rPr>
            </w:pPr>
            <w:r>
              <w:rPr>
                <w:rFonts w:hint="eastAsia" w:ascii="仿宋_GB2312" w:hAnsi="楷体" w:eastAsia="仿宋_GB2312"/>
                <w:b/>
                <w:sz w:val="24"/>
                <w:szCs w:val="20"/>
              </w:rPr>
              <w:t>条款号</w:t>
            </w:r>
          </w:p>
        </w:tc>
        <w:tc>
          <w:tcPr>
            <w:tcW w:w="8275" w:type="dxa"/>
            <w:vAlign w:val="center"/>
          </w:tcPr>
          <w:p>
            <w:pPr>
              <w:spacing w:line="360" w:lineRule="auto"/>
              <w:jc w:val="center"/>
              <w:rPr>
                <w:rFonts w:ascii="仿宋_GB2312" w:hAnsi="楷体" w:eastAsia="仿宋_GB2312"/>
                <w:b/>
                <w:sz w:val="24"/>
                <w:szCs w:val="20"/>
              </w:rPr>
            </w:pPr>
            <w:r>
              <w:rPr>
                <w:rFonts w:hint="eastAsia" w:ascii="仿宋_GB2312" w:hAnsi="楷体" w:eastAsia="仿宋_GB2312"/>
                <w:b/>
                <w:sz w:val="24"/>
                <w:szCs w:val="20"/>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szCs w:val="20"/>
              </w:rPr>
            </w:pPr>
            <w:r>
              <w:rPr>
                <w:rFonts w:ascii="仿宋" w:hAnsi="仿宋" w:eastAsia="仿宋"/>
                <w:sz w:val="24"/>
                <w:szCs w:val="20"/>
              </w:rPr>
              <w:t>1.4.4</w:t>
            </w:r>
          </w:p>
        </w:tc>
        <w:tc>
          <w:tcPr>
            <w:tcW w:w="8275" w:type="dxa"/>
            <w:vAlign w:val="center"/>
          </w:tcPr>
          <w:p>
            <w:pPr>
              <w:spacing w:line="360" w:lineRule="auto"/>
              <w:rPr>
                <w:rFonts w:ascii="仿宋" w:hAnsi="仿宋" w:eastAsia="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szCs w:val="20"/>
              </w:rPr>
            </w:pPr>
            <w:r>
              <w:rPr>
                <w:rFonts w:ascii="仿宋" w:hAnsi="仿宋" w:eastAsia="仿宋"/>
                <w:sz w:val="24"/>
                <w:szCs w:val="20"/>
              </w:rPr>
              <w:t xml:space="preserve">1.5.1 </w:t>
            </w:r>
          </w:p>
        </w:tc>
        <w:tc>
          <w:tcPr>
            <w:tcW w:w="8275" w:type="dxa"/>
            <w:vAlign w:val="center"/>
          </w:tcPr>
          <w:p>
            <w:pPr>
              <w:spacing w:line="360" w:lineRule="auto"/>
              <w:rPr>
                <w:rFonts w:ascii="仿宋" w:hAnsi="仿宋" w:eastAsia="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szCs w:val="20"/>
              </w:rPr>
            </w:pPr>
            <w:r>
              <w:rPr>
                <w:rFonts w:ascii="仿宋" w:hAnsi="仿宋" w:eastAsia="仿宋"/>
                <w:sz w:val="24"/>
                <w:szCs w:val="20"/>
              </w:rPr>
              <w:t>1.5.2</w:t>
            </w:r>
          </w:p>
        </w:tc>
        <w:tc>
          <w:tcPr>
            <w:tcW w:w="8275" w:type="dxa"/>
            <w:vAlign w:val="center"/>
          </w:tcPr>
          <w:p>
            <w:pPr>
              <w:spacing w:line="360" w:lineRule="auto"/>
              <w:rPr>
                <w:rFonts w:ascii="仿宋" w:hAnsi="仿宋" w:eastAsia="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szCs w:val="20"/>
              </w:rPr>
            </w:pPr>
            <w:r>
              <w:rPr>
                <w:rFonts w:ascii="仿宋" w:hAnsi="仿宋" w:eastAsia="仿宋"/>
                <w:sz w:val="24"/>
                <w:szCs w:val="20"/>
              </w:rPr>
              <w:t xml:space="preserve">1.5.3 </w:t>
            </w:r>
          </w:p>
        </w:tc>
        <w:tc>
          <w:tcPr>
            <w:tcW w:w="8275" w:type="dxa"/>
            <w:vAlign w:val="center"/>
          </w:tcPr>
          <w:p>
            <w:pPr>
              <w:spacing w:line="360" w:lineRule="auto"/>
              <w:rPr>
                <w:rFonts w:ascii="仿宋" w:hAnsi="仿宋" w:eastAsia="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szCs w:val="20"/>
              </w:rPr>
            </w:pPr>
            <w:r>
              <w:rPr>
                <w:rFonts w:hint="eastAsia" w:ascii="仿宋" w:hAnsi="仿宋" w:eastAsia="仿宋"/>
                <w:sz w:val="24"/>
                <w:szCs w:val="20"/>
              </w:rPr>
              <w:t>1.6.7</w:t>
            </w:r>
          </w:p>
        </w:tc>
        <w:tc>
          <w:tcPr>
            <w:tcW w:w="8275" w:type="dxa"/>
            <w:vAlign w:val="center"/>
          </w:tcPr>
          <w:p>
            <w:pPr>
              <w:spacing w:line="360" w:lineRule="auto"/>
              <w:rPr>
                <w:rFonts w:ascii="仿宋" w:hAnsi="仿宋" w:eastAsia="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szCs w:val="20"/>
              </w:rPr>
            </w:pPr>
            <w:r>
              <w:rPr>
                <w:rFonts w:hint="eastAsia" w:ascii="仿宋" w:hAnsi="仿宋" w:eastAsia="仿宋"/>
                <w:sz w:val="24"/>
                <w:szCs w:val="20"/>
              </w:rPr>
              <w:t>1.7</w:t>
            </w:r>
          </w:p>
        </w:tc>
        <w:tc>
          <w:tcPr>
            <w:tcW w:w="8275" w:type="dxa"/>
            <w:vAlign w:val="center"/>
          </w:tcPr>
          <w:p>
            <w:pPr>
              <w:spacing w:line="360" w:lineRule="auto"/>
              <w:rPr>
                <w:rFonts w:ascii="仿宋" w:hAnsi="仿宋" w:eastAsia="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szCs w:val="20"/>
              </w:rPr>
            </w:pPr>
            <w:r>
              <w:rPr>
                <w:rFonts w:hint="eastAsia" w:ascii="仿宋" w:hAnsi="仿宋" w:eastAsia="仿宋"/>
                <w:sz w:val="24"/>
                <w:szCs w:val="20"/>
              </w:rPr>
              <w:t>1.7.1</w:t>
            </w:r>
          </w:p>
        </w:tc>
        <w:tc>
          <w:tcPr>
            <w:tcW w:w="8275" w:type="dxa"/>
            <w:vAlign w:val="center"/>
          </w:tcPr>
          <w:p>
            <w:pPr>
              <w:spacing w:line="360" w:lineRule="auto"/>
              <w:rPr>
                <w:rFonts w:ascii="仿宋" w:hAnsi="仿宋" w:eastAsia="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szCs w:val="20"/>
              </w:rPr>
            </w:pPr>
            <w:r>
              <w:rPr>
                <w:rFonts w:hint="eastAsia" w:ascii="仿宋" w:hAnsi="仿宋" w:eastAsia="仿宋"/>
                <w:sz w:val="24"/>
                <w:szCs w:val="20"/>
              </w:rPr>
              <w:t>1.7.2</w:t>
            </w:r>
          </w:p>
        </w:tc>
        <w:tc>
          <w:tcPr>
            <w:tcW w:w="8275" w:type="dxa"/>
            <w:vAlign w:val="center"/>
          </w:tcPr>
          <w:p>
            <w:pPr>
              <w:spacing w:line="360" w:lineRule="auto"/>
              <w:rPr>
                <w:rFonts w:ascii="仿宋" w:hAnsi="仿宋" w:eastAsia="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szCs w:val="20"/>
              </w:rPr>
            </w:pPr>
            <w:r>
              <w:rPr>
                <w:rFonts w:ascii="仿宋" w:hAnsi="仿宋" w:eastAsia="仿宋"/>
                <w:sz w:val="24"/>
                <w:szCs w:val="20"/>
              </w:rPr>
              <w:t>2.3.2</w:t>
            </w:r>
          </w:p>
        </w:tc>
        <w:tc>
          <w:tcPr>
            <w:tcW w:w="8275" w:type="dxa"/>
            <w:vAlign w:val="center"/>
          </w:tcPr>
          <w:p>
            <w:pPr>
              <w:spacing w:line="360" w:lineRule="auto"/>
              <w:ind w:left="-420" w:leftChars="-200" w:right="-420" w:rightChars="-200" w:firstLine="480" w:firstLineChars="200"/>
              <w:rPr>
                <w:rFonts w:ascii="仿宋" w:hAnsi="仿宋" w:eastAsia="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szCs w:val="20"/>
              </w:rPr>
            </w:pPr>
            <w:r>
              <w:rPr>
                <w:rFonts w:ascii="仿宋" w:hAnsi="仿宋" w:eastAsia="仿宋"/>
                <w:sz w:val="24"/>
                <w:szCs w:val="20"/>
              </w:rPr>
              <w:t>2.4.1</w:t>
            </w:r>
          </w:p>
        </w:tc>
        <w:tc>
          <w:tcPr>
            <w:tcW w:w="8275" w:type="dxa"/>
            <w:vAlign w:val="center"/>
          </w:tcPr>
          <w:p>
            <w:pPr>
              <w:spacing w:line="360" w:lineRule="auto"/>
              <w:ind w:left="-420" w:leftChars="-200" w:right="-420" w:rightChars="-200" w:firstLine="480" w:firstLineChars="200"/>
              <w:rPr>
                <w:rFonts w:ascii="仿宋" w:hAnsi="仿宋" w:eastAsia="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szCs w:val="20"/>
              </w:rPr>
            </w:pPr>
            <w:r>
              <w:rPr>
                <w:rFonts w:hint="eastAsia" w:ascii="仿宋" w:hAnsi="仿宋" w:eastAsia="仿宋"/>
                <w:sz w:val="24"/>
                <w:szCs w:val="20"/>
              </w:rPr>
              <w:t>2.4.2</w:t>
            </w:r>
          </w:p>
        </w:tc>
        <w:tc>
          <w:tcPr>
            <w:tcW w:w="8275" w:type="dxa"/>
            <w:vAlign w:val="center"/>
          </w:tcPr>
          <w:p>
            <w:pPr>
              <w:spacing w:line="360" w:lineRule="auto"/>
              <w:rPr>
                <w:rFonts w:ascii="仿宋" w:hAnsi="仿宋" w:eastAsia="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sz w:val="24"/>
                <w:szCs w:val="20"/>
              </w:rPr>
            </w:pPr>
            <w:r>
              <w:rPr>
                <w:rFonts w:hint="eastAsia" w:ascii="仿宋" w:hAnsi="仿宋" w:eastAsia="仿宋"/>
                <w:sz w:val="24"/>
                <w:szCs w:val="20"/>
              </w:rPr>
              <w:t xml:space="preserve">2.8 </w:t>
            </w:r>
          </w:p>
        </w:tc>
        <w:tc>
          <w:tcPr>
            <w:tcW w:w="8275" w:type="dxa"/>
          </w:tcPr>
          <w:p>
            <w:pPr>
              <w:spacing w:line="360" w:lineRule="auto"/>
              <w:rPr>
                <w:rFonts w:ascii="仿宋" w:hAnsi="仿宋" w:eastAsia="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szCs w:val="20"/>
              </w:rPr>
            </w:pPr>
            <w:r>
              <w:rPr>
                <w:rFonts w:ascii="仿宋" w:hAnsi="仿宋" w:eastAsia="仿宋"/>
                <w:sz w:val="24"/>
                <w:szCs w:val="20"/>
              </w:rPr>
              <w:t>2.12.3</w:t>
            </w:r>
          </w:p>
        </w:tc>
        <w:tc>
          <w:tcPr>
            <w:tcW w:w="8275" w:type="dxa"/>
            <w:vAlign w:val="center"/>
          </w:tcPr>
          <w:p>
            <w:pPr>
              <w:spacing w:line="360" w:lineRule="auto"/>
              <w:rPr>
                <w:rFonts w:ascii="仿宋" w:hAnsi="仿宋" w:eastAsia="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szCs w:val="20"/>
              </w:rPr>
            </w:pPr>
            <w:r>
              <w:rPr>
                <w:rFonts w:ascii="仿宋" w:hAnsi="仿宋" w:eastAsia="仿宋"/>
                <w:sz w:val="24"/>
                <w:szCs w:val="20"/>
              </w:rPr>
              <w:t>2.12.4</w:t>
            </w:r>
          </w:p>
        </w:tc>
        <w:tc>
          <w:tcPr>
            <w:tcW w:w="8275" w:type="dxa"/>
            <w:vAlign w:val="center"/>
          </w:tcPr>
          <w:p>
            <w:pPr>
              <w:spacing w:line="360" w:lineRule="auto"/>
              <w:rPr>
                <w:rFonts w:ascii="仿宋" w:hAnsi="仿宋" w:eastAsia="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szCs w:val="20"/>
              </w:rPr>
            </w:pPr>
            <w:r>
              <w:rPr>
                <w:rFonts w:ascii="仿宋" w:hAnsi="仿宋" w:eastAsia="仿宋"/>
                <w:sz w:val="24"/>
                <w:szCs w:val="20"/>
              </w:rPr>
              <w:t>2.16.1</w:t>
            </w:r>
          </w:p>
        </w:tc>
        <w:tc>
          <w:tcPr>
            <w:tcW w:w="8275" w:type="dxa"/>
            <w:vAlign w:val="center"/>
          </w:tcPr>
          <w:p>
            <w:pPr>
              <w:spacing w:line="360" w:lineRule="auto"/>
              <w:rPr>
                <w:rFonts w:ascii="仿宋" w:hAnsi="仿宋" w:eastAsia="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sz w:val="24"/>
                <w:szCs w:val="20"/>
              </w:rPr>
            </w:pPr>
            <w:r>
              <w:rPr>
                <w:rFonts w:ascii="仿宋" w:hAnsi="仿宋" w:eastAsia="仿宋"/>
                <w:sz w:val="24"/>
                <w:szCs w:val="20"/>
              </w:rPr>
              <w:t>2.16.3</w:t>
            </w:r>
          </w:p>
        </w:tc>
        <w:tc>
          <w:tcPr>
            <w:tcW w:w="8275" w:type="dxa"/>
            <w:vAlign w:val="center"/>
          </w:tcPr>
          <w:p>
            <w:pPr>
              <w:spacing w:line="360" w:lineRule="auto"/>
              <w:rPr>
                <w:rFonts w:ascii="仿宋" w:hAnsi="仿宋" w:eastAsia="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sz w:val="24"/>
                <w:szCs w:val="20"/>
              </w:rPr>
            </w:pPr>
            <w:r>
              <w:rPr>
                <w:rFonts w:hint="eastAsia" w:ascii="仿宋" w:hAnsi="仿宋" w:eastAsia="仿宋"/>
                <w:sz w:val="24"/>
                <w:szCs w:val="20"/>
              </w:rPr>
              <w:t>2.20.1</w:t>
            </w:r>
          </w:p>
        </w:tc>
        <w:tc>
          <w:tcPr>
            <w:tcW w:w="8275" w:type="dxa"/>
          </w:tcPr>
          <w:p>
            <w:pPr>
              <w:spacing w:line="360" w:lineRule="auto"/>
              <w:rPr>
                <w:rFonts w:ascii="仿宋" w:hAnsi="仿宋" w:eastAsia="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sz w:val="24"/>
                <w:szCs w:val="20"/>
              </w:rPr>
            </w:pPr>
            <w:r>
              <w:rPr>
                <w:rFonts w:ascii="仿宋" w:hAnsi="仿宋" w:eastAsia="仿宋"/>
                <w:sz w:val="24"/>
                <w:szCs w:val="20"/>
              </w:rPr>
              <w:t xml:space="preserve">2.20.2 </w:t>
            </w:r>
          </w:p>
        </w:tc>
        <w:tc>
          <w:tcPr>
            <w:tcW w:w="8275" w:type="dxa"/>
            <w:vAlign w:val="center"/>
          </w:tcPr>
          <w:p>
            <w:pPr>
              <w:spacing w:line="360" w:lineRule="auto"/>
              <w:rPr>
                <w:rFonts w:ascii="仿宋" w:hAnsi="仿宋" w:eastAsia="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szCs w:val="20"/>
              </w:rPr>
            </w:pPr>
            <w:r>
              <w:rPr>
                <w:rFonts w:ascii="仿宋" w:hAnsi="仿宋" w:eastAsia="仿宋"/>
                <w:sz w:val="24"/>
                <w:szCs w:val="20"/>
              </w:rPr>
              <w:t>2.2</w:t>
            </w:r>
            <w:r>
              <w:rPr>
                <w:rFonts w:hint="eastAsia" w:ascii="仿宋" w:hAnsi="仿宋" w:eastAsia="仿宋"/>
                <w:sz w:val="24"/>
                <w:szCs w:val="20"/>
              </w:rPr>
              <w:t>2</w:t>
            </w:r>
            <w:r>
              <w:rPr>
                <w:rFonts w:ascii="仿宋" w:hAnsi="仿宋" w:eastAsia="仿宋"/>
                <w:sz w:val="24"/>
                <w:szCs w:val="20"/>
              </w:rPr>
              <w:t xml:space="preserve"> </w:t>
            </w:r>
          </w:p>
        </w:tc>
        <w:tc>
          <w:tcPr>
            <w:tcW w:w="8275" w:type="dxa"/>
            <w:vAlign w:val="center"/>
          </w:tcPr>
          <w:p>
            <w:pPr>
              <w:spacing w:line="360" w:lineRule="auto"/>
              <w:rPr>
                <w:rFonts w:ascii="仿宋" w:hAnsi="仿宋" w:eastAsia="仿宋"/>
                <w:sz w:val="24"/>
                <w:szCs w:val="20"/>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3"/>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7"/>
              <w:adjustRightInd w:val="0"/>
              <w:spacing w:line="360" w:lineRule="auto"/>
              <w:rPr>
                <w:rFonts w:ascii="仿宋_GB2312" w:hAnsi="仿宋" w:eastAsia="仿宋_GB2312"/>
                <w:bCs/>
                <w:sz w:val="24"/>
                <w:szCs w:val="20"/>
              </w:rPr>
            </w:pPr>
            <w:r>
              <w:rPr>
                <w:rFonts w:hint="eastAsia" w:ascii="仿宋_GB2312" w:hAnsi="仿宋" w:eastAsia="仿宋_GB2312"/>
                <w:bCs/>
                <w:sz w:val="24"/>
                <w:szCs w:val="20"/>
              </w:rPr>
              <w:t>正面：</w:t>
            </w:r>
            <w:r>
              <w:rPr>
                <w:rFonts w:ascii="仿宋_GB2312" w:hAnsi="仿宋" w:eastAsia="仿宋_GB2312"/>
                <w:bCs/>
                <w:sz w:val="24"/>
                <w:szCs w:val="20"/>
              </w:rPr>
              <w:t xml:space="preserve">                                 </w:t>
            </w:r>
            <w:r>
              <w:rPr>
                <w:rFonts w:hint="eastAsia" w:ascii="仿宋_GB2312" w:hAnsi="仿宋" w:eastAsia="仿宋_GB2312"/>
                <w:bCs/>
                <w:sz w:val="24"/>
                <w:szCs w:val="20"/>
              </w:rPr>
              <w:t>反面：</w:t>
            </w:r>
          </w:p>
          <w:p>
            <w:pPr>
              <w:pStyle w:val="87"/>
              <w:adjustRightInd w:val="0"/>
              <w:spacing w:line="360" w:lineRule="auto"/>
              <w:rPr>
                <w:rFonts w:ascii="仿宋_GB2312" w:hAnsi="仿宋" w:eastAsia="仿宋_GB2312"/>
                <w:bCs/>
                <w:sz w:val="24"/>
                <w:szCs w:val="20"/>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3"/>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szCs w:val="20"/>
              </w:rPr>
            </w:pPr>
            <w:r>
              <w:rPr>
                <w:rFonts w:hint="eastAsia" w:ascii="仿宋" w:hAnsi="仿宋" w:eastAsia="仿宋"/>
                <w:b/>
                <w:sz w:val="24"/>
                <w:szCs w:val="20"/>
              </w:rPr>
              <w:t>序号</w:t>
            </w:r>
          </w:p>
        </w:tc>
        <w:tc>
          <w:tcPr>
            <w:tcW w:w="4991" w:type="dxa"/>
            <w:vAlign w:val="center"/>
          </w:tcPr>
          <w:p>
            <w:pPr>
              <w:snapToGrid w:val="0"/>
              <w:spacing w:line="240" w:lineRule="atLeast"/>
              <w:jc w:val="center"/>
              <w:rPr>
                <w:rFonts w:ascii="仿宋" w:hAnsi="仿宋" w:eastAsia="仿宋"/>
                <w:b/>
                <w:sz w:val="24"/>
                <w:szCs w:val="20"/>
              </w:rPr>
            </w:pPr>
            <w:r>
              <w:rPr>
                <w:rFonts w:hint="eastAsia" w:ascii="仿宋" w:hAnsi="仿宋" w:eastAsia="仿宋"/>
                <w:b/>
                <w:sz w:val="24"/>
                <w:szCs w:val="20"/>
              </w:rPr>
              <w:t>实质性要求</w:t>
            </w:r>
          </w:p>
        </w:tc>
        <w:tc>
          <w:tcPr>
            <w:tcW w:w="2551" w:type="dxa"/>
            <w:vAlign w:val="center"/>
          </w:tcPr>
          <w:p>
            <w:pPr>
              <w:snapToGrid w:val="0"/>
              <w:spacing w:line="240" w:lineRule="atLeast"/>
              <w:jc w:val="center"/>
              <w:rPr>
                <w:rFonts w:ascii="仿宋" w:hAnsi="仿宋" w:eastAsia="仿宋"/>
                <w:b/>
                <w:sz w:val="24"/>
                <w:szCs w:val="20"/>
              </w:rPr>
            </w:pPr>
            <w:r>
              <w:rPr>
                <w:rFonts w:hint="eastAsia" w:ascii="仿宋" w:hAnsi="仿宋" w:eastAsia="仿宋"/>
                <w:b/>
                <w:sz w:val="24"/>
                <w:szCs w:val="20"/>
              </w:rPr>
              <w:t>需要提供的符合性审查资料</w:t>
            </w:r>
          </w:p>
        </w:tc>
        <w:tc>
          <w:tcPr>
            <w:tcW w:w="1418" w:type="dxa"/>
            <w:vAlign w:val="center"/>
          </w:tcPr>
          <w:p>
            <w:pPr>
              <w:snapToGrid w:val="0"/>
              <w:spacing w:line="240" w:lineRule="atLeast"/>
              <w:jc w:val="center"/>
              <w:rPr>
                <w:rFonts w:ascii="仿宋" w:hAnsi="仿宋" w:eastAsia="仿宋"/>
                <w:b/>
                <w:sz w:val="24"/>
                <w:szCs w:val="20"/>
              </w:rPr>
            </w:pPr>
            <w:r>
              <w:rPr>
                <w:rFonts w:hint="eastAsia" w:ascii="仿宋" w:hAnsi="仿宋" w:eastAsia="仿宋"/>
                <w:b/>
                <w:sz w:val="24"/>
                <w:szCs w:val="20"/>
              </w:rPr>
              <w:t>投标文件中的</w:t>
            </w:r>
          </w:p>
          <w:p>
            <w:pPr>
              <w:snapToGrid w:val="0"/>
              <w:spacing w:line="240" w:lineRule="atLeast"/>
              <w:jc w:val="center"/>
              <w:rPr>
                <w:rFonts w:ascii="仿宋" w:hAnsi="仿宋" w:eastAsia="仿宋"/>
                <w:b/>
                <w:sz w:val="24"/>
                <w:szCs w:val="20"/>
              </w:rPr>
            </w:pPr>
            <w:r>
              <w:rPr>
                <w:rFonts w:hint="eastAsia" w:ascii="仿宋" w:hAnsi="仿宋" w:eastAsia="仿宋"/>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szCs w:val="20"/>
              </w:rPr>
            </w:pPr>
            <w:r>
              <w:rPr>
                <w:rFonts w:ascii="仿宋" w:hAnsi="仿宋" w:eastAsia="仿宋"/>
                <w:sz w:val="24"/>
                <w:szCs w:val="20"/>
              </w:rPr>
              <w:t>1</w:t>
            </w:r>
          </w:p>
        </w:tc>
        <w:tc>
          <w:tcPr>
            <w:tcW w:w="4991" w:type="dxa"/>
          </w:tcPr>
          <w:p>
            <w:pPr>
              <w:spacing w:line="360" w:lineRule="auto"/>
              <w:rPr>
                <w:rFonts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2551" w:type="dxa"/>
            <w:vAlign w:val="center"/>
          </w:tcPr>
          <w:p>
            <w:pPr>
              <w:rPr>
                <w:rFonts w:ascii="仿宋" w:hAnsi="仿宋" w:eastAsia="仿宋"/>
                <w:sz w:val="24"/>
                <w:szCs w:val="20"/>
              </w:rPr>
            </w:pPr>
            <w:r>
              <w:rPr>
                <w:rFonts w:hint="eastAsia" w:ascii="仿宋" w:hAnsi="仿宋" w:eastAsia="仿宋"/>
                <w:sz w:val="24"/>
                <w:szCs w:val="20"/>
              </w:rPr>
              <w:t>需要使用电子签名或者签字盖章的投标文件的组成部分</w:t>
            </w:r>
          </w:p>
        </w:tc>
        <w:tc>
          <w:tcPr>
            <w:tcW w:w="1418" w:type="dxa"/>
          </w:tcPr>
          <w:p>
            <w:pPr>
              <w:rPr>
                <w:rFonts w:ascii="仿宋" w:hAnsi="仿宋" w:eastAsia="仿宋" w:cs="仿宋_GB2312"/>
                <w:sz w:val="24"/>
                <w:szCs w:val="20"/>
              </w:rPr>
            </w:pPr>
          </w:p>
          <w:p>
            <w:pPr>
              <w:rPr>
                <w:rFonts w:ascii="仿宋" w:hAnsi="仿宋" w:eastAsia="仿宋" w:cs="仿宋_GB2312"/>
                <w:sz w:val="24"/>
                <w:szCs w:val="20"/>
              </w:rPr>
            </w:pPr>
            <w:r>
              <w:rPr>
                <w:rFonts w:hint="eastAsia" w:ascii="仿宋" w:hAnsi="仿宋" w:eastAsia="仿宋" w:cs="仿宋_GB2312"/>
                <w:sz w:val="24"/>
                <w:szCs w:val="20"/>
              </w:rPr>
              <w:t>见投标文件</w:t>
            </w:r>
          </w:p>
          <w:p>
            <w:pPr>
              <w:rPr>
                <w:rFonts w:ascii="Calibri" w:hAnsi="Calibri"/>
                <w:sz w:val="20"/>
                <w:szCs w:val="20"/>
              </w:rPr>
            </w:pPr>
            <w:r>
              <w:rPr>
                <w:rFonts w:hint="eastAsia" w:ascii="仿宋" w:hAnsi="Calibri" w:eastAsia="仿宋" w:cs="仿宋_GB2312"/>
                <w:sz w:val="24"/>
                <w:szCs w:val="20"/>
              </w:rPr>
              <w:t>第</w:t>
            </w:r>
            <w:r>
              <w:rPr>
                <w:rFonts w:ascii="仿宋" w:hAnsi="Calibri" w:eastAsia="仿宋" w:cs="仿宋_GB2312"/>
                <w:sz w:val="24"/>
                <w:szCs w:val="20"/>
                <w:u w:val="single"/>
              </w:rPr>
              <w:t xml:space="preserve">  </w:t>
            </w:r>
            <w:r>
              <w:rPr>
                <w:rFonts w:hint="eastAsia" w:ascii="仿宋" w:hAnsi="Calibri"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szCs w:val="20"/>
              </w:rPr>
            </w:pPr>
            <w:r>
              <w:rPr>
                <w:rFonts w:ascii="仿宋_GB2312" w:hAnsi="仿宋" w:eastAsia="仿宋_GB2312"/>
                <w:sz w:val="24"/>
                <w:szCs w:val="20"/>
              </w:rPr>
              <w:t>2</w:t>
            </w:r>
          </w:p>
        </w:tc>
        <w:tc>
          <w:tcPr>
            <w:tcW w:w="4991" w:type="dxa"/>
          </w:tcPr>
          <w:p>
            <w:pPr>
              <w:spacing w:line="360" w:lineRule="auto"/>
              <w:rPr>
                <w:rFonts w:ascii="仿宋_GB2312" w:hAnsi="仿宋" w:eastAsia="仿宋_GB2312"/>
                <w:sz w:val="24"/>
                <w:szCs w:val="20"/>
              </w:rPr>
            </w:pPr>
            <w:r>
              <w:rPr>
                <w:rFonts w:hint="eastAsia" w:ascii="仿宋_GB2312" w:hAnsi="仿宋" w:eastAsia="仿宋_GB2312"/>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szCs w:val="20"/>
              </w:rPr>
            </w:pPr>
            <w:r>
              <w:rPr>
                <w:rFonts w:hint="eastAsia" w:ascii="仿宋_GB2312" w:hAnsi="仿宋" w:eastAsia="仿宋_GB2312" w:cs="仿宋_GB2312"/>
                <w:sz w:val="24"/>
                <w:szCs w:val="20"/>
              </w:rPr>
              <w:t>节能产品认证证书（本项目</w:t>
            </w:r>
            <w:r>
              <w:rPr>
                <w:rFonts w:hint="eastAsia" w:ascii="仿宋_GB2312" w:hAnsi="仿宋" w:eastAsia="仿宋_GB2312"/>
                <w:sz w:val="24"/>
                <w:szCs w:val="20"/>
              </w:rPr>
              <w:t>拟采购的产品不属于政府强制采购的节能产品品目清单范围的</w:t>
            </w:r>
            <w:r>
              <w:rPr>
                <w:rFonts w:hint="eastAsia" w:ascii="仿宋_GB2312" w:hAnsi="仿宋" w:eastAsia="仿宋_GB2312" w:cs="仿宋_GB2312"/>
                <w:sz w:val="24"/>
                <w:szCs w:val="20"/>
              </w:rPr>
              <w:t>，无需提供）</w:t>
            </w:r>
          </w:p>
        </w:tc>
        <w:tc>
          <w:tcPr>
            <w:tcW w:w="1418" w:type="dxa"/>
          </w:tcPr>
          <w:p>
            <w:pPr>
              <w:rPr>
                <w:rFonts w:ascii="仿宋" w:hAnsi="仿宋" w:eastAsia="仿宋" w:cs="仿宋_GB2312"/>
                <w:sz w:val="24"/>
                <w:szCs w:val="20"/>
              </w:rPr>
            </w:pPr>
          </w:p>
          <w:p>
            <w:pPr>
              <w:rPr>
                <w:rFonts w:ascii="仿宋" w:hAnsi="仿宋" w:eastAsia="仿宋" w:cs="仿宋_GB2312"/>
                <w:sz w:val="24"/>
                <w:szCs w:val="20"/>
              </w:rPr>
            </w:pPr>
          </w:p>
          <w:p>
            <w:pPr>
              <w:rPr>
                <w:rFonts w:ascii="仿宋" w:hAnsi="仿宋" w:eastAsia="仿宋" w:cs="仿宋_GB2312"/>
                <w:sz w:val="24"/>
                <w:szCs w:val="20"/>
              </w:rPr>
            </w:pPr>
            <w:r>
              <w:rPr>
                <w:rFonts w:hint="eastAsia" w:ascii="仿宋" w:hAnsi="仿宋" w:eastAsia="仿宋" w:cs="仿宋_GB2312"/>
                <w:sz w:val="24"/>
                <w:szCs w:val="20"/>
              </w:rPr>
              <w:t>见投标文件</w:t>
            </w:r>
          </w:p>
          <w:p>
            <w:pPr>
              <w:pStyle w:val="3"/>
              <w:rPr>
                <w:rFonts w:ascii="Calibri" w:hAnsi="Calibri"/>
                <w:sz w:val="20"/>
                <w:szCs w:val="20"/>
                <w:lang w:val="en-US"/>
              </w:rPr>
            </w:pPr>
            <w:r>
              <w:rPr>
                <w:rFonts w:hint="eastAsia" w:ascii="仿宋" w:hAnsi="Calibri" w:eastAsia="仿宋" w:cs="仿宋_GB2312"/>
                <w:b w:val="0"/>
                <w:bCs w:val="0"/>
                <w:sz w:val="24"/>
                <w:szCs w:val="24"/>
                <w:lang w:val="en-US"/>
              </w:rPr>
              <w:t>第</w:t>
            </w:r>
            <w:r>
              <w:rPr>
                <w:rFonts w:ascii="仿宋" w:hAnsi="Calibri" w:eastAsia="仿宋" w:cs="仿宋_GB2312"/>
                <w:b w:val="0"/>
                <w:bCs w:val="0"/>
                <w:sz w:val="24"/>
                <w:szCs w:val="24"/>
                <w:u w:val="single"/>
                <w:lang w:val="en-US"/>
              </w:rPr>
              <w:t xml:space="preserve">  </w:t>
            </w:r>
            <w:r>
              <w:rPr>
                <w:rFonts w:hint="eastAsia" w:ascii="仿宋" w:hAnsi="Calibri"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szCs w:val="20"/>
              </w:rPr>
            </w:pPr>
            <w:r>
              <w:rPr>
                <w:rFonts w:ascii="仿宋" w:hAnsi="仿宋" w:eastAsia="仿宋"/>
                <w:sz w:val="24"/>
                <w:szCs w:val="20"/>
              </w:rPr>
              <w:t>3</w:t>
            </w:r>
          </w:p>
        </w:tc>
        <w:tc>
          <w:tcPr>
            <w:tcW w:w="4991" w:type="dxa"/>
          </w:tcPr>
          <w:p>
            <w:pPr>
              <w:spacing w:line="360" w:lineRule="auto"/>
              <w:rPr>
                <w:rFonts w:ascii="仿宋_GB2312" w:hAnsi="仿宋" w:eastAsia="仿宋_GB2312" w:cs="仿宋_GB2312"/>
                <w:sz w:val="24"/>
                <w:szCs w:val="20"/>
              </w:rPr>
            </w:pPr>
            <w:r>
              <w:rPr>
                <w:rFonts w:hint="eastAsia" w:ascii="仿宋_GB2312" w:hAnsi="仿宋" w:eastAsia="仿宋_GB2312"/>
                <w:sz w:val="24"/>
                <w:szCs w:val="20"/>
              </w:rPr>
              <w:t>投标文件中承诺的投标有效期不少于招标文件中载明的投标有效期。</w:t>
            </w:r>
          </w:p>
        </w:tc>
        <w:tc>
          <w:tcPr>
            <w:tcW w:w="2551" w:type="dxa"/>
            <w:vAlign w:val="center"/>
          </w:tcPr>
          <w:p>
            <w:pPr>
              <w:rPr>
                <w:rFonts w:ascii="仿宋" w:hAnsi="仿宋" w:eastAsia="仿宋"/>
                <w:sz w:val="24"/>
                <w:szCs w:val="20"/>
              </w:rPr>
            </w:pPr>
            <w:r>
              <w:rPr>
                <w:rFonts w:hint="eastAsia" w:ascii="仿宋" w:hAnsi="仿宋" w:eastAsia="仿宋"/>
                <w:sz w:val="24"/>
                <w:szCs w:val="20"/>
              </w:rPr>
              <w:t>投标函</w:t>
            </w:r>
          </w:p>
        </w:tc>
        <w:tc>
          <w:tcPr>
            <w:tcW w:w="1418" w:type="dxa"/>
          </w:tcPr>
          <w:p>
            <w:pPr>
              <w:rPr>
                <w:rFonts w:ascii="Calibri" w:hAnsi="Calibri"/>
                <w:sz w:val="20"/>
                <w:szCs w:val="20"/>
              </w:rPr>
            </w:pPr>
            <w:r>
              <w:rPr>
                <w:rFonts w:hint="eastAsia" w:ascii="仿宋" w:hAnsi="仿宋" w:eastAsia="仿宋" w:cs="仿宋_GB2312"/>
                <w:sz w:val="24"/>
                <w:szCs w:val="20"/>
              </w:rPr>
              <w:t>见投标文件第</w:t>
            </w:r>
            <w:r>
              <w:rPr>
                <w:rFonts w:ascii="仿宋" w:hAnsi="仿宋" w:eastAsia="仿宋" w:cs="仿宋_GB2312"/>
                <w:sz w:val="24"/>
                <w:szCs w:val="20"/>
                <w:u w:val="single"/>
              </w:rPr>
              <w:t xml:space="preserve">  </w:t>
            </w:r>
            <w:r>
              <w:rPr>
                <w:rFonts w:hint="eastAsia" w:ascii="仿宋" w:hAnsi="仿宋"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szCs w:val="20"/>
              </w:rPr>
            </w:pPr>
            <w:r>
              <w:rPr>
                <w:rFonts w:ascii="仿宋" w:hAnsi="仿宋" w:eastAsia="仿宋"/>
                <w:sz w:val="24"/>
                <w:szCs w:val="20"/>
              </w:rPr>
              <w:t>4</w:t>
            </w:r>
          </w:p>
        </w:tc>
        <w:tc>
          <w:tcPr>
            <w:tcW w:w="4991" w:type="dxa"/>
          </w:tcPr>
          <w:p>
            <w:pPr>
              <w:spacing w:line="360" w:lineRule="auto"/>
              <w:rPr>
                <w:rFonts w:ascii="仿宋_GB2312" w:hAnsi="仿宋" w:eastAsia="仿宋_GB2312"/>
                <w:sz w:val="24"/>
                <w:szCs w:val="20"/>
              </w:rPr>
            </w:pPr>
            <w:r>
              <w:rPr>
                <w:rFonts w:hint="eastAsia" w:ascii="仿宋_GB2312" w:hAnsi="仿宋" w:eastAsia="仿宋_GB2312"/>
                <w:sz w:val="24"/>
                <w:szCs w:val="20"/>
              </w:rPr>
              <w:t>投标文件满足招标文件的其它实质性要求。</w:t>
            </w:r>
          </w:p>
        </w:tc>
        <w:tc>
          <w:tcPr>
            <w:tcW w:w="2551" w:type="dxa"/>
            <w:vAlign w:val="center"/>
          </w:tcPr>
          <w:p>
            <w:pPr>
              <w:rPr>
                <w:rFonts w:ascii="仿宋" w:hAnsi="仿宋" w:eastAsia="仿宋"/>
                <w:sz w:val="24"/>
                <w:szCs w:val="20"/>
              </w:rPr>
            </w:pPr>
            <w:r>
              <w:rPr>
                <w:rFonts w:hint="eastAsia" w:ascii="仿宋_GB2312" w:hAnsi="仿宋" w:eastAsia="仿宋_GB2312" w:cs="仿宋_GB2312"/>
                <w:kern w:val="0"/>
                <w:sz w:val="24"/>
                <w:szCs w:val="20"/>
              </w:rPr>
              <w:t>招标文件其它实质性要求相应的材料（“▲”</w:t>
            </w:r>
            <w:r>
              <w:rPr>
                <w:rFonts w:ascii="仿宋_GB2312" w:hAnsi="仿宋" w:eastAsia="仿宋_GB2312" w:cs="仿宋_GB2312"/>
                <w:kern w:val="0"/>
                <w:sz w:val="24"/>
                <w:szCs w:val="20"/>
              </w:rPr>
              <w:t xml:space="preserve"> </w:t>
            </w:r>
            <w:r>
              <w:rPr>
                <w:rFonts w:hint="eastAsia" w:ascii="仿宋_GB2312" w:hAnsi="仿宋" w:eastAsia="仿宋_GB2312" w:cs="仿宋_GB2312"/>
                <w:kern w:val="0"/>
                <w:sz w:val="24"/>
                <w:szCs w:val="20"/>
              </w:rPr>
              <w:t>系指实质性要求条款，招标文件无其它实质性要求的，无需提供）</w:t>
            </w:r>
          </w:p>
        </w:tc>
        <w:tc>
          <w:tcPr>
            <w:tcW w:w="1418" w:type="dxa"/>
          </w:tcPr>
          <w:p>
            <w:pPr>
              <w:rPr>
                <w:rFonts w:ascii="Calibri" w:hAnsi="Calibri"/>
                <w:sz w:val="20"/>
                <w:szCs w:val="20"/>
              </w:rPr>
            </w:pPr>
            <w:r>
              <w:rPr>
                <w:rFonts w:hint="eastAsia" w:ascii="仿宋" w:hAnsi="仿宋" w:eastAsia="仿宋" w:cs="仿宋_GB2312"/>
                <w:sz w:val="24"/>
                <w:szCs w:val="20"/>
              </w:rPr>
              <w:t>见投标文件第</w:t>
            </w:r>
            <w:r>
              <w:rPr>
                <w:rFonts w:ascii="仿宋" w:hAnsi="仿宋" w:eastAsia="仿宋" w:cs="仿宋_GB2312"/>
                <w:sz w:val="24"/>
                <w:szCs w:val="20"/>
                <w:u w:val="single"/>
              </w:rPr>
              <w:t xml:space="preserve">  </w:t>
            </w:r>
            <w:r>
              <w:rPr>
                <w:rFonts w:hint="eastAsia" w:ascii="仿宋" w:hAnsi="仿宋" w:eastAsia="仿宋" w:cs="仿宋_GB2312"/>
                <w:sz w:val="24"/>
                <w:szCs w:val="20"/>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szCs w:val="20"/>
              </w:rPr>
            </w:pPr>
            <w:r>
              <w:rPr>
                <w:rFonts w:hint="eastAsia" w:ascii="仿宋_GB2312" w:hAnsi="仿宋" w:eastAsia="仿宋_GB2312"/>
                <w:b/>
                <w:sz w:val="24"/>
                <w:szCs w:val="20"/>
              </w:rPr>
              <w:t>序号</w:t>
            </w:r>
          </w:p>
        </w:tc>
        <w:tc>
          <w:tcPr>
            <w:tcW w:w="1417" w:type="dxa"/>
            <w:vAlign w:val="center"/>
          </w:tcPr>
          <w:p>
            <w:pPr>
              <w:spacing w:line="360" w:lineRule="auto"/>
              <w:jc w:val="center"/>
              <w:rPr>
                <w:rFonts w:ascii="仿宋_GB2312" w:hAnsi="仿宋" w:eastAsia="仿宋_GB2312" w:cs="仿宋_GB2312"/>
                <w:b/>
                <w:sz w:val="24"/>
                <w:szCs w:val="20"/>
              </w:rPr>
            </w:pPr>
            <w:r>
              <w:rPr>
                <w:rFonts w:hint="eastAsia" w:ascii="仿宋_GB2312" w:hAnsi="仿宋" w:eastAsia="仿宋_GB2312"/>
                <w:b/>
                <w:sz w:val="24"/>
                <w:szCs w:val="20"/>
              </w:rPr>
              <w:t>名称</w:t>
            </w:r>
          </w:p>
        </w:tc>
        <w:tc>
          <w:tcPr>
            <w:tcW w:w="1843" w:type="dxa"/>
          </w:tcPr>
          <w:p>
            <w:pPr>
              <w:spacing w:line="360" w:lineRule="auto"/>
              <w:jc w:val="center"/>
              <w:rPr>
                <w:rFonts w:ascii="仿宋_GB2312" w:hAnsi="仿宋" w:eastAsia="仿宋_GB2312"/>
                <w:b/>
                <w:sz w:val="24"/>
                <w:szCs w:val="20"/>
              </w:rPr>
            </w:pPr>
          </w:p>
          <w:p>
            <w:pPr>
              <w:spacing w:line="360" w:lineRule="auto"/>
              <w:jc w:val="center"/>
              <w:rPr>
                <w:rFonts w:ascii="仿宋_GB2312" w:hAnsi="仿宋" w:eastAsia="仿宋_GB2312" w:cs="仿宋_GB2312"/>
                <w:b/>
                <w:sz w:val="24"/>
                <w:szCs w:val="20"/>
              </w:rPr>
            </w:pPr>
            <w:r>
              <w:rPr>
                <w:rFonts w:hint="eastAsia" w:ascii="仿宋_GB2312" w:hAnsi="仿宋" w:eastAsia="仿宋_GB2312"/>
                <w:b/>
                <w:sz w:val="24"/>
                <w:szCs w:val="20"/>
              </w:rPr>
              <w:t>品牌（如果有）</w:t>
            </w:r>
          </w:p>
        </w:tc>
        <w:tc>
          <w:tcPr>
            <w:tcW w:w="3118" w:type="dxa"/>
            <w:vAlign w:val="center"/>
          </w:tcPr>
          <w:p>
            <w:pPr>
              <w:spacing w:line="360" w:lineRule="auto"/>
              <w:jc w:val="center"/>
              <w:rPr>
                <w:rFonts w:ascii="仿宋_GB2312" w:hAnsi="仿宋" w:eastAsia="仿宋_GB2312" w:cs="仿宋_GB2312"/>
                <w:b/>
                <w:sz w:val="24"/>
                <w:szCs w:val="20"/>
              </w:rPr>
            </w:pPr>
            <w:r>
              <w:rPr>
                <w:rFonts w:hint="eastAsia" w:ascii="仿宋_GB2312" w:hAnsi="仿宋" w:eastAsia="仿宋_GB2312"/>
                <w:b/>
                <w:sz w:val="24"/>
                <w:szCs w:val="20"/>
              </w:rPr>
              <w:t>规格型号（或具体服务）</w:t>
            </w:r>
          </w:p>
        </w:tc>
        <w:tc>
          <w:tcPr>
            <w:tcW w:w="993" w:type="dxa"/>
            <w:vAlign w:val="center"/>
          </w:tcPr>
          <w:p>
            <w:pPr>
              <w:spacing w:line="360" w:lineRule="auto"/>
              <w:jc w:val="center"/>
              <w:rPr>
                <w:rFonts w:ascii="仿宋_GB2312" w:hAnsi="仿宋" w:eastAsia="仿宋_GB2312" w:cs="仿宋_GB2312"/>
                <w:b/>
                <w:sz w:val="24"/>
                <w:szCs w:val="20"/>
              </w:rPr>
            </w:pPr>
            <w:r>
              <w:rPr>
                <w:rFonts w:hint="eastAsia" w:ascii="仿宋_GB2312" w:hAnsi="仿宋" w:eastAsia="仿宋_GB2312"/>
                <w:b/>
                <w:sz w:val="24"/>
                <w:szCs w:val="20"/>
              </w:rPr>
              <w:t>数量</w:t>
            </w:r>
          </w:p>
        </w:tc>
        <w:tc>
          <w:tcPr>
            <w:tcW w:w="1559" w:type="dxa"/>
            <w:vAlign w:val="center"/>
          </w:tcPr>
          <w:p>
            <w:pPr>
              <w:spacing w:line="360" w:lineRule="auto"/>
              <w:jc w:val="center"/>
              <w:rPr>
                <w:rFonts w:ascii="仿宋_GB2312" w:hAnsi="仿宋" w:eastAsia="仿宋_GB2312" w:cs="仿宋_GB2312"/>
                <w:b/>
                <w:sz w:val="24"/>
                <w:szCs w:val="20"/>
              </w:rPr>
            </w:pPr>
            <w:r>
              <w:rPr>
                <w:rFonts w:hint="eastAsia" w:ascii="仿宋_GB2312" w:hAnsi="仿宋" w:eastAsia="仿宋_GB2312"/>
                <w:b/>
                <w:sz w:val="24"/>
                <w:szCs w:val="20"/>
              </w:rPr>
              <w:t>单价</w:t>
            </w:r>
          </w:p>
        </w:tc>
        <w:tc>
          <w:tcPr>
            <w:tcW w:w="1984" w:type="dxa"/>
            <w:vAlign w:val="center"/>
          </w:tcPr>
          <w:p>
            <w:pPr>
              <w:spacing w:line="360" w:lineRule="auto"/>
              <w:jc w:val="center"/>
              <w:rPr>
                <w:rFonts w:ascii="仿宋_GB2312" w:hAnsi="仿宋" w:eastAsia="仿宋_GB2312" w:cs="仿宋_GB2312"/>
                <w:b/>
                <w:sz w:val="24"/>
                <w:szCs w:val="20"/>
              </w:rPr>
            </w:pPr>
            <w:r>
              <w:rPr>
                <w:rFonts w:hint="eastAsia" w:ascii="仿宋_GB2312" w:hAnsi="仿宋" w:eastAsia="仿宋_GB2312"/>
                <w:b/>
                <w:sz w:val="24"/>
                <w:szCs w:val="20"/>
              </w:rPr>
              <w:t>总价</w:t>
            </w:r>
          </w:p>
        </w:tc>
        <w:tc>
          <w:tcPr>
            <w:tcW w:w="3119" w:type="dxa"/>
            <w:vAlign w:val="center"/>
          </w:tcPr>
          <w:p>
            <w:pPr>
              <w:spacing w:line="360" w:lineRule="auto"/>
              <w:jc w:val="center"/>
              <w:rPr>
                <w:rFonts w:ascii="仿宋_GB2312" w:hAnsi="仿宋" w:eastAsia="仿宋_GB2312"/>
                <w:b/>
                <w:sz w:val="24"/>
                <w:szCs w:val="20"/>
              </w:rPr>
            </w:pPr>
          </w:p>
          <w:p>
            <w:pPr>
              <w:spacing w:line="360" w:lineRule="auto"/>
              <w:jc w:val="center"/>
              <w:rPr>
                <w:rFonts w:ascii="仿宋_GB2312" w:hAnsi="仿宋" w:eastAsia="仿宋_GB2312" w:cs="仿宋_GB2312"/>
                <w:b/>
                <w:sz w:val="24"/>
                <w:szCs w:val="20"/>
              </w:rPr>
            </w:pPr>
            <w:r>
              <w:rPr>
                <w:rFonts w:hint="eastAsia" w:ascii="仿宋_GB2312" w:hAnsi="仿宋" w:eastAsia="仿宋_GB2312"/>
                <w:b/>
                <w:sz w:val="24"/>
                <w:szCs w:val="20"/>
              </w:rPr>
              <w:t>服务要求（年限）</w:t>
            </w:r>
          </w:p>
          <w:p>
            <w:pPr>
              <w:spacing w:line="360" w:lineRule="auto"/>
              <w:jc w:val="center"/>
              <w:rPr>
                <w:rFonts w:ascii="仿宋_GB2312" w:hAnsi="仿宋" w:eastAsia="仿宋_GB2312"/>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szCs w:val="20"/>
              </w:rPr>
            </w:pPr>
            <w:r>
              <w:rPr>
                <w:rFonts w:ascii="仿宋_GB2312" w:hAnsi="仿宋" w:eastAsia="仿宋_GB2312" w:cs="仿宋_GB2312"/>
                <w:sz w:val="24"/>
                <w:szCs w:val="20"/>
              </w:rPr>
              <w:t>1</w:t>
            </w:r>
          </w:p>
        </w:tc>
        <w:tc>
          <w:tcPr>
            <w:tcW w:w="1417" w:type="dxa"/>
            <w:vAlign w:val="center"/>
          </w:tcPr>
          <w:p>
            <w:pPr>
              <w:snapToGrid w:val="0"/>
              <w:spacing w:line="360" w:lineRule="auto"/>
              <w:jc w:val="center"/>
              <w:rPr>
                <w:rFonts w:ascii="仿宋_GB2312" w:hAnsi="仿宋" w:eastAsia="仿宋_GB2312" w:cs="仿宋_GB2312"/>
                <w:sz w:val="24"/>
                <w:szCs w:val="20"/>
              </w:rPr>
            </w:pPr>
          </w:p>
        </w:tc>
        <w:tc>
          <w:tcPr>
            <w:tcW w:w="1843" w:type="dxa"/>
            <w:vAlign w:val="center"/>
          </w:tcPr>
          <w:p>
            <w:pPr>
              <w:snapToGrid w:val="0"/>
              <w:spacing w:line="360" w:lineRule="auto"/>
              <w:jc w:val="center"/>
              <w:rPr>
                <w:rFonts w:ascii="仿宋_GB2312" w:hAnsi="仿宋" w:eastAsia="仿宋_GB2312" w:cs="仿宋_GB2312"/>
                <w:sz w:val="24"/>
                <w:szCs w:val="20"/>
              </w:rPr>
            </w:pPr>
          </w:p>
        </w:tc>
        <w:tc>
          <w:tcPr>
            <w:tcW w:w="3118" w:type="dxa"/>
            <w:vAlign w:val="center"/>
          </w:tcPr>
          <w:p>
            <w:pPr>
              <w:snapToGrid w:val="0"/>
              <w:spacing w:line="360" w:lineRule="auto"/>
              <w:jc w:val="center"/>
              <w:rPr>
                <w:rFonts w:ascii="仿宋_GB2312" w:hAnsi="仿宋" w:eastAsia="仿宋_GB2312" w:cs="仿宋_GB2312"/>
                <w:sz w:val="24"/>
                <w:szCs w:val="20"/>
              </w:rPr>
            </w:pPr>
          </w:p>
        </w:tc>
        <w:tc>
          <w:tcPr>
            <w:tcW w:w="993" w:type="dxa"/>
            <w:vAlign w:val="center"/>
          </w:tcPr>
          <w:p>
            <w:pPr>
              <w:snapToGrid w:val="0"/>
              <w:spacing w:line="360" w:lineRule="auto"/>
              <w:jc w:val="center"/>
              <w:rPr>
                <w:rFonts w:ascii="仿宋_GB2312" w:hAnsi="仿宋" w:eastAsia="仿宋_GB2312" w:cs="仿宋_GB2312"/>
                <w:sz w:val="24"/>
                <w:szCs w:val="20"/>
              </w:rPr>
            </w:pPr>
          </w:p>
        </w:tc>
        <w:tc>
          <w:tcPr>
            <w:tcW w:w="1559" w:type="dxa"/>
            <w:vAlign w:val="center"/>
          </w:tcPr>
          <w:p>
            <w:pPr>
              <w:spacing w:line="360" w:lineRule="auto"/>
              <w:jc w:val="center"/>
              <w:rPr>
                <w:rFonts w:ascii="仿宋_GB2312" w:hAnsi="仿宋" w:eastAsia="仿宋_GB2312" w:cs="仿宋_GB2312"/>
                <w:sz w:val="24"/>
                <w:szCs w:val="20"/>
              </w:rPr>
            </w:pPr>
          </w:p>
        </w:tc>
        <w:tc>
          <w:tcPr>
            <w:tcW w:w="1984" w:type="dxa"/>
            <w:vAlign w:val="center"/>
          </w:tcPr>
          <w:p>
            <w:pPr>
              <w:spacing w:line="360" w:lineRule="auto"/>
              <w:jc w:val="center"/>
              <w:rPr>
                <w:rFonts w:ascii="仿宋_GB2312" w:hAnsi="仿宋" w:eastAsia="仿宋_GB2312" w:cs="仿宋_GB2312"/>
                <w:sz w:val="24"/>
                <w:szCs w:val="20"/>
              </w:rPr>
            </w:pPr>
          </w:p>
        </w:tc>
        <w:tc>
          <w:tcPr>
            <w:tcW w:w="3119" w:type="dxa"/>
            <w:vAlign w:val="center"/>
          </w:tcPr>
          <w:p>
            <w:pPr>
              <w:spacing w:line="360" w:lineRule="auto"/>
              <w:jc w:val="center"/>
              <w:rPr>
                <w:rFonts w:ascii="仿宋_GB2312" w:hAnsi="仿宋"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szCs w:val="20"/>
              </w:rPr>
            </w:pPr>
            <w:r>
              <w:rPr>
                <w:rFonts w:ascii="仿宋_GB2312" w:hAnsi="仿宋" w:eastAsia="仿宋_GB2312" w:cs="仿宋_GB2312"/>
                <w:sz w:val="24"/>
                <w:szCs w:val="20"/>
              </w:rPr>
              <w:t>2</w:t>
            </w:r>
          </w:p>
        </w:tc>
        <w:tc>
          <w:tcPr>
            <w:tcW w:w="1417" w:type="dxa"/>
            <w:vAlign w:val="center"/>
          </w:tcPr>
          <w:p>
            <w:pPr>
              <w:snapToGrid w:val="0"/>
              <w:spacing w:line="360" w:lineRule="auto"/>
              <w:jc w:val="center"/>
              <w:rPr>
                <w:rFonts w:ascii="仿宋_GB2312" w:hAnsi="仿宋" w:eastAsia="仿宋_GB2312" w:cs="仿宋_GB2312"/>
                <w:sz w:val="24"/>
                <w:szCs w:val="20"/>
              </w:rPr>
            </w:pPr>
          </w:p>
        </w:tc>
        <w:tc>
          <w:tcPr>
            <w:tcW w:w="1843" w:type="dxa"/>
            <w:vAlign w:val="center"/>
          </w:tcPr>
          <w:p>
            <w:pPr>
              <w:snapToGrid w:val="0"/>
              <w:spacing w:line="360" w:lineRule="auto"/>
              <w:jc w:val="center"/>
              <w:rPr>
                <w:rFonts w:ascii="仿宋_GB2312" w:hAnsi="仿宋" w:eastAsia="仿宋_GB2312" w:cs="仿宋_GB2312"/>
                <w:sz w:val="24"/>
                <w:szCs w:val="20"/>
              </w:rPr>
            </w:pPr>
          </w:p>
        </w:tc>
        <w:tc>
          <w:tcPr>
            <w:tcW w:w="3118" w:type="dxa"/>
            <w:vAlign w:val="center"/>
          </w:tcPr>
          <w:p>
            <w:pPr>
              <w:snapToGrid w:val="0"/>
              <w:spacing w:line="360" w:lineRule="auto"/>
              <w:jc w:val="center"/>
              <w:rPr>
                <w:rFonts w:ascii="仿宋_GB2312" w:hAnsi="仿宋" w:eastAsia="仿宋_GB2312" w:cs="仿宋_GB2312"/>
                <w:sz w:val="24"/>
                <w:szCs w:val="20"/>
              </w:rPr>
            </w:pPr>
          </w:p>
        </w:tc>
        <w:tc>
          <w:tcPr>
            <w:tcW w:w="993" w:type="dxa"/>
            <w:vAlign w:val="center"/>
          </w:tcPr>
          <w:p>
            <w:pPr>
              <w:snapToGrid w:val="0"/>
              <w:spacing w:line="360" w:lineRule="auto"/>
              <w:jc w:val="center"/>
              <w:rPr>
                <w:rFonts w:ascii="仿宋_GB2312" w:hAnsi="仿宋" w:eastAsia="仿宋_GB2312" w:cs="仿宋_GB2312"/>
                <w:sz w:val="24"/>
                <w:szCs w:val="20"/>
              </w:rPr>
            </w:pPr>
          </w:p>
        </w:tc>
        <w:tc>
          <w:tcPr>
            <w:tcW w:w="1559" w:type="dxa"/>
            <w:vAlign w:val="center"/>
          </w:tcPr>
          <w:p>
            <w:pPr>
              <w:spacing w:line="360" w:lineRule="auto"/>
              <w:jc w:val="center"/>
              <w:rPr>
                <w:rFonts w:ascii="仿宋_GB2312" w:hAnsi="仿宋" w:eastAsia="仿宋_GB2312" w:cs="仿宋_GB2312"/>
                <w:sz w:val="24"/>
                <w:szCs w:val="20"/>
              </w:rPr>
            </w:pPr>
          </w:p>
        </w:tc>
        <w:tc>
          <w:tcPr>
            <w:tcW w:w="1984" w:type="dxa"/>
            <w:vAlign w:val="center"/>
          </w:tcPr>
          <w:p>
            <w:pPr>
              <w:spacing w:line="360" w:lineRule="auto"/>
              <w:jc w:val="center"/>
              <w:rPr>
                <w:rFonts w:ascii="仿宋_GB2312" w:hAnsi="仿宋" w:eastAsia="仿宋_GB2312" w:cs="仿宋_GB2312"/>
                <w:sz w:val="24"/>
                <w:szCs w:val="20"/>
              </w:rPr>
            </w:pPr>
          </w:p>
        </w:tc>
        <w:tc>
          <w:tcPr>
            <w:tcW w:w="3119" w:type="dxa"/>
            <w:vAlign w:val="center"/>
          </w:tcPr>
          <w:p>
            <w:pPr>
              <w:spacing w:line="360" w:lineRule="auto"/>
              <w:jc w:val="center"/>
              <w:rPr>
                <w:rFonts w:ascii="仿宋_GB2312" w:hAnsi="仿宋"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w:t>
            </w:r>
          </w:p>
        </w:tc>
        <w:tc>
          <w:tcPr>
            <w:tcW w:w="1417" w:type="dxa"/>
            <w:vAlign w:val="center"/>
          </w:tcPr>
          <w:p>
            <w:pPr>
              <w:snapToGrid w:val="0"/>
              <w:spacing w:line="360" w:lineRule="auto"/>
              <w:jc w:val="center"/>
              <w:rPr>
                <w:rFonts w:ascii="仿宋_GB2312" w:hAnsi="仿宋" w:eastAsia="仿宋_GB2312" w:cs="仿宋_GB2312"/>
                <w:sz w:val="24"/>
                <w:szCs w:val="20"/>
              </w:rPr>
            </w:pPr>
          </w:p>
        </w:tc>
        <w:tc>
          <w:tcPr>
            <w:tcW w:w="1843" w:type="dxa"/>
            <w:vAlign w:val="center"/>
          </w:tcPr>
          <w:p>
            <w:pPr>
              <w:snapToGrid w:val="0"/>
              <w:spacing w:line="360" w:lineRule="auto"/>
              <w:jc w:val="center"/>
              <w:rPr>
                <w:rFonts w:ascii="仿宋_GB2312" w:hAnsi="仿宋" w:eastAsia="仿宋_GB2312" w:cs="仿宋_GB2312"/>
                <w:sz w:val="24"/>
                <w:szCs w:val="20"/>
              </w:rPr>
            </w:pPr>
          </w:p>
        </w:tc>
        <w:tc>
          <w:tcPr>
            <w:tcW w:w="3118" w:type="dxa"/>
            <w:vAlign w:val="center"/>
          </w:tcPr>
          <w:p>
            <w:pPr>
              <w:snapToGrid w:val="0"/>
              <w:spacing w:line="360" w:lineRule="auto"/>
              <w:jc w:val="center"/>
              <w:rPr>
                <w:rFonts w:ascii="仿宋_GB2312" w:hAnsi="仿宋" w:eastAsia="仿宋_GB2312" w:cs="仿宋_GB2312"/>
                <w:sz w:val="24"/>
                <w:szCs w:val="20"/>
              </w:rPr>
            </w:pPr>
          </w:p>
        </w:tc>
        <w:tc>
          <w:tcPr>
            <w:tcW w:w="993" w:type="dxa"/>
            <w:vAlign w:val="center"/>
          </w:tcPr>
          <w:p>
            <w:pPr>
              <w:snapToGrid w:val="0"/>
              <w:spacing w:line="360" w:lineRule="auto"/>
              <w:jc w:val="center"/>
              <w:rPr>
                <w:rFonts w:ascii="仿宋_GB2312" w:hAnsi="仿宋" w:eastAsia="仿宋_GB2312" w:cs="仿宋_GB2312"/>
                <w:sz w:val="24"/>
                <w:szCs w:val="20"/>
              </w:rPr>
            </w:pPr>
          </w:p>
        </w:tc>
        <w:tc>
          <w:tcPr>
            <w:tcW w:w="1559" w:type="dxa"/>
            <w:vAlign w:val="center"/>
          </w:tcPr>
          <w:p>
            <w:pPr>
              <w:spacing w:line="360" w:lineRule="auto"/>
              <w:jc w:val="center"/>
              <w:rPr>
                <w:rFonts w:ascii="仿宋_GB2312" w:hAnsi="仿宋" w:eastAsia="仿宋_GB2312" w:cs="仿宋_GB2312"/>
                <w:sz w:val="24"/>
                <w:szCs w:val="20"/>
              </w:rPr>
            </w:pPr>
          </w:p>
        </w:tc>
        <w:tc>
          <w:tcPr>
            <w:tcW w:w="1984" w:type="dxa"/>
            <w:vAlign w:val="center"/>
          </w:tcPr>
          <w:p>
            <w:pPr>
              <w:spacing w:line="360" w:lineRule="auto"/>
              <w:jc w:val="center"/>
              <w:rPr>
                <w:rFonts w:ascii="仿宋_GB2312" w:hAnsi="仿宋" w:eastAsia="仿宋_GB2312" w:cs="仿宋_GB2312"/>
                <w:sz w:val="24"/>
                <w:szCs w:val="20"/>
              </w:rPr>
            </w:pPr>
          </w:p>
        </w:tc>
        <w:tc>
          <w:tcPr>
            <w:tcW w:w="3119" w:type="dxa"/>
            <w:vAlign w:val="center"/>
          </w:tcPr>
          <w:p>
            <w:pPr>
              <w:spacing w:line="360" w:lineRule="auto"/>
              <w:jc w:val="center"/>
              <w:rPr>
                <w:rFonts w:ascii="仿宋_GB2312" w:hAnsi="仿宋"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szCs w:val="20"/>
              </w:rPr>
            </w:pPr>
          </w:p>
        </w:tc>
        <w:tc>
          <w:tcPr>
            <w:tcW w:w="1417" w:type="dxa"/>
            <w:vAlign w:val="center"/>
          </w:tcPr>
          <w:p>
            <w:pPr>
              <w:snapToGrid w:val="0"/>
              <w:spacing w:line="360" w:lineRule="auto"/>
              <w:jc w:val="center"/>
              <w:rPr>
                <w:rFonts w:ascii="仿宋_GB2312" w:hAnsi="仿宋" w:eastAsia="仿宋_GB2312" w:cs="仿宋_GB2312"/>
                <w:sz w:val="24"/>
                <w:szCs w:val="20"/>
              </w:rPr>
            </w:pPr>
          </w:p>
        </w:tc>
        <w:tc>
          <w:tcPr>
            <w:tcW w:w="1843" w:type="dxa"/>
            <w:vAlign w:val="center"/>
          </w:tcPr>
          <w:p>
            <w:pPr>
              <w:snapToGrid w:val="0"/>
              <w:spacing w:line="360" w:lineRule="auto"/>
              <w:jc w:val="center"/>
              <w:rPr>
                <w:rFonts w:ascii="仿宋_GB2312" w:hAnsi="仿宋" w:eastAsia="仿宋_GB2312" w:cs="仿宋_GB2312"/>
                <w:sz w:val="24"/>
                <w:szCs w:val="20"/>
              </w:rPr>
            </w:pPr>
          </w:p>
        </w:tc>
        <w:tc>
          <w:tcPr>
            <w:tcW w:w="3118" w:type="dxa"/>
            <w:vAlign w:val="center"/>
          </w:tcPr>
          <w:p>
            <w:pPr>
              <w:snapToGrid w:val="0"/>
              <w:spacing w:line="360" w:lineRule="auto"/>
              <w:jc w:val="center"/>
              <w:rPr>
                <w:rFonts w:ascii="仿宋_GB2312" w:hAnsi="仿宋" w:eastAsia="仿宋_GB2312" w:cs="仿宋_GB2312"/>
                <w:sz w:val="24"/>
                <w:szCs w:val="20"/>
              </w:rPr>
            </w:pPr>
          </w:p>
        </w:tc>
        <w:tc>
          <w:tcPr>
            <w:tcW w:w="993" w:type="dxa"/>
            <w:vAlign w:val="center"/>
          </w:tcPr>
          <w:p>
            <w:pPr>
              <w:snapToGrid w:val="0"/>
              <w:spacing w:line="360" w:lineRule="auto"/>
              <w:jc w:val="center"/>
              <w:rPr>
                <w:rFonts w:ascii="仿宋_GB2312" w:hAnsi="仿宋" w:eastAsia="仿宋_GB2312" w:cs="仿宋_GB2312"/>
                <w:sz w:val="24"/>
                <w:szCs w:val="20"/>
              </w:rPr>
            </w:pPr>
          </w:p>
        </w:tc>
        <w:tc>
          <w:tcPr>
            <w:tcW w:w="1559" w:type="dxa"/>
            <w:vAlign w:val="center"/>
          </w:tcPr>
          <w:p>
            <w:pPr>
              <w:spacing w:line="360" w:lineRule="auto"/>
              <w:jc w:val="center"/>
              <w:rPr>
                <w:rFonts w:ascii="仿宋_GB2312" w:hAnsi="仿宋" w:eastAsia="仿宋_GB2312" w:cs="仿宋_GB2312"/>
                <w:sz w:val="24"/>
                <w:szCs w:val="20"/>
              </w:rPr>
            </w:pPr>
          </w:p>
        </w:tc>
        <w:tc>
          <w:tcPr>
            <w:tcW w:w="1984" w:type="dxa"/>
            <w:vAlign w:val="center"/>
          </w:tcPr>
          <w:p>
            <w:pPr>
              <w:spacing w:line="360" w:lineRule="auto"/>
              <w:jc w:val="center"/>
              <w:rPr>
                <w:rFonts w:ascii="仿宋_GB2312" w:hAnsi="仿宋" w:eastAsia="仿宋_GB2312" w:cs="仿宋_GB2312"/>
                <w:sz w:val="24"/>
                <w:szCs w:val="20"/>
              </w:rPr>
            </w:pPr>
          </w:p>
        </w:tc>
        <w:tc>
          <w:tcPr>
            <w:tcW w:w="3119" w:type="dxa"/>
            <w:vAlign w:val="center"/>
          </w:tcPr>
          <w:p>
            <w:pPr>
              <w:spacing w:line="360" w:lineRule="auto"/>
              <w:jc w:val="center"/>
              <w:rPr>
                <w:rFonts w:ascii="仿宋_GB2312" w:hAnsi="仿宋"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szCs w:val="20"/>
              </w:rPr>
            </w:pPr>
          </w:p>
        </w:tc>
        <w:tc>
          <w:tcPr>
            <w:tcW w:w="1417" w:type="dxa"/>
            <w:vAlign w:val="center"/>
          </w:tcPr>
          <w:p>
            <w:pPr>
              <w:snapToGrid w:val="0"/>
              <w:spacing w:line="360" w:lineRule="auto"/>
              <w:jc w:val="center"/>
              <w:rPr>
                <w:rFonts w:ascii="仿宋_GB2312" w:hAnsi="仿宋" w:eastAsia="仿宋_GB2312" w:cs="仿宋_GB2312"/>
                <w:sz w:val="24"/>
                <w:szCs w:val="20"/>
              </w:rPr>
            </w:pPr>
          </w:p>
        </w:tc>
        <w:tc>
          <w:tcPr>
            <w:tcW w:w="1843" w:type="dxa"/>
            <w:vAlign w:val="center"/>
          </w:tcPr>
          <w:p>
            <w:pPr>
              <w:snapToGrid w:val="0"/>
              <w:spacing w:line="360" w:lineRule="auto"/>
              <w:jc w:val="center"/>
              <w:rPr>
                <w:rFonts w:ascii="仿宋_GB2312" w:hAnsi="仿宋" w:eastAsia="仿宋_GB2312" w:cs="仿宋_GB2312"/>
                <w:sz w:val="24"/>
                <w:szCs w:val="20"/>
              </w:rPr>
            </w:pPr>
          </w:p>
        </w:tc>
        <w:tc>
          <w:tcPr>
            <w:tcW w:w="3118" w:type="dxa"/>
            <w:vAlign w:val="center"/>
          </w:tcPr>
          <w:p>
            <w:pPr>
              <w:snapToGrid w:val="0"/>
              <w:spacing w:line="360" w:lineRule="auto"/>
              <w:jc w:val="center"/>
              <w:rPr>
                <w:rFonts w:ascii="仿宋_GB2312" w:hAnsi="仿宋" w:eastAsia="仿宋_GB2312" w:cs="仿宋_GB2312"/>
                <w:sz w:val="24"/>
                <w:szCs w:val="20"/>
              </w:rPr>
            </w:pPr>
          </w:p>
        </w:tc>
        <w:tc>
          <w:tcPr>
            <w:tcW w:w="993" w:type="dxa"/>
            <w:vAlign w:val="center"/>
          </w:tcPr>
          <w:p>
            <w:pPr>
              <w:snapToGrid w:val="0"/>
              <w:spacing w:line="360" w:lineRule="auto"/>
              <w:jc w:val="center"/>
              <w:rPr>
                <w:rFonts w:ascii="仿宋_GB2312" w:hAnsi="仿宋" w:eastAsia="仿宋_GB2312" w:cs="仿宋_GB2312"/>
                <w:sz w:val="24"/>
                <w:szCs w:val="20"/>
              </w:rPr>
            </w:pPr>
          </w:p>
        </w:tc>
        <w:tc>
          <w:tcPr>
            <w:tcW w:w="1559" w:type="dxa"/>
            <w:vAlign w:val="center"/>
          </w:tcPr>
          <w:p>
            <w:pPr>
              <w:spacing w:line="360" w:lineRule="auto"/>
              <w:jc w:val="center"/>
              <w:rPr>
                <w:rFonts w:ascii="仿宋_GB2312" w:hAnsi="仿宋" w:eastAsia="仿宋_GB2312" w:cs="仿宋_GB2312"/>
                <w:sz w:val="24"/>
                <w:szCs w:val="20"/>
              </w:rPr>
            </w:pPr>
          </w:p>
        </w:tc>
        <w:tc>
          <w:tcPr>
            <w:tcW w:w="1984" w:type="dxa"/>
            <w:vAlign w:val="center"/>
          </w:tcPr>
          <w:p>
            <w:pPr>
              <w:spacing w:line="360" w:lineRule="auto"/>
              <w:jc w:val="center"/>
              <w:rPr>
                <w:rFonts w:ascii="仿宋_GB2312" w:hAnsi="仿宋" w:eastAsia="仿宋_GB2312" w:cs="仿宋_GB2312"/>
                <w:sz w:val="24"/>
                <w:szCs w:val="20"/>
              </w:rPr>
            </w:pPr>
          </w:p>
        </w:tc>
        <w:tc>
          <w:tcPr>
            <w:tcW w:w="3119" w:type="dxa"/>
            <w:vAlign w:val="center"/>
          </w:tcPr>
          <w:p>
            <w:pPr>
              <w:spacing w:line="360" w:lineRule="auto"/>
              <w:jc w:val="center"/>
              <w:rPr>
                <w:rFonts w:ascii="仿宋_GB2312" w:hAnsi="仿宋"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投标报价（小写）</w:t>
            </w:r>
          </w:p>
        </w:tc>
        <w:tc>
          <w:tcPr>
            <w:tcW w:w="7655" w:type="dxa"/>
            <w:gridSpan w:val="4"/>
            <w:vAlign w:val="center"/>
          </w:tcPr>
          <w:p>
            <w:pPr>
              <w:spacing w:line="360" w:lineRule="auto"/>
              <w:jc w:val="center"/>
              <w:rPr>
                <w:rFonts w:ascii="仿宋_GB2312" w:hAnsi="仿宋"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投标报价（大写）</w:t>
            </w:r>
          </w:p>
        </w:tc>
        <w:tc>
          <w:tcPr>
            <w:tcW w:w="7655" w:type="dxa"/>
            <w:gridSpan w:val="4"/>
            <w:vAlign w:val="center"/>
          </w:tcPr>
          <w:p>
            <w:pPr>
              <w:spacing w:line="360" w:lineRule="auto"/>
              <w:jc w:val="center"/>
              <w:rPr>
                <w:rFonts w:ascii="仿宋_GB2312" w:hAnsi="仿宋" w:eastAsia="仿宋_GB2312" w:cs="仿宋_GB2312"/>
                <w:sz w:val="24"/>
                <w:szCs w:val="20"/>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sz w:val="32"/>
          <w:szCs w:val="32"/>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376"/>
        <w:tabs>
          <w:tab w:val="clear" w:pos="720"/>
        </w:tabs>
        <w:snapToGrid w:val="0"/>
        <w:spacing w:before="120" w:after="120"/>
        <w:ind w:firstLine="643"/>
        <w:jc w:val="both"/>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spacing w:line="360" w:lineRule="auto"/>
        <w:ind w:right="420"/>
        <w:rPr>
          <w:rFonts w:ascii="仿宋_GB2312" w:hAnsi="仿宋" w:eastAsia="仿宋_GB2312" w:cs="仿宋_GB2312"/>
          <w:b/>
          <w:kern w:val="0"/>
          <w:sz w:val="36"/>
          <w:szCs w:val="36"/>
        </w:rPr>
      </w:pPr>
    </w:p>
    <w:p>
      <w:pPr>
        <w:pStyle w:val="3"/>
        <w:rPr>
          <w:rFonts w:cs="仿宋_GB2312"/>
          <w:kern w:val="0"/>
          <w:sz w:val="36"/>
          <w:szCs w:val="36"/>
        </w:rPr>
      </w:pPr>
    </w:p>
    <w:p>
      <w:pPr>
        <w:rPr>
          <w:rFonts w:ascii="仿宋_GB2312" w:hAnsi="仿宋" w:eastAsia="仿宋_GB2312" w:cs="仿宋_GB2312"/>
          <w:b/>
          <w:kern w:val="0"/>
          <w:sz w:val="36"/>
          <w:szCs w:val="36"/>
        </w:rPr>
      </w:pPr>
    </w:p>
    <w:p>
      <w:pPr>
        <w:pStyle w:val="3"/>
        <w:rPr>
          <w:rFonts w:cs="仿宋_GB2312"/>
          <w:kern w:val="0"/>
          <w:sz w:val="36"/>
          <w:szCs w:val="36"/>
        </w:rPr>
      </w:pPr>
    </w:p>
    <w:p>
      <w:pPr>
        <w:rPr>
          <w:rFonts w:ascii="仿宋_GB2312" w:hAnsi="仿宋" w:eastAsia="仿宋_GB2312" w:cs="仿宋_GB2312"/>
          <w:b/>
          <w:kern w:val="0"/>
          <w:sz w:val="36"/>
          <w:szCs w:val="36"/>
        </w:rPr>
      </w:pPr>
    </w:p>
    <w:p>
      <w:pPr>
        <w:pStyle w:val="3"/>
        <w:rPr>
          <w:rFonts w:cs="仿宋_GB2312"/>
          <w:kern w:val="0"/>
          <w:sz w:val="36"/>
          <w:szCs w:val="36"/>
        </w:rPr>
      </w:pPr>
    </w:p>
    <w:p>
      <w:pPr>
        <w:rPr>
          <w:rFonts w:ascii="仿宋_GB2312" w:hAnsi="仿宋" w:eastAsia="仿宋_GB2312" w:cs="仿宋_GB2312"/>
          <w:b/>
          <w:kern w:val="0"/>
          <w:sz w:val="36"/>
          <w:szCs w:val="36"/>
        </w:rPr>
      </w:pPr>
    </w:p>
    <w:p>
      <w:pPr>
        <w:pStyle w:val="3"/>
        <w:rPr>
          <w:rFonts w:cs="仿宋_GB2312"/>
          <w:kern w:val="0"/>
          <w:sz w:val="36"/>
          <w:szCs w:val="36"/>
        </w:rPr>
      </w:pPr>
    </w:p>
    <w:p>
      <w:pPr>
        <w:rPr>
          <w:rFonts w:ascii="仿宋_GB2312" w:hAnsi="仿宋" w:eastAsia="仿宋_GB2312" w:cs="仿宋_GB2312"/>
          <w:b/>
          <w:kern w:val="0"/>
          <w:sz w:val="36"/>
          <w:szCs w:val="36"/>
        </w:rPr>
      </w:pPr>
    </w:p>
    <w:p>
      <w:pPr>
        <w:pStyle w:val="3"/>
        <w:rPr>
          <w:rFonts w:cs="仿宋_GB2312"/>
          <w:kern w:val="0"/>
          <w:sz w:val="36"/>
          <w:szCs w:val="36"/>
        </w:rPr>
      </w:pPr>
    </w:p>
    <w:p>
      <w:pPr>
        <w:rPr>
          <w:rFonts w:ascii="仿宋_GB2312" w:hAnsi="仿宋" w:eastAsia="仿宋_GB2312" w:cs="仿宋_GB2312"/>
          <w:b/>
          <w:kern w:val="0"/>
          <w:sz w:val="36"/>
          <w:szCs w:val="36"/>
        </w:rPr>
      </w:pPr>
    </w:p>
    <w:p>
      <w:pPr>
        <w:pStyle w:val="3"/>
        <w:rPr>
          <w:rFonts w:cs="仿宋_GB2312"/>
          <w:kern w:val="0"/>
          <w:sz w:val="36"/>
          <w:szCs w:val="36"/>
        </w:rPr>
      </w:pPr>
    </w:p>
    <w:p>
      <w:pPr>
        <w:rPr>
          <w:rFonts w:ascii="仿宋_GB2312" w:hAnsi="仿宋" w:eastAsia="仿宋_GB2312" w:cs="仿宋_GB2312"/>
          <w:b/>
          <w:kern w:val="0"/>
          <w:sz w:val="36"/>
          <w:szCs w:val="36"/>
        </w:rPr>
      </w:pPr>
    </w:p>
    <w:p>
      <w:pPr>
        <w:pStyle w:val="3"/>
        <w:rPr>
          <w:rFonts w:cs="仿宋_GB2312"/>
          <w:kern w:val="0"/>
          <w:sz w:val="36"/>
          <w:szCs w:val="36"/>
        </w:rPr>
      </w:pPr>
    </w:p>
    <w:p>
      <w:pPr>
        <w:rPr>
          <w:rFonts w:ascii="仿宋_GB2312" w:hAnsi="仿宋" w:eastAsia="仿宋_GB2312" w:cs="仿宋_GB2312"/>
          <w:b/>
          <w:kern w:val="0"/>
          <w:sz w:val="36"/>
          <w:szCs w:val="36"/>
        </w:rPr>
      </w:pPr>
    </w:p>
    <w:p>
      <w:pPr>
        <w:pStyle w:val="3"/>
        <w:rPr>
          <w:rFonts w:cs="仿宋_GB2312"/>
          <w:kern w:val="0"/>
          <w:sz w:val="36"/>
          <w:szCs w:val="36"/>
        </w:rPr>
      </w:pPr>
    </w:p>
    <w:p>
      <w:pPr>
        <w:rPr>
          <w:rFonts w:ascii="仿宋_GB2312" w:hAnsi="仿宋" w:eastAsia="仿宋_GB2312" w:cs="仿宋_GB2312"/>
          <w:b/>
          <w:kern w:val="0"/>
          <w:sz w:val="36"/>
          <w:szCs w:val="36"/>
        </w:rPr>
      </w:pPr>
    </w:p>
    <w:p>
      <w:pPr>
        <w:pStyle w:val="3"/>
        <w:rPr>
          <w:rFonts w:cs="仿宋_GB2312"/>
          <w:kern w:val="0"/>
          <w:sz w:val="36"/>
          <w:szCs w:val="36"/>
        </w:rPr>
      </w:pPr>
    </w:p>
    <w:p>
      <w:pPr>
        <w:rPr>
          <w:rFonts w:ascii="仿宋_GB2312" w:hAnsi="仿宋" w:eastAsia="仿宋_GB2312" w:cs="仿宋_GB2312"/>
          <w:b/>
          <w:kern w:val="0"/>
          <w:sz w:val="36"/>
          <w:szCs w:val="36"/>
        </w:rPr>
      </w:pPr>
    </w:p>
    <w:p>
      <w:pPr>
        <w:pStyle w:val="2"/>
        <w:pageBreakBefore/>
        <w:widowControl/>
        <w:spacing w:before="100" w:beforeAutospacing="1" w:after="100" w:afterAutospacing="1" w:line="360" w:lineRule="auto"/>
        <w:ind w:left="0" w:firstLine="0"/>
        <w:jc w:val="center"/>
        <w:rPr>
          <w:rFonts w:ascii="仿宋_GB2312" w:hAnsi="仿宋" w:eastAsia="仿宋_GB2312"/>
        </w:rPr>
      </w:pPr>
      <w:bookmarkStart w:id="532" w:name="_Toc465665161"/>
      <w:r>
        <w:rPr>
          <w:rFonts w:hint="eastAsia" w:ascii="仿宋_GB2312" w:hAnsi="仿宋" w:eastAsia="仿宋_GB2312"/>
        </w:rPr>
        <w:t>附件</w:t>
      </w:r>
      <w:bookmarkEnd w:id="532"/>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33" w:name="OLE_LINK13"/>
      <w:bookmarkStart w:id="534" w:name="OLE_LINK14"/>
      <w:r>
        <w:rPr>
          <w:rFonts w:hint="eastAsia" w:ascii="仿宋_GB2312" w:hAnsi="仿宋" w:eastAsia="仿宋_GB2312"/>
          <w:b/>
          <w:spacing w:val="6"/>
          <w:sz w:val="32"/>
          <w:szCs w:val="32"/>
        </w:rPr>
        <w:t>残疾人福利性单位声明函</w:t>
      </w:r>
    </w:p>
    <w:bookmarkEnd w:id="533"/>
    <w:bookmarkEnd w:id="534"/>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Rectangle 17" o:spid="_x0000_s1026"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仿宋" w:hAnsi="仿宋" w:eastAsia="仿宋"/>
          <w:b/>
          <w:bCs/>
          <w:sz w:val="24"/>
        </w:rPr>
        <w:pict>
          <v:rect id="Rectangle 16" o:spid="_x0000_s1027"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lang w:val="en-US"/>
        </w:rPr>
      </w:pPr>
    </w:p>
    <w:p>
      <w:pPr>
        <w:spacing w:line="360" w:lineRule="auto"/>
        <w:ind w:right="420"/>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separate"/>
    </w:r>
    <w:r>
      <w:rPr>
        <w:rStyle w:val="72"/>
      </w:rPr>
      <w:t>23</w: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35" w:name="_Toc131845147"/>
    <w:bookmarkStart w:id="536" w:name="_Toc91899912"/>
    <w:bookmarkStart w:id="537" w:name="_Toc36110187"/>
    <w:bookmarkStart w:id="538" w:name="_Toc164085800"/>
    <w:r>
      <w:rPr>
        <w:rFonts w:hint="eastAsia" w:ascii="仿宋_GB2312" w:eastAsia="仿宋_GB2312"/>
        <w:kern w:val="0"/>
        <w:szCs w:val="21"/>
      </w:rPr>
      <w:t xml:space="preserve"> 页</w:t>
    </w:r>
    <w:bookmarkEnd w:id="535"/>
    <w:bookmarkEnd w:id="536"/>
    <w:bookmarkEnd w:id="537"/>
    <w:bookmarkEnd w:id="53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杭州市余杭区政府采购公开招标文件</w:t>
    </w:r>
  </w:p>
  <w:p>
    <w:pPr>
      <w:pStyle w:val="58"/>
      <w:tabs>
        <w:tab w:val="center" w:pos="4535"/>
        <w:tab w:val="right" w:pos="9070"/>
      </w:tabs>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杭州市余杭区政府采购公开招标文件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余杭区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杭州市余杭区政府采购公开招标文件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杭州市余杭区政府采购公开招标文件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杭州市余杭区政府采购公开招标文件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杭州市余杭区政府采购公开招标文件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杭州市余杭区政府采购公开招标文件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杭州市余杭区政府采购公开招标文件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杭州市余杭区政府采购公开招标文件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1EC2A"/>
    <w:multiLevelType w:val="singleLevel"/>
    <w:tmpl w:val="AF91EC2A"/>
    <w:lvl w:ilvl="0" w:tentative="0">
      <w:start w:val="1"/>
      <w:numFmt w:val="decimal"/>
      <w:suff w:val="nothing"/>
      <w:lvlText w:val="（%1）"/>
      <w:lvlJc w:val="left"/>
    </w:lvl>
  </w:abstractNum>
  <w:abstractNum w:abstractNumId="1">
    <w:nsid w:val="EDF9400B"/>
    <w:multiLevelType w:val="singleLevel"/>
    <w:tmpl w:val="EDF9400B"/>
    <w:lvl w:ilvl="0" w:tentative="0">
      <w:start w:val="1"/>
      <w:numFmt w:val="decimal"/>
      <w:suff w:val="nothing"/>
      <w:lvlText w:val="（%1）"/>
      <w:lvlJc w:val="left"/>
    </w:lvl>
  </w:abstractNum>
  <w:abstractNum w:abstractNumId="2">
    <w:nsid w:val="2B3CEC5F"/>
    <w:multiLevelType w:val="singleLevel"/>
    <w:tmpl w:val="2B3CEC5F"/>
    <w:lvl w:ilvl="0" w:tentative="0">
      <w:start w:val="1"/>
      <w:numFmt w:val="decimal"/>
      <w:suff w:val="nothing"/>
      <w:lvlText w:val="（%1）"/>
      <w:lvlJc w:val="left"/>
    </w:lvl>
  </w:abstractNum>
  <w:abstractNum w:abstractNumId="3">
    <w:nsid w:val="34E14DB2"/>
    <w:multiLevelType w:val="multilevel"/>
    <w:tmpl w:val="34E14DB2"/>
    <w:lvl w:ilvl="0" w:tentative="0">
      <w:start w:val="2"/>
      <w:numFmt w:val="chineseCounting"/>
      <w:suff w:val="nothing"/>
      <w:lvlText w:val="第%1条"/>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329A567"/>
    <w:multiLevelType w:val="singleLevel"/>
    <w:tmpl w:val="4329A567"/>
    <w:lvl w:ilvl="0" w:tentative="0">
      <w:start w:val="1"/>
      <w:numFmt w:val="decimal"/>
      <w:suff w:val="nothing"/>
      <w:lvlText w:val="%1）"/>
      <w:lvlJc w:val="left"/>
    </w:lvl>
  </w:abstractNum>
  <w:num w:numId="1">
    <w:abstractNumId w:val="1"/>
  </w:num>
  <w:num w:numId="2">
    <w:abstractNumId w:val="0"/>
  </w:num>
  <w:num w:numId="3">
    <w:abstractNumId w:val="2"/>
  </w:num>
  <w:num w:numId="4">
    <w:abstractNumId w:val="4"/>
  </w:num>
  <w:num w:numId="5">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EwZmNjOGJlZmNkODgzYmVjZDY3OTc4NGU5ZWQ4Nz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B62"/>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783"/>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1B9"/>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C71"/>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1CB"/>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0FE2"/>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03"/>
    <w:rsid w:val="002C327D"/>
    <w:rsid w:val="002C3890"/>
    <w:rsid w:val="002C3AA3"/>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09A"/>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0AC"/>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D47"/>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698"/>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5D"/>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CF3"/>
    <w:rsid w:val="005A14F0"/>
    <w:rsid w:val="005A1861"/>
    <w:rsid w:val="005A1A31"/>
    <w:rsid w:val="005A361D"/>
    <w:rsid w:val="005A36C2"/>
    <w:rsid w:val="005A3719"/>
    <w:rsid w:val="005A3DD7"/>
    <w:rsid w:val="005A40FA"/>
    <w:rsid w:val="005A4C20"/>
    <w:rsid w:val="005A4F48"/>
    <w:rsid w:val="005A537F"/>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6A1"/>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B6D"/>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5ED3"/>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2D"/>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C8A"/>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108"/>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FBA"/>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8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398"/>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6EC0"/>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52"/>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D00"/>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109"/>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2B60"/>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14E"/>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3"/>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9E3"/>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705"/>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C52"/>
    <w:rsid w:val="00BE0591"/>
    <w:rsid w:val="00BE0C55"/>
    <w:rsid w:val="00BE0F03"/>
    <w:rsid w:val="00BE11A2"/>
    <w:rsid w:val="00BE1EF0"/>
    <w:rsid w:val="00BE246C"/>
    <w:rsid w:val="00BE2657"/>
    <w:rsid w:val="00BE2FD2"/>
    <w:rsid w:val="00BE377A"/>
    <w:rsid w:val="00BE37AE"/>
    <w:rsid w:val="00BE3B14"/>
    <w:rsid w:val="00BE3C65"/>
    <w:rsid w:val="00BE3E12"/>
    <w:rsid w:val="00BE4222"/>
    <w:rsid w:val="00BE472D"/>
    <w:rsid w:val="00BE4C03"/>
    <w:rsid w:val="00BE7F4D"/>
    <w:rsid w:val="00BF03C0"/>
    <w:rsid w:val="00BF0EBF"/>
    <w:rsid w:val="00BF1534"/>
    <w:rsid w:val="00BF1EAD"/>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AD4"/>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33"/>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3E64"/>
    <w:rsid w:val="00C94CB9"/>
    <w:rsid w:val="00C95853"/>
    <w:rsid w:val="00C95C2F"/>
    <w:rsid w:val="00C95F87"/>
    <w:rsid w:val="00C96035"/>
    <w:rsid w:val="00C968EF"/>
    <w:rsid w:val="00C972CE"/>
    <w:rsid w:val="00CA0492"/>
    <w:rsid w:val="00CA05B0"/>
    <w:rsid w:val="00CA0632"/>
    <w:rsid w:val="00CA0A04"/>
    <w:rsid w:val="00CA2528"/>
    <w:rsid w:val="00CA339E"/>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B4A"/>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D69"/>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0D3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22"/>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CA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49"/>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4B57B3"/>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2C2D76"/>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2174E"/>
    <w:rsid w:val="10C26171"/>
    <w:rsid w:val="10F33360"/>
    <w:rsid w:val="10FC16EA"/>
    <w:rsid w:val="110F1D40"/>
    <w:rsid w:val="11266F33"/>
    <w:rsid w:val="118963A1"/>
    <w:rsid w:val="11C6522A"/>
    <w:rsid w:val="11E104CC"/>
    <w:rsid w:val="11E20309"/>
    <w:rsid w:val="120E540D"/>
    <w:rsid w:val="12255233"/>
    <w:rsid w:val="12530213"/>
    <w:rsid w:val="12627D38"/>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0D2550"/>
    <w:rsid w:val="19932372"/>
    <w:rsid w:val="19A20DD5"/>
    <w:rsid w:val="19AE03F1"/>
    <w:rsid w:val="19E03ED3"/>
    <w:rsid w:val="1A047A9C"/>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974DE1"/>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075038"/>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C0552"/>
    <w:rsid w:val="24BE24DA"/>
    <w:rsid w:val="24CF5825"/>
    <w:rsid w:val="24D663E6"/>
    <w:rsid w:val="24D77F2B"/>
    <w:rsid w:val="258B00E2"/>
    <w:rsid w:val="25A917A6"/>
    <w:rsid w:val="25BE27CC"/>
    <w:rsid w:val="25C76DF2"/>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B95F11"/>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C64254"/>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F5BF5"/>
    <w:rsid w:val="4019356B"/>
    <w:rsid w:val="40592157"/>
    <w:rsid w:val="406E1CAE"/>
    <w:rsid w:val="40A0133A"/>
    <w:rsid w:val="40C31A53"/>
    <w:rsid w:val="40FF545D"/>
    <w:rsid w:val="410067C8"/>
    <w:rsid w:val="413C2BBB"/>
    <w:rsid w:val="418F0D2A"/>
    <w:rsid w:val="41D01505"/>
    <w:rsid w:val="42474939"/>
    <w:rsid w:val="424C3C57"/>
    <w:rsid w:val="42613FF3"/>
    <w:rsid w:val="42660D96"/>
    <w:rsid w:val="428667D2"/>
    <w:rsid w:val="42CD1CE0"/>
    <w:rsid w:val="42D4195F"/>
    <w:rsid w:val="42E1381E"/>
    <w:rsid w:val="42ED6459"/>
    <w:rsid w:val="42FE58DD"/>
    <w:rsid w:val="43174B3D"/>
    <w:rsid w:val="43422EE4"/>
    <w:rsid w:val="434B790E"/>
    <w:rsid w:val="4360274F"/>
    <w:rsid w:val="43977AB6"/>
    <w:rsid w:val="43A3342B"/>
    <w:rsid w:val="43C77C27"/>
    <w:rsid w:val="43DE09EE"/>
    <w:rsid w:val="43E97C54"/>
    <w:rsid w:val="44002FAD"/>
    <w:rsid w:val="4416176B"/>
    <w:rsid w:val="449101DD"/>
    <w:rsid w:val="44DE1391"/>
    <w:rsid w:val="451601C5"/>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47785"/>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A83783"/>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1D42686"/>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17453"/>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D83CA2"/>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1033"/>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7B7BC0"/>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826C1"/>
    <w:rsid w:val="6DAA3FEF"/>
    <w:rsid w:val="6DC0172B"/>
    <w:rsid w:val="6DCB690C"/>
    <w:rsid w:val="6DD41A5B"/>
    <w:rsid w:val="6DF43C2E"/>
    <w:rsid w:val="6DF51CA3"/>
    <w:rsid w:val="6E815AB5"/>
    <w:rsid w:val="6E8335BD"/>
    <w:rsid w:val="6E8E12EF"/>
    <w:rsid w:val="6E972936"/>
    <w:rsid w:val="6ED446C5"/>
    <w:rsid w:val="6F2A7D94"/>
    <w:rsid w:val="6F8331F1"/>
    <w:rsid w:val="6FAE1A09"/>
    <w:rsid w:val="6FD75BF8"/>
    <w:rsid w:val="707723D0"/>
    <w:rsid w:val="70C576F0"/>
    <w:rsid w:val="70F5661B"/>
    <w:rsid w:val="71360107"/>
    <w:rsid w:val="713B688E"/>
    <w:rsid w:val="71CE663B"/>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4B155D"/>
    <w:rsid w:val="7551380D"/>
    <w:rsid w:val="75600BE5"/>
    <w:rsid w:val="7564475C"/>
    <w:rsid w:val="7583797F"/>
    <w:rsid w:val="75D20F1D"/>
    <w:rsid w:val="75DA2C18"/>
    <w:rsid w:val="75F54412"/>
    <w:rsid w:val="761D08E0"/>
    <w:rsid w:val="761E435B"/>
    <w:rsid w:val="762F7E69"/>
    <w:rsid w:val="765D347C"/>
    <w:rsid w:val="76826699"/>
    <w:rsid w:val="76C87133"/>
    <w:rsid w:val="76CD08D5"/>
    <w:rsid w:val="76DB4B92"/>
    <w:rsid w:val="77052AA4"/>
    <w:rsid w:val="77136511"/>
    <w:rsid w:val="77340A39"/>
    <w:rsid w:val="77351FD0"/>
    <w:rsid w:val="77472422"/>
    <w:rsid w:val="777F31F2"/>
    <w:rsid w:val="779E43FB"/>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2429B0"/>
    <w:rsid w:val="7E9A4E1F"/>
    <w:rsid w:val="7EA7723A"/>
    <w:rsid w:val="7EF56FBB"/>
    <w:rsid w:val="7F0768EB"/>
    <w:rsid w:val="7F143BEC"/>
    <w:rsid w:val="7F715AF2"/>
    <w:rsid w:val="7F886E69"/>
    <w:rsid w:val="7FBB79E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jc w:val="left"/>
    </w:p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7"/>
    <w:qFormat/>
    <w:uiPriority w:val="0"/>
    <w:pPr>
      <w:ind w:left="100" w:leftChars="2500"/>
    </w:pPr>
    <w:rPr>
      <w:rFonts w:ascii="宋体"/>
      <w:sz w:val="24"/>
      <w:szCs w:val="21"/>
      <w:lang w:val="zh-CN"/>
    </w:rPr>
  </w:style>
  <w:style w:type="paragraph" w:styleId="36">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7">
    <w:name w:val="endnote text"/>
    <w:basedOn w:val="1"/>
    <w:link w:val="938"/>
    <w:qFormat/>
    <w:uiPriority w:val="0"/>
    <w:rPr>
      <w:lang w:val="zh-CN"/>
    </w:rPr>
  </w:style>
  <w:style w:type="paragraph" w:styleId="38">
    <w:name w:val="Balloon Text"/>
    <w:basedOn w:val="1"/>
    <w:link w:val="714"/>
    <w:qFormat/>
    <w:uiPriority w:val="0"/>
    <w:rPr>
      <w:sz w:val="18"/>
      <w:szCs w:val="18"/>
    </w:rPr>
  </w:style>
  <w:style w:type="paragraph" w:styleId="39">
    <w:name w:val="footer"/>
    <w:basedOn w:val="1"/>
    <w:link w:val="889"/>
    <w:qFormat/>
    <w:uiPriority w:val="99"/>
    <w:pPr>
      <w:tabs>
        <w:tab w:val="center" w:pos="4153"/>
        <w:tab w:val="right" w:pos="8306"/>
      </w:tabs>
      <w:snapToGrid w:val="0"/>
      <w:jc w:val="left"/>
    </w:pPr>
    <w:rPr>
      <w:sz w:val="18"/>
      <w:szCs w:val="18"/>
    </w:rPr>
  </w:style>
  <w:style w:type="paragraph" w:styleId="40">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3"/>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7"/>
    <w:qFormat/>
    <w:uiPriority w:val="0"/>
    <w:pPr>
      <w:spacing w:after="120" w:line="480" w:lineRule="auto"/>
    </w:pPr>
  </w:style>
  <w:style w:type="paragraph" w:styleId="56">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0"/>
    <w:qFormat/>
    <w:uiPriority w:val="0"/>
    <w:rPr>
      <w:b/>
      <w:bCs/>
    </w:rPr>
  </w:style>
  <w:style w:type="paragraph" w:styleId="60">
    <w:name w:val="Body Text First Indent"/>
    <w:basedOn w:val="23"/>
    <w:link w:val="832"/>
    <w:qFormat/>
    <w:uiPriority w:val="0"/>
    <w:pPr>
      <w:ind w:firstLine="420"/>
    </w:pPr>
    <w:rPr>
      <w:rFonts w:hAnsi="Calibri" w:cs="Times New Roman"/>
      <w:szCs w:val="20"/>
    </w:rPr>
  </w:style>
  <w:style w:type="paragraph" w:styleId="61">
    <w:name w:val="Body Text First Indent 2"/>
    <w:basedOn w:val="24"/>
    <w:link w:val="65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Char Char Char Char Char Char Char Char Char Char Char Char Char"/>
    <w:basedOn w:val="1"/>
    <w:qFormat/>
    <w:uiPriority w:val="0"/>
    <w:rPr>
      <w:rFonts w:ascii="仿宋_GB2312" w:eastAsia="仿宋_GB2312"/>
      <w:b/>
      <w:sz w:val="32"/>
      <w:szCs w:val="32"/>
    </w:rPr>
  </w:style>
  <w:style w:type="paragraph" w:customStyle="1" w:styleId="80">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5"/>
    <w:qFormat/>
    <w:uiPriority w:val="0"/>
    <w:pPr>
      <w:adjustRightInd/>
      <w:spacing w:line="360" w:lineRule="auto"/>
      <w:ind w:firstLine="480" w:firstLineChars="200"/>
    </w:pPr>
    <w:rPr>
      <w:kern w:val="0"/>
      <w:sz w:val="24"/>
    </w:rPr>
  </w:style>
  <w:style w:type="paragraph" w:customStyle="1" w:styleId="98">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出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6"/>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8"/>
    <w:qFormat/>
    <w:uiPriority w:val="0"/>
    <w:pPr>
      <w:tabs>
        <w:tab w:val="left" w:pos="2356"/>
      </w:tabs>
    </w:pPr>
  </w:style>
  <w:style w:type="paragraph" w:customStyle="1" w:styleId="103">
    <w:name w:val="样式 标题 4h4H4Fab-4T5Ref Heading 1rh1Heading sqlsect 1.2.3...."/>
    <w:basedOn w:val="6"/>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1"/>
    <w:qFormat/>
    <w:uiPriority w:val="0"/>
    <w:pPr>
      <w:adjustRightInd/>
    </w:pPr>
    <w:rPr>
      <w:rFonts w:ascii="宋体" w:hAnsi="Courier New"/>
      <w:kern w:val="0"/>
      <w:sz w:val="20"/>
      <w:szCs w:val="20"/>
    </w:rPr>
  </w:style>
  <w:style w:type="paragraph" w:customStyle="1" w:styleId="106">
    <w:name w:val="正文说明"/>
    <w:basedOn w:val="1"/>
    <w:link w:val="843"/>
    <w:qFormat/>
    <w:uiPriority w:val="0"/>
    <w:pPr>
      <w:adjustRightInd/>
      <w:spacing w:line="360" w:lineRule="auto"/>
    </w:pPr>
    <w:rPr>
      <w:kern w:val="0"/>
      <w:sz w:val="24"/>
    </w:rPr>
  </w:style>
  <w:style w:type="paragraph" w:customStyle="1" w:styleId="107">
    <w:name w:val="Table Text"/>
    <w:basedOn w:val="1"/>
    <w:link w:val="849"/>
    <w:qFormat/>
    <w:uiPriority w:val="0"/>
    <w:pPr>
      <w:widowControl/>
      <w:spacing w:before="60" w:after="60"/>
      <w:jc w:val="left"/>
    </w:pPr>
    <w:rPr>
      <w:kern w:val="0"/>
      <w:sz w:val="24"/>
    </w:rPr>
  </w:style>
  <w:style w:type="paragraph" w:customStyle="1" w:styleId="108">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39"/>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7"/>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5"/>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2"/>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6"/>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2"/>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招标正文"/>
    <w:basedOn w:val="1"/>
    <w:qFormat/>
    <w:uiPriority w:val="0"/>
    <w:pPr>
      <w:snapToGrid w:val="0"/>
      <w:spacing w:line="360" w:lineRule="auto"/>
      <w:ind w:firstLine="480" w:firstLineChars="200"/>
    </w:pPr>
    <w:rPr>
      <w:rFonts w:hint="eastAsia" w:ascii="宋体" w:hAnsi="宋体"/>
      <w:color w:val="000000"/>
      <w:kern w:val="0"/>
      <w:sz w:val="24"/>
      <w:szCs w:val="21"/>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59"/>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6"/>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8"/>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5"/>
    <w:qFormat/>
    <w:uiPriority w:val="0"/>
    <w:rPr>
      <w:rFonts w:ascii="宋体"/>
      <w:kern w:val="2"/>
      <w:sz w:val="24"/>
      <w:szCs w:val="21"/>
      <w:lang w:val="zh-CN"/>
    </w:rPr>
  </w:style>
  <w:style w:type="character" w:customStyle="1" w:styleId="708">
    <w:name w:val="标题 9 Char"/>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38"/>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Char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29"/>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6"/>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7"/>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8"/>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9"/>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4"/>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1"/>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2"/>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8"/>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6"/>
    <w:qFormat/>
    <w:uiPriority w:val="0"/>
    <w:rPr>
      <w:rFonts w:ascii="黑体" w:hAnsi="Courier New" w:eastAsia="黑体"/>
    </w:rPr>
  </w:style>
  <w:style w:type="character" w:customStyle="1" w:styleId="817">
    <w:name w:val="正文文本 2 Char1"/>
    <w:link w:val="55"/>
    <w:qFormat/>
    <w:uiPriority w:val="0"/>
    <w:rPr>
      <w:kern w:val="2"/>
      <w:sz w:val="21"/>
      <w:szCs w:val="24"/>
    </w:rPr>
  </w:style>
  <w:style w:type="character" w:customStyle="1" w:styleId="818">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9"/>
    <w:qFormat/>
    <w:uiPriority w:val="0"/>
    <w:rPr>
      <w:b/>
      <w:bCs/>
      <w:kern w:val="2"/>
      <w:sz w:val="24"/>
      <w:szCs w:val="24"/>
    </w:rPr>
  </w:style>
  <w:style w:type="character" w:customStyle="1" w:styleId="821">
    <w:name w:val="正文文本缩进 2 Char"/>
    <w:link w:val="36"/>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49"/>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4"/>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5"/>
    <w:qFormat/>
    <w:uiPriority w:val="0"/>
    <w:rPr>
      <w:rFonts w:ascii="宋体" w:hAnsi="Courier New"/>
    </w:rPr>
  </w:style>
  <w:style w:type="character" w:customStyle="1" w:styleId="832">
    <w:name w:val="正文首行缩进 Char"/>
    <w:link w:val="60"/>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6"/>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7"/>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9"/>
    <w:qFormat/>
    <w:uiPriority w:val="0"/>
    <w:rPr>
      <w:kern w:val="2"/>
      <w:sz w:val="21"/>
      <w:szCs w:val="24"/>
    </w:rPr>
  </w:style>
  <w:style w:type="character" w:customStyle="1" w:styleId="854">
    <w:name w:val="签名 Char"/>
    <w:link w:val="41"/>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8"/>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9"/>
    <w:qFormat/>
    <w:uiPriority w:val="0"/>
    <w:rPr>
      <w:rFonts w:ascii="宋体"/>
    </w:rPr>
  </w:style>
  <w:style w:type="character" w:customStyle="1" w:styleId="865">
    <w:name w:val="标题 8 Char"/>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2"/>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0"/>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39"/>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1"/>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0"/>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2"/>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3"/>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4"/>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5"/>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6"/>
    <w:qFormat/>
    <w:uiPriority w:val="0"/>
    <w:rPr>
      <w:rFonts w:cs="宋体"/>
      <w:kern w:val="2"/>
      <w:sz w:val="24"/>
    </w:rPr>
  </w:style>
  <w:style w:type="character" w:customStyle="1" w:styleId="9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7"/>
    <w:qFormat/>
    <w:uiPriority w:val="0"/>
    <w:rPr>
      <w:kern w:val="2"/>
      <w:sz w:val="21"/>
      <w:szCs w:val="24"/>
      <w:lang w:val="zh-CN"/>
    </w:rPr>
  </w:style>
  <w:style w:type="character" w:customStyle="1" w:styleId="939">
    <w:name w:val="无间隔 Char"/>
    <w:link w:val="166"/>
    <w:qFormat/>
    <w:uiPriority w:val="99"/>
    <w:rPr>
      <w:kern w:val="2"/>
      <w:sz w:val="21"/>
      <w:szCs w:val="22"/>
    </w:rPr>
  </w:style>
  <w:style w:type="character" w:customStyle="1" w:styleId="940">
    <w:name w:val="标准文本 Char Char"/>
    <w:link w:val="605"/>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36791</Words>
  <Characters>38613</Characters>
  <Lines>327</Lines>
  <Paragraphs>92</Paragraphs>
  <TotalTime>187</TotalTime>
  <ScaleCrop>false</ScaleCrop>
  <LinksUpToDate>false</LinksUpToDate>
  <CharactersWithSpaces>44194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2022-04-11T02:28:00Z</dcterms:created>
  <dc:creator>玥</dc:creator>
  <cp:lastModifiedBy>高乐怡</cp:lastModifiedBy>
  <cp:lastPrinted>2022-04-13T08:07:00Z</cp:lastPrinted>
  <dcterms:modified xsi:type="dcterms:W3CDTF">2022-05-20T06:53:12Z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D5D6A146478441BA918FEEBFC1E56321</vt:lpwstr>
  </property>
</Properties>
</file>