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highlight w:val="yellow"/>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2022年度余杭区教育系统课桌椅规模化</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采购项目招标文件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highlight w:val="yellow"/>
        </w:rPr>
      </w:pPr>
      <w:r>
        <w:rPr>
          <w:rFonts w:hint="eastAsia" w:ascii="仿宋" w:hAnsi="仿宋" w:eastAsia="仿宋" w:cs="仿宋_GB2312"/>
          <w:sz w:val="30"/>
          <w:szCs w:val="30"/>
        </w:rPr>
        <w:t>项目编号</w:t>
      </w:r>
      <w:r>
        <w:rPr>
          <w:rFonts w:ascii="仿宋" w:hAnsi="仿宋" w:eastAsia="仿宋" w:cs="仿宋_GB2312"/>
          <w:sz w:val="30"/>
          <w:szCs w:val="30"/>
        </w:rPr>
        <w:t>:</w:t>
      </w:r>
      <w:r>
        <w:rPr>
          <w:rFonts w:hint="eastAsia" w:ascii="仿宋" w:hAnsi="仿宋" w:eastAsia="仿宋" w:cs="仿宋_GB2312"/>
          <w:sz w:val="30"/>
          <w:szCs w:val="30"/>
        </w:rPr>
        <w:t>HZYHZFCG-2022-008</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杭州市余杭区教育资产营运中心</w:t>
      </w:r>
    </w:p>
    <w:p>
      <w:pPr>
        <w:snapToGrid w:val="0"/>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杭州市公共资源交易中心余杭分中心</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cs="宋体"/>
          <w:bCs/>
          <w:sz w:val="32"/>
          <w:szCs w:val="32"/>
        </w:rPr>
        <w:t>二</w:t>
      </w:r>
      <w:r>
        <w:rPr>
          <w:rFonts w:hint="eastAsia" w:ascii="仿宋_GB2312" w:hAnsi="仿宋_GB2312" w:eastAsia="仿宋_GB2312" w:cs="仿宋_GB2312"/>
          <w:bCs/>
          <w:sz w:val="32"/>
          <w:szCs w:val="32"/>
        </w:rPr>
        <w:t>年四月八日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r>
        <w:rPr>
          <w:rFonts w:hint="eastAsia" w:ascii="仿宋" w:hAnsi="仿宋" w:eastAsia="仿宋" w:cs="仿宋_GB2312"/>
          <w:sz w:val="24"/>
        </w:rPr>
        <w:t xml:space="preserve"> </w:t>
      </w: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2022年度余杭区教育系统课桌椅规模化采购项目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4月29日10点30分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ascii="仿宋_GB2312" w:hAnsi="仿宋" w:eastAsia="仿宋_GB2312"/>
          <w:sz w:val="24"/>
        </w:rPr>
        <w:t>HZYHZFCG-2022-008</w:t>
      </w:r>
    </w:p>
    <w:p>
      <w:pPr>
        <w:spacing w:line="360" w:lineRule="auto"/>
        <w:ind w:firstLine="482" w:firstLineChars="200"/>
        <w:rPr>
          <w:rFonts w:ascii="仿宋_GB2312" w:hAnsi="仿宋" w:eastAsia="仿宋_GB2312" w:cs="仿宋_GB2312"/>
          <w:sz w:val="24"/>
          <w:highlight w:val="yellow"/>
        </w:rPr>
      </w:pPr>
      <w:r>
        <w:rPr>
          <w:rFonts w:ascii="仿宋_GB2312" w:hAnsi="仿宋" w:eastAsia="仿宋_GB2312"/>
          <w:b/>
          <w:sz w:val="24"/>
        </w:rPr>
        <w:t>项目名称：</w:t>
      </w:r>
      <w:r>
        <w:rPr>
          <w:rFonts w:hint="eastAsia" w:ascii="仿宋_GB2312" w:hAnsi="仿宋" w:eastAsia="仿宋_GB2312" w:cs="仿宋_GB2312"/>
          <w:sz w:val="24"/>
        </w:rPr>
        <w:t>2022年度余杭区教育系统课桌椅规模化采购项目</w:t>
      </w:r>
    </w:p>
    <w:p>
      <w:pPr>
        <w:spacing w:line="360" w:lineRule="auto"/>
        <w:ind w:firstLine="482" w:firstLineChars="200"/>
        <w:rPr>
          <w:rFonts w:ascii="仿宋_GB2312" w:hAnsi="仿宋" w:eastAsia="仿宋_GB2312" w:cs="仿宋_GB2312"/>
          <w:sz w:val="24"/>
          <w:highlight w:val="yellow"/>
        </w:rPr>
      </w:pPr>
      <w:r>
        <w:rPr>
          <w:rFonts w:hint="eastAsia" w:ascii="仿宋_GB2312" w:hAnsi="仿宋" w:eastAsia="仿宋_GB2312" w:cs="仿宋_GB2312"/>
          <w:b/>
          <w:sz w:val="24"/>
        </w:rPr>
        <w:t>确认书编号：</w:t>
      </w:r>
      <w:r>
        <w:rPr>
          <w:rFonts w:hint="eastAsia" w:ascii="仿宋_GB2312" w:hAnsi="仿宋" w:eastAsia="仿宋_GB2312" w:cs="仿宋_GB2312"/>
          <w:sz w:val="24"/>
        </w:rPr>
        <w:t>余政采分-2022-00304</w:t>
      </w:r>
    </w:p>
    <w:p>
      <w:pPr>
        <w:spacing w:line="360" w:lineRule="auto"/>
        <w:rPr>
          <w:rFonts w:ascii="仿宋_GB2312" w:hAnsi="仿宋" w:eastAsia="仿宋_GB2312"/>
          <w:sz w:val="24"/>
          <w:highlight w:val="yellow"/>
        </w:rPr>
      </w:pPr>
      <w:r>
        <w:rPr>
          <w:rFonts w:ascii="仿宋_GB2312" w:hAnsi="仿宋" w:eastAsia="仿宋_GB2312"/>
          <w:sz w:val="24"/>
        </w:rPr>
        <w:t xml:space="preserve">   </w:t>
      </w:r>
      <w:r>
        <w:rPr>
          <w:rFonts w:ascii="仿宋_GB2312" w:hAnsi="仿宋" w:eastAsia="仿宋_GB2312"/>
          <w:b/>
          <w:sz w:val="24"/>
        </w:rPr>
        <w:t xml:space="preserve"> 预算金额：</w:t>
      </w:r>
      <w:r>
        <w:rPr>
          <w:rFonts w:hint="eastAsia" w:ascii="仿宋_GB2312" w:hAnsi="仿宋" w:eastAsia="仿宋_GB2312"/>
          <w:sz w:val="24"/>
        </w:rPr>
        <w:t>567.9000万元</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2022年度余杭区教育系统课桌椅规模化采购项目主要内容：采购清单中货物供货、安装调试、货物验收、培训、质保期内的售后服务等。详见招标文件第三部分采购需求。</w:t>
      </w:r>
    </w:p>
    <w:p>
      <w:pPr>
        <w:pStyle w:val="85"/>
        <w:ind w:firstLine="482"/>
        <w:outlineLvl w:val="2"/>
        <w:rPr>
          <w:rFonts w:ascii="仿宋_GB2312" w:hAnsi="仿宋" w:eastAsia="仿宋_GB2312"/>
        </w:rPr>
      </w:pPr>
      <w:r>
        <w:rPr>
          <w:rFonts w:hint="eastAsia" w:ascii="仿宋_GB2312" w:hAnsi="仿宋" w:eastAsia="仿宋_GB2312"/>
          <w:b/>
        </w:rPr>
        <w:t>合同履约期限：</w:t>
      </w:r>
      <w:r>
        <w:rPr>
          <w:rFonts w:hint="eastAsia" w:ascii="仿宋_GB2312" w:hAnsi="仿宋" w:eastAsia="仿宋_GB2312"/>
        </w:rPr>
        <w:t>原则上2022年7月31日前完成供货、安装调试及学校初步验收。具体安装时间可与学校协商，但不得影响学校正常教学使用。</w:t>
      </w:r>
    </w:p>
    <w:p>
      <w:pPr>
        <w:pStyle w:val="85"/>
        <w:ind w:firstLine="482"/>
        <w:outlineLvl w:val="2"/>
        <w:rPr>
          <w:rFonts w:ascii="仿宋_GB2312" w:hAnsi="仿宋" w:eastAsia="仿宋_GB2312"/>
        </w:rPr>
      </w:pPr>
      <w:r>
        <w:rPr>
          <w:rFonts w:hint="eastAsia" w:ascii="仿宋_GB2312" w:hAnsi="仿宋" w:eastAsia="仿宋_GB2312"/>
          <w:b/>
        </w:rPr>
        <w:t>本项目接受联合体投标：</w:t>
      </w:r>
      <w:r>
        <w:rPr>
          <w:rFonts w:ascii="MS Gothic" w:hAnsi="MS Gothic" w:eastAsia="MS Gothic" w:cs="Arial"/>
          <w:kern w:val="0"/>
        </w:rPr>
        <w:t>☐</w:t>
      </w:r>
      <w:r>
        <w:rPr>
          <w:rFonts w:hint="eastAsia" w:ascii="仿宋_GB2312" w:hAnsi="仿宋" w:eastAsia="仿宋_GB2312"/>
          <w:b/>
        </w:rPr>
        <w:t>是，</w:t>
      </w:r>
      <w:r>
        <w:rPr>
          <w:rFonts w:ascii="MS Gothic" w:hAnsi="MS Gothic" w:eastAsia="MS Gothic" w:cs="Arial"/>
          <w:kern w:val="0"/>
        </w:rPr>
        <w:sym w:font="Wingdings" w:char="F0FE"/>
      </w:r>
      <w:r>
        <w:rPr>
          <w:rFonts w:hint="eastAsia" w:ascii="仿宋_GB2312" w:hAnsi="仿宋" w:eastAsia="仿宋_GB2312"/>
          <w:b/>
        </w:rPr>
        <w:t>否</w:t>
      </w:r>
      <w:r>
        <w:rPr>
          <w:rFonts w:hint="eastAsia" w:ascii="宋体" w:hAnsi="宋体" w:cs="Arial"/>
          <w:kern w:val="0"/>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F0FE"/>
      </w:r>
      <w:r>
        <w:rPr>
          <w:rFonts w:ascii="MS Gothic" w:hAnsi="MS Gothic" w:eastAsia="MS Gothic" w:cs="Arial"/>
          <w:kern w:val="0"/>
          <w:sz w:val="24"/>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服务全部由符合政策要求的小微企业承接，提供中小企业声明函；</w:t>
      </w:r>
    </w:p>
    <w:p>
      <w:pPr>
        <w:rPr>
          <w:highlight w:val="yellow"/>
        </w:rPr>
      </w:pP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3.本项目的特定资格要求：无</w:t>
      </w:r>
      <w:r>
        <w:rPr>
          <w:rFonts w:hint="eastAsia" w:ascii="仿宋_GB2312" w:hAnsi="仿宋" w:eastAsia="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4</w:t>
      </w:r>
      <w:r>
        <w:rPr>
          <w:rFonts w:ascii="仿宋_GB2312" w:hAnsi="仿宋" w:eastAsia="仿宋_GB2312"/>
          <w:sz w:val="24"/>
          <w:u w:val="single"/>
        </w:rPr>
        <w:t>月</w:t>
      </w:r>
      <w:r>
        <w:rPr>
          <w:rFonts w:hint="eastAsia" w:ascii="仿宋_GB2312" w:hAnsi="仿宋" w:eastAsia="仿宋_GB2312"/>
          <w:sz w:val="24"/>
          <w:u w:val="single"/>
          <w:lang w:val="en-US" w:eastAsia="zh-CN"/>
        </w:rPr>
        <w:t>29</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4月29日10点30分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rPr>
        <w:t>4月29日10点30分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hint="eastAsia" w:ascii="仿宋" w:hAnsi="仿宋" w:eastAsia="仿宋" w:cs="仿宋"/>
          <w:b/>
          <w:bCs/>
          <w:color w:val="000000"/>
          <w:sz w:val="24"/>
        </w:rPr>
        <w:t>杭州市公共资源交易中心余杭分中心</w:t>
      </w:r>
      <w:r>
        <w:rPr>
          <w:rFonts w:hint="eastAsia" w:ascii="仿宋" w:hAnsi="仿宋" w:eastAsia="仿宋" w:cs="仿宋"/>
          <w:color w:val="000000"/>
          <w:sz w:val="24"/>
        </w:rPr>
        <w:t>(</w:t>
      </w:r>
      <w:r>
        <w:rPr>
          <w:rFonts w:hint="eastAsia" w:ascii="仿宋" w:hAnsi="仿宋" w:eastAsia="仿宋" w:cs="仿宋"/>
          <w:color w:val="171A1D"/>
          <w:sz w:val="24"/>
          <w:shd w:val="clear" w:color="auto" w:fill="FFFFFF"/>
        </w:rPr>
        <w:t>杭州市余杭区瓶窑镇前程路20号余杭市民之家北六楼</w:t>
      </w:r>
      <w:r>
        <w:rPr>
          <w:rFonts w:hint="eastAsia" w:ascii="仿宋" w:hAnsi="仿宋" w:eastAsia="仿宋" w:cs="仿宋"/>
          <w:color w:val="000000"/>
          <w:sz w:val="24"/>
        </w:rPr>
        <w:t>)</w:t>
      </w:r>
      <w:r>
        <w:rPr>
          <w:rFonts w:hint="eastAsia" w:ascii="仿宋" w:hAnsi="仿宋" w:eastAsia="仿宋" w:cs="仿宋"/>
          <w:b/>
          <w:color w:val="000000"/>
          <w:kern w:val="0"/>
          <w:sz w:val="24"/>
          <w:u w:val="single"/>
        </w:rPr>
        <w:t xml:space="preserve">3 </w:t>
      </w:r>
      <w:r>
        <w:rPr>
          <w:rFonts w:hint="eastAsia" w:ascii="仿宋" w:hAnsi="仿宋" w:eastAsia="仿宋" w:cs="仿宋"/>
          <w:b/>
          <w:color w:val="000000"/>
          <w:kern w:val="0"/>
          <w:sz w:val="24"/>
        </w:rPr>
        <w:t xml:space="preserve"> 号开标室</w:t>
      </w:r>
      <w:r>
        <w:rPr>
          <w:rFonts w:hint="eastAsia" w:ascii="宋体" w:hAnsi="宋体"/>
          <w:sz w:val="24"/>
        </w:rPr>
        <w:t xml:space="preserve"> ，</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firstLine="48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杭州市余杭区教育资产营运中心</w:t>
      </w:r>
    </w:p>
    <w:p>
      <w:pPr>
        <w:spacing w:line="360" w:lineRule="auto"/>
        <w:ind w:firstLine="480"/>
        <w:rPr>
          <w:rFonts w:ascii="仿宋" w:hAnsi="仿宋" w:eastAsia="仿宋" w:cs="仿宋_GB2312"/>
          <w:sz w:val="24"/>
        </w:rPr>
      </w:pPr>
      <w:r>
        <w:rPr>
          <w:rFonts w:ascii="仿宋_GB2312" w:hAnsi="仿宋" w:eastAsia="仿宋_GB2312"/>
          <w:sz w:val="24"/>
        </w:rPr>
        <w:t>地    址：</w:t>
      </w:r>
      <w:r>
        <w:rPr>
          <w:rFonts w:hint="eastAsia" w:ascii="仿宋" w:hAnsi="仿宋" w:eastAsia="仿宋" w:cs="仿宋_GB2312"/>
          <w:sz w:val="24"/>
        </w:rPr>
        <w:t>杭州市余杭区五常街道西坝路51号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项目联系人（询问）：徐老师</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仿宋_GB2312" w:hAnsi="仿宋" w:eastAsia="仿宋_GB2312"/>
          <w:sz w:val="24"/>
        </w:rPr>
        <w:t xml:space="preserve"> </w:t>
      </w:r>
      <w:r>
        <w:rPr>
          <w:rFonts w:ascii="仿宋_GB2312" w:hAnsi="仿宋" w:eastAsia="仿宋_GB2312"/>
          <w:sz w:val="24"/>
        </w:rPr>
        <w:t>0571-89392667</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_GB2312" w:hAnsi="仿宋" w:eastAsia="仿宋_GB2312"/>
          <w:sz w:val="24"/>
        </w:rPr>
        <w:t>郑老师</w:t>
      </w:r>
    </w:p>
    <w:p>
      <w:pPr>
        <w:spacing w:line="360" w:lineRule="auto"/>
        <w:rPr>
          <w:rFonts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 xml:space="preserve"> </w:t>
      </w:r>
      <w:r>
        <w:rPr>
          <w:rFonts w:ascii="仿宋_GB2312" w:hAnsi="仿宋" w:eastAsia="仿宋_GB2312"/>
          <w:sz w:val="24"/>
        </w:rPr>
        <w:t>0571-89178127</w:t>
      </w:r>
    </w:p>
    <w:p>
      <w:pPr>
        <w:spacing w:line="360" w:lineRule="auto"/>
        <w:rPr>
          <w:rFonts w:ascii="仿宋" w:hAnsi="仿宋" w:eastAsia="仿宋" w:cs="仿宋"/>
          <w:color w:val="000000"/>
          <w:sz w:val="24"/>
        </w:rPr>
      </w:pPr>
      <w:r>
        <w:rPr>
          <w:rFonts w:ascii="仿宋_GB2312" w:hAnsi="仿宋" w:eastAsia="仿宋_GB2312"/>
          <w:sz w:val="24"/>
        </w:rPr>
        <w:t xml:space="preserve">   </w:t>
      </w:r>
      <w:r>
        <w:rPr>
          <w:rFonts w:hint="eastAsia" w:ascii="仿宋" w:hAnsi="仿宋" w:eastAsia="仿宋" w:cs="仿宋"/>
          <w:color w:val="000000"/>
          <w:sz w:val="24"/>
        </w:rPr>
        <w:t xml:space="preserve"> 2.采购代理机构信息            </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名    称：杭州市公共资源交易中心余杭分中心</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 xml:space="preserve">地    址： 杭州市余杭区瓶窑镇前程路20号市民之家北六楼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传    真：/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电子邮箱： hzyhzfcg@126.com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项目联系人（询问）： 高乐怡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项目联系方式（询问）： 0571-89392722 </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质疑联系人：  邵华民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质疑联系方式： 0571-89385161</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3.同级政府采购监督管理部门            </w:t>
      </w:r>
    </w:p>
    <w:p>
      <w:pPr>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名    称： 杭州市余杭区财政局</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地    址： 余杭区五常街道溪沁路8号 中国电信浙江创新园</w:t>
      </w:r>
    </w:p>
    <w:p>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 xml:space="preserve">  传    真： 0571-88728858</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联系人 ：杜国强  </w:t>
      </w:r>
    </w:p>
    <w:p>
      <w:pPr>
        <w:spacing w:line="360" w:lineRule="auto"/>
        <w:ind w:firstLine="480" w:firstLineChars="200"/>
        <w:rPr>
          <w:rFonts w:ascii="仿宋_GB2312" w:hAnsi="仿宋" w:eastAsia="仿宋_GB2312"/>
          <w:sz w:val="24"/>
        </w:rPr>
      </w:pPr>
      <w:r>
        <w:rPr>
          <w:rFonts w:hint="eastAsia" w:ascii="仿宋" w:hAnsi="仿宋" w:eastAsia="仿宋" w:cs="仿宋"/>
          <w:color w:val="000000"/>
          <w:sz w:val="24"/>
        </w:rPr>
        <w:t xml:space="preserve">监督投诉电话：0571-88728858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35"/>
        <w:gridCol w:w="61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1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sz w:val="24"/>
              </w:rPr>
              <w:t>1</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手摇式单人单斗升降课桌椅</w:t>
            </w:r>
            <w:r>
              <w:rPr>
                <w:rFonts w:hint="eastAsia" w:ascii="仿宋_GB2312" w:hAnsi="仿宋" w:eastAsia="仿宋_GB2312"/>
                <w:sz w:val="24"/>
              </w:rPr>
              <w:t>。</w:t>
            </w:r>
          </w:p>
          <w:p>
            <w:pPr>
              <w:spacing w:line="360" w:lineRule="auto"/>
              <w:rPr>
                <w:rFonts w:ascii="仿宋_GB2312" w:hAnsi="仿宋" w:eastAsia="仿宋_GB2312" w:cs="仿宋_GB2312"/>
                <w:b/>
                <w:sz w:val="24"/>
              </w:rPr>
            </w:pPr>
            <w:r>
              <w:rPr>
                <w:rFonts w:ascii="MS Gothic" w:hAnsi="MS Gothic" w:eastAsia="仿宋_GB2312" w:cs="Arial"/>
                <w:kern w:val="0"/>
                <w:sz w:val="24"/>
              </w:rPr>
              <w:t>☐</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1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手摇式单人单斗升降课桌椅</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工业</w:t>
            </w:r>
            <w:r>
              <w:rPr>
                <w:rFonts w:hint="eastAsia" w:ascii="仿宋_GB2312" w:hAnsi="仿宋" w:eastAsia="仿宋_GB2312" w:cs="Arial"/>
                <w:kern w:val="0"/>
                <w:sz w:val="24"/>
              </w:rPr>
              <w:t>行业；</w:t>
            </w:r>
          </w:p>
          <w:p>
            <w:pPr>
              <w:pStyle w:val="3"/>
              <w:ind w:left="0" w:firstLine="0"/>
              <w:rPr>
                <w:rFonts w:ascii="MS Gothic" w:hAnsi="MS Gothic" w:cs="Arial"/>
                <w:kern w:val="0"/>
                <w:sz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MS Gothic" w:hAnsi="MS Gothic" w:eastAsia="MS Gothic" w:cs="Arial"/>
                <w:kern w:val="0"/>
                <w:sz w:val="24"/>
                <w:highlight w:val="yellow"/>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MS Gothic" w:hAnsi="MS Gothic" w:eastAsia="MS Gothic" w:cs="Arial"/>
                <w:kern w:val="0"/>
                <w:sz w:val="24"/>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6</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MS Gothic" w:cs="Arial"/>
                <w:kern w:val="0"/>
                <w:sz w:val="24"/>
              </w:rPr>
              <w:t>☐</w:t>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rPr>
              <w:sym w:font="Wingdings" w:char="F0FE"/>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样品：手摇式单人单斗升降课桌椅小学1套，初中、高中1套</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样品制作的标准和要求：详见采购清单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rPr>
              <w:sym w:font="Wingdings" w:char="F0FE"/>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 w:hAnsi="仿宋" w:eastAsia="仿宋" w:cs="仿宋"/>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2022年4月28日9：00至12:00,13:00至15：00 </w:t>
            </w:r>
            <w:r>
              <w:rPr>
                <w:rFonts w:hint="eastAsia" w:ascii="仿宋_GB2312" w:hAnsi="仿宋" w:eastAsia="仿宋_GB2312"/>
                <w:kern w:val="0"/>
                <w:sz w:val="24"/>
              </w:rPr>
              <w:t>；地点：</w:t>
            </w:r>
            <w:r>
              <w:rPr>
                <w:rFonts w:hint="eastAsia" w:ascii="仿宋_GB2312" w:hAnsi="仿宋" w:eastAsia="仿宋_GB2312"/>
                <w:kern w:val="0"/>
                <w:sz w:val="24"/>
                <w:u w:val="single"/>
              </w:rPr>
              <w:t>从</w:t>
            </w:r>
            <w:r>
              <w:rPr>
                <w:rFonts w:hint="eastAsia" w:ascii="仿宋_GB2312" w:hAnsi="仿宋" w:eastAsia="仿宋_GB2312"/>
                <w:sz w:val="24"/>
                <w:u w:val="single"/>
              </w:rPr>
              <w:t>瓶窑二小东大门进入一楼舞蹈教室</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徐升</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kern w:val="28"/>
                <w:sz w:val="24"/>
                <w:u w:val="single"/>
              </w:rPr>
              <w:t>15867188464</w:t>
            </w:r>
            <w:r>
              <w:rPr>
                <w:rFonts w:hint="eastAsia" w:ascii="仿宋_GB2312" w:hAnsi="仿宋" w:eastAsia="仿宋_GB2312"/>
                <w:sz w:val="24"/>
              </w:rPr>
              <w:t>。</w:t>
            </w:r>
            <w:r>
              <w:rPr>
                <w:rFonts w:hint="eastAsia" w:ascii="仿宋" w:hAnsi="仿宋" w:eastAsia="仿宋" w:cs="仿宋"/>
                <w:b/>
                <w:bCs/>
                <w:sz w:val="24"/>
              </w:rPr>
              <w:t>送样品人员必须符合当地防疫要求。</w:t>
            </w:r>
            <w:r>
              <w:rPr>
                <w:rFonts w:hint="eastAsia" w:ascii="仿宋_GB2312" w:hAnsi="仿宋" w:eastAsia="仿宋_GB2312"/>
                <w:sz w:val="24"/>
              </w:rPr>
              <w:t>请投标人在上述时间内提供样品并按规定位置安</w:t>
            </w:r>
            <w:r>
              <w:rPr>
                <w:rFonts w:hint="eastAsia" w:ascii="仿宋" w:hAnsi="仿宋" w:eastAsia="仿宋" w:cs="仿宋"/>
                <w:sz w:val="24"/>
              </w:rPr>
              <w:t>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szCs w:val="20"/>
              </w:rPr>
              <w:t>（6）投标人不提供样品则视其投标无效，样品提供不全、外观尺寸明显不符合要求、或技术参数明显不符合招标文件要求的则样品分为0分。</w:t>
            </w:r>
            <w:r>
              <w:rPr>
                <w:rFonts w:hint="eastAsia" w:ascii="仿宋" w:hAnsi="仿宋" w:eastAsia="仿宋" w:cs="仿宋"/>
                <w:sz w:val="24"/>
              </w:rPr>
              <w:t>样品不得出现能代表投标人和品牌的名称、标志、文字、图案、LOGO等所有暗示性内容，否则视为无效投标。</w:t>
            </w:r>
          </w:p>
          <w:p>
            <w:pPr>
              <w:spacing w:line="360" w:lineRule="auto"/>
              <w:rPr>
                <w:rFonts w:ascii="仿宋" w:hAnsi="仿宋" w:eastAsia="仿宋" w:cs="仿宋"/>
                <w:sz w:val="24"/>
              </w:rPr>
            </w:pPr>
            <w:r>
              <w:rPr>
                <w:rFonts w:hint="eastAsia" w:ascii="仿宋" w:hAnsi="仿宋" w:eastAsia="仿宋" w:cs="仿宋"/>
                <w:sz w:val="24"/>
              </w:rPr>
              <w:t>（7）中标单位的“样品”将由采购人予以保存作为项目验收的重要依据。未中标投标人的“样品”由投标人在中标公告结束后三个工作日内从采购人处自行领回，逾期采购人将不予保管。</w:t>
            </w:r>
          </w:p>
          <w:p>
            <w:pPr>
              <w:spacing w:line="360" w:lineRule="auto"/>
              <w:rPr>
                <w:rFonts w:ascii="MS Gothic" w:hAnsi="MS Gothic" w:eastAsia="MS Gothic" w:cs="Arial"/>
                <w:kern w:val="0"/>
                <w:sz w:val="24"/>
                <w:highlight w:val="yellow"/>
              </w:rPr>
            </w:pPr>
            <w:r>
              <w:rPr>
                <w:rFonts w:hint="eastAsia" w:ascii="仿宋" w:hAnsi="仿宋" w:eastAsia="仿宋" w:cs="仿宋"/>
                <w:sz w:val="24"/>
              </w:rPr>
              <w:t>（8）制作、运输、安装和保管样品所发生的一切费用由投标人自理。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7</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方案讲解演示</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MS Gothic" w:hAnsi="MS Gothic" w:eastAsia="MS Gothic" w:cs="Arial"/>
                <w:kern w:val="0"/>
                <w:sz w:val="24"/>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8</w:t>
            </w:r>
          </w:p>
        </w:tc>
        <w:tc>
          <w:tcPr>
            <w:tcW w:w="1835"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MS Gothic" w:hAnsi="MS Gothic" w:eastAsia="MS Gothic" w:cs="Arial"/>
                <w:kern w:val="0"/>
                <w:sz w:val="24"/>
                <w:highlight w:val="yellow"/>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35"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MS Gothic" w:hAnsi="MS Gothic" w:eastAsia="MS Gothic" w:cs="Arial"/>
                <w:kern w:val="0"/>
                <w:sz w:val="24"/>
                <w:highlight w:val="yellow"/>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9</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w:t>
            </w:r>
            <w:r>
              <w:rPr>
                <w:rFonts w:hint="eastAsia" w:ascii="宋体" w:hAnsi="宋体" w:cs="宋体"/>
                <w:bCs/>
                <w:color w:val="000000"/>
                <w:kern w:val="0"/>
                <w:sz w:val="24"/>
              </w:rPr>
              <w:t>、</w:t>
            </w:r>
            <w:r>
              <w:rPr>
                <w:rFonts w:hint="eastAsia" w:ascii="仿宋_GB2312" w:hAnsi="仿宋" w:eastAsia="仿宋_GB2312" w:cs="仿宋_GB2312"/>
                <w:b/>
                <w:sz w:val="24"/>
              </w:rPr>
              <w:t>环境标志产品</w:t>
            </w:r>
          </w:p>
        </w:tc>
        <w:tc>
          <w:tcPr>
            <w:tcW w:w="61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宋体" w:hAnsi="宋体" w:cs="宋体"/>
                <w:bCs/>
                <w:color w:val="000000"/>
                <w:kern w:val="0"/>
                <w:sz w:val="24"/>
              </w:rPr>
              <w:t xml:space="preserve">   </w:t>
            </w:r>
            <w:r>
              <w:rPr>
                <w:rFonts w:hint="eastAsia" w:ascii="仿宋" w:hAnsi="仿宋" w:eastAsia="仿宋" w:cs="仿宋"/>
                <w:kern w:val="0"/>
                <w:sz w:val="24"/>
              </w:rPr>
              <w:t xml:space="preserve"> 1、根据《财政部 发展改革委 生态环境部 </w:t>
            </w:r>
            <w:r>
              <w:fldChar w:fldCharType="begin"/>
            </w:r>
            <w:r>
              <w:instrText xml:space="preserve"> HYPERLINK "http://www.tanjiaoyi.com/tanshichang/" \t "http://www.tanjiaoyi.com/_blank" </w:instrText>
            </w:r>
            <w:r>
              <w:fldChar w:fldCharType="separate"/>
            </w:r>
            <w:r>
              <w:rPr>
                <w:rFonts w:hint="eastAsia" w:ascii="仿宋" w:hAnsi="仿宋" w:eastAsia="仿宋" w:cs="仿宋"/>
                <w:kern w:val="0"/>
                <w:sz w:val="24"/>
              </w:rPr>
              <w:t>市场</w:t>
            </w:r>
            <w:r>
              <w:rPr>
                <w:rFonts w:hint="eastAsia" w:ascii="仿宋" w:hAnsi="仿宋" w:eastAsia="仿宋" w:cs="仿宋"/>
                <w:kern w:val="0"/>
                <w:sz w:val="24"/>
              </w:rPr>
              <w:fldChar w:fldCharType="end"/>
            </w:r>
            <w:r>
              <w:rPr>
                <w:rFonts w:hint="eastAsia" w:ascii="仿宋" w:hAnsi="仿宋" w:eastAsia="仿宋" w:cs="仿宋"/>
                <w:kern w:val="0"/>
                <w:sz w:val="24"/>
              </w:rPr>
              <w:t>监管总局关于调整优化</w:t>
            </w:r>
            <w:r>
              <w:fldChar w:fldCharType="begin"/>
            </w:r>
            <w:r>
              <w:instrText xml:space="preserve"> HYPERLINK "http://www.tanjiaoyi.com/jienengjianpai/" \t "http://www.tanjiaoyi.com/_blank" </w:instrText>
            </w:r>
            <w:r>
              <w:fldChar w:fldCharType="separate"/>
            </w:r>
            <w:r>
              <w:rPr>
                <w:rFonts w:hint="eastAsia" w:ascii="仿宋" w:hAnsi="仿宋" w:eastAsia="仿宋" w:cs="仿宋"/>
                <w:kern w:val="0"/>
                <w:sz w:val="24"/>
              </w:rPr>
              <w:t>节能</w:t>
            </w:r>
            <w:r>
              <w:rPr>
                <w:rFonts w:hint="eastAsia" w:ascii="仿宋" w:hAnsi="仿宋" w:eastAsia="仿宋" w:cs="仿宋"/>
                <w:kern w:val="0"/>
                <w:sz w:val="24"/>
              </w:rPr>
              <w:fldChar w:fldCharType="end"/>
            </w:r>
            <w:r>
              <w:rPr>
                <w:rFonts w:hint="eastAsia" w:ascii="仿宋" w:hAnsi="仿宋" w:eastAsia="仿宋" w:cs="仿宋"/>
                <w:kern w:val="0"/>
                <w:sz w:val="24"/>
              </w:rPr>
              <w:t>产品、环境标志产品政府采购执行机制的通知》（财库〔2019〕9号）文件要求，本项目如必须采购品目清单中的政府强制采购的产品，投标人所投的相应产品须为属于品目清单范围内、处于有效期内的产品。</w:t>
            </w:r>
          </w:p>
          <w:p>
            <w:pPr>
              <w:snapToGrid w:val="0"/>
              <w:spacing w:line="360" w:lineRule="auto"/>
              <w:rPr>
                <w:rFonts w:ascii="MS Gothic" w:hAnsi="MS Gothic" w:eastAsia="MS Gothic" w:cs="Arial"/>
                <w:kern w:val="0"/>
                <w:sz w:val="24"/>
                <w:highlight w:val="yellow"/>
              </w:rPr>
            </w:pPr>
            <w:r>
              <w:rPr>
                <w:rFonts w:hint="eastAsia" w:ascii="仿宋" w:hAnsi="仿宋" w:eastAsia="仿宋" w:cs="仿宋"/>
                <w:kern w:val="0"/>
                <w:sz w:val="24"/>
              </w:rPr>
              <w:t xml:space="preserve">    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0</w:t>
            </w:r>
          </w:p>
        </w:tc>
        <w:tc>
          <w:tcPr>
            <w:tcW w:w="1835"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10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9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35" w:type="dxa"/>
            <w:tcBorders>
              <w:top w:val="single" w:color="000000" w:sz="8" w:space="0"/>
              <w:left w:val="single" w:color="000000" w:sz="2"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1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FF0000"/>
                <w:sz w:val="24"/>
              </w:rPr>
            </w:pPr>
            <w:r>
              <w:rPr>
                <w:rFonts w:hint="eastAsia" w:ascii="仿宋" w:hAnsi="仿宋" w:eastAsia="仿宋" w:cs="仿宋"/>
                <w:color w:val="000000"/>
                <w:sz w:val="24"/>
              </w:rPr>
              <w:t xml:space="preserve">    根据《余杭区政府采购支持中小企业信用融资暂行办法》（余财采〔2015〕1号）的规定，凡已在浙江政府采购网上注册入库，并取得余杭区政府采购合同的区内中小企业供应商，均可申请政府采购信用融资。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10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投标人应当在投标截止时间前半小时内将以介质存储的数据电文形式的备份投标文件密封送交到</w:t>
            </w:r>
            <w:r>
              <w:rPr>
                <w:rFonts w:hint="eastAsia" w:ascii="仿宋" w:hAnsi="仿宋" w:eastAsia="仿宋" w:cs="仿宋"/>
                <w:b/>
                <w:bCs/>
                <w:color w:val="000000"/>
                <w:sz w:val="24"/>
              </w:rPr>
              <w:t>杭州市公共资源交易中心余杭分中心</w:t>
            </w:r>
            <w:r>
              <w:rPr>
                <w:rFonts w:hint="eastAsia" w:ascii="仿宋" w:hAnsi="仿宋" w:eastAsia="仿宋" w:cs="仿宋"/>
                <w:color w:val="000000"/>
                <w:sz w:val="24"/>
              </w:rPr>
              <w:t>(</w:t>
            </w:r>
            <w:r>
              <w:rPr>
                <w:rFonts w:hint="eastAsia" w:ascii="仿宋" w:hAnsi="仿宋" w:eastAsia="仿宋" w:cs="仿宋"/>
                <w:color w:val="171A1D"/>
                <w:sz w:val="24"/>
                <w:shd w:val="clear" w:color="auto" w:fill="FFFFFF"/>
              </w:rPr>
              <w:t>杭州市余杭区瓶窑镇前程路20号余杭市民之家北六楼</w:t>
            </w:r>
            <w:r>
              <w:rPr>
                <w:rFonts w:hint="eastAsia" w:ascii="仿宋" w:hAnsi="仿宋" w:eastAsia="仿宋" w:cs="仿宋"/>
                <w:color w:val="000000"/>
                <w:sz w:val="24"/>
              </w:rPr>
              <w:t>)</w:t>
            </w:r>
            <w:r>
              <w:rPr>
                <w:rFonts w:hint="eastAsia" w:ascii="仿宋" w:hAnsi="仿宋" w:eastAsia="仿宋" w:cs="仿宋"/>
                <w:b/>
                <w:color w:val="000000"/>
                <w:kern w:val="0"/>
                <w:sz w:val="24"/>
                <w:u w:val="single"/>
                <w:lang w:val="en-US" w:eastAsia="zh-CN"/>
              </w:rPr>
              <w:t>3</w:t>
            </w:r>
            <w:r>
              <w:rPr>
                <w:rFonts w:hint="eastAsia" w:ascii="仿宋" w:hAnsi="仿宋" w:eastAsia="仿宋" w:cs="仿宋"/>
                <w:b/>
                <w:color w:val="000000"/>
                <w:kern w:val="0"/>
                <w:sz w:val="24"/>
              </w:rPr>
              <w:t>号开标室</w:t>
            </w:r>
            <w:r>
              <w:rPr>
                <w:rFonts w:hint="eastAsia" w:ascii="仿宋" w:hAnsi="仿宋" w:eastAsia="仿宋" w:cs="仿宋"/>
                <w:color w:val="000000"/>
                <w:kern w:val="0"/>
                <w:sz w:val="24"/>
              </w:rPr>
              <w:t>，逾期送达或未密封将被拒收。</w:t>
            </w:r>
          </w:p>
          <w:p>
            <w:pPr>
              <w:pStyle w:val="32"/>
              <w:spacing w:line="360" w:lineRule="auto"/>
              <w:rPr>
                <w:rFonts w:ascii="仿宋_GB2312" w:hAnsi="仿宋" w:eastAsia="仿宋_GB2312"/>
                <w:kern w:val="28"/>
                <w:sz w:val="24"/>
              </w:rPr>
            </w:pPr>
            <w:r>
              <w:rPr>
                <w:rFonts w:hint="eastAsia" w:ascii="仿宋_GB2312" w:hAnsi="仿宋" w:eastAsia="仿宋_GB2312" w:cs="仿宋_GB2312"/>
                <w:b/>
                <w:sz w:val="24"/>
                <w:szCs w:val="24"/>
              </w:rPr>
              <w:t xml:space="preserve">    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13</w:t>
            </w:r>
          </w:p>
        </w:tc>
        <w:tc>
          <w:tcPr>
            <w:tcW w:w="183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10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2" w:firstLineChars="200"/>
        <w:rPr>
          <w:rFonts w:ascii="仿宋_GB2312" w:hAnsi="仿宋" w:eastAsia="仿宋_GB2312"/>
          <w:b/>
          <w:bCs/>
          <w:sz w:val="28"/>
          <w:szCs w:val="28"/>
        </w:rPr>
      </w:pPr>
      <w:r>
        <w:rPr>
          <w:rFonts w:ascii="仿宋_GB2312" w:hAnsi="仿宋" w:eastAsia="仿宋_GB2312"/>
          <w:b/>
          <w:bCs/>
          <w:sz w:val="24"/>
        </w:rPr>
        <w:t xml:space="preserve">2.7 </w:t>
      </w:r>
      <w:r>
        <w:rPr>
          <w:rFonts w:hint="eastAsia" w:ascii="仿宋_GB2312" w:hAnsi="仿宋" w:eastAsia="仿宋_GB2312"/>
          <w:b/>
          <w:bCs/>
          <w:sz w:val="24"/>
        </w:rPr>
        <w:t>“▲”</w:t>
      </w:r>
      <w:r>
        <w:rPr>
          <w:rFonts w:ascii="仿宋_GB2312" w:hAnsi="仿宋" w:eastAsia="仿宋_GB2312"/>
          <w:b/>
          <w:bCs/>
          <w:sz w:val="24"/>
        </w:rPr>
        <w:t xml:space="preserve"> </w:t>
      </w:r>
      <w:r>
        <w:rPr>
          <w:rFonts w:hint="eastAsia" w:ascii="仿宋_GB2312" w:hAnsi="仿宋" w:eastAsia="仿宋_GB2312"/>
          <w:b/>
          <w:bCs/>
          <w:sz w:val="24"/>
        </w:rPr>
        <w:t>系指实质性要求条款，“★”系产品采购项目中单一产品或核心产品，“</w:t>
      </w:r>
      <w:r>
        <w:rPr>
          <w:rFonts w:ascii="Wingdings" w:hAnsi="Wingdings" w:eastAsia="仿宋_GB2312" w:cs="Arial"/>
          <w:b/>
          <w:bCs/>
          <w:kern w:val="0"/>
          <w:sz w:val="24"/>
        </w:rPr>
        <w:t></w:t>
      </w:r>
      <w:r>
        <w:rPr>
          <w:rFonts w:hint="eastAsia" w:ascii="仿宋_GB2312" w:hAnsi="仿宋" w:eastAsia="仿宋_GB2312"/>
          <w:b/>
          <w:bCs/>
          <w:sz w:val="24"/>
        </w:rPr>
        <w:t>”</w:t>
      </w:r>
      <w:r>
        <w:rPr>
          <w:rFonts w:ascii="仿宋_GB2312" w:hAnsi="仿宋" w:eastAsia="仿宋_GB2312"/>
          <w:b/>
          <w:bCs/>
          <w:sz w:val="24"/>
        </w:rPr>
        <w:t xml:space="preserve"> </w:t>
      </w:r>
      <w:r>
        <w:rPr>
          <w:rFonts w:hint="eastAsia" w:ascii="仿宋_GB2312" w:hAnsi="仿宋" w:eastAsia="仿宋_GB2312"/>
          <w:b/>
          <w:bCs/>
          <w:sz w:val="24"/>
        </w:rPr>
        <w:t>系指适用本项目的要求，“</w:t>
      </w:r>
      <w:r>
        <w:rPr>
          <w:rFonts w:ascii="MS Gothic" w:hAnsi="MS Gothic" w:eastAsia="MS Gothic" w:cs="Arial"/>
          <w:b/>
          <w:bCs/>
          <w:kern w:val="0"/>
          <w:sz w:val="24"/>
        </w:rPr>
        <w:t>☐</w:t>
      </w:r>
      <w:r>
        <w:rPr>
          <w:rFonts w:hint="eastAsia" w:ascii="仿宋_GB2312" w:hAnsi="仿宋" w:eastAsia="仿宋_GB2312"/>
          <w:b/>
          <w:bCs/>
          <w:sz w:val="24"/>
        </w:rPr>
        <w:t>”</w:t>
      </w:r>
      <w:r>
        <w:rPr>
          <w:rFonts w:ascii="仿宋_GB2312" w:hAnsi="仿宋" w:eastAsia="仿宋_GB2312"/>
          <w:b/>
          <w:bCs/>
          <w:sz w:val="24"/>
        </w:rPr>
        <w:t xml:space="preserve"> </w:t>
      </w:r>
      <w:r>
        <w:rPr>
          <w:rFonts w:hint="eastAsia" w:ascii="仿宋_GB2312" w:hAnsi="仿宋" w:eastAsia="仿宋_GB2312"/>
          <w:b/>
          <w:bCs/>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b/>
          <w:bCs/>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w:t>
      </w:r>
      <w:r>
        <w:rPr>
          <w:rFonts w:hint="eastAsia" w:ascii="仿宋_GB2312" w:hAnsi="仿宋" w:eastAsia="仿宋_GB2312"/>
          <w:b/>
          <w:bCs/>
          <w:sz w:val="24"/>
        </w:rPr>
        <w:t>对小型和微型企业的投标报价给予</w:t>
      </w:r>
      <w:r>
        <w:rPr>
          <w:rFonts w:ascii="仿宋_GB2312" w:hAnsi="仿宋" w:eastAsia="仿宋_GB2312"/>
          <w:b/>
          <w:bCs/>
          <w:sz w:val="24"/>
        </w:rPr>
        <w:t>10%的扣除，用扣除后的价格参与评审。接受大中型企业与小微企业组成联合体或者允许大中型企业向一家或者多家小微企业分包的</w:t>
      </w:r>
      <w:r>
        <w:rPr>
          <w:rFonts w:hint="eastAsia" w:ascii="仿宋_GB2312" w:hAnsi="仿宋" w:eastAsia="仿宋_GB2312"/>
          <w:b/>
          <w:bCs/>
          <w:sz w:val="24"/>
        </w:rPr>
        <w:t>政府</w:t>
      </w:r>
      <w:r>
        <w:rPr>
          <w:rFonts w:ascii="仿宋_GB2312" w:hAnsi="仿宋" w:eastAsia="仿宋_GB2312"/>
          <w:b/>
          <w:bCs/>
          <w:sz w:val="24"/>
        </w:rPr>
        <w:t>采购</w:t>
      </w:r>
      <w:r>
        <w:rPr>
          <w:rFonts w:hint="eastAsia" w:ascii="仿宋_GB2312" w:hAnsi="仿宋" w:eastAsia="仿宋_GB2312"/>
          <w:b/>
          <w:bCs/>
          <w:sz w:val="24"/>
        </w:rPr>
        <w:t>货物或服务</w:t>
      </w:r>
      <w:r>
        <w:rPr>
          <w:rFonts w:ascii="仿宋_GB2312" w:hAnsi="仿宋" w:eastAsia="仿宋_GB2312"/>
          <w:b/>
          <w:bCs/>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b/>
          <w:bCs/>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b/>
          <w:bCs/>
          <w:sz w:val="24"/>
        </w:rPr>
        <w:t>自认定之日起</w:t>
      </w:r>
      <w:r>
        <w:rPr>
          <w:rFonts w:ascii="仿宋_GB2312" w:hAnsi="仿宋" w:eastAsia="仿宋_GB2312"/>
          <w:b/>
          <w:bCs/>
          <w:sz w:val="24"/>
        </w:rPr>
        <w:t>2年内视同已具备相应销售业绩，参加政府采购活动</w:t>
      </w:r>
      <w:r>
        <w:rPr>
          <w:rFonts w:hint="eastAsia" w:ascii="仿宋_GB2312" w:hAnsi="仿宋" w:eastAsia="仿宋_GB2312"/>
          <w:b/>
          <w:bCs/>
          <w:sz w:val="24"/>
        </w:rPr>
        <w:t>时业绩分值为满分。</w:t>
      </w:r>
    </w:p>
    <w:p>
      <w:pPr>
        <w:spacing w:line="360" w:lineRule="auto"/>
        <w:rPr>
          <w:rFonts w:ascii="仿宋_GB2312" w:hAnsi="仿宋" w:eastAsia="仿宋_GB2312"/>
          <w:b/>
          <w:sz w:val="24"/>
        </w:rPr>
      </w:pP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w:t>
      </w:r>
      <w:r>
        <w:rPr>
          <w:rFonts w:ascii="仿宋_GB2312" w:hAnsi="仿宋" w:eastAsia="仿宋_GB2312"/>
          <w:b/>
          <w:bCs/>
        </w:rPr>
        <w:t>质疑</w:t>
      </w:r>
      <w:r>
        <w:rPr>
          <w:rFonts w:hint="eastAsia" w:ascii="仿宋_GB2312" w:hAnsi="仿宋" w:eastAsia="仿宋_GB2312"/>
          <w:b/>
          <w:bCs/>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15.1投标人在电子交易平台传输递交投标文件后，还可以在投标截止时间前直接提交备份投标文件1份，</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1" w:firstLineChars="150"/>
        <w:rPr>
          <w:rFonts w:ascii="仿宋_GB2312" w:hAnsi="仿宋" w:eastAsia="仿宋_GB2312" w:cs="仿宋_GB2312"/>
          <w:b/>
          <w:bCs/>
          <w:szCs w:val="21"/>
        </w:rPr>
      </w:pPr>
      <w:r>
        <w:rPr>
          <w:rFonts w:hint="eastAsia" w:ascii="仿宋_GB2312" w:hAnsi="仿宋" w:eastAsia="仿宋_GB2312" w:cs="仿宋_GB2312"/>
          <w:b/>
          <w:bCs/>
          <w:szCs w:val="21"/>
        </w:rPr>
        <w:t>有招标文件第四部分</w:t>
      </w:r>
      <w:r>
        <w:rPr>
          <w:rFonts w:hint="eastAsia" w:ascii="仿宋_GB2312" w:hAnsi="仿宋" w:eastAsia="仿宋_GB2312"/>
          <w:b/>
          <w:bCs/>
        </w:rPr>
        <w:t>第</w:t>
      </w:r>
      <w:r>
        <w:rPr>
          <w:rFonts w:ascii="仿宋_GB2312" w:hAnsi="仿宋" w:eastAsia="仿宋_GB2312"/>
          <w:b/>
          <w:bCs/>
        </w:rPr>
        <w:t>13项规定</w:t>
      </w:r>
      <w:r>
        <w:rPr>
          <w:rFonts w:hint="eastAsia" w:ascii="仿宋_GB2312" w:hAnsi="仿宋" w:eastAsia="仿宋_GB2312" w:cs="仿宋_GB2312"/>
          <w:b/>
          <w:bCs/>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5"/>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5"/>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。履约保证金的数额不得超过政府采购合同金额的2.5</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pStyle w:val="3"/>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5"/>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5"/>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403820"/>
      <w:bookmarkEnd w:id="15"/>
      <w:bookmarkStart w:id="16" w:name="_Hlt74730295"/>
      <w:bookmarkEnd w:id="16"/>
      <w:bookmarkStart w:id="17" w:name="_Hlt74714665"/>
      <w:bookmarkEnd w:id="17"/>
      <w:bookmarkStart w:id="18" w:name="_Hlt75236011"/>
      <w:bookmarkEnd w:id="18"/>
      <w:bookmarkStart w:id="19" w:name="_Hlt68057669"/>
      <w:bookmarkEnd w:id="19"/>
      <w:bookmarkStart w:id="20" w:name="_Hlt68073093"/>
      <w:bookmarkEnd w:id="20"/>
      <w:bookmarkStart w:id="21" w:name="_Hlt74729768"/>
      <w:bookmarkEnd w:id="21"/>
      <w:bookmarkStart w:id="22" w:name="_Hlt68072998"/>
      <w:bookmarkEnd w:id="22"/>
      <w:bookmarkStart w:id="23" w:name="_Hlt75236290"/>
      <w:bookmarkEnd w:id="23"/>
      <w:bookmarkStart w:id="24" w:name="_Hlt68072990"/>
      <w:bookmarkEnd w:id="24"/>
      <w:bookmarkStart w:id="25" w:name="_Hlt74707468"/>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400" w:lineRule="atLeast"/>
        <w:rPr>
          <w:rFonts w:ascii="仿宋" w:hAnsi="仿宋" w:eastAsia="仿宋" w:cs="仿宋"/>
          <w:b/>
          <w:sz w:val="24"/>
        </w:rPr>
      </w:pPr>
      <w:r>
        <w:rPr>
          <w:rFonts w:hint="eastAsia" w:ascii="仿宋" w:hAnsi="仿宋" w:eastAsia="仿宋" w:cs="仿宋"/>
          <w:b/>
          <w:sz w:val="24"/>
        </w:rPr>
        <w:t>一、项目概述</w:t>
      </w:r>
    </w:p>
    <w:p>
      <w:pPr>
        <w:spacing w:line="400" w:lineRule="atLeast"/>
        <w:ind w:firstLine="480" w:firstLineChars="200"/>
        <w:rPr>
          <w:rFonts w:ascii="仿宋" w:hAnsi="仿宋" w:eastAsia="仿宋" w:cs="仿宋"/>
          <w:sz w:val="24"/>
        </w:rPr>
      </w:pPr>
      <w:bookmarkStart w:id="27" w:name="_Toc26547"/>
      <w:bookmarkStart w:id="28" w:name="_Toc12963"/>
      <w:bookmarkStart w:id="29" w:name="_Toc2336"/>
      <w:bookmarkStart w:id="30" w:name="_Toc11593"/>
      <w:bookmarkStart w:id="31" w:name="_Toc2673431"/>
      <w:r>
        <w:rPr>
          <w:rFonts w:hint="eastAsia" w:ascii="仿宋" w:hAnsi="仿宋" w:eastAsia="仿宋" w:cs="仿宋"/>
          <w:sz w:val="24"/>
        </w:rPr>
        <w:t>本项目为“交钥匙”项目，采购内容包括采购清单中货物供货、安装调试、货物验收、培训、质保期内的售后服务等。投标报价包括货款、标准附件、样品费、备品备件、专用工具、包装、运输、装卸、保险、税金、货到就位以及安装、调试、保修等一切税金和费用及其他因本项目而产生的一切费用。</w:t>
      </w:r>
    </w:p>
    <w:p>
      <w:pPr>
        <w:pStyle w:val="3"/>
        <w:numPr>
          <w:ilvl w:val="0"/>
          <w:numId w:val="1"/>
        </w:numPr>
        <w:spacing w:line="400" w:lineRule="atLeast"/>
        <w:rPr>
          <w:rFonts w:ascii="仿宋" w:eastAsia="仿宋" w:cs="仿宋"/>
          <w:sz w:val="24"/>
          <w:szCs w:val="24"/>
        </w:rPr>
      </w:pPr>
      <w:r>
        <w:rPr>
          <w:rFonts w:hint="eastAsia" w:ascii="仿宋" w:eastAsia="仿宋" w:cs="仿宋"/>
          <w:sz w:val="24"/>
          <w:szCs w:val="24"/>
        </w:rPr>
        <w:t>采购清单</w:t>
      </w:r>
      <w:bookmarkEnd w:id="27"/>
      <w:bookmarkEnd w:id="28"/>
      <w:bookmarkEnd w:id="29"/>
      <w:bookmarkEnd w:id="30"/>
      <w:bookmarkEnd w:id="31"/>
    </w:p>
    <w:p>
      <w:pPr>
        <w:rPr>
          <w:lang w:val="zh-CN"/>
        </w:rPr>
      </w:pPr>
    </w:p>
    <w:p>
      <w:pPr>
        <w:ind w:firstLine="480" w:firstLineChars="200"/>
        <w:rPr>
          <w:rFonts w:ascii="仿宋" w:hAnsi="仿宋" w:eastAsia="仿宋" w:cs="仿宋"/>
          <w:sz w:val="24"/>
        </w:rPr>
      </w:pPr>
      <w:r>
        <w:rPr>
          <w:rFonts w:hint="eastAsia" w:ascii="仿宋" w:hAnsi="仿宋" w:eastAsia="仿宋" w:cs="仿宋"/>
          <w:sz w:val="24"/>
        </w:rPr>
        <w:t>采购内容为手摇式单人单斗升降课桌椅初中、高中</w:t>
      </w:r>
      <w:r>
        <w:rPr>
          <w:rFonts w:ascii="仿宋" w:hAnsi="仿宋" w:eastAsia="仿宋" w:cs="仿宋"/>
          <w:sz w:val="24"/>
        </w:rPr>
        <w:t>3550</w:t>
      </w:r>
      <w:r>
        <w:rPr>
          <w:rFonts w:hint="eastAsia" w:ascii="仿宋" w:hAnsi="仿宋" w:eastAsia="仿宋" w:cs="仿宋"/>
          <w:sz w:val="24"/>
        </w:rPr>
        <w:t>套，小学10460套，一套课桌椅包括课桌一张、课椅一张，另加初中、高中课椅500件。具体清单如下。</w:t>
      </w:r>
    </w:p>
    <w:p>
      <w:pPr>
        <w:spacing w:line="400" w:lineRule="atLeast"/>
        <w:rPr>
          <w:rFonts w:ascii="仿宋" w:hAnsi="仿宋" w:eastAsia="仿宋" w:cs="仿宋"/>
          <w:sz w:val="24"/>
        </w:rPr>
      </w:pPr>
    </w:p>
    <w:tbl>
      <w:tblPr>
        <w:tblStyle w:val="62"/>
        <w:tblW w:w="8495" w:type="dxa"/>
        <w:jc w:val="center"/>
        <w:tblLayout w:type="fixed"/>
        <w:tblCellMar>
          <w:top w:w="0" w:type="dxa"/>
          <w:left w:w="108" w:type="dxa"/>
          <w:bottom w:w="0" w:type="dxa"/>
          <w:right w:w="108" w:type="dxa"/>
        </w:tblCellMar>
      </w:tblPr>
      <w:tblGrid>
        <w:gridCol w:w="1062"/>
        <w:gridCol w:w="6361"/>
        <w:gridCol w:w="1072"/>
      </w:tblGrid>
      <w:tr>
        <w:tblPrEx>
          <w:tblCellMar>
            <w:top w:w="0" w:type="dxa"/>
            <w:left w:w="108" w:type="dxa"/>
            <w:bottom w:w="0" w:type="dxa"/>
            <w:right w:w="108" w:type="dxa"/>
          </w:tblCellMar>
        </w:tblPrEx>
        <w:trPr>
          <w:trHeight w:val="285" w:hRule="atLeast"/>
          <w:jc w:val="center"/>
        </w:trPr>
        <w:tc>
          <w:tcPr>
            <w:tcW w:w="849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
                <w:sz w:val="24"/>
              </w:rPr>
            </w:pPr>
            <w:r>
              <w:rPr>
                <w:rFonts w:hint="eastAsia" w:ascii="仿宋" w:hAnsi="仿宋" w:eastAsia="仿宋" w:cs="仿宋"/>
                <w:b/>
                <w:sz w:val="24"/>
              </w:rPr>
              <w:t>初中、高中课桌椅：3550套</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序号</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学校（园）名称（与公章一致）</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总数</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杭州市余杭区良渚第一中学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杭州市余杭区仁和中学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杭州市余杭第一中学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4</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杭州市余杭区仓前中学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5</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杭州市余杭区五常中学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6</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杭州市闲林职业高级中学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7</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杭州市余杭区黄湖镇中学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8</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杭州市瓶窑中学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800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9</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杭州市余杭区闲林中学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600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合计</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3550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
                <w:sz w:val="24"/>
              </w:rPr>
            </w:pPr>
            <w:r>
              <w:rPr>
                <w:rFonts w:hint="eastAsia" w:ascii="仿宋" w:hAnsi="仿宋" w:eastAsia="仿宋" w:cs="仿宋"/>
                <w:b/>
                <w:sz w:val="24"/>
              </w:rPr>
              <w:t>另：</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
                <w:sz w:val="24"/>
              </w:rPr>
            </w:pPr>
            <w:r>
              <w:rPr>
                <w:rFonts w:hint="eastAsia" w:ascii="仿宋" w:hAnsi="仿宋" w:eastAsia="仿宋" w:cs="仿宋"/>
                <w:b/>
                <w:sz w:val="24"/>
              </w:rPr>
              <w:t>杭州市余杭文昌高级中学（仅课椅）</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
                <w:sz w:val="24"/>
              </w:rPr>
            </w:pPr>
            <w:r>
              <w:rPr>
                <w:rFonts w:hint="eastAsia" w:ascii="仿宋" w:hAnsi="仿宋" w:eastAsia="仿宋" w:cs="仿宋"/>
                <w:b/>
                <w:sz w:val="24"/>
              </w:rPr>
              <w:t>500</w:t>
            </w:r>
          </w:p>
        </w:tc>
      </w:tr>
      <w:tr>
        <w:tblPrEx>
          <w:tblCellMar>
            <w:top w:w="0" w:type="dxa"/>
            <w:left w:w="108" w:type="dxa"/>
            <w:bottom w:w="0" w:type="dxa"/>
            <w:right w:w="108" w:type="dxa"/>
          </w:tblCellMar>
        </w:tblPrEx>
        <w:trPr>
          <w:trHeight w:val="285" w:hRule="atLeast"/>
          <w:jc w:val="center"/>
        </w:trPr>
        <w:tc>
          <w:tcPr>
            <w:tcW w:w="1062" w:type="dxa"/>
            <w:tcBorders>
              <w:top w:val="nil"/>
              <w:left w:val="nil"/>
              <w:bottom w:val="nil"/>
              <w:right w:val="nil"/>
            </w:tcBorders>
            <w:vAlign w:val="center"/>
          </w:tcPr>
          <w:p>
            <w:pPr>
              <w:spacing w:line="400" w:lineRule="atLeast"/>
              <w:rPr>
                <w:rFonts w:ascii="仿宋" w:hAnsi="仿宋" w:eastAsia="仿宋" w:cs="仿宋"/>
                <w:sz w:val="24"/>
              </w:rPr>
            </w:pPr>
          </w:p>
        </w:tc>
        <w:tc>
          <w:tcPr>
            <w:tcW w:w="6361" w:type="dxa"/>
            <w:tcBorders>
              <w:top w:val="nil"/>
              <w:left w:val="nil"/>
              <w:bottom w:val="nil"/>
              <w:right w:val="nil"/>
            </w:tcBorders>
            <w:vAlign w:val="center"/>
          </w:tcPr>
          <w:p>
            <w:pPr>
              <w:spacing w:line="400" w:lineRule="atLeast"/>
              <w:rPr>
                <w:rFonts w:ascii="仿宋" w:hAnsi="仿宋" w:eastAsia="仿宋" w:cs="仿宋"/>
                <w:sz w:val="24"/>
              </w:rPr>
            </w:pPr>
          </w:p>
        </w:tc>
        <w:tc>
          <w:tcPr>
            <w:tcW w:w="1072" w:type="dxa"/>
            <w:tcBorders>
              <w:top w:val="nil"/>
              <w:left w:val="nil"/>
              <w:bottom w:val="nil"/>
              <w:right w:val="nil"/>
            </w:tcBorders>
            <w:vAlign w:val="center"/>
          </w:tcPr>
          <w:p>
            <w:pPr>
              <w:spacing w:line="400" w:lineRule="atLeast"/>
              <w:jc w:val="center"/>
              <w:rPr>
                <w:rFonts w:ascii="仿宋" w:hAnsi="仿宋" w:eastAsia="仿宋" w:cs="仿宋"/>
                <w:sz w:val="24"/>
              </w:rPr>
            </w:pPr>
          </w:p>
        </w:tc>
      </w:tr>
      <w:tr>
        <w:tblPrEx>
          <w:tblCellMar>
            <w:top w:w="0" w:type="dxa"/>
            <w:left w:w="108" w:type="dxa"/>
            <w:bottom w:w="0" w:type="dxa"/>
            <w:right w:w="108" w:type="dxa"/>
          </w:tblCellMar>
        </w:tblPrEx>
        <w:trPr>
          <w:trHeight w:val="285" w:hRule="atLeast"/>
          <w:jc w:val="center"/>
        </w:trPr>
        <w:tc>
          <w:tcPr>
            <w:tcW w:w="8495"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b/>
                <w:sz w:val="24"/>
              </w:rPr>
            </w:pPr>
            <w:r>
              <w:rPr>
                <w:rFonts w:hint="eastAsia" w:ascii="仿宋" w:hAnsi="仿宋" w:eastAsia="仿宋" w:cs="仿宋"/>
                <w:b/>
                <w:sz w:val="24"/>
              </w:rPr>
              <w:t>小学课桌椅：10460套</w:t>
            </w:r>
          </w:p>
        </w:tc>
      </w:tr>
      <w:tr>
        <w:tblPrEx>
          <w:tblCellMar>
            <w:top w:w="0" w:type="dxa"/>
            <w:left w:w="108" w:type="dxa"/>
            <w:bottom w:w="0" w:type="dxa"/>
            <w:right w:w="108" w:type="dxa"/>
          </w:tblCellMar>
        </w:tblPrEx>
        <w:trPr>
          <w:trHeight w:val="285" w:hRule="atLeast"/>
          <w:jc w:val="center"/>
        </w:trPr>
        <w:tc>
          <w:tcPr>
            <w:tcW w:w="1062" w:type="dxa"/>
            <w:tcBorders>
              <w:top w:val="nil"/>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序号</w:t>
            </w:r>
          </w:p>
        </w:tc>
        <w:tc>
          <w:tcPr>
            <w:tcW w:w="6361" w:type="dxa"/>
            <w:tcBorders>
              <w:top w:val="nil"/>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学校（园）名称（与公章一致）</w:t>
            </w:r>
          </w:p>
        </w:tc>
        <w:tc>
          <w:tcPr>
            <w:tcW w:w="1072" w:type="dxa"/>
            <w:tcBorders>
              <w:top w:val="nil"/>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总数</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杭州市余杭区良渚古墩路小学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杭州市余杭区良渚杭行路小学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225</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杭州市余杭区良渚第三小学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4</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杭州市余杭区良渚实验学校（小学部）</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5</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良渚七贤小学 180</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180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6</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杭州市余杭区良渚第二小学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240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7</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杭州市余杭区良渚沈括小学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450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8</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杭州市余杭区东塘中心小学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9</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杭州市余杭区仁和中心小学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杭州市余杭区仁和东风小学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11</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杭州市余杭区海辰小学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450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12</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杭州市余杭区未来科技城海曙小学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13</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杭州市余杭区闲林中心小学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315</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14</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杭州市余杭区闲林中心小学（上和路校区）</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900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15</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杭州市余杭区闲林和睦小学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270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16</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杭州市余杭区未来科技城海创小学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360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17</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杭州市余杭区瓶窑镇北湖中心小学（西溪小学筹建）</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1755</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18</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杭州市余杭区瓶窑镇长命中心小学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1080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19</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杭州市余杭区太炎小学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550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20</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杭州市余杭区大禹小学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21</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杭州市余杭区凤凰小学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150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22</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杭州市余杭区舟枕小学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135</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23</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杭州市余杭区中泰中心小学</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1000</w:t>
            </w:r>
          </w:p>
        </w:tc>
      </w:tr>
      <w:tr>
        <w:tblPrEx>
          <w:tblCellMar>
            <w:top w:w="0" w:type="dxa"/>
            <w:left w:w="108" w:type="dxa"/>
            <w:bottom w:w="0" w:type="dxa"/>
            <w:right w:w="108" w:type="dxa"/>
          </w:tblCellMar>
        </w:tblPrEx>
        <w:trPr>
          <w:trHeight w:val="285"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合计</w:t>
            </w:r>
          </w:p>
        </w:tc>
        <w:tc>
          <w:tcPr>
            <w:tcW w:w="6361" w:type="dxa"/>
            <w:tcBorders>
              <w:top w:val="single" w:color="000000" w:sz="4" w:space="0"/>
              <w:left w:val="single" w:color="000000" w:sz="4" w:space="0"/>
              <w:bottom w:val="single" w:color="000000" w:sz="4" w:space="0"/>
              <w:right w:val="single" w:color="000000" w:sz="4" w:space="0"/>
            </w:tcBorders>
            <w:vAlign w:val="center"/>
          </w:tcPr>
          <w:p>
            <w:pPr>
              <w:spacing w:line="400" w:lineRule="atLeast"/>
              <w:rPr>
                <w:rFonts w:ascii="仿宋" w:hAnsi="仿宋" w:eastAsia="仿宋" w:cs="仿宋"/>
                <w:sz w:val="24"/>
              </w:rPr>
            </w:pP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仿宋" w:hAnsi="仿宋" w:eastAsia="仿宋" w:cs="仿宋"/>
                <w:sz w:val="24"/>
              </w:rPr>
            </w:pPr>
            <w:r>
              <w:rPr>
                <w:rFonts w:hint="eastAsia" w:ascii="仿宋" w:hAnsi="仿宋" w:eastAsia="仿宋" w:cs="仿宋"/>
                <w:sz w:val="24"/>
              </w:rPr>
              <w:t>10460</w:t>
            </w:r>
          </w:p>
        </w:tc>
      </w:tr>
    </w:tbl>
    <w:p>
      <w:pPr>
        <w:spacing w:line="400" w:lineRule="atLeast"/>
        <w:rPr>
          <w:rFonts w:ascii="仿宋" w:hAnsi="仿宋" w:eastAsia="仿宋" w:cs="仿宋"/>
          <w:sz w:val="24"/>
        </w:rPr>
      </w:pPr>
    </w:p>
    <w:p>
      <w:pPr>
        <w:pStyle w:val="24"/>
        <w:ind w:left="2160"/>
        <w:rPr>
          <w:rFonts w:ascii="仿宋" w:hAnsi="仿宋" w:eastAsia="仿宋" w:cs="仿宋"/>
          <w:kern w:val="0"/>
        </w:rPr>
      </w:pPr>
    </w:p>
    <w:p>
      <w:pPr>
        <w:pStyle w:val="3"/>
        <w:spacing w:line="400" w:lineRule="atLeast"/>
        <w:rPr>
          <w:rFonts w:ascii="仿宋" w:eastAsia="仿宋" w:cs="仿宋"/>
          <w:sz w:val="24"/>
          <w:szCs w:val="24"/>
        </w:rPr>
      </w:pPr>
      <w:bookmarkStart w:id="32" w:name="_Toc5041"/>
      <w:bookmarkStart w:id="33" w:name="_Toc18176"/>
      <w:bookmarkStart w:id="34" w:name="_Toc2673432"/>
      <w:bookmarkStart w:id="35" w:name="_Toc18203"/>
      <w:bookmarkStart w:id="36" w:name="_Toc3460"/>
      <w:r>
        <w:rPr>
          <w:rFonts w:hint="eastAsia" w:ascii="仿宋" w:eastAsia="仿宋" w:cs="仿宋"/>
          <w:sz w:val="24"/>
          <w:szCs w:val="24"/>
        </w:rPr>
        <w:t>三、技术规格及要求</w:t>
      </w:r>
      <w:bookmarkEnd w:id="32"/>
      <w:bookmarkEnd w:id="33"/>
      <w:bookmarkEnd w:id="34"/>
      <w:bookmarkEnd w:id="35"/>
      <w:bookmarkEnd w:id="36"/>
    </w:p>
    <w:p>
      <w:pPr>
        <w:spacing w:line="400" w:lineRule="atLeast"/>
        <w:ind w:firstLine="482" w:firstLineChars="200"/>
        <w:rPr>
          <w:rFonts w:ascii="仿宋" w:hAnsi="仿宋" w:eastAsia="仿宋" w:cs="仿宋"/>
          <w:b/>
          <w:sz w:val="24"/>
        </w:rPr>
      </w:pPr>
      <w:r>
        <w:rPr>
          <w:rFonts w:hint="eastAsia" w:ascii="仿宋" w:hAnsi="仿宋" w:eastAsia="仿宋" w:cs="仿宋"/>
          <w:b/>
          <w:sz w:val="24"/>
        </w:rPr>
        <w:t>手摇式单人单斗升降课桌椅</w:t>
      </w:r>
    </w:p>
    <w:p>
      <w:pPr>
        <w:spacing w:line="400" w:lineRule="atLeast"/>
        <w:ind w:firstLine="480" w:firstLineChars="200"/>
        <w:rPr>
          <w:rFonts w:ascii="仿宋" w:hAnsi="仿宋" w:eastAsia="仿宋" w:cs="仿宋"/>
          <w:sz w:val="24"/>
        </w:rPr>
      </w:pPr>
      <w:r>
        <w:rPr>
          <w:rFonts w:hint="eastAsia" w:ascii="仿宋" w:hAnsi="仿宋" w:eastAsia="仿宋" w:cs="仿宋"/>
          <w:sz w:val="24"/>
        </w:rPr>
        <w:t>1.课桌（手摇式）</w:t>
      </w:r>
    </w:p>
    <w:tbl>
      <w:tblPr>
        <w:tblStyle w:val="6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桌面尺寸（L×B）</w:t>
            </w:r>
          </w:p>
        </w:tc>
        <w:tc>
          <w:tcPr>
            <w:tcW w:w="7073" w:type="dxa"/>
          </w:tcPr>
          <w:p>
            <w:pPr>
              <w:spacing w:line="400" w:lineRule="atLeast"/>
              <w:rPr>
                <w:rFonts w:ascii="仿宋" w:hAnsi="仿宋" w:eastAsia="仿宋" w:cs="仿宋"/>
                <w:sz w:val="24"/>
              </w:rPr>
            </w:pPr>
            <w:r>
              <w:rPr>
                <w:rFonts w:hint="eastAsia" w:ascii="仿宋" w:hAnsi="仿宋" w:eastAsia="仿宋" w:cs="仿宋"/>
                <w:sz w:val="24"/>
              </w:rPr>
              <w:t>600mm×400mm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升降高度（H）</w:t>
            </w:r>
          </w:p>
        </w:tc>
        <w:tc>
          <w:tcPr>
            <w:tcW w:w="7073" w:type="dxa"/>
          </w:tcPr>
          <w:p>
            <w:pPr>
              <w:spacing w:line="400" w:lineRule="atLeast"/>
              <w:rPr>
                <w:rFonts w:ascii="仿宋" w:hAnsi="仿宋" w:eastAsia="仿宋" w:cs="仿宋"/>
                <w:sz w:val="24"/>
              </w:rPr>
            </w:pPr>
            <w:r>
              <w:rPr>
                <w:rFonts w:hint="eastAsia" w:ascii="仿宋" w:hAnsi="仿宋" w:eastAsia="仿宋" w:cs="仿宋"/>
                <w:sz w:val="24"/>
              </w:rPr>
              <w:t>小学：桌面高度调节范围580mm-760mm，调节范围内任意调节，并印有丝网尺寸，精度5mm；</w:t>
            </w:r>
          </w:p>
          <w:p>
            <w:pPr>
              <w:spacing w:line="400" w:lineRule="atLeast"/>
              <w:rPr>
                <w:rFonts w:ascii="仿宋" w:hAnsi="仿宋" w:eastAsia="仿宋" w:cs="仿宋"/>
                <w:sz w:val="24"/>
              </w:rPr>
            </w:pPr>
            <w:r>
              <w:rPr>
                <w:rFonts w:hint="eastAsia" w:ascii="仿宋" w:hAnsi="仿宋" w:eastAsia="仿宋" w:cs="仿宋"/>
                <w:sz w:val="24"/>
              </w:rPr>
              <w:t>初中、高中：桌面高度调节范围670mm-790mm，调节范围内任意调节，并印有丝网尺寸，精度5mm；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桌斗尺寸（H1）</w:t>
            </w:r>
          </w:p>
        </w:tc>
        <w:tc>
          <w:tcPr>
            <w:tcW w:w="7073" w:type="dxa"/>
          </w:tcPr>
          <w:p>
            <w:pPr>
              <w:spacing w:line="400" w:lineRule="atLeast"/>
              <w:rPr>
                <w:rFonts w:ascii="仿宋" w:hAnsi="仿宋" w:eastAsia="仿宋" w:cs="仿宋"/>
                <w:sz w:val="24"/>
              </w:rPr>
            </w:pPr>
            <w:r>
              <w:rPr>
                <w:rFonts w:hint="eastAsia" w:ascii="仿宋" w:hAnsi="仿宋" w:eastAsia="仿宋" w:cs="仿宋"/>
                <w:sz w:val="24"/>
              </w:rPr>
              <w:t>桌斗内侧净空高度：</w:t>
            </w:r>
          </w:p>
          <w:p>
            <w:pPr>
              <w:spacing w:line="400" w:lineRule="atLeast"/>
              <w:rPr>
                <w:rFonts w:ascii="仿宋" w:hAnsi="仿宋" w:eastAsia="仿宋" w:cs="仿宋"/>
                <w:sz w:val="24"/>
              </w:rPr>
            </w:pPr>
            <w:r>
              <w:rPr>
                <w:rFonts w:hint="eastAsia" w:ascii="仿宋" w:hAnsi="仿宋" w:eastAsia="仿宋" w:cs="仿宋"/>
                <w:sz w:val="24"/>
              </w:rPr>
              <w:t>小学： 不小于120mm</w:t>
            </w:r>
          </w:p>
          <w:p>
            <w:pPr>
              <w:spacing w:line="400" w:lineRule="atLeast"/>
              <w:rPr>
                <w:rFonts w:ascii="仿宋" w:hAnsi="仿宋" w:eastAsia="仿宋" w:cs="仿宋"/>
                <w:sz w:val="24"/>
              </w:rPr>
            </w:pPr>
            <w:r>
              <w:rPr>
                <w:rFonts w:hint="eastAsia" w:ascii="仿宋" w:hAnsi="仿宋" w:eastAsia="仿宋" w:cs="仿宋"/>
                <w:sz w:val="24"/>
              </w:rPr>
              <w:t>初中、高中：不小于130mm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桌面厚度</w:t>
            </w:r>
          </w:p>
        </w:tc>
        <w:tc>
          <w:tcPr>
            <w:tcW w:w="7073" w:type="dxa"/>
          </w:tcPr>
          <w:p>
            <w:pPr>
              <w:spacing w:line="400" w:lineRule="atLeast"/>
              <w:rPr>
                <w:rFonts w:ascii="仿宋" w:hAnsi="仿宋" w:eastAsia="仿宋" w:cs="仿宋"/>
                <w:sz w:val="24"/>
              </w:rPr>
            </w:pPr>
            <w:r>
              <w:rPr>
                <w:rFonts w:hint="eastAsia" w:ascii="仿宋" w:hAnsi="仿宋" w:eastAsia="仿宋" w:cs="仿宋"/>
                <w:sz w:val="24"/>
              </w:rPr>
              <w:t>桌面厚度不小于20mm。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边缘倒角</w:t>
            </w:r>
          </w:p>
        </w:tc>
        <w:tc>
          <w:tcPr>
            <w:tcW w:w="7073" w:type="dxa"/>
          </w:tcPr>
          <w:p>
            <w:pPr>
              <w:spacing w:line="400" w:lineRule="atLeast"/>
              <w:rPr>
                <w:rFonts w:ascii="仿宋" w:hAnsi="仿宋" w:eastAsia="仿宋" w:cs="仿宋"/>
                <w:sz w:val="24"/>
              </w:rPr>
            </w:pPr>
            <w:r>
              <w:rPr>
                <w:rFonts w:hint="eastAsia" w:ascii="仿宋" w:hAnsi="仿宋" w:eastAsia="仿宋" w:cs="仿宋"/>
                <w:sz w:val="24"/>
              </w:rPr>
              <w:t>课桌椅面板四周倒角半径不小于5mm。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桌面及加工要求</w:t>
            </w:r>
          </w:p>
        </w:tc>
        <w:tc>
          <w:tcPr>
            <w:tcW w:w="7073" w:type="dxa"/>
          </w:tcPr>
          <w:p>
            <w:pPr>
              <w:pStyle w:val="24"/>
              <w:ind w:firstLine="0" w:firstLineChars="0"/>
              <w:rPr>
                <w:rFonts w:ascii="仿宋" w:hAnsi="仿宋" w:eastAsia="仿宋" w:cs="华文仿宋"/>
                <w:b/>
              </w:rPr>
            </w:pPr>
            <w:r>
              <w:rPr>
                <w:rFonts w:hint="eastAsia" w:ascii="仿宋" w:hAnsi="仿宋" w:eastAsia="仿宋" w:cs="华文仿宋"/>
                <w:b/>
              </w:rPr>
              <w:t>◆桌面采用ABS工程塑料，正前方设有档物条，表面磨砂处理，边缘光滑，具有抗污抗菌效果。</w:t>
            </w:r>
          </w:p>
          <w:p>
            <w:pPr>
              <w:pStyle w:val="24"/>
              <w:ind w:firstLine="0" w:firstLineChars="0"/>
            </w:pPr>
            <w:r>
              <w:rPr>
                <w:rFonts w:hint="eastAsia" w:ascii="仿宋" w:hAnsi="仿宋" w:eastAsia="仿宋" w:cs="华文仿宋"/>
                <w:b/>
              </w:rPr>
              <w:t>（特别说明：ABS工程塑料要求为新料。）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b/>
                <w:sz w:val="24"/>
              </w:rPr>
            </w:pPr>
            <w:r>
              <w:rPr>
                <w:rFonts w:hint="eastAsia" w:ascii="仿宋" w:hAnsi="仿宋" w:eastAsia="仿宋" w:cs="仿宋"/>
                <w:b/>
                <w:sz w:val="24"/>
              </w:rPr>
              <w:t>桌斗材料</w:t>
            </w:r>
          </w:p>
        </w:tc>
        <w:tc>
          <w:tcPr>
            <w:tcW w:w="7073" w:type="dxa"/>
          </w:tcPr>
          <w:p>
            <w:pPr>
              <w:spacing w:line="400" w:lineRule="atLeast"/>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要求采用</w:t>
            </w:r>
            <w:r>
              <w:rPr>
                <w:rFonts w:hint="eastAsia" w:ascii="仿宋" w:hAnsi="仿宋" w:eastAsia="仿宋" w:cs="仿宋"/>
                <w:b/>
                <w:sz w:val="24"/>
                <w:lang w:val="zh-CN"/>
              </w:rPr>
              <w:t>冷轧钢板一次成形课</w:t>
            </w:r>
            <w:r>
              <w:rPr>
                <w:rFonts w:hint="eastAsia" w:ascii="仿宋" w:hAnsi="仿宋" w:eastAsia="仿宋" w:cs="仿宋"/>
                <w:b/>
                <w:sz w:val="24"/>
              </w:rPr>
              <w:t>桌斗</w:t>
            </w:r>
            <w:r>
              <w:rPr>
                <w:rFonts w:hint="eastAsia" w:ascii="仿宋" w:hAnsi="仿宋" w:eastAsia="仿宋" w:cs="仿宋"/>
                <w:b/>
                <w:sz w:val="24"/>
                <w:lang w:val="zh-CN"/>
              </w:rPr>
              <w:t>，有加强筋加固</w:t>
            </w:r>
            <w:r>
              <w:rPr>
                <w:rFonts w:hint="eastAsia" w:ascii="仿宋" w:hAnsi="仿宋" w:eastAsia="仿宋" w:cs="仿宋"/>
                <w:b/>
                <w:sz w:val="24"/>
              </w:rPr>
              <w:t>，材料厚度不小于0.8mm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桌斗封边</w:t>
            </w:r>
          </w:p>
        </w:tc>
        <w:tc>
          <w:tcPr>
            <w:tcW w:w="7073" w:type="dxa"/>
          </w:tcPr>
          <w:p>
            <w:pPr>
              <w:spacing w:line="400" w:lineRule="atLeast"/>
              <w:rPr>
                <w:rFonts w:ascii="仿宋" w:hAnsi="仿宋" w:eastAsia="仿宋" w:cs="仿宋"/>
                <w:sz w:val="24"/>
              </w:rPr>
            </w:pPr>
            <w:r>
              <w:rPr>
                <w:rFonts w:hint="eastAsia" w:ascii="仿宋" w:hAnsi="仿宋" w:eastAsia="仿宋" w:cs="仿宋"/>
                <w:sz w:val="24"/>
              </w:rPr>
              <w:t>冷轧板外露界面必须卷边处理。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桌脚材质</w:t>
            </w:r>
          </w:p>
        </w:tc>
        <w:tc>
          <w:tcPr>
            <w:tcW w:w="7073" w:type="dxa"/>
          </w:tcPr>
          <w:p>
            <w:pPr>
              <w:spacing w:line="400" w:lineRule="atLeast"/>
              <w:rPr>
                <w:rFonts w:ascii="仿宋" w:hAnsi="仿宋" w:eastAsia="仿宋" w:cs="仿宋"/>
                <w:sz w:val="24"/>
              </w:rPr>
            </w:pPr>
            <w:r>
              <w:rPr>
                <w:rFonts w:hint="eastAsia" w:ascii="仿宋" w:hAnsi="仿宋" w:eastAsia="仿宋" w:cs="仿宋"/>
                <w:sz w:val="24"/>
              </w:rPr>
              <w:t>◆采用金属椭圆管，外管和着地横梁截面尺寸不小于54mm×24mm，壁厚不小于1.2mm。着地横梁两端配置塑料外套，套内设置一个可调节高度为10mm的手动轮，宽面着地（平稳安全）。内管截面尺寸不小于49mm×20mm。</w:t>
            </w:r>
            <w:r>
              <w:rPr>
                <w:rFonts w:hint="eastAsia" w:ascii="仿宋" w:hAnsi="仿宋" w:eastAsia="仿宋" w:cs="仿宋"/>
                <w:b/>
                <w:sz w:val="24"/>
              </w:rPr>
              <w:t>着地横梁柱穿孔焊接，</w:t>
            </w:r>
            <w:r>
              <w:rPr>
                <w:rFonts w:hint="eastAsia" w:ascii="仿宋" w:hAnsi="仿宋" w:eastAsia="仿宋" w:cs="仿宋"/>
                <w:sz w:val="24"/>
              </w:rPr>
              <w:t xml:space="preserve"> </w:t>
            </w:r>
            <w:r>
              <w:rPr>
                <w:rFonts w:hint="eastAsia" w:ascii="仿宋" w:hAnsi="仿宋" w:eastAsia="仿宋" w:cs="仿宋"/>
                <w:b/>
                <w:sz w:val="24"/>
              </w:rPr>
              <w:t>上管壁满焊，下管壁必须点焊定位。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升降齿轮材质</w:t>
            </w:r>
          </w:p>
        </w:tc>
        <w:tc>
          <w:tcPr>
            <w:tcW w:w="7073" w:type="dxa"/>
            <w:vAlign w:val="center"/>
          </w:tcPr>
          <w:p>
            <w:pPr>
              <w:spacing w:line="400" w:lineRule="atLeast"/>
              <w:rPr>
                <w:rFonts w:ascii="仿宋" w:hAnsi="仿宋" w:eastAsia="仿宋" w:cs="仿宋"/>
                <w:sz w:val="24"/>
              </w:rPr>
            </w:pPr>
            <w:r>
              <w:rPr>
                <w:rFonts w:hint="eastAsia" w:ascii="仿宋" w:hAnsi="仿宋" w:eastAsia="仿宋" w:cs="仿宋"/>
                <w:sz w:val="24"/>
              </w:rPr>
              <w:t>采用性能稳定的金属材质。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桌脚脚套</w:t>
            </w:r>
          </w:p>
        </w:tc>
        <w:tc>
          <w:tcPr>
            <w:tcW w:w="7073" w:type="dxa"/>
          </w:tcPr>
          <w:p>
            <w:pPr>
              <w:spacing w:line="400" w:lineRule="atLeast"/>
              <w:rPr>
                <w:rFonts w:ascii="仿宋" w:hAnsi="仿宋" w:eastAsia="仿宋" w:cs="仿宋"/>
                <w:sz w:val="24"/>
              </w:rPr>
            </w:pPr>
            <w:r>
              <w:rPr>
                <w:rFonts w:hint="eastAsia" w:ascii="仿宋" w:hAnsi="仿宋" w:eastAsia="仿宋" w:cs="仿宋"/>
                <w:sz w:val="24"/>
              </w:rPr>
              <w:t>尼龙或橡胶材料，材料厚度不小于1.5mm，内置搭扣，在外拉力1000N下，不脱落。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桌斗挂钩</w:t>
            </w:r>
          </w:p>
        </w:tc>
        <w:tc>
          <w:tcPr>
            <w:tcW w:w="7073" w:type="dxa"/>
          </w:tcPr>
          <w:p>
            <w:pPr>
              <w:spacing w:line="400" w:lineRule="atLeas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课桌至少一侧安装PC材质挂钩，挂钩挂重物的垂直静承载力不小于500N。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书包架位置</w:t>
            </w:r>
          </w:p>
        </w:tc>
        <w:tc>
          <w:tcPr>
            <w:tcW w:w="7073" w:type="dxa"/>
          </w:tcPr>
          <w:p>
            <w:pPr>
              <w:spacing w:line="400" w:lineRule="atLeast"/>
              <w:rPr>
                <w:rFonts w:ascii="仿宋" w:hAnsi="仿宋" w:eastAsia="仿宋" w:cs="仿宋"/>
                <w:sz w:val="24"/>
              </w:rPr>
            </w:pPr>
            <w:r>
              <w:rPr>
                <w:rFonts w:hint="eastAsia" w:ascii="仿宋" w:hAnsi="仿宋" w:eastAsia="仿宋" w:cs="仿宋"/>
                <w:sz w:val="24"/>
              </w:rPr>
              <w:t>课桌下方设置书包架， 书包架尺寸应</w:t>
            </w:r>
            <w:r>
              <w:rPr>
                <w:rFonts w:hint="eastAsia" w:ascii="仿宋" w:hAnsi="仿宋" w:eastAsia="仿宋" w:cs="仿宋"/>
                <w:b/>
                <w:sz w:val="24"/>
              </w:rPr>
              <w:t>符合学生正常坐姿使用</w:t>
            </w: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书包架材料</w:t>
            </w:r>
          </w:p>
        </w:tc>
        <w:tc>
          <w:tcPr>
            <w:tcW w:w="7073" w:type="dxa"/>
          </w:tcPr>
          <w:p>
            <w:pPr>
              <w:spacing w:line="400" w:lineRule="atLeast"/>
              <w:rPr>
                <w:rFonts w:ascii="仿宋" w:hAnsi="仿宋" w:eastAsia="仿宋" w:cs="仿宋"/>
                <w:sz w:val="24"/>
              </w:rPr>
            </w:pPr>
            <w:r>
              <w:rPr>
                <w:rFonts w:hint="eastAsia" w:ascii="仿宋" w:hAnsi="仿宋" w:eastAsia="仿宋" w:cs="仿宋"/>
                <w:sz w:val="24"/>
              </w:rPr>
              <w:t>材料为金属网格，网格采用钢丝直径不小于3mm，主材钢丝直径不小于6mm，网孔尺寸不大于50mm×50mm。</w:t>
            </w:r>
          </w:p>
        </w:tc>
      </w:tr>
    </w:tbl>
    <w:p>
      <w:pPr>
        <w:spacing w:line="400" w:lineRule="atLeast"/>
        <w:ind w:firstLine="480" w:firstLineChars="200"/>
        <w:rPr>
          <w:rFonts w:ascii="仿宋" w:hAnsi="仿宋" w:eastAsia="仿宋" w:cs="仿宋"/>
          <w:sz w:val="24"/>
        </w:rPr>
      </w:pPr>
      <w:r>
        <w:rPr>
          <w:rFonts w:hint="eastAsia" w:ascii="仿宋" w:hAnsi="仿宋" w:eastAsia="仿宋" w:cs="仿宋"/>
          <w:sz w:val="24"/>
        </w:rPr>
        <w:t>2.课椅（手摇式）</w:t>
      </w:r>
    </w:p>
    <w:tbl>
      <w:tblPr>
        <w:tblStyle w:val="6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椅面尺寸（</w:t>
            </w:r>
            <w:r>
              <w:rPr>
                <w:rFonts w:hint="eastAsia" w:ascii="仿宋" w:hAnsi="仿宋" w:eastAsia="仿宋" w:cs="仿宋"/>
                <w:i/>
                <w:sz w:val="24"/>
              </w:rPr>
              <w:t>l×b</w:t>
            </w:r>
            <w:r>
              <w:rPr>
                <w:rFonts w:hint="eastAsia" w:ascii="仿宋" w:hAnsi="仿宋" w:eastAsia="仿宋" w:cs="仿宋"/>
                <w:sz w:val="24"/>
              </w:rPr>
              <w:t>）</w:t>
            </w:r>
          </w:p>
        </w:tc>
        <w:tc>
          <w:tcPr>
            <w:tcW w:w="7073" w:type="dxa"/>
          </w:tcPr>
          <w:p>
            <w:pPr>
              <w:spacing w:line="400" w:lineRule="atLeast"/>
              <w:rPr>
                <w:rFonts w:ascii="仿宋" w:hAnsi="仿宋" w:eastAsia="仿宋" w:cs="仿宋"/>
                <w:sz w:val="24"/>
              </w:rPr>
            </w:pPr>
            <w:r>
              <w:rPr>
                <w:rFonts w:hint="eastAsia" w:ascii="仿宋" w:hAnsi="仿宋" w:eastAsia="仿宋" w:cs="仿宋"/>
                <w:sz w:val="24"/>
              </w:rPr>
              <w:t>初中、高中座面尺寸不小于360mm×380mm，小学座面尺寸不小于320mm×340mm。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升降高度（</w:t>
            </w:r>
            <w:r>
              <w:rPr>
                <w:rFonts w:hint="eastAsia" w:ascii="仿宋" w:hAnsi="仿宋" w:eastAsia="仿宋" w:cs="仿宋"/>
                <w:i/>
                <w:sz w:val="24"/>
              </w:rPr>
              <w:t>h</w:t>
            </w:r>
            <w:r>
              <w:rPr>
                <w:rFonts w:hint="eastAsia" w:ascii="仿宋" w:hAnsi="仿宋" w:eastAsia="仿宋" w:cs="仿宋"/>
                <w:sz w:val="24"/>
              </w:rPr>
              <w:t>）</w:t>
            </w:r>
          </w:p>
          <w:p>
            <w:pPr>
              <w:spacing w:line="400" w:lineRule="atLeast"/>
              <w:rPr>
                <w:rFonts w:ascii="仿宋" w:hAnsi="仿宋" w:eastAsia="仿宋" w:cs="仿宋"/>
                <w:sz w:val="24"/>
              </w:rPr>
            </w:pPr>
            <w:r>
              <w:rPr>
                <w:rFonts w:hint="eastAsia" w:ascii="仿宋" w:hAnsi="仿宋" w:eastAsia="仿宋" w:cs="仿宋"/>
                <w:sz w:val="24"/>
              </w:rPr>
              <w:t>（单位mm）</w:t>
            </w:r>
          </w:p>
        </w:tc>
        <w:tc>
          <w:tcPr>
            <w:tcW w:w="7073" w:type="dxa"/>
          </w:tcPr>
          <w:p>
            <w:pPr>
              <w:spacing w:line="400" w:lineRule="atLeast"/>
              <w:rPr>
                <w:rFonts w:ascii="仿宋" w:hAnsi="仿宋" w:eastAsia="仿宋" w:cs="仿宋"/>
                <w:sz w:val="24"/>
              </w:rPr>
            </w:pPr>
            <w:r>
              <w:rPr>
                <w:rFonts w:hint="eastAsia" w:ascii="仿宋" w:hAnsi="仿宋" w:eastAsia="仿宋" w:cs="仿宋"/>
                <w:sz w:val="24"/>
              </w:rPr>
              <w:t>课椅升降高度：</w:t>
            </w:r>
          </w:p>
          <w:p>
            <w:pPr>
              <w:spacing w:line="400" w:lineRule="atLeast"/>
              <w:rPr>
                <w:rFonts w:ascii="仿宋" w:hAnsi="仿宋" w:eastAsia="仿宋" w:cs="仿宋"/>
                <w:sz w:val="24"/>
              </w:rPr>
            </w:pPr>
            <w:r>
              <w:rPr>
                <w:rFonts w:hint="eastAsia" w:ascii="仿宋" w:hAnsi="仿宋" w:eastAsia="仿宋" w:cs="仿宋"/>
                <w:sz w:val="24"/>
              </w:rPr>
              <w:t>小学：椅面高度调节范围320-440mm，调节范围以内任意调节，并印有丝网尺寸，精度5mm；</w:t>
            </w:r>
          </w:p>
          <w:p>
            <w:pPr>
              <w:spacing w:line="400" w:lineRule="atLeast"/>
              <w:rPr>
                <w:rFonts w:ascii="仿宋" w:hAnsi="仿宋" w:eastAsia="仿宋" w:cs="仿宋"/>
                <w:sz w:val="24"/>
              </w:rPr>
            </w:pPr>
            <w:r>
              <w:rPr>
                <w:rFonts w:hint="eastAsia" w:ascii="仿宋" w:hAnsi="仿宋" w:eastAsia="仿宋" w:cs="仿宋"/>
                <w:sz w:val="24"/>
              </w:rPr>
              <w:t>初中、高中：椅面高度调节范围380mm-460mm，调节范围以内任意调节，并印有丝网尺寸，精度5mm；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椅面和椅背材料</w:t>
            </w:r>
          </w:p>
        </w:tc>
        <w:tc>
          <w:tcPr>
            <w:tcW w:w="7073" w:type="dxa"/>
          </w:tcPr>
          <w:p>
            <w:pPr>
              <w:spacing w:line="400" w:lineRule="atLeast"/>
              <w:rPr>
                <w:rFonts w:ascii="仿宋" w:hAnsi="仿宋" w:eastAsia="仿宋" w:cs="仿宋"/>
                <w:sz w:val="24"/>
              </w:rPr>
            </w:pPr>
            <w:r>
              <w:rPr>
                <w:rFonts w:hint="eastAsia" w:ascii="仿宋" w:hAnsi="仿宋" w:eastAsia="仿宋" w:cs="仿宋"/>
                <w:sz w:val="24"/>
              </w:rPr>
              <w:t>HDPE中空吹塑原料，布置小细孔便于透气排汗，内置加强筋，结合人体臀型设计，舒适、抗疲劳。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椅面和椅背厚度</w:t>
            </w:r>
          </w:p>
        </w:tc>
        <w:tc>
          <w:tcPr>
            <w:tcW w:w="7073" w:type="dxa"/>
          </w:tcPr>
          <w:p>
            <w:pPr>
              <w:spacing w:line="400" w:lineRule="atLeast"/>
              <w:rPr>
                <w:rFonts w:ascii="仿宋" w:hAnsi="仿宋" w:eastAsia="仿宋" w:cs="仿宋"/>
                <w:sz w:val="24"/>
              </w:rPr>
            </w:pPr>
            <w:r>
              <w:rPr>
                <w:rFonts w:hint="eastAsia" w:ascii="仿宋" w:hAnsi="仿宋" w:eastAsia="仿宋" w:cs="仿宋"/>
                <w:sz w:val="24"/>
              </w:rPr>
              <w:t>椅面厚度前面不小于28mm，后面不小于25mm</w:t>
            </w:r>
          </w:p>
          <w:p>
            <w:pPr>
              <w:spacing w:line="400" w:lineRule="atLeast"/>
              <w:rPr>
                <w:rFonts w:ascii="仿宋" w:hAnsi="仿宋" w:eastAsia="仿宋" w:cs="仿宋"/>
                <w:sz w:val="24"/>
              </w:rPr>
            </w:pPr>
            <w:r>
              <w:rPr>
                <w:rFonts w:hint="eastAsia" w:ascii="仿宋" w:hAnsi="仿宋" w:eastAsia="仿宋" w:cs="仿宋"/>
                <w:sz w:val="24"/>
              </w:rPr>
              <w:t>椅背两边不小于43mm，中间不小于23mm。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椅脚材料</w:t>
            </w:r>
          </w:p>
        </w:tc>
        <w:tc>
          <w:tcPr>
            <w:tcW w:w="7073" w:type="dxa"/>
          </w:tcPr>
          <w:p>
            <w:pPr>
              <w:spacing w:line="400" w:lineRule="atLeast"/>
              <w:rPr>
                <w:rFonts w:ascii="仿宋" w:hAnsi="仿宋" w:eastAsia="仿宋" w:cs="仿宋"/>
                <w:sz w:val="24"/>
              </w:rPr>
            </w:pPr>
            <w:r>
              <w:rPr>
                <w:rFonts w:hint="eastAsia" w:ascii="仿宋" w:hAnsi="仿宋" w:eastAsia="仿宋" w:cs="仿宋"/>
                <w:sz w:val="24"/>
              </w:rPr>
              <w:t>◆采用金属椭圆管，外管和着地横梁截面尺寸不小于54mm×24mm，壁厚不小于1.2mm。着地横梁两端配置塑料外套，宽面着地（平稳安全）。内管截面尺寸不小于49mm×20mm。</w:t>
            </w:r>
            <w:r>
              <w:rPr>
                <w:rFonts w:hint="eastAsia" w:ascii="仿宋" w:hAnsi="仿宋" w:eastAsia="仿宋" w:cs="仿宋"/>
                <w:b/>
                <w:sz w:val="24"/>
              </w:rPr>
              <w:t>着地横梁柱穿孔焊接，上管壁满焊，下管壁必须点焊定位。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升降齿轮材质</w:t>
            </w:r>
          </w:p>
        </w:tc>
        <w:tc>
          <w:tcPr>
            <w:tcW w:w="7073" w:type="dxa"/>
            <w:vAlign w:val="center"/>
          </w:tcPr>
          <w:p>
            <w:pPr>
              <w:spacing w:line="400" w:lineRule="atLeast"/>
              <w:rPr>
                <w:rFonts w:ascii="仿宋" w:hAnsi="仿宋" w:eastAsia="仿宋" w:cs="仿宋"/>
                <w:sz w:val="24"/>
              </w:rPr>
            </w:pPr>
            <w:r>
              <w:rPr>
                <w:rFonts w:hint="eastAsia" w:ascii="仿宋" w:hAnsi="仿宋" w:eastAsia="仿宋" w:cs="仿宋"/>
                <w:sz w:val="24"/>
              </w:rPr>
              <w:t>采用性能稳定的金属材质。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椅脚脚套</w:t>
            </w:r>
          </w:p>
        </w:tc>
        <w:tc>
          <w:tcPr>
            <w:tcW w:w="7073" w:type="dxa"/>
          </w:tcPr>
          <w:p>
            <w:pPr>
              <w:spacing w:line="400" w:lineRule="atLeast"/>
              <w:rPr>
                <w:rFonts w:ascii="仿宋" w:hAnsi="仿宋" w:eastAsia="仿宋" w:cs="仿宋"/>
                <w:sz w:val="24"/>
              </w:rPr>
            </w:pPr>
            <w:r>
              <w:rPr>
                <w:rFonts w:hint="eastAsia" w:ascii="仿宋" w:hAnsi="仿宋" w:eastAsia="仿宋" w:cs="仿宋"/>
                <w:sz w:val="24"/>
              </w:rPr>
              <w:t>尼龙或橡胶材料，材料厚度不小于1.5mm，内置搭扣，在外拉力1000N下，不脱落。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书包架位置</w:t>
            </w:r>
          </w:p>
        </w:tc>
        <w:tc>
          <w:tcPr>
            <w:tcW w:w="7073" w:type="dxa"/>
          </w:tcPr>
          <w:p>
            <w:pPr>
              <w:spacing w:line="400" w:lineRule="atLeast"/>
              <w:rPr>
                <w:rFonts w:ascii="仿宋" w:hAnsi="仿宋" w:eastAsia="仿宋" w:cs="仿宋"/>
                <w:sz w:val="24"/>
              </w:rPr>
            </w:pPr>
            <w:r>
              <w:rPr>
                <w:rFonts w:hint="eastAsia" w:ascii="仿宋" w:hAnsi="仿宋" w:eastAsia="仿宋" w:cs="仿宋"/>
                <w:sz w:val="24"/>
              </w:rPr>
              <w:t>课椅下方设置书包架， 书包架尺寸应</w:t>
            </w:r>
            <w:r>
              <w:rPr>
                <w:rFonts w:hint="eastAsia" w:ascii="仿宋" w:hAnsi="仿宋" w:eastAsia="仿宋" w:cs="仿宋"/>
                <w:b/>
                <w:sz w:val="24"/>
              </w:rPr>
              <w:t>符合学生正常坐姿使用</w:t>
            </w: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tcPr>
          <w:p>
            <w:pPr>
              <w:spacing w:line="400" w:lineRule="atLeast"/>
              <w:rPr>
                <w:rFonts w:ascii="仿宋" w:hAnsi="仿宋" w:eastAsia="仿宋" w:cs="仿宋"/>
                <w:sz w:val="24"/>
              </w:rPr>
            </w:pPr>
            <w:r>
              <w:rPr>
                <w:rFonts w:hint="eastAsia" w:ascii="仿宋" w:hAnsi="仿宋" w:eastAsia="仿宋" w:cs="仿宋"/>
                <w:sz w:val="24"/>
              </w:rPr>
              <w:t>书包架材料</w:t>
            </w:r>
          </w:p>
        </w:tc>
        <w:tc>
          <w:tcPr>
            <w:tcW w:w="7073" w:type="dxa"/>
          </w:tcPr>
          <w:p>
            <w:pPr>
              <w:spacing w:line="400" w:lineRule="atLeast"/>
              <w:rPr>
                <w:rFonts w:ascii="仿宋" w:hAnsi="仿宋" w:eastAsia="仿宋" w:cs="仿宋"/>
                <w:sz w:val="24"/>
              </w:rPr>
            </w:pPr>
            <w:r>
              <w:rPr>
                <w:rFonts w:hint="eastAsia" w:ascii="仿宋" w:hAnsi="仿宋" w:eastAsia="仿宋" w:cs="仿宋"/>
                <w:sz w:val="24"/>
              </w:rPr>
              <w:t>材料为金属网格，网格采用钢丝直径不小于3mm，主材钢丝直径不小于6mm，网孔尺寸不大于50mm×50mm。</w:t>
            </w:r>
          </w:p>
        </w:tc>
      </w:tr>
    </w:tbl>
    <w:p>
      <w:pPr>
        <w:spacing w:line="400" w:lineRule="atLeast"/>
        <w:ind w:firstLine="480" w:firstLineChars="200"/>
        <w:rPr>
          <w:rFonts w:ascii="仿宋" w:hAnsi="仿宋" w:eastAsia="仿宋" w:cs="仿宋"/>
          <w:sz w:val="24"/>
        </w:rPr>
      </w:pPr>
      <w:r>
        <w:rPr>
          <w:rFonts w:hint="eastAsia" w:ascii="仿宋" w:hAnsi="仿宋" w:eastAsia="仿宋" w:cs="仿宋"/>
          <w:sz w:val="24"/>
        </w:rPr>
        <w:t>3.其他要求</w:t>
      </w:r>
    </w:p>
    <w:p>
      <w:pPr>
        <w:spacing w:line="400" w:lineRule="atLeast"/>
        <w:ind w:firstLine="480" w:firstLineChars="200"/>
        <w:rPr>
          <w:rFonts w:ascii="仿宋" w:hAnsi="仿宋" w:eastAsia="仿宋" w:cs="仿宋"/>
          <w:sz w:val="24"/>
        </w:rPr>
      </w:pPr>
      <w:r>
        <w:rPr>
          <w:rFonts w:hint="eastAsia" w:ascii="仿宋" w:hAnsi="仿宋" w:eastAsia="仿宋" w:cs="仿宋"/>
          <w:sz w:val="24"/>
        </w:rPr>
        <w:t>（1）投标时样品课</w:t>
      </w:r>
      <w:r>
        <w:rPr>
          <w:rFonts w:hint="eastAsia" w:ascii="仿宋" w:hAnsi="仿宋" w:eastAsia="仿宋" w:cs="仿宋"/>
          <w:sz w:val="24"/>
          <w:lang w:val="en-US" w:eastAsia="zh-CN"/>
        </w:rPr>
        <w:t>桌</w:t>
      </w:r>
      <w:r>
        <w:rPr>
          <w:rFonts w:hint="eastAsia" w:ascii="仿宋" w:hAnsi="仿宋" w:eastAsia="仿宋" w:cs="仿宋"/>
          <w:sz w:val="24"/>
        </w:rPr>
        <w:t>椅</w:t>
      </w:r>
      <w:r>
        <w:rPr>
          <w:rFonts w:hint="eastAsia" w:ascii="仿宋" w:hAnsi="仿宋" w:eastAsia="仿宋" w:cs="仿宋"/>
          <w:b/>
          <w:sz w:val="24"/>
        </w:rPr>
        <w:t>均需</w:t>
      </w:r>
      <w:r>
        <w:rPr>
          <w:rFonts w:hint="eastAsia" w:ascii="仿宋" w:hAnsi="仿宋" w:eastAsia="仿宋" w:cs="仿宋"/>
          <w:sz w:val="24"/>
        </w:rPr>
        <w:t>钢管刻字，内容包含：生产厂家名称、</w:t>
      </w:r>
      <w:r>
        <w:rPr>
          <w:rFonts w:hint="eastAsia" w:ascii="仿宋" w:hAnsi="仿宋" w:eastAsia="仿宋" w:cs="仿宋"/>
          <w:sz w:val="24"/>
          <w:lang w:val="zh-CN"/>
        </w:rPr>
        <w:t>型号</w:t>
      </w:r>
      <w:r>
        <w:rPr>
          <w:rFonts w:hint="eastAsia" w:ascii="仿宋" w:hAnsi="仿宋" w:eastAsia="仿宋" w:cs="仿宋"/>
          <w:sz w:val="24"/>
        </w:rPr>
        <w:t>、生产年月</w:t>
      </w:r>
      <w:r>
        <w:rPr>
          <w:rFonts w:hint="eastAsia" w:ascii="仿宋" w:hAnsi="仿宋" w:eastAsia="仿宋" w:cs="仿宋"/>
          <w:sz w:val="24"/>
          <w:lang w:val="zh-CN"/>
        </w:rPr>
        <w:t>，</w:t>
      </w:r>
      <w:r>
        <w:rPr>
          <w:rFonts w:hint="eastAsia" w:ascii="仿宋" w:hAnsi="仿宋" w:eastAsia="仿宋" w:cs="仿宋"/>
          <w:sz w:val="24"/>
        </w:rPr>
        <w:t>内容统一，见下表</w:t>
      </w:r>
      <w:r>
        <w:rPr>
          <w:rFonts w:hint="eastAsia" w:ascii="仿宋" w:hAnsi="仿宋" w:eastAsia="仿宋" w:cs="仿宋"/>
          <w:sz w:val="24"/>
          <w:lang w:val="zh-CN"/>
        </w:rPr>
        <w:t>；</w:t>
      </w:r>
      <w:r>
        <w:rPr>
          <w:rFonts w:hint="eastAsia" w:ascii="仿宋" w:hAnsi="仿宋" w:eastAsia="仿宋" w:cs="仿宋"/>
          <w:sz w:val="24"/>
        </w:rPr>
        <w:t>位置为桌脚、椅脚外管的外侧面。</w:t>
      </w:r>
      <w:r>
        <w:rPr>
          <w:rFonts w:hint="eastAsia" w:ascii="仿宋" w:hAnsi="仿宋" w:eastAsia="仿宋" w:cs="仿宋"/>
          <w:b/>
          <w:bCs/>
          <w:sz w:val="24"/>
        </w:rPr>
        <w:t>中标后，按照中标方的实际信息制作</w:t>
      </w:r>
      <w:r>
        <w:rPr>
          <w:rFonts w:hint="eastAsia" w:ascii="仿宋" w:hAnsi="仿宋" w:eastAsia="仿宋" w:cs="仿宋"/>
          <w:sz w:val="24"/>
        </w:rPr>
        <w:t>。</w:t>
      </w:r>
    </w:p>
    <w:p>
      <w:pPr>
        <w:spacing w:line="400" w:lineRule="atLeast"/>
        <w:ind w:firstLine="480" w:firstLineChars="200"/>
        <w:rPr>
          <w:rFonts w:ascii="仿宋" w:hAnsi="仿宋" w:eastAsia="仿宋" w:cs="仿宋"/>
          <w:sz w:val="24"/>
        </w:rPr>
      </w:pPr>
      <w:r>
        <w:rPr>
          <w:rFonts w:hint="eastAsia" w:ascii="仿宋" w:hAnsi="仿宋" w:eastAsia="仿宋" w:cs="仿宋"/>
          <w:sz w:val="24"/>
        </w:rPr>
        <w:t>钢字刻印统一内容：</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30" w:type="dxa"/>
            <w:vAlign w:val="center"/>
          </w:tcPr>
          <w:p>
            <w:pPr>
              <w:spacing w:line="400" w:lineRule="atLeast"/>
              <w:jc w:val="center"/>
              <w:rPr>
                <w:rFonts w:ascii="仿宋" w:hAnsi="仿宋" w:eastAsia="仿宋" w:cs="仿宋"/>
                <w:sz w:val="24"/>
              </w:rPr>
            </w:pPr>
            <w:r>
              <w:rPr>
                <w:rFonts w:hint="eastAsia" w:ascii="仿宋" w:hAnsi="仿宋" w:eastAsia="仿宋" w:cs="仿宋"/>
                <w:b/>
                <w:bCs/>
                <w:sz w:val="24"/>
              </w:rPr>
              <w:t>生产厂家</w:t>
            </w:r>
          </w:p>
        </w:tc>
        <w:tc>
          <w:tcPr>
            <w:tcW w:w="21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课桌椅生产厂家</w:t>
            </w:r>
          </w:p>
        </w:tc>
        <w:tc>
          <w:tcPr>
            <w:tcW w:w="2131" w:type="dxa"/>
            <w:vAlign w:val="center"/>
          </w:tcPr>
          <w:p>
            <w:pPr>
              <w:spacing w:line="400" w:lineRule="atLeast"/>
              <w:jc w:val="center"/>
              <w:rPr>
                <w:rFonts w:ascii="仿宋" w:hAnsi="仿宋" w:eastAsia="仿宋" w:cs="仿宋"/>
                <w:sz w:val="24"/>
              </w:rPr>
            </w:pPr>
            <w:r>
              <w:rPr>
                <w:rFonts w:hint="eastAsia" w:ascii="仿宋" w:hAnsi="仿宋" w:eastAsia="仿宋" w:cs="仿宋"/>
                <w:b/>
                <w:bCs/>
                <w:sz w:val="24"/>
              </w:rPr>
              <w:t>生产日期</w:t>
            </w:r>
          </w:p>
        </w:tc>
        <w:tc>
          <w:tcPr>
            <w:tcW w:w="2131"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某年某月某日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30" w:type="dxa"/>
            <w:vAlign w:val="center"/>
          </w:tcPr>
          <w:p>
            <w:pPr>
              <w:spacing w:line="400" w:lineRule="atLeast"/>
              <w:jc w:val="center"/>
              <w:rPr>
                <w:rFonts w:ascii="仿宋" w:hAnsi="仿宋" w:eastAsia="仿宋" w:cs="仿宋"/>
                <w:sz w:val="24"/>
              </w:rPr>
            </w:pPr>
            <w:r>
              <w:rPr>
                <w:rFonts w:hint="eastAsia" w:ascii="仿宋" w:hAnsi="仿宋" w:eastAsia="仿宋" w:cs="仿宋"/>
                <w:b/>
                <w:bCs/>
                <w:sz w:val="24"/>
              </w:rPr>
              <w:t>课桌型号</w:t>
            </w:r>
          </w:p>
        </w:tc>
        <w:tc>
          <w:tcPr>
            <w:tcW w:w="2130" w:type="dxa"/>
            <w:vAlign w:val="center"/>
          </w:tcPr>
          <w:p>
            <w:pPr>
              <w:spacing w:line="400" w:lineRule="atLeast"/>
              <w:jc w:val="center"/>
              <w:rPr>
                <w:rFonts w:ascii="仿宋" w:hAnsi="仿宋" w:eastAsia="仿宋" w:cs="仿宋"/>
                <w:sz w:val="24"/>
              </w:rPr>
            </w:pPr>
            <w:r>
              <w:rPr>
                <w:rFonts w:hint="eastAsia" w:ascii="仿宋" w:hAnsi="仿宋" w:eastAsia="仿宋" w:cs="仿宋"/>
                <w:sz w:val="24"/>
              </w:rPr>
              <w:t>KZ-001</w:t>
            </w:r>
          </w:p>
        </w:tc>
        <w:tc>
          <w:tcPr>
            <w:tcW w:w="2131" w:type="dxa"/>
            <w:vAlign w:val="center"/>
          </w:tcPr>
          <w:p>
            <w:pPr>
              <w:spacing w:line="400" w:lineRule="atLeast"/>
              <w:jc w:val="center"/>
              <w:rPr>
                <w:rFonts w:ascii="仿宋" w:hAnsi="仿宋" w:eastAsia="仿宋" w:cs="仿宋"/>
                <w:sz w:val="24"/>
              </w:rPr>
            </w:pPr>
            <w:r>
              <w:rPr>
                <w:rFonts w:hint="eastAsia" w:ascii="仿宋" w:hAnsi="仿宋" w:eastAsia="仿宋" w:cs="仿宋"/>
                <w:b/>
                <w:bCs/>
                <w:sz w:val="24"/>
              </w:rPr>
              <w:t>课椅型号</w:t>
            </w:r>
          </w:p>
        </w:tc>
        <w:tc>
          <w:tcPr>
            <w:tcW w:w="2131" w:type="dxa"/>
            <w:vAlign w:val="center"/>
          </w:tcPr>
          <w:p>
            <w:pPr>
              <w:spacing w:line="400" w:lineRule="atLeast"/>
              <w:jc w:val="center"/>
              <w:rPr>
                <w:rFonts w:ascii="仿宋" w:hAnsi="仿宋" w:eastAsia="仿宋" w:cs="仿宋"/>
                <w:sz w:val="24"/>
              </w:rPr>
            </w:pPr>
            <w:r>
              <w:rPr>
                <w:rFonts w:hint="eastAsia" w:ascii="仿宋" w:hAnsi="仿宋" w:eastAsia="仿宋" w:cs="仿宋"/>
                <w:sz w:val="24"/>
              </w:rPr>
              <w:t>KY-001</w:t>
            </w:r>
          </w:p>
        </w:tc>
      </w:tr>
    </w:tbl>
    <w:p>
      <w:pPr>
        <w:spacing w:line="400" w:lineRule="atLeast"/>
        <w:rPr>
          <w:rFonts w:ascii="仿宋" w:hAnsi="仿宋" w:eastAsia="仿宋" w:cs="仿宋"/>
          <w:b/>
          <w:bCs/>
          <w:sz w:val="24"/>
        </w:rPr>
      </w:pPr>
      <w:r>
        <w:rPr>
          <w:rFonts w:hint="eastAsia" w:ascii="仿宋" w:hAnsi="仿宋" w:eastAsia="仿宋" w:cs="仿宋"/>
          <w:b/>
          <w:bCs/>
          <w:sz w:val="24"/>
        </w:rPr>
        <w:t>注：所提供的样品上，不得出现能代表投标人和品牌的名称、标志、文字、图案、LOGO等所有暗示性内容，否则视为无效投标。</w:t>
      </w:r>
    </w:p>
    <w:p>
      <w:pPr>
        <w:spacing w:line="400" w:lineRule="atLeast"/>
        <w:ind w:firstLine="480" w:firstLineChars="200"/>
        <w:rPr>
          <w:rFonts w:ascii="仿宋" w:hAnsi="仿宋" w:eastAsia="仿宋" w:cs="仿宋"/>
          <w:sz w:val="24"/>
        </w:rPr>
      </w:pPr>
      <w:r>
        <w:rPr>
          <w:rFonts w:hint="eastAsia" w:ascii="仿宋" w:hAnsi="仿宋" w:eastAsia="仿宋" w:cs="仿宋"/>
          <w:sz w:val="24"/>
        </w:rPr>
        <w:t>（1）钢制件采用二氧化碳等有效保护方式焊接，表面经酸洗、脱脂、磷化等初级处理后再打沙处理、采用纯聚酯粉末喷涂，最后表面处理。</w:t>
      </w:r>
    </w:p>
    <w:p>
      <w:pPr>
        <w:spacing w:line="400" w:lineRule="atLeast"/>
        <w:ind w:firstLine="480" w:firstLineChars="200"/>
        <w:rPr>
          <w:rFonts w:ascii="仿宋" w:hAnsi="仿宋" w:eastAsia="仿宋" w:cs="仿宋"/>
          <w:sz w:val="24"/>
        </w:rPr>
      </w:pPr>
      <w:r>
        <w:rPr>
          <w:rFonts w:hint="eastAsia" w:ascii="仿宋" w:hAnsi="仿宋" w:eastAsia="仿宋" w:cs="仿宋"/>
          <w:sz w:val="24"/>
        </w:rPr>
        <w:t>（2）桌面、书斗、椅面和椅背能反复拆卸和组装，重新组装时固定孔、连接件和连接强度应不变。</w:t>
      </w:r>
    </w:p>
    <w:p>
      <w:pPr>
        <w:spacing w:line="400" w:lineRule="atLeast"/>
        <w:ind w:firstLine="480" w:firstLineChars="200"/>
        <w:rPr>
          <w:rFonts w:ascii="仿宋" w:hAnsi="仿宋" w:eastAsia="仿宋" w:cs="仿宋"/>
          <w:sz w:val="24"/>
        </w:rPr>
      </w:pPr>
      <w:r>
        <w:rPr>
          <w:rFonts w:hint="eastAsia" w:ascii="仿宋" w:hAnsi="仿宋" w:eastAsia="仿宋" w:cs="仿宋"/>
          <w:sz w:val="24"/>
        </w:rPr>
        <w:t>◆（3）课桌椅力学性能要求，按照QB/T 4071－2010第4.7条或QB/T 4071-2021对应条款要求（详见附件），并提供检测报告。</w:t>
      </w:r>
    </w:p>
    <w:p>
      <w:pPr>
        <w:spacing w:line="400" w:lineRule="atLeast"/>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（4）座椅、桌面面板、塑粉符合GB 28481-2012要求（详见附件），并提供检测报告 。</w:t>
      </w:r>
    </w:p>
    <w:p>
      <w:pPr>
        <w:spacing w:line="400" w:lineRule="atLeast"/>
        <w:ind w:firstLine="480" w:firstLineChars="200"/>
        <w:rPr>
          <w:rFonts w:ascii="仿宋" w:hAnsi="仿宋" w:eastAsia="仿宋" w:cs="仿宋"/>
          <w:sz w:val="24"/>
        </w:rPr>
      </w:pPr>
      <w:r>
        <w:rPr>
          <w:rFonts w:hint="eastAsia" w:ascii="仿宋" w:hAnsi="仿宋" w:eastAsia="仿宋" w:cs="仿宋"/>
          <w:sz w:val="24"/>
        </w:rPr>
        <w:t>◆（5）金属材质覆面、喷涂层、电镀层按照QB/T 4071－2010第4.7条或QB/T 4071-2021对应条款要求（详见附件），并提供检测报告 。</w:t>
      </w:r>
    </w:p>
    <w:p>
      <w:pPr>
        <w:spacing w:line="400" w:lineRule="atLeast"/>
        <w:ind w:firstLine="480" w:firstLineChars="200"/>
        <w:rPr>
          <w:rFonts w:ascii="仿宋" w:hAnsi="仿宋" w:eastAsia="仿宋" w:cs="仿宋"/>
          <w:sz w:val="24"/>
        </w:rPr>
      </w:pPr>
      <w:r>
        <w:rPr>
          <w:rFonts w:hint="eastAsia" w:ascii="仿宋" w:hAnsi="仿宋" w:eastAsia="仿宋" w:cs="仿宋"/>
          <w:sz w:val="24"/>
        </w:rPr>
        <w:t>◆（6）课桌椅其他安全性能能达到QB/T 4071－2010第4.5条（详见附件）的要求，并提供检测报告。</w:t>
      </w:r>
    </w:p>
    <w:p>
      <w:pPr>
        <w:spacing w:line="400" w:lineRule="atLeast"/>
        <w:ind w:firstLine="482" w:firstLineChars="200"/>
        <w:rPr>
          <w:rFonts w:ascii="仿宋" w:hAnsi="仿宋" w:eastAsia="仿宋" w:cs="仿宋"/>
          <w:b/>
          <w:sz w:val="24"/>
        </w:rPr>
      </w:pPr>
      <w:r>
        <w:rPr>
          <w:rFonts w:hint="eastAsia" w:ascii="仿宋" w:hAnsi="仿宋" w:eastAsia="仿宋" w:cs="仿宋"/>
          <w:b/>
          <w:sz w:val="24"/>
        </w:rPr>
        <w:t xml:space="preserve">▲（7）每45套课桌椅配5套升降调整专业工具。每45套课桌椅配10套课桌椅脚套。 </w:t>
      </w:r>
    </w:p>
    <w:p>
      <w:pPr>
        <w:spacing w:line="400" w:lineRule="atLeast"/>
        <w:ind w:firstLine="480" w:firstLineChars="200"/>
        <w:rPr>
          <w:rFonts w:ascii="仿宋" w:hAnsi="仿宋" w:eastAsia="仿宋" w:cs="仿宋"/>
          <w:b/>
          <w:sz w:val="24"/>
        </w:rPr>
      </w:pPr>
      <w:r>
        <w:rPr>
          <w:rFonts w:hint="eastAsia" w:ascii="仿宋" w:hAnsi="仿宋" w:eastAsia="仿宋" w:cs="仿宋"/>
          <w:sz w:val="24"/>
        </w:rPr>
        <w:t>（8）课桌椅上外露的手摇调节孔建议8mm，需要有保护塞。</w:t>
      </w:r>
    </w:p>
    <w:p>
      <w:pPr>
        <w:spacing w:line="400" w:lineRule="atLeast"/>
        <w:ind w:right="60" w:firstLine="482" w:firstLineChars="200"/>
        <w:rPr>
          <w:rFonts w:ascii="仿宋" w:hAnsi="仿宋" w:eastAsia="仿宋" w:cs="仿宋"/>
          <w:b/>
          <w:sz w:val="24"/>
        </w:rPr>
      </w:pPr>
      <w:r>
        <w:rPr>
          <w:rFonts w:hint="eastAsia" w:ascii="仿宋" w:hAnsi="仿宋" w:eastAsia="仿宋" w:cs="仿宋"/>
          <w:b/>
          <w:sz w:val="24"/>
        </w:rPr>
        <w:t>四、合同签订：</w:t>
      </w:r>
    </w:p>
    <w:p>
      <w:pPr>
        <w:spacing w:line="400" w:lineRule="atLeast"/>
        <w:ind w:right="62" w:firstLine="480" w:firstLineChars="200"/>
        <w:rPr>
          <w:rFonts w:ascii="仿宋" w:hAnsi="仿宋" w:eastAsia="仿宋" w:cs="仿宋"/>
          <w:sz w:val="24"/>
        </w:rPr>
      </w:pPr>
      <w:r>
        <w:rPr>
          <w:rFonts w:hint="eastAsia" w:ascii="仿宋" w:hAnsi="仿宋" w:eastAsia="仿宋" w:cs="仿宋"/>
          <w:sz w:val="24"/>
        </w:rPr>
        <w:t>1．中标单位须在中标公示结束无异议后凭中标通知书与杭州市余杭区教育资产营运中心签订《杭州市余杭区教育系统课桌椅规模化采购项目供货协议》，供货范围为本项目采购清单中所列学校。</w:t>
      </w:r>
    </w:p>
    <w:p>
      <w:pPr>
        <w:spacing w:line="400" w:lineRule="atLeast"/>
        <w:ind w:right="62" w:firstLine="480" w:firstLineChars="200"/>
        <w:rPr>
          <w:rFonts w:ascii="仿宋" w:hAnsi="仿宋" w:eastAsia="仿宋" w:cs="仿宋"/>
          <w:sz w:val="24"/>
        </w:rPr>
      </w:pPr>
      <w:r>
        <w:rPr>
          <w:rFonts w:hint="eastAsia" w:ascii="仿宋" w:hAnsi="仿宋" w:eastAsia="仿宋" w:cs="仿宋"/>
          <w:sz w:val="24"/>
        </w:rPr>
        <w:t>2．中标后，中标单位须在半个月内到各校实地踏勘，明确供货相关事项，学校根据实际需求确定</w:t>
      </w:r>
      <w:r>
        <w:rPr>
          <w:rFonts w:hint="eastAsia" w:ascii="仿宋" w:hAnsi="仿宋" w:eastAsia="仿宋" w:cs="仿宋"/>
          <w:b/>
          <w:sz w:val="24"/>
        </w:rPr>
        <w:t>课桌椅型号大小、颜色、书包架位置等</w:t>
      </w:r>
      <w:r>
        <w:rPr>
          <w:rFonts w:hint="eastAsia" w:ascii="仿宋" w:hAnsi="仿宋" w:eastAsia="仿宋" w:cs="仿宋"/>
          <w:sz w:val="24"/>
        </w:rPr>
        <w:t>。</w:t>
      </w:r>
    </w:p>
    <w:p>
      <w:pPr>
        <w:snapToGrid w:val="0"/>
        <w:spacing w:line="400" w:lineRule="atLeast"/>
        <w:ind w:firstLine="482" w:firstLineChars="200"/>
        <w:rPr>
          <w:rFonts w:ascii="仿宋" w:hAnsi="仿宋" w:eastAsia="仿宋" w:cs="仿宋"/>
          <w:kern w:val="0"/>
          <w:sz w:val="24"/>
        </w:rPr>
      </w:pPr>
      <w:r>
        <w:rPr>
          <w:rFonts w:hint="eastAsia" w:ascii="仿宋" w:hAnsi="仿宋" w:eastAsia="仿宋" w:cs="仿宋"/>
          <w:b/>
          <w:sz w:val="24"/>
        </w:rPr>
        <w:t>▲五、工期要求：</w:t>
      </w:r>
      <w:r>
        <w:rPr>
          <w:rFonts w:hint="eastAsia" w:ascii="仿宋" w:hAnsi="仿宋" w:eastAsia="仿宋" w:cs="仿宋"/>
          <w:kern w:val="0"/>
          <w:sz w:val="24"/>
        </w:rPr>
        <w:t xml:space="preserve"> 原则上2022</w:t>
      </w:r>
      <w:r>
        <w:rPr>
          <w:rFonts w:hint="eastAsia" w:ascii="仿宋" w:hAnsi="仿宋" w:eastAsia="仿宋" w:cs="仿宋"/>
          <w:sz w:val="24"/>
        </w:rPr>
        <w:t>年7月31日前完成供货、安装</w:t>
      </w:r>
      <w:r>
        <w:rPr>
          <w:rFonts w:hint="eastAsia" w:ascii="仿宋" w:hAnsi="仿宋" w:eastAsia="仿宋" w:cs="仿宋"/>
          <w:kern w:val="0"/>
          <w:sz w:val="24"/>
        </w:rPr>
        <w:t>调试</w:t>
      </w:r>
      <w:r>
        <w:rPr>
          <w:rFonts w:hint="eastAsia" w:ascii="仿宋" w:hAnsi="仿宋" w:eastAsia="仿宋" w:cs="仿宋"/>
          <w:sz w:val="24"/>
        </w:rPr>
        <w:t>及学校初步验收。具体安装时间可与学校协商，但不得影响学校正常教学使用。</w:t>
      </w:r>
    </w:p>
    <w:p>
      <w:pPr>
        <w:spacing w:line="400" w:lineRule="atLeast"/>
        <w:ind w:firstLine="482" w:firstLineChars="200"/>
        <w:rPr>
          <w:rFonts w:ascii="仿宋" w:hAnsi="仿宋" w:eastAsia="仿宋" w:cs="仿宋"/>
          <w:b/>
          <w:sz w:val="24"/>
        </w:rPr>
      </w:pPr>
      <w:r>
        <w:rPr>
          <w:rFonts w:hint="eastAsia" w:ascii="仿宋" w:hAnsi="仿宋" w:eastAsia="仿宋" w:cs="仿宋"/>
          <w:b/>
          <w:sz w:val="24"/>
        </w:rPr>
        <w:t>六、供货、安装、调试要求：</w:t>
      </w:r>
    </w:p>
    <w:p>
      <w:pPr>
        <w:spacing w:line="400" w:lineRule="atLeast"/>
        <w:ind w:left="60" w:right="60" w:firstLine="435"/>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rPr>
        <w:t>交货地点：采购人指定学校。</w:t>
      </w:r>
    </w:p>
    <w:p>
      <w:pPr>
        <w:spacing w:line="400" w:lineRule="atLeast"/>
        <w:ind w:left="60" w:right="60" w:firstLine="435"/>
        <w:rPr>
          <w:rFonts w:ascii="仿宋" w:hAnsi="仿宋" w:eastAsia="仿宋" w:cs="仿宋"/>
          <w:sz w:val="24"/>
        </w:rPr>
      </w:pPr>
      <w:r>
        <w:rPr>
          <w:rFonts w:hint="eastAsia" w:ascii="仿宋" w:hAnsi="仿宋" w:eastAsia="仿宋" w:cs="仿宋"/>
          <w:sz w:val="24"/>
        </w:rPr>
        <w:t>2.中标单位先派有经验的技术人员对安装现场进行实地勘察，对各种设备采购、制造、运输（到现场安装）、安装、工期、安全、文明施工进行总承包，一切费用均由中标单位负责。</w:t>
      </w:r>
    </w:p>
    <w:p>
      <w:pPr>
        <w:spacing w:line="400" w:lineRule="atLeast"/>
        <w:ind w:left="60" w:right="60" w:firstLine="435"/>
        <w:rPr>
          <w:rFonts w:ascii="仿宋" w:hAnsi="仿宋" w:eastAsia="仿宋" w:cs="仿宋"/>
          <w:sz w:val="24"/>
        </w:rPr>
      </w:pPr>
      <w:r>
        <w:rPr>
          <w:rFonts w:hint="eastAsia" w:ascii="仿宋" w:hAnsi="仿宋" w:eastAsia="仿宋" w:cs="仿宋"/>
          <w:sz w:val="24"/>
        </w:rPr>
        <w:t>3.安装、调试：</w:t>
      </w:r>
    </w:p>
    <w:p>
      <w:pPr>
        <w:spacing w:line="400" w:lineRule="atLeast"/>
        <w:ind w:left="60" w:right="60" w:firstLine="435"/>
        <w:rPr>
          <w:rFonts w:ascii="仿宋" w:hAnsi="仿宋" w:eastAsia="仿宋" w:cs="仿宋"/>
          <w:sz w:val="24"/>
        </w:rPr>
      </w:pPr>
      <w:r>
        <w:rPr>
          <w:rFonts w:hint="eastAsia" w:ascii="仿宋" w:hAnsi="仿宋" w:eastAsia="仿宋" w:cs="仿宋"/>
          <w:sz w:val="24"/>
        </w:rPr>
        <w:t>①中标单位人员应在合同规定的安装期内完成该项工作，所有因安装延期而产生的费用及使用方所受的损失均由中标单位承担。</w:t>
      </w:r>
    </w:p>
    <w:p>
      <w:pPr>
        <w:spacing w:line="400" w:lineRule="atLeast"/>
        <w:ind w:left="60" w:right="60" w:firstLine="435"/>
        <w:rPr>
          <w:rFonts w:ascii="仿宋" w:hAnsi="仿宋" w:eastAsia="仿宋" w:cs="仿宋"/>
          <w:sz w:val="24"/>
        </w:rPr>
      </w:pPr>
      <w:r>
        <w:rPr>
          <w:rFonts w:hint="eastAsia" w:ascii="仿宋" w:hAnsi="仿宋" w:eastAsia="仿宋" w:cs="仿宋"/>
          <w:sz w:val="24"/>
        </w:rPr>
        <w:t>②中标单位人员在进行安装期间所产生的费用由中标单位负责。</w:t>
      </w:r>
    </w:p>
    <w:p>
      <w:pPr>
        <w:spacing w:line="400" w:lineRule="atLeast"/>
        <w:ind w:left="60" w:right="60" w:firstLine="435"/>
        <w:rPr>
          <w:rFonts w:ascii="仿宋" w:hAnsi="仿宋" w:eastAsia="仿宋" w:cs="仿宋"/>
          <w:sz w:val="24"/>
        </w:rPr>
      </w:pPr>
      <w:r>
        <w:rPr>
          <w:rFonts w:hint="eastAsia" w:ascii="仿宋" w:hAnsi="仿宋" w:eastAsia="仿宋" w:cs="仿宋"/>
          <w:sz w:val="24"/>
        </w:rPr>
        <w:t>③设备在安装时不得损坏墙体、门窗等，如有损坏要予以赔偿。</w:t>
      </w:r>
    </w:p>
    <w:p>
      <w:pPr>
        <w:spacing w:line="400" w:lineRule="atLeast"/>
        <w:ind w:left="60" w:right="60" w:firstLine="435"/>
        <w:rPr>
          <w:rFonts w:ascii="仿宋" w:hAnsi="仿宋" w:eastAsia="仿宋" w:cs="仿宋"/>
          <w:sz w:val="24"/>
        </w:rPr>
      </w:pPr>
      <w:r>
        <w:rPr>
          <w:rFonts w:hint="eastAsia" w:ascii="仿宋" w:hAnsi="仿宋" w:eastAsia="仿宋" w:cs="仿宋"/>
          <w:sz w:val="24"/>
        </w:rPr>
        <w:t>4.中标单位必须保证所有货物是未经使用、全新的。</w:t>
      </w:r>
    </w:p>
    <w:p>
      <w:pPr>
        <w:spacing w:line="400" w:lineRule="atLeast"/>
        <w:ind w:firstLine="482" w:firstLineChars="200"/>
        <w:rPr>
          <w:rFonts w:ascii="仿宋" w:hAnsi="仿宋" w:eastAsia="仿宋" w:cs="仿宋"/>
          <w:b/>
          <w:sz w:val="24"/>
        </w:rPr>
      </w:pPr>
      <w:r>
        <w:rPr>
          <w:rFonts w:hint="eastAsia" w:ascii="仿宋" w:hAnsi="仿宋" w:eastAsia="仿宋" w:cs="仿宋"/>
          <w:b/>
          <w:sz w:val="24"/>
        </w:rPr>
        <w:t>七、售后服务要求：</w:t>
      </w:r>
    </w:p>
    <w:p>
      <w:pPr>
        <w:spacing w:line="400" w:lineRule="atLeast"/>
        <w:ind w:left="60" w:right="60" w:firstLine="435"/>
        <w:rPr>
          <w:rFonts w:ascii="仿宋" w:hAnsi="仿宋" w:eastAsia="仿宋" w:cs="仿宋"/>
          <w:bCs/>
          <w:sz w:val="24"/>
        </w:rPr>
      </w:pPr>
      <w:r>
        <w:rPr>
          <w:rFonts w:hint="eastAsia" w:ascii="仿宋" w:hAnsi="仿宋" w:eastAsia="仿宋" w:cs="仿宋"/>
          <w:bCs/>
          <w:sz w:val="24"/>
        </w:rPr>
        <w:t>▲1.质保期要求：产品验收合格使用之日起，原厂质保期六年，质保期内的维修费用（包括材料）全部由中标单位负责，因人为因素出现的故障不在免费保修范围内。超过质保期的，修时只收部件成本费。</w:t>
      </w:r>
    </w:p>
    <w:p>
      <w:pPr>
        <w:spacing w:line="400" w:lineRule="atLeast"/>
        <w:ind w:left="60" w:right="60" w:firstLine="435"/>
        <w:rPr>
          <w:rFonts w:ascii="仿宋" w:hAnsi="仿宋" w:eastAsia="仿宋" w:cs="仿宋"/>
          <w:b/>
          <w:sz w:val="24"/>
        </w:rPr>
      </w:pPr>
      <w:r>
        <w:rPr>
          <w:rFonts w:hint="eastAsia" w:ascii="仿宋" w:hAnsi="仿宋" w:eastAsia="仿宋" w:cs="仿宋"/>
          <w:sz w:val="24"/>
        </w:rPr>
        <w:t>2.中标单位必须对所供课桌椅实行终身维修，中标单位在接到电话后2小时内响应，6小时内到达现场解决问题，最迟在2个工作日内修复，如不能修复应采取补救措施，以保证使用方的正常工作，中标单位有其它服务承诺的，一并履行。在质保期内中标单位不得以任何理由影响正常使用。</w:t>
      </w:r>
      <w:r>
        <w:rPr>
          <w:rFonts w:hint="eastAsia" w:ascii="仿宋" w:hAnsi="仿宋" w:eastAsia="仿宋" w:cs="仿宋"/>
          <w:b/>
          <w:sz w:val="24"/>
        </w:rPr>
        <w:t xml:space="preserve"> </w:t>
      </w:r>
    </w:p>
    <w:p>
      <w:pPr>
        <w:spacing w:line="400" w:lineRule="atLeast"/>
        <w:ind w:firstLine="482" w:firstLineChars="200"/>
        <w:rPr>
          <w:rFonts w:ascii="仿宋" w:hAnsi="仿宋" w:eastAsia="仿宋" w:cs="仿宋"/>
          <w:b/>
          <w:sz w:val="24"/>
        </w:rPr>
      </w:pPr>
      <w:r>
        <w:rPr>
          <w:rFonts w:hint="eastAsia" w:ascii="仿宋" w:hAnsi="仿宋" w:eastAsia="仿宋" w:cs="仿宋"/>
          <w:b/>
          <w:sz w:val="24"/>
        </w:rPr>
        <w:t>八、验收：</w:t>
      </w:r>
    </w:p>
    <w:p>
      <w:pPr>
        <w:spacing w:line="400" w:lineRule="atLeast"/>
        <w:ind w:left="60" w:right="60" w:firstLine="435"/>
        <w:rPr>
          <w:rFonts w:ascii="仿宋" w:hAnsi="仿宋" w:eastAsia="仿宋" w:cs="仿宋"/>
          <w:sz w:val="24"/>
        </w:rPr>
      </w:pPr>
      <w:r>
        <w:rPr>
          <w:rFonts w:hint="eastAsia" w:ascii="仿宋" w:hAnsi="仿宋" w:eastAsia="仿宋" w:cs="仿宋"/>
          <w:sz w:val="24"/>
        </w:rPr>
        <w:t>1.根据余财采〔2020〕14号《关于转发《杭州市政府采购履约验收暂行办法》的通知》精神，组织验收。</w:t>
      </w:r>
    </w:p>
    <w:p>
      <w:pPr>
        <w:numPr>
          <w:ilvl w:val="0"/>
          <w:numId w:val="2"/>
        </w:numPr>
        <w:adjustRightInd/>
        <w:spacing w:line="400" w:lineRule="atLeast"/>
        <w:ind w:left="60" w:right="60" w:firstLine="435"/>
        <w:rPr>
          <w:rFonts w:ascii="仿宋" w:hAnsi="仿宋" w:eastAsia="仿宋" w:cs="仿宋"/>
          <w:sz w:val="24"/>
        </w:rPr>
      </w:pPr>
      <w:r>
        <w:rPr>
          <w:rFonts w:hint="eastAsia" w:ascii="仿宋" w:hAnsi="仿宋" w:eastAsia="仿宋" w:cs="仿宋"/>
          <w:sz w:val="24"/>
        </w:rPr>
        <w:t xml:space="preserve">检验验收依据。课桌椅力学性能要求，按照QB/T 4071－2010第4.7条或QB/T 4071-2021相应条款要求。课桌椅其他安全性能能达到QB/T 4071－2010第4.5条或QB/T 4071-2021相应条款的要求；座椅、桌面面板符合GB 28481-2012要求；金属材质覆面、喷涂层、电镀层按QB/T 4071－2010第4.6条（表2）或QB/T 4071-2021相应条款要求；有害物含量：塑粉符合GB 28481-2012要求； </w:t>
      </w:r>
    </w:p>
    <w:p>
      <w:pPr>
        <w:numPr>
          <w:ilvl w:val="0"/>
          <w:numId w:val="2"/>
        </w:numPr>
        <w:adjustRightInd/>
        <w:spacing w:line="400" w:lineRule="atLeast"/>
        <w:ind w:left="60" w:right="60" w:firstLine="435"/>
        <w:rPr>
          <w:rFonts w:ascii="仿宋" w:hAnsi="仿宋" w:eastAsia="仿宋" w:cs="仿宋"/>
          <w:sz w:val="24"/>
        </w:rPr>
      </w:pPr>
      <w:r>
        <w:rPr>
          <w:rFonts w:hint="eastAsia" w:ascii="仿宋" w:hAnsi="仿宋" w:eastAsia="仿宋" w:cs="仿宋"/>
          <w:sz w:val="24"/>
        </w:rPr>
        <w:t>手摇式单人单斗升降课桌椅中的课桌材料ABS材质、PC挂钩将送国家认可具有CMA资质的检测机构检测。</w:t>
      </w:r>
    </w:p>
    <w:p>
      <w:pPr>
        <w:spacing w:line="400" w:lineRule="atLeast"/>
        <w:ind w:left="60" w:right="60" w:firstLine="435"/>
        <w:rPr>
          <w:rFonts w:ascii="仿宋" w:hAnsi="仿宋" w:eastAsia="仿宋" w:cs="仿宋"/>
          <w:sz w:val="24"/>
        </w:rPr>
      </w:pPr>
      <w:r>
        <w:rPr>
          <w:rFonts w:hint="eastAsia" w:ascii="仿宋" w:hAnsi="仿宋" w:eastAsia="仿宋" w:cs="仿宋"/>
          <w:sz w:val="24"/>
        </w:rPr>
        <w:t>4.供货完成后，学校先行试用。初验完成后，组织终验，最终验收不合格，中标方整改，由此所产生的所有损失由中标单位承担。</w:t>
      </w:r>
    </w:p>
    <w:p>
      <w:pPr>
        <w:pStyle w:val="85"/>
        <w:snapToGrid w:val="0"/>
        <w:spacing w:before="0" w:line="400" w:lineRule="atLeast"/>
        <w:ind w:firstLine="241" w:firstLineChars="100"/>
        <w:rPr>
          <w:rFonts w:ascii="仿宋" w:hAnsi="仿宋" w:eastAsia="仿宋" w:cs="仿宋"/>
          <w:b/>
          <w:kern w:val="0"/>
          <w:szCs w:val="24"/>
        </w:rPr>
      </w:pPr>
      <w:r>
        <w:rPr>
          <w:rFonts w:hint="eastAsia" w:ascii="仿宋" w:hAnsi="仿宋" w:eastAsia="仿宋" w:cs="仿宋"/>
          <w:b/>
          <w:szCs w:val="24"/>
        </w:rPr>
        <w:t>九、</w:t>
      </w:r>
      <w:r>
        <w:rPr>
          <w:rFonts w:hint="eastAsia" w:ascii="仿宋" w:hAnsi="仿宋" w:eastAsia="仿宋" w:cs="仿宋"/>
          <w:b/>
          <w:kern w:val="0"/>
          <w:szCs w:val="24"/>
        </w:rPr>
        <w:t>保证金及货款支付：</w:t>
      </w:r>
    </w:p>
    <w:p>
      <w:pPr>
        <w:pStyle w:val="85"/>
        <w:snapToGrid w:val="0"/>
        <w:spacing w:before="0" w:line="400" w:lineRule="atLeast"/>
        <w:ind w:firstLine="240" w:firstLineChars="100"/>
        <w:rPr>
          <w:rFonts w:ascii="仿宋" w:hAnsi="仿宋" w:eastAsia="仿宋" w:cs="仿宋"/>
          <w:kern w:val="0"/>
          <w:szCs w:val="24"/>
        </w:rPr>
      </w:pPr>
      <w:r>
        <w:rPr>
          <w:rFonts w:hint="eastAsia" w:ascii="仿宋" w:hAnsi="仿宋" w:eastAsia="仿宋" w:cs="仿宋"/>
          <w:kern w:val="0"/>
          <w:szCs w:val="24"/>
        </w:rPr>
        <w:t xml:space="preserve"> 1.中标单位在与采购人签订</w:t>
      </w:r>
      <w:r>
        <w:rPr>
          <w:rFonts w:hint="eastAsia" w:ascii="仿宋" w:hAnsi="仿宋" w:eastAsia="仿宋" w:cs="仿宋"/>
          <w:szCs w:val="24"/>
        </w:rPr>
        <w:t>《杭州市余杭区教育系统课桌椅规模化采购项目供货协议》</w:t>
      </w:r>
      <w:r>
        <w:rPr>
          <w:rFonts w:hint="eastAsia" w:ascii="仿宋" w:hAnsi="仿宋" w:eastAsia="仿宋" w:cs="仿宋"/>
          <w:kern w:val="0"/>
          <w:szCs w:val="24"/>
        </w:rPr>
        <w:t>生效后7个工作日内向采购人交纳合同金</w:t>
      </w:r>
      <w:r>
        <w:rPr>
          <w:rFonts w:hint="eastAsia" w:ascii="仿宋" w:hAnsi="仿宋" w:eastAsia="仿宋" w:cs="仿宋"/>
          <w:szCs w:val="24"/>
        </w:rPr>
        <w:t>额的2.5%的</w:t>
      </w:r>
      <w:r>
        <w:rPr>
          <w:rFonts w:hint="eastAsia" w:ascii="仿宋" w:hAnsi="仿宋" w:eastAsia="仿宋" w:cs="仿宋"/>
          <w:kern w:val="0"/>
          <w:szCs w:val="24"/>
        </w:rPr>
        <w:t>履约保证金。履约保证金在验收合格后采购人予以无息退还。</w:t>
      </w:r>
    </w:p>
    <w:p>
      <w:pPr>
        <w:pStyle w:val="85"/>
        <w:snapToGrid w:val="0"/>
        <w:spacing w:before="0" w:line="400" w:lineRule="atLeast"/>
        <w:ind w:firstLine="480" w:firstLineChars="0"/>
        <w:rPr>
          <w:rFonts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szCs w:val="24"/>
        </w:rPr>
        <w:t>《杭州市余杭区教育系统课桌椅规模化采购项目供货协议》</w:t>
      </w:r>
      <w:r>
        <w:rPr>
          <w:rFonts w:hint="eastAsia" w:ascii="仿宋" w:hAnsi="仿宋" w:eastAsia="仿宋" w:cs="仿宋"/>
          <w:kern w:val="0"/>
          <w:szCs w:val="24"/>
        </w:rPr>
        <w:t>签订生效并收到履约保证金15天内，采购人向中标单位支付合同</w:t>
      </w:r>
      <w:r>
        <w:rPr>
          <w:rFonts w:hint="eastAsia" w:ascii="仿宋" w:hAnsi="仿宋" w:eastAsia="仿宋" w:cs="仿宋"/>
          <w:szCs w:val="24"/>
        </w:rPr>
        <w:t>金额40％的</w:t>
      </w:r>
      <w:r>
        <w:rPr>
          <w:rFonts w:hint="eastAsia" w:ascii="仿宋" w:hAnsi="仿宋" w:eastAsia="仿宋" w:cs="仿宋"/>
          <w:kern w:val="0"/>
          <w:szCs w:val="24"/>
        </w:rPr>
        <w:t>预付款。中标单位向采购人提供有效发票且验收合格后，采购人向中标单位支付剩余货款。</w:t>
      </w:r>
    </w:p>
    <w:p>
      <w:pPr>
        <w:pStyle w:val="85"/>
        <w:snapToGrid w:val="0"/>
        <w:spacing w:before="0" w:line="400" w:lineRule="atLeast"/>
        <w:ind w:firstLine="482"/>
        <w:rPr>
          <w:rFonts w:ascii="仿宋" w:hAnsi="仿宋" w:eastAsia="仿宋" w:cs="仿宋"/>
          <w:b/>
          <w:szCs w:val="24"/>
        </w:rPr>
      </w:pPr>
      <w:r>
        <w:rPr>
          <w:rFonts w:hint="eastAsia" w:ascii="仿宋" w:hAnsi="仿宋" w:eastAsia="仿宋" w:cs="仿宋"/>
          <w:b/>
          <w:szCs w:val="24"/>
        </w:rPr>
        <w:t>十、其他要求：</w:t>
      </w:r>
    </w:p>
    <w:p>
      <w:pPr>
        <w:tabs>
          <w:tab w:val="left" w:pos="2996"/>
        </w:tabs>
        <w:snapToGrid w:val="0"/>
        <w:spacing w:line="400" w:lineRule="atLeast"/>
        <w:ind w:firstLine="523" w:firstLineChars="218"/>
        <w:jc w:val="left"/>
        <w:rPr>
          <w:rFonts w:ascii="仿宋" w:hAnsi="仿宋" w:eastAsia="仿宋" w:cs="仿宋"/>
          <w:sz w:val="24"/>
        </w:rPr>
      </w:pPr>
      <w:r>
        <w:rPr>
          <w:rFonts w:hint="eastAsia" w:ascii="仿宋" w:hAnsi="仿宋" w:eastAsia="仿宋" w:cs="仿宋"/>
          <w:bCs/>
          <w:sz w:val="24"/>
        </w:rPr>
        <w:t>1.带“▲”条款为实质性条款，投标人须提供《采购需求实质性内容响应表》（格式见第五部分 投标文件格式六），如有任意一条未响应或不满足，将被视为无效。</w:t>
      </w:r>
      <w:r>
        <w:rPr>
          <w:rFonts w:hint="eastAsia" w:ascii="仿宋" w:hAnsi="仿宋" w:eastAsia="仿宋" w:cs="仿宋"/>
          <w:sz w:val="24"/>
        </w:rPr>
        <w:t xml:space="preserve"> </w:t>
      </w: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37" w:name="_Toc184312085"/>
      <w:bookmarkEnd w:id="37"/>
      <w:bookmarkStart w:id="38" w:name="_Toc184314418"/>
      <w:bookmarkEnd w:id="38"/>
      <w:bookmarkStart w:id="39" w:name="_Toc184312074"/>
      <w:bookmarkEnd w:id="39"/>
      <w:bookmarkStart w:id="40" w:name="_Toc184312076"/>
      <w:bookmarkEnd w:id="40"/>
      <w:bookmarkStart w:id="41" w:name="_Toc184312067"/>
      <w:bookmarkEnd w:id="41"/>
      <w:bookmarkStart w:id="42" w:name="_Toc184313276"/>
      <w:bookmarkEnd w:id="42"/>
      <w:bookmarkStart w:id="43" w:name="_Toc184310298"/>
      <w:bookmarkEnd w:id="43"/>
      <w:bookmarkStart w:id="44" w:name="_Toc184314416"/>
      <w:bookmarkEnd w:id="44"/>
      <w:bookmarkStart w:id="45" w:name="_Toc184312112"/>
      <w:bookmarkEnd w:id="45"/>
      <w:bookmarkStart w:id="46" w:name="_Toc184313280"/>
      <w:bookmarkEnd w:id="46"/>
      <w:bookmarkStart w:id="47" w:name="_Toc184314458"/>
      <w:bookmarkEnd w:id="47"/>
      <w:bookmarkStart w:id="48" w:name="_Toc184313306"/>
      <w:bookmarkEnd w:id="48"/>
      <w:bookmarkStart w:id="49" w:name="_Toc184308038"/>
      <w:bookmarkEnd w:id="49"/>
      <w:bookmarkStart w:id="50" w:name="_Toc184313246"/>
      <w:bookmarkEnd w:id="50"/>
      <w:bookmarkStart w:id="51" w:name="_Toc184310344"/>
      <w:bookmarkEnd w:id="51"/>
      <w:bookmarkStart w:id="52" w:name="_Toc184308081"/>
      <w:bookmarkEnd w:id="52"/>
      <w:bookmarkStart w:id="53" w:name="_Toc184313266"/>
      <w:bookmarkEnd w:id="53"/>
      <w:bookmarkStart w:id="54" w:name="_Toc184314427"/>
      <w:bookmarkEnd w:id="54"/>
      <w:bookmarkStart w:id="55" w:name="_Toc184313263"/>
      <w:bookmarkEnd w:id="55"/>
      <w:bookmarkStart w:id="56" w:name="_Toc184312069"/>
      <w:bookmarkEnd w:id="56"/>
      <w:bookmarkStart w:id="57" w:name="_Toc184312119"/>
      <w:bookmarkEnd w:id="57"/>
      <w:bookmarkStart w:id="58" w:name="_Toc184308102"/>
      <w:bookmarkEnd w:id="58"/>
      <w:bookmarkStart w:id="59" w:name="_Toc184308068"/>
      <w:bookmarkEnd w:id="59"/>
      <w:bookmarkStart w:id="60" w:name="_Toc184310299"/>
      <w:bookmarkEnd w:id="60"/>
      <w:bookmarkStart w:id="61" w:name="_Toc184308096"/>
      <w:bookmarkEnd w:id="61"/>
      <w:bookmarkStart w:id="62" w:name="_Toc184308107"/>
      <w:bookmarkEnd w:id="62"/>
      <w:bookmarkStart w:id="63" w:name="_Toc184312079"/>
      <w:bookmarkEnd w:id="63"/>
      <w:bookmarkStart w:id="64" w:name="_Toc184314480"/>
      <w:bookmarkEnd w:id="64"/>
      <w:bookmarkStart w:id="65" w:name="_Toc184310338"/>
      <w:bookmarkEnd w:id="65"/>
      <w:bookmarkStart w:id="66" w:name="_Toc184308039"/>
      <w:bookmarkEnd w:id="66"/>
      <w:bookmarkStart w:id="67" w:name="_Toc184310274"/>
      <w:bookmarkEnd w:id="67"/>
      <w:bookmarkStart w:id="68" w:name="_Toc184313293"/>
      <w:bookmarkEnd w:id="68"/>
      <w:bookmarkStart w:id="69" w:name="_Toc184308076"/>
      <w:bookmarkEnd w:id="69"/>
      <w:bookmarkStart w:id="70" w:name="_Toc184314462"/>
      <w:bookmarkEnd w:id="70"/>
      <w:bookmarkStart w:id="71" w:name="_Toc184308049"/>
      <w:bookmarkEnd w:id="71"/>
      <w:bookmarkStart w:id="72" w:name="_Toc184308045"/>
      <w:bookmarkEnd w:id="72"/>
      <w:bookmarkStart w:id="73" w:name="_Toc184308087"/>
      <w:bookmarkEnd w:id="73"/>
      <w:bookmarkStart w:id="74" w:name="_Toc184313244"/>
      <w:bookmarkEnd w:id="74"/>
      <w:bookmarkStart w:id="75" w:name="_Toc184313243"/>
      <w:bookmarkEnd w:id="75"/>
      <w:bookmarkStart w:id="76" w:name="_Toc184312105"/>
      <w:bookmarkEnd w:id="76"/>
      <w:bookmarkStart w:id="77" w:name="_Toc184312116"/>
      <w:bookmarkEnd w:id="77"/>
      <w:bookmarkStart w:id="78" w:name="_Toc184310318"/>
      <w:bookmarkEnd w:id="78"/>
      <w:bookmarkStart w:id="79" w:name="_Toc184313277"/>
      <w:bookmarkEnd w:id="79"/>
      <w:bookmarkStart w:id="80" w:name="_Toc184308098"/>
      <w:bookmarkEnd w:id="80"/>
      <w:bookmarkStart w:id="81" w:name="_Toc184312075"/>
      <w:bookmarkEnd w:id="81"/>
      <w:bookmarkStart w:id="82" w:name="_Toc184310295"/>
      <w:bookmarkEnd w:id="82"/>
      <w:bookmarkStart w:id="83" w:name="_Toc184310280"/>
      <w:bookmarkEnd w:id="83"/>
      <w:bookmarkStart w:id="84" w:name="_Toc184313241"/>
      <w:bookmarkEnd w:id="84"/>
      <w:bookmarkStart w:id="85" w:name="_Toc184308089"/>
      <w:bookmarkEnd w:id="85"/>
      <w:bookmarkStart w:id="86" w:name="_Toc184310340"/>
      <w:bookmarkEnd w:id="86"/>
      <w:bookmarkStart w:id="87" w:name="_Toc184310288"/>
      <w:bookmarkEnd w:id="87"/>
      <w:bookmarkStart w:id="88" w:name="_Toc184314447"/>
      <w:bookmarkEnd w:id="88"/>
      <w:bookmarkStart w:id="89" w:name="_Toc184312118"/>
      <w:bookmarkEnd w:id="89"/>
      <w:bookmarkStart w:id="90" w:name="_Toc184310329"/>
      <w:bookmarkEnd w:id="90"/>
      <w:bookmarkStart w:id="91" w:name="_Toc184308077"/>
      <w:bookmarkEnd w:id="91"/>
      <w:bookmarkStart w:id="92" w:name="_Toc184312107"/>
      <w:bookmarkEnd w:id="92"/>
      <w:bookmarkStart w:id="93" w:name="_Toc184313301"/>
      <w:bookmarkEnd w:id="93"/>
      <w:bookmarkStart w:id="94" w:name="_Toc184308088"/>
      <w:bookmarkEnd w:id="94"/>
      <w:bookmarkStart w:id="95" w:name="_Toc184308085"/>
      <w:bookmarkEnd w:id="95"/>
      <w:bookmarkStart w:id="96" w:name="_Toc184314464"/>
      <w:bookmarkEnd w:id="96"/>
      <w:bookmarkStart w:id="97" w:name="_Toc184314481"/>
      <w:bookmarkEnd w:id="97"/>
      <w:bookmarkStart w:id="98" w:name="_Toc184308095"/>
      <w:bookmarkEnd w:id="98"/>
      <w:bookmarkStart w:id="99" w:name="_Toc184314457"/>
      <w:bookmarkEnd w:id="99"/>
      <w:bookmarkStart w:id="100" w:name="_Toc184313294"/>
      <w:bookmarkEnd w:id="100"/>
      <w:bookmarkStart w:id="101" w:name="_Toc184312093"/>
      <w:bookmarkEnd w:id="101"/>
      <w:bookmarkStart w:id="102" w:name="_Toc184312080"/>
      <w:bookmarkEnd w:id="102"/>
      <w:bookmarkStart w:id="103" w:name="_Toc184308036"/>
      <w:bookmarkEnd w:id="103"/>
      <w:bookmarkStart w:id="104" w:name="_Toc184313252"/>
      <w:bookmarkEnd w:id="104"/>
      <w:bookmarkStart w:id="105" w:name="_Toc184313300"/>
      <w:bookmarkEnd w:id="105"/>
      <w:bookmarkStart w:id="106" w:name="_Toc184310304"/>
      <w:bookmarkEnd w:id="106"/>
      <w:bookmarkStart w:id="107" w:name="_Toc184314469"/>
      <w:bookmarkEnd w:id="107"/>
      <w:bookmarkStart w:id="108" w:name="_Toc184313278"/>
      <w:bookmarkEnd w:id="108"/>
      <w:bookmarkStart w:id="109" w:name="_Toc184310325"/>
      <w:bookmarkEnd w:id="109"/>
      <w:bookmarkStart w:id="110" w:name="_Toc184308091"/>
      <w:bookmarkEnd w:id="110"/>
      <w:bookmarkStart w:id="111" w:name="_Toc184313248"/>
      <w:bookmarkEnd w:id="111"/>
      <w:bookmarkStart w:id="112" w:name="_Toc184313289"/>
      <w:bookmarkEnd w:id="112"/>
      <w:bookmarkStart w:id="113" w:name="_Toc184314467"/>
      <w:bookmarkEnd w:id="113"/>
      <w:bookmarkStart w:id="114" w:name="_Toc184313296"/>
      <w:bookmarkEnd w:id="114"/>
      <w:bookmarkStart w:id="115" w:name="_Toc184314461"/>
      <w:bookmarkEnd w:id="115"/>
      <w:bookmarkStart w:id="116" w:name="_Toc184313265"/>
      <w:bookmarkEnd w:id="116"/>
      <w:bookmarkStart w:id="117" w:name="_Toc184308092"/>
      <w:bookmarkEnd w:id="117"/>
      <w:bookmarkStart w:id="118" w:name="_Toc184310294"/>
      <w:bookmarkEnd w:id="118"/>
      <w:bookmarkStart w:id="119" w:name="_Toc184312123"/>
      <w:bookmarkEnd w:id="119"/>
      <w:bookmarkStart w:id="120" w:name="_Toc184313295"/>
      <w:bookmarkEnd w:id="120"/>
      <w:bookmarkStart w:id="121" w:name="_Toc184314470"/>
      <w:bookmarkEnd w:id="121"/>
      <w:bookmarkStart w:id="122" w:name="_Toc184308046"/>
      <w:bookmarkEnd w:id="122"/>
      <w:bookmarkStart w:id="123" w:name="_Toc184314446"/>
      <w:bookmarkEnd w:id="123"/>
      <w:bookmarkStart w:id="124" w:name="_Toc184314468"/>
      <w:bookmarkEnd w:id="124"/>
      <w:bookmarkStart w:id="125" w:name="_Toc184308094"/>
      <w:bookmarkEnd w:id="125"/>
      <w:bookmarkStart w:id="126" w:name="_Toc184312071"/>
      <w:bookmarkEnd w:id="126"/>
      <w:bookmarkStart w:id="127" w:name="_Toc184314440"/>
      <w:bookmarkEnd w:id="127"/>
      <w:bookmarkStart w:id="128" w:name="_Toc184312121"/>
      <w:bookmarkEnd w:id="128"/>
      <w:bookmarkStart w:id="129" w:name="_Toc184310336"/>
      <w:bookmarkEnd w:id="129"/>
      <w:bookmarkStart w:id="130" w:name="_Toc184313285"/>
      <w:bookmarkEnd w:id="130"/>
      <w:bookmarkStart w:id="131" w:name="_Toc184308075"/>
      <w:bookmarkEnd w:id="131"/>
      <w:bookmarkStart w:id="132" w:name="_Toc184313286"/>
      <w:bookmarkEnd w:id="132"/>
      <w:bookmarkStart w:id="133" w:name="_Toc184310334"/>
      <w:bookmarkEnd w:id="133"/>
      <w:bookmarkStart w:id="134" w:name="_Toc184312120"/>
      <w:bookmarkEnd w:id="134"/>
      <w:bookmarkStart w:id="135" w:name="_Toc184313288"/>
      <w:bookmarkEnd w:id="135"/>
      <w:bookmarkStart w:id="136" w:name="_Toc184312109"/>
      <w:bookmarkEnd w:id="136"/>
      <w:bookmarkStart w:id="137" w:name="_Toc184310331"/>
      <w:bookmarkEnd w:id="137"/>
      <w:bookmarkStart w:id="138" w:name="_Toc184314435"/>
      <w:bookmarkEnd w:id="138"/>
      <w:bookmarkStart w:id="139" w:name="_Toc184310326"/>
      <w:bookmarkEnd w:id="139"/>
      <w:bookmarkStart w:id="140" w:name="_Toc184314422"/>
      <w:bookmarkEnd w:id="140"/>
      <w:bookmarkStart w:id="141" w:name="_Toc184314452"/>
      <w:bookmarkEnd w:id="141"/>
      <w:bookmarkStart w:id="142" w:name="_Toc184308097"/>
      <w:bookmarkEnd w:id="142"/>
      <w:bookmarkStart w:id="143" w:name="_Toc184314463"/>
      <w:bookmarkEnd w:id="143"/>
      <w:bookmarkStart w:id="144" w:name="_Toc184310342"/>
      <w:bookmarkEnd w:id="144"/>
      <w:bookmarkStart w:id="145" w:name="_Toc184310313"/>
      <w:bookmarkEnd w:id="145"/>
      <w:bookmarkStart w:id="146" w:name="_Toc184308103"/>
      <w:bookmarkEnd w:id="146"/>
      <w:bookmarkStart w:id="147" w:name="_Toc184314466"/>
      <w:bookmarkEnd w:id="147"/>
      <w:bookmarkStart w:id="148" w:name="_Toc184313299"/>
      <w:bookmarkEnd w:id="148"/>
      <w:bookmarkStart w:id="149" w:name="_Toc184312084"/>
      <w:bookmarkEnd w:id="149"/>
      <w:bookmarkStart w:id="150" w:name="_Toc184314434"/>
      <w:bookmarkEnd w:id="150"/>
      <w:bookmarkStart w:id="151" w:name="_Toc184308099"/>
      <w:bookmarkEnd w:id="151"/>
      <w:bookmarkStart w:id="152" w:name="_Toc184310330"/>
      <w:bookmarkEnd w:id="152"/>
      <w:bookmarkStart w:id="153" w:name="_Toc184312098"/>
      <w:bookmarkEnd w:id="153"/>
      <w:bookmarkStart w:id="154" w:name="_Toc184308070"/>
      <w:bookmarkEnd w:id="154"/>
      <w:bookmarkStart w:id="155" w:name="_Toc184314432"/>
      <w:bookmarkEnd w:id="155"/>
      <w:bookmarkStart w:id="156" w:name="_Toc184308064"/>
      <w:bookmarkEnd w:id="156"/>
      <w:bookmarkStart w:id="157" w:name="_Toc184313264"/>
      <w:bookmarkEnd w:id="157"/>
      <w:bookmarkStart w:id="158" w:name="_Toc184314413"/>
      <w:bookmarkEnd w:id="158"/>
      <w:bookmarkStart w:id="159" w:name="_Toc184310327"/>
      <w:bookmarkEnd w:id="159"/>
      <w:bookmarkStart w:id="160" w:name="_Toc184308055"/>
      <w:bookmarkEnd w:id="160"/>
      <w:bookmarkStart w:id="161" w:name="_Toc184313287"/>
      <w:bookmarkEnd w:id="161"/>
      <w:bookmarkStart w:id="162" w:name="_Toc184314475"/>
      <w:bookmarkEnd w:id="162"/>
      <w:bookmarkStart w:id="163" w:name="_Toc184312133"/>
      <w:bookmarkEnd w:id="163"/>
      <w:bookmarkStart w:id="164" w:name="_Toc184308058"/>
      <w:bookmarkEnd w:id="164"/>
      <w:bookmarkStart w:id="165" w:name="_Toc184313271"/>
      <w:bookmarkEnd w:id="165"/>
      <w:bookmarkStart w:id="166" w:name="_Toc184312132"/>
      <w:bookmarkEnd w:id="166"/>
      <w:bookmarkStart w:id="167" w:name="_Toc184310315"/>
      <w:bookmarkEnd w:id="167"/>
      <w:bookmarkStart w:id="168" w:name="_Toc184313297"/>
      <w:bookmarkEnd w:id="168"/>
      <w:bookmarkStart w:id="169" w:name="_Toc184308056"/>
      <w:bookmarkEnd w:id="169"/>
      <w:bookmarkStart w:id="170" w:name="_Toc184308090"/>
      <w:bookmarkEnd w:id="170"/>
      <w:bookmarkStart w:id="171" w:name="_Toc184312114"/>
      <w:bookmarkEnd w:id="171"/>
      <w:bookmarkStart w:id="172" w:name="_Toc184312122"/>
      <w:bookmarkEnd w:id="172"/>
      <w:bookmarkStart w:id="173" w:name="_Toc184312108"/>
      <w:bookmarkEnd w:id="173"/>
      <w:bookmarkStart w:id="174" w:name="_Toc184312128"/>
      <w:bookmarkEnd w:id="174"/>
      <w:bookmarkStart w:id="175" w:name="_Toc184312091"/>
      <w:bookmarkEnd w:id="175"/>
      <w:bookmarkStart w:id="176" w:name="_Toc184308057"/>
      <w:bookmarkEnd w:id="176"/>
      <w:bookmarkStart w:id="177" w:name="_Toc184312113"/>
      <w:bookmarkEnd w:id="177"/>
      <w:bookmarkStart w:id="178" w:name="_Toc184308061"/>
      <w:bookmarkEnd w:id="178"/>
      <w:bookmarkStart w:id="179" w:name="_Toc184308071"/>
      <w:bookmarkEnd w:id="179"/>
      <w:bookmarkStart w:id="180" w:name="_Toc184312127"/>
      <w:bookmarkEnd w:id="180"/>
      <w:bookmarkStart w:id="181" w:name="_Toc184312137"/>
      <w:bookmarkEnd w:id="181"/>
      <w:bookmarkStart w:id="182" w:name="_Toc184314479"/>
      <w:bookmarkEnd w:id="182"/>
      <w:bookmarkStart w:id="183" w:name="_Toc184310322"/>
      <w:bookmarkEnd w:id="183"/>
      <w:bookmarkStart w:id="184" w:name="_Toc184308053"/>
      <w:bookmarkEnd w:id="184"/>
      <w:bookmarkStart w:id="185" w:name="_Toc184312103"/>
      <w:bookmarkEnd w:id="185"/>
      <w:bookmarkStart w:id="186" w:name="_Toc184308054"/>
      <w:bookmarkEnd w:id="186"/>
      <w:bookmarkStart w:id="187" w:name="_Toc184313259"/>
      <w:bookmarkEnd w:id="187"/>
      <w:bookmarkStart w:id="188" w:name="_Toc184312115"/>
      <w:bookmarkEnd w:id="188"/>
      <w:bookmarkStart w:id="189" w:name="_Toc184312083"/>
      <w:bookmarkEnd w:id="189"/>
      <w:bookmarkStart w:id="190" w:name="_Toc184313253"/>
      <w:bookmarkEnd w:id="190"/>
      <w:bookmarkStart w:id="191" w:name="_Toc184313275"/>
      <w:bookmarkEnd w:id="191"/>
      <w:bookmarkStart w:id="192" w:name="_Toc184310273"/>
      <w:bookmarkEnd w:id="192"/>
      <w:bookmarkStart w:id="193" w:name="_Toc184308066"/>
      <w:bookmarkEnd w:id="193"/>
      <w:bookmarkStart w:id="194" w:name="_Toc184314438"/>
      <w:bookmarkEnd w:id="194"/>
      <w:bookmarkStart w:id="195" w:name="_Toc184310289"/>
      <w:bookmarkEnd w:id="195"/>
      <w:bookmarkStart w:id="196" w:name="_Toc184313256"/>
      <w:bookmarkEnd w:id="196"/>
      <w:bookmarkStart w:id="197" w:name="_Toc184312097"/>
      <w:bookmarkEnd w:id="197"/>
      <w:bookmarkStart w:id="198" w:name="_Toc184312081"/>
      <w:bookmarkEnd w:id="198"/>
      <w:bookmarkStart w:id="199" w:name="_Toc184310341"/>
      <w:bookmarkEnd w:id="199"/>
      <w:bookmarkStart w:id="200" w:name="_Toc184312068"/>
      <w:bookmarkEnd w:id="200"/>
      <w:bookmarkStart w:id="201" w:name="_Toc184312095"/>
      <w:bookmarkEnd w:id="201"/>
      <w:bookmarkStart w:id="202" w:name="_Toc184314459"/>
      <w:bookmarkEnd w:id="202"/>
      <w:bookmarkStart w:id="203" w:name="_Toc184312106"/>
      <w:bookmarkEnd w:id="203"/>
      <w:bookmarkStart w:id="204" w:name="_Toc184313303"/>
      <w:bookmarkEnd w:id="204"/>
      <w:bookmarkStart w:id="205" w:name="_Toc184313254"/>
      <w:bookmarkEnd w:id="205"/>
      <w:bookmarkStart w:id="206" w:name="_Toc184314450"/>
      <w:bookmarkEnd w:id="206"/>
      <w:bookmarkStart w:id="207" w:name="_Toc184313262"/>
      <w:bookmarkEnd w:id="207"/>
      <w:bookmarkStart w:id="208" w:name="_Toc184314430"/>
      <w:bookmarkEnd w:id="208"/>
      <w:bookmarkStart w:id="209" w:name="_Toc184312094"/>
      <w:bookmarkEnd w:id="209"/>
      <w:bookmarkStart w:id="210" w:name="_Toc184310303"/>
      <w:bookmarkEnd w:id="210"/>
      <w:bookmarkStart w:id="211" w:name="_Toc184314431"/>
      <w:bookmarkEnd w:id="211"/>
      <w:bookmarkStart w:id="212" w:name="_Toc184312086"/>
      <w:bookmarkEnd w:id="212"/>
      <w:bookmarkStart w:id="213" w:name="_Toc184310317"/>
      <w:bookmarkEnd w:id="213"/>
      <w:bookmarkStart w:id="214" w:name="_Toc184308067"/>
      <w:bookmarkEnd w:id="214"/>
      <w:bookmarkStart w:id="215" w:name="_Toc184313251"/>
      <w:bookmarkEnd w:id="215"/>
      <w:bookmarkStart w:id="216" w:name="_Toc184312111"/>
      <w:bookmarkEnd w:id="216"/>
      <w:bookmarkStart w:id="217" w:name="_Toc184313273"/>
      <w:bookmarkEnd w:id="217"/>
      <w:bookmarkStart w:id="218" w:name="_Toc184310275"/>
      <w:bookmarkEnd w:id="218"/>
      <w:bookmarkStart w:id="219" w:name="_Toc184310297"/>
      <w:bookmarkEnd w:id="219"/>
      <w:bookmarkStart w:id="220" w:name="_Toc184314454"/>
      <w:bookmarkEnd w:id="220"/>
      <w:bookmarkStart w:id="221" w:name="_Toc184314415"/>
      <w:bookmarkEnd w:id="221"/>
      <w:bookmarkStart w:id="222" w:name="_Toc184314474"/>
      <w:bookmarkEnd w:id="222"/>
      <w:bookmarkStart w:id="223" w:name="_Toc184313290"/>
      <w:bookmarkEnd w:id="223"/>
      <w:bookmarkStart w:id="224" w:name="_Toc184312117"/>
      <w:bookmarkEnd w:id="224"/>
      <w:bookmarkStart w:id="225" w:name="_Toc184314428"/>
      <w:bookmarkEnd w:id="225"/>
      <w:bookmarkStart w:id="226" w:name="_Toc184313307"/>
      <w:bookmarkEnd w:id="226"/>
      <w:bookmarkStart w:id="227" w:name="_Toc184314411"/>
      <w:bookmarkEnd w:id="227"/>
      <w:bookmarkStart w:id="228" w:name="_Toc184310316"/>
      <w:bookmarkEnd w:id="228"/>
      <w:bookmarkStart w:id="229" w:name="_Toc184308040"/>
      <w:bookmarkEnd w:id="229"/>
      <w:bookmarkStart w:id="230" w:name="_Toc184314429"/>
      <w:bookmarkEnd w:id="230"/>
      <w:bookmarkStart w:id="231" w:name="_Toc184312135"/>
      <w:bookmarkEnd w:id="231"/>
      <w:bookmarkStart w:id="232" w:name="_Toc184313245"/>
      <w:bookmarkEnd w:id="232"/>
      <w:bookmarkStart w:id="233" w:name="_Toc184310279"/>
      <w:bookmarkEnd w:id="233"/>
      <w:bookmarkStart w:id="234" w:name="_Toc184313292"/>
      <w:bookmarkEnd w:id="234"/>
      <w:bookmarkStart w:id="235" w:name="_Toc184310314"/>
      <w:bookmarkEnd w:id="235"/>
      <w:bookmarkStart w:id="236" w:name="_Toc184310281"/>
      <w:bookmarkEnd w:id="236"/>
      <w:bookmarkStart w:id="237" w:name="_Toc184312087"/>
      <w:bookmarkEnd w:id="237"/>
      <w:bookmarkStart w:id="238" w:name="_Toc184310292"/>
      <w:bookmarkEnd w:id="238"/>
      <w:bookmarkStart w:id="239" w:name="_Toc184312070"/>
      <w:bookmarkEnd w:id="239"/>
      <w:bookmarkStart w:id="240" w:name="_Toc184308041"/>
      <w:bookmarkEnd w:id="240"/>
      <w:bookmarkStart w:id="241" w:name="_Toc184312082"/>
      <w:bookmarkEnd w:id="241"/>
      <w:bookmarkStart w:id="242" w:name="_Toc184314414"/>
      <w:bookmarkEnd w:id="242"/>
      <w:bookmarkStart w:id="243" w:name="_Toc184314455"/>
      <w:bookmarkEnd w:id="243"/>
      <w:bookmarkStart w:id="244" w:name="_Toc184310320"/>
      <w:bookmarkEnd w:id="244"/>
      <w:bookmarkStart w:id="245" w:name="_Toc184313261"/>
      <w:bookmarkEnd w:id="245"/>
      <w:bookmarkStart w:id="246" w:name="_Toc184310296"/>
      <w:bookmarkEnd w:id="246"/>
      <w:bookmarkStart w:id="247" w:name="_Toc184312089"/>
      <w:bookmarkEnd w:id="247"/>
      <w:bookmarkStart w:id="248" w:name="_Toc184308074"/>
      <w:bookmarkEnd w:id="248"/>
      <w:bookmarkStart w:id="249" w:name="_Toc184313284"/>
      <w:bookmarkEnd w:id="249"/>
      <w:bookmarkStart w:id="250" w:name="_Toc184314465"/>
      <w:bookmarkEnd w:id="250"/>
      <w:bookmarkStart w:id="251" w:name="_Toc184308042"/>
      <w:bookmarkEnd w:id="251"/>
      <w:bookmarkStart w:id="252" w:name="_Toc184310286"/>
      <w:bookmarkEnd w:id="252"/>
      <w:bookmarkStart w:id="253" w:name="_Toc184308037"/>
      <w:bookmarkEnd w:id="253"/>
      <w:bookmarkStart w:id="254" w:name="_Toc184310277"/>
      <w:bookmarkEnd w:id="254"/>
      <w:bookmarkStart w:id="255" w:name="_Toc184314449"/>
      <w:bookmarkEnd w:id="255"/>
      <w:bookmarkStart w:id="256" w:name="_Toc184312110"/>
      <w:bookmarkEnd w:id="256"/>
      <w:bookmarkStart w:id="257" w:name="_Toc184310278"/>
      <w:bookmarkEnd w:id="257"/>
      <w:bookmarkStart w:id="258" w:name="_Toc184308101"/>
      <w:bookmarkEnd w:id="258"/>
      <w:bookmarkStart w:id="259" w:name="_Toc184314437"/>
      <w:bookmarkEnd w:id="259"/>
      <w:bookmarkStart w:id="260" w:name="_Toc184312124"/>
      <w:bookmarkEnd w:id="260"/>
      <w:bookmarkStart w:id="261" w:name="_Toc184308059"/>
      <w:bookmarkEnd w:id="261"/>
      <w:bookmarkStart w:id="262" w:name="_Toc184312072"/>
      <w:bookmarkEnd w:id="262"/>
      <w:bookmarkStart w:id="263" w:name="_Toc184312134"/>
      <w:bookmarkEnd w:id="263"/>
      <w:bookmarkStart w:id="264" w:name="_Toc184308106"/>
      <w:bookmarkEnd w:id="264"/>
      <w:bookmarkStart w:id="265" w:name="_Toc184312130"/>
      <w:bookmarkEnd w:id="265"/>
      <w:bookmarkStart w:id="266" w:name="_Toc184313260"/>
      <w:bookmarkEnd w:id="266"/>
      <w:bookmarkStart w:id="267" w:name="_Toc184308060"/>
      <w:bookmarkEnd w:id="267"/>
      <w:bookmarkStart w:id="268" w:name="_Toc184314417"/>
      <w:bookmarkEnd w:id="268"/>
      <w:bookmarkStart w:id="269" w:name="_Toc184314471"/>
      <w:bookmarkEnd w:id="269"/>
      <w:bookmarkStart w:id="270" w:name="_Toc184310272"/>
      <w:bookmarkEnd w:id="270"/>
      <w:bookmarkStart w:id="271" w:name="_Toc184312092"/>
      <w:bookmarkEnd w:id="271"/>
      <w:bookmarkStart w:id="272" w:name="_Toc184314478"/>
      <w:bookmarkEnd w:id="272"/>
      <w:bookmarkStart w:id="273" w:name="_Toc184312129"/>
      <w:bookmarkEnd w:id="273"/>
      <w:bookmarkStart w:id="274" w:name="_Toc184314472"/>
      <w:bookmarkEnd w:id="274"/>
      <w:bookmarkStart w:id="275" w:name="_Toc184314425"/>
      <w:bookmarkEnd w:id="275"/>
      <w:bookmarkStart w:id="276" w:name="_Toc184310290"/>
      <w:bookmarkEnd w:id="276"/>
      <w:bookmarkStart w:id="277" w:name="_Toc184310312"/>
      <w:bookmarkEnd w:id="277"/>
      <w:bookmarkStart w:id="278" w:name="_Toc184308044"/>
      <w:bookmarkEnd w:id="278"/>
      <w:bookmarkStart w:id="279" w:name="_Toc184313304"/>
      <w:bookmarkEnd w:id="279"/>
      <w:bookmarkStart w:id="280" w:name="_Toc184308073"/>
      <w:bookmarkEnd w:id="280"/>
      <w:bookmarkStart w:id="281" w:name="_Toc184310287"/>
      <w:bookmarkEnd w:id="281"/>
      <w:bookmarkStart w:id="282" w:name="_Toc184308105"/>
      <w:bookmarkEnd w:id="282"/>
      <w:bookmarkStart w:id="283" w:name="_Toc184308080"/>
      <w:bookmarkEnd w:id="283"/>
      <w:bookmarkStart w:id="284" w:name="_Toc184308043"/>
      <w:bookmarkEnd w:id="284"/>
      <w:bookmarkStart w:id="285" w:name="_Toc184310335"/>
      <w:bookmarkEnd w:id="285"/>
      <w:bookmarkStart w:id="286" w:name="_Toc184308062"/>
      <w:bookmarkEnd w:id="286"/>
      <w:bookmarkStart w:id="287" w:name="_Toc184308072"/>
      <w:bookmarkEnd w:id="287"/>
      <w:bookmarkStart w:id="288" w:name="_Toc184310311"/>
      <w:bookmarkEnd w:id="288"/>
      <w:bookmarkStart w:id="289" w:name="_Toc184310339"/>
      <w:bookmarkEnd w:id="289"/>
      <w:bookmarkStart w:id="290" w:name="_Toc184312077"/>
      <w:bookmarkEnd w:id="290"/>
      <w:bookmarkStart w:id="291" w:name="_Toc184310321"/>
      <w:bookmarkEnd w:id="291"/>
      <w:bookmarkStart w:id="292" w:name="_Toc184312090"/>
      <w:bookmarkEnd w:id="292"/>
      <w:bookmarkStart w:id="293" w:name="_Toc184314412"/>
      <w:bookmarkEnd w:id="293"/>
      <w:bookmarkStart w:id="294" w:name="_Toc184308093"/>
      <w:bookmarkEnd w:id="294"/>
      <w:bookmarkStart w:id="295" w:name="_Toc184313309"/>
      <w:bookmarkEnd w:id="295"/>
      <w:bookmarkStart w:id="296" w:name="_Toc184314476"/>
      <w:bookmarkEnd w:id="296"/>
      <w:bookmarkStart w:id="297" w:name="_Toc184313305"/>
      <w:bookmarkEnd w:id="297"/>
      <w:bookmarkStart w:id="298" w:name="_Toc184308104"/>
      <w:bookmarkEnd w:id="298"/>
      <w:bookmarkStart w:id="299" w:name="_Toc184314439"/>
      <w:bookmarkEnd w:id="299"/>
      <w:bookmarkStart w:id="300" w:name="_Toc184308050"/>
      <w:bookmarkEnd w:id="300"/>
      <w:bookmarkStart w:id="301" w:name="_Toc184313247"/>
      <w:bookmarkEnd w:id="301"/>
      <w:bookmarkStart w:id="302" w:name="_Toc184313272"/>
      <w:bookmarkEnd w:id="302"/>
      <w:bookmarkStart w:id="303" w:name="_Toc184310324"/>
      <w:bookmarkEnd w:id="303"/>
      <w:bookmarkStart w:id="304" w:name="_Toc184308084"/>
      <w:bookmarkEnd w:id="304"/>
      <w:bookmarkStart w:id="305" w:name="_Toc184314433"/>
      <w:bookmarkEnd w:id="305"/>
      <w:bookmarkStart w:id="306" w:name="_Toc184313282"/>
      <w:bookmarkEnd w:id="306"/>
      <w:bookmarkStart w:id="307" w:name="_Toc184312099"/>
      <w:bookmarkEnd w:id="307"/>
      <w:bookmarkStart w:id="308" w:name="_Toc184314436"/>
      <w:bookmarkEnd w:id="308"/>
      <w:bookmarkStart w:id="309" w:name="_Toc184314442"/>
      <w:bookmarkEnd w:id="309"/>
      <w:bookmarkStart w:id="310" w:name="_Toc184308069"/>
      <w:bookmarkEnd w:id="310"/>
      <w:bookmarkStart w:id="311" w:name="_Toc184314477"/>
      <w:bookmarkEnd w:id="311"/>
      <w:bookmarkStart w:id="312" w:name="_Toc184310276"/>
      <w:bookmarkEnd w:id="312"/>
      <w:bookmarkStart w:id="313" w:name="_Toc184308079"/>
      <w:bookmarkEnd w:id="313"/>
      <w:bookmarkStart w:id="314" w:name="_Toc184313283"/>
      <w:bookmarkEnd w:id="314"/>
      <w:bookmarkStart w:id="315" w:name="_Toc184314444"/>
      <w:bookmarkEnd w:id="315"/>
      <w:bookmarkStart w:id="316" w:name="_Toc184310310"/>
      <w:bookmarkEnd w:id="316"/>
      <w:bookmarkStart w:id="317" w:name="_Toc184313250"/>
      <w:bookmarkEnd w:id="317"/>
      <w:bookmarkStart w:id="318" w:name="_Toc184313308"/>
      <w:bookmarkEnd w:id="318"/>
      <w:bookmarkStart w:id="319" w:name="_Toc184310307"/>
      <w:bookmarkEnd w:id="319"/>
      <w:bookmarkStart w:id="320" w:name="_Toc184310319"/>
      <w:bookmarkEnd w:id="320"/>
      <w:bookmarkStart w:id="321" w:name="_Toc184310283"/>
      <w:bookmarkEnd w:id="321"/>
      <w:bookmarkStart w:id="322" w:name="_Toc184308108"/>
      <w:bookmarkEnd w:id="322"/>
      <w:bookmarkStart w:id="323" w:name="_Toc184308051"/>
      <w:bookmarkEnd w:id="323"/>
      <w:bookmarkStart w:id="324" w:name="_Toc184312073"/>
      <w:bookmarkEnd w:id="324"/>
      <w:bookmarkStart w:id="325" w:name="_Toc184310300"/>
      <w:bookmarkEnd w:id="325"/>
      <w:bookmarkStart w:id="326" w:name="_Toc184308063"/>
      <w:bookmarkEnd w:id="326"/>
      <w:bookmarkStart w:id="327" w:name="_Toc184313242"/>
      <w:bookmarkEnd w:id="327"/>
      <w:bookmarkStart w:id="328" w:name="_Toc184314460"/>
      <w:bookmarkEnd w:id="328"/>
      <w:bookmarkStart w:id="329" w:name="_Toc184312101"/>
      <w:bookmarkEnd w:id="329"/>
      <w:bookmarkStart w:id="330" w:name="_Toc184314448"/>
      <w:bookmarkEnd w:id="330"/>
      <w:bookmarkStart w:id="331" w:name="_Toc184313298"/>
      <w:bookmarkEnd w:id="331"/>
      <w:bookmarkStart w:id="332" w:name="_Toc184313302"/>
      <w:bookmarkEnd w:id="332"/>
      <w:bookmarkStart w:id="333" w:name="_Toc184314423"/>
      <w:bookmarkEnd w:id="333"/>
      <w:bookmarkStart w:id="334" w:name="_Toc184314451"/>
      <w:bookmarkEnd w:id="334"/>
      <w:bookmarkStart w:id="335" w:name="_Toc184312125"/>
      <w:bookmarkEnd w:id="335"/>
      <w:bookmarkStart w:id="336" w:name="_Toc184312136"/>
      <w:bookmarkEnd w:id="336"/>
      <w:bookmarkStart w:id="337" w:name="_Toc184308052"/>
      <w:bookmarkEnd w:id="337"/>
      <w:bookmarkStart w:id="338" w:name="_Toc184314482"/>
      <w:bookmarkEnd w:id="338"/>
      <w:bookmarkStart w:id="339" w:name="_Toc184310284"/>
      <w:bookmarkEnd w:id="339"/>
      <w:bookmarkStart w:id="340" w:name="_Toc184314424"/>
      <w:bookmarkEnd w:id="340"/>
      <w:bookmarkStart w:id="341" w:name="_Toc184310333"/>
      <w:bookmarkEnd w:id="341"/>
      <w:bookmarkStart w:id="342" w:name="_Toc184313240"/>
      <w:bookmarkEnd w:id="342"/>
      <w:bookmarkStart w:id="343" w:name="_Toc184312096"/>
      <w:bookmarkEnd w:id="343"/>
      <w:bookmarkStart w:id="344" w:name="_Toc184310332"/>
      <w:bookmarkEnd w:id="344"/>
      <w:bookmarkStart w:id="345" w:name="_Toc184313239"/>
      <w:bookmarkEnd w:id="345"/>
      <w:bookmarkStart w:id="346" w:name="_Toc184310323"/>
      <w:bookmarkEnd w:id="346"/>
      <w:bookmarkStart w:id="347" w:name="_Toc184313279"/>
      <w:bookmarkEnd w:id="347"/>
      <w:bookmarkStart w:id="348" w:name="_Toc184312102"/>
      <w:bookmarkEnd w:id="348"/>
      <w:bookmarkStart w:id="349" w:name="_Toc184314420"/>
      <w:bookmarkEnd w:id="349"/>
      <w:bookmarkStart w:id="350" w:name="_Toc184313249"/>
      <w:bookmarkEnd w:id="350"/>
      <w:bookmarkStart w:id="351" w:name="_Toc184310308"/>
      <w:bookmarkEnd w:id="351"/>
      <w:bookmarkStart w:id="352" w:name="_Toc184310282"/>
      <w:bookmarkEnd w:id="352"/>
      <w:bookmarkStart w:id="353" w:name="_Toc184308082"/>
      <w:bookmarkEnd w:id="353"/>
      <w:bookmarkStart w:id="354" w:name="_Toc184313268"/>
      <w:bookmarkEnd w:id="354"/>
      <w:bookmarkStart w:id="355" w:name="_Toc184312078"/>
      <w:bookmarkEnd w:id="355"/>
      <w:bookmarkStart w:id="356" w:name="_Toc184313255"/>
      <w:bookmarkEnd w:id="356"/>
      <w:bookmarkStart w:id="357" w:name="_Toc184314426"/>
      <w:bookmarkEnd w:id="357"/>
      <w:bookmarkStart w:id="358" w:name="_Toc184313291"/>
      <w:bookmarkEnd w:id="358"/>
      <w:bookmarkStart w:id="359" w:name="_Toc184314445"/>
      <w:bookmarkEnd w:id="359"/>
      <w:bookmarkStart w:id="360" w:name="_Toc184313270"/>
      <w:bookmarkEnd w:id="360"/>
      <w:bookmarkStart w:id="361" w:name="_Toc184308078"/>
      <w:bookmarkEnd w:id="361"/>
      <w:bookmarkStart w:id="362" w:name="_Toc184313238"/>
      <w:bookmarkEnd w:id="362"/>
      <w:bookmarkStart w:id="363" w:name="_Toc184313274"/>
      <w:bookmarkEnd w:id="363"/>
      <w:bookmarkStart w:id="364" w:name="_Toc184314443"/>
      <w:bookmarkEnd w:id="364"/>
      <w:bookmarkStart w:id="365" w:name="_Toc184310309"/>
      <w:bookmarkEnd w:id="365"/>
      <w:bookmarkStart w:id="366" w:name="_Toc184310291"/>
      <w:bookmarkEnd w:id="366"/>
      <w:bookmarkStart w:id="367" w:name="_Toc184312139"/>
      <w:bookmarkEnd w:id="367"/>
      <w:bookmarkStart w:id="368" w:name="_Toc184308047"/>
      <w:bookmarkEnd w:id="368"/>
      <w:bookmarkStart w:id="369" w:name="_Toc184313267"/>
      <w:bookmarkEnd w:id="369"/>
      <w:bookmarkStart w:id="370" w:name="_Toc184310328"/>
      <w:bookmarkEnd w:id="370"/>
      <w:bookmarkStart w:id="371" w:name="_Toc184310306"/>
      <w:bookmarkEnd w:id="371"/>
      <w:bookmarkStart w:id="372" w:name="_Toc184312126"/>
      <w:bookmarkEnd w:id="372"/>
      <w:bookmarkStart w:id="373" w:name="_Toc184314456"/>
      <w:bookmarkEnd w:id="373"/>
      <w:bookmarkStart w:id="374" w:name="_Toc184310337"/>
      <w:bookmarkEnd w:id="374"/>
      <w:bookmarkStart w:id="375" w:name="_Toc184308086"/>
      <w:bookmarkEnd w:id="375"/>
      <w:bookmarkStart w:id="376" w:name="_Toc184314421"/>
      <w:bookmarkEnd w:id="376"/>
      <w:bookmarkStart w:id="377" w:name="_Toc184308048"/>
      <w:bookmarkEnd w:id="377"/>
      <w:bookmarkStart w:id="378" w:name="_Toc184310301"/>
      <w:bookmarkEnd w:id="378"/>
      <w:bookmarkStart w:id="379" w:name="_Toc184308100"/>
      <w:bookmarkEnd w:id="379"/>
      <w:bookmarkStart w:id="380" w:name="_Toc184312104"/>
      <w:bookmarkEnd w:id="380"/>
      <w:bookmarkStart w:id="381" w:name="_Toc184312138"/>
      <w:bookmarkEnd w:id="381"/>
      <w:bookmarkStart w:id="382" w:name="_Toc184314410"/>
      <w:bookmarkEnd w:id="382"/>
      <w:bookmarkStart w:id="383" w:name="_Toc184312131"/>
      <w:bookmarkEnd w:id="383"/>
      <w:bookmarkStart w:id="384" w:name="_Toc184310305"/>
      <w:bookmarkEnd w:id="384"/>
      <w:bookmarkStart w:id="385" w:name="_Toc184310285"/>
      <w:bookmarkEnd w:id="385"/>
      <w:bookmarkStart w:id="386" w:name="_Toc184314473"/>
      <w:bookmarkEnd w:id="386"/>
      <w:bookmarkStart w:id="387" w:name="_Toc184312088"/>
      <w:bookmarkEnd w:id="387"/>
      <w:bookmarkStart w:id="388" w:name="_Toc184314453"/>
      <w:bookmarkEnd w:id="388"/>
      <w:bookmarkStart w:id="389" w:name="_Toc184310343"/>
      <w:bookmarkEnd w:id="389"/>
      <w:bookmarkStart w:id="390" w:name="_Toc184313281"/>
      <w:bookmarkEnd w:id="390"/>
      <w:bookmarkStart w:id="391" w:name="_Toc184314419"/>
      <w:bookmarkEnd w:id="391"/>
      <w:bookmarkStart w:id="392" w:name="_Toc184313258"/>
      <w:bookmarkEnd w:id="392"/>
      <w:bookmarkStart w:id="393" w:name="_Toc184308065"/>
      <w:bookmarkEnd w:id="393"/>
      <w:bookmarkStart w:id="394" w:name="_Toc184312100"/>
      <w:bookmarkEnd w:id="394"/>
      <w:bookmarkStart w:id="395" w:name="_Toc184308083"/>
      <w:bookmarkEnd w:id="395"/>
      <w:bookmarkStart w:id="396" w:name="_Toc184313310"/>
      <w:bookmarkEnd w:id="396"/>
      <w:bookmarkStart w:id="397" w:name="_Toc184310302"/>
      <w:bookmarkEnd w:id="397"/>
      <w:bookmarkStart w:id="398" w:name="_Toc184314441"/>
      <w:bookmarkEnd w:id="398"/>
      <w:bookmarkStart w:id="399" w:name="_Toc184313269"/>
      <w:bookmarkEnd w:id="399"/>
      <w:bookmarkStart w:id="400" w:name="_Toc184313257"/>
      <w:bookmarkEnd w:id="400"/>
      <w:bookmarkStart w:id="401" w:name="_Toc184310293"/>
      <w:bookmarkEnd w:id="40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2"/>
        <w:tblpPr w:leftFromText="180" w:rightFromText="180" w:vertAnchor="text" w:horzAnchor="page" w:tblpX="1031" w:tblpY="126"/>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835" w:type="dxa"/>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5399" w:type="dxa"/>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727" w:type="dxa"/>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954" w:type="dxa"/>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35" w:type="dxa"/>
            <w:vMerge w:val="restart"/>
            <w:vAlign w:val="center"/>
          </w:tcPr>
          <w:p>
            <w:pPr>
              <w:spacing w:line="360" w:lineRule="auto"/>
              <w:ind w:firstLine="240" w:firstLineChars="100"/>
              <w:outlineLvl w:val="0"/>
              <w:rPr>
                <w:rFonts w:ascii="仿宋" w:hAnsi="仿宋" w:eastAsia="仿宋" w:cs="仿宋_GB2312"/>
                <w:sz w:val="24"/>
              </w:rPr>
            </w:pPr>
            <w:r>
              <w:rPr>
                <w:rFonts w:ascii="仿宋" w:hAnsi="仿宋" w:eastAsia="仿宋" w:cs="仿宋_GB2312"/>
                <w:sz w:val="24"/>
              </w:rPr>
              <w:t>1</w:t>
            </w: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sym w:font="Wingdings" w:char="F081"/>
            </w:r>
            <w:r>
              <w:rPr>
                <w:rFonts w:hint="eastAsia" w:ascii="仿宋" w:hAnsi="仿宋" w:eastAsia="仿宋" w:cs="仿宋_GB2312"/>
                <w:sz w:val="24"/>
              </w:rPr>
              <w:t>焊接件：焊接处应无脱焊、虚焊、错位，应无气孔、焊丝头、咬边，焊疤表面波纹应均匀（0-3分）</w:t>
            </w:r>
          </w:p>
          <w:p>
            <w:pPr>
              <w:spacing w:line="360" w:lineRule="auto"/>
              <w:outlineLvl w:val="0"/>
              <w:rPr>
                <w:rFonts w:ascii="仿宋" w:hAnsi="仿宋" w:eastAsia="仿宋" w:cs="仿宋_GB2312"/>
                <w:sz w:val="24"/>
              </w:rPr>
            </w:pPr>
            <w:r>
              <w:rPr>
                <w:rFonts w:hint="eastAsia" w:ascii="仿宋" w:hAnsi="仿宋" w:eastAsia="仿宋" w:cs="仿宋_GB2312"/>
                <w:sz w:val="24"/>
              </w:rPr>
              <w:sym w:font="Wingdings" w:char="F082"/>
            </w:r>
            <w:r>
              <w:rPr>
                <w:rFonts w:hint="eastAsia" w:ascii="仿宋" w:hAnsi="仿宋" w:eastAsia="仿宋" w:cs="仿宋_GB2312"/>
                <w:sz w:val="24"/>
              </w:rPr>
              <w:t>样品整体牢固、扎实、安全程度，各种配件结合处应无松动，安装、扎实程度等（0-2分）</w:t>
            </w:r>
          </w:p>
          <w:p>
            <w:pPr>
              <w:spacing w:line="360" w:lineRule="auto"/>
              <w:outlineLvl w:val="0"/>
              <w:rPr>
                <w:rFonts w:ascii="仿宋" w:hAnsi="仿宋" w:eastAsia="仿宋" w:cs="仿宋_GB2312"/>
                <w:sz w:val="24"/>
              </w:rPr>
            </w:pPr>
            <w:r>
              <w:rPr>
                <w:rFonts w:hint="eastAsia" w:ascii="仿宋" w:hAnsi="仿宋" w:eastAsia="仿宋" w:cs="仿宋_GB2312"/>
                <w:sz w:val="24"/>
              </w:rPr>
              <w:sym w:font="Wingdings" w:char="F083"/>
            </w:r>
            <w:r>
              <w:rPr>
                <w:rFonts w:hint="eastAsia" w:ascii="仿宋" w:hAnsi="仿宋" w:eastAsia="仿宋" w:cs="仿宋_GB2312"/>
                <w:sz w:val="24"/>
              </w:rPr>
              <w:t>金属件涂饰：应无漏喷、锈蚀，涂层应光滑均匀,应无流挂、疙瘩等（0-3分）</w:t>
            </w:r>
          </w:p>
          <w:p>
            <w:pPr>
              <w:spacing w:line="360" w:lineRule="auto"/>
              <w:outlineLvl w:val="0"/>
              <w:rPr>
                <w:rFonts w:ascii="仿宋" w:hAnsi="仿宋" w:eastAsia="仿宋" w:cs="仿宋_GB2312"/>
                <w:sz w:val="24"/>
              </w:rPr>
            </w:pPr>
            <w:r>
              <w:rPr>
                <w:rFonts w:hint="eastAsia" w:ascii="仿宋" w:hAnsi="仿宋" w:eastAsia="仿宋" w:cs="仿宋_GB2312"/>
                <w:sz w:val="24"/>
              </w:rPr>
              <w:fldChar w:fldCharType="begin"/>
            </w:r>
            <w:r>
              <w:rPr>
                <w:rFonts w:hint="eastAsia" w:ascii="仿宋" w:hAnsi="仿宋" w:eastAsia="仿宋" w:cs="仿宋_GB2312"/>
                <w:sz w:val="24"/>
              </w:rPr>
              <w:instrText xml:space="preserve"> = 4 \* GB3 \* MERGEFORMAT </w:instrText>
            </w:r>
            <w:r>
              <w:rPr>
                <w:rFonts w:hint="eastAsia" w:ascii="仿宋" w:hAnsi="仿宋" w:eastAsia="仿宋" w:cs="仿宋_GB2312"/>
                <w:sz w:val="24"/>
              </w:rPr>
              <w:fldChar w:fldCharType="separate"/>
            </w:r>
            <w:r>
              <w:rPr>
                <w:rFonts w:hint="eastAsia" w:ascii="仿宋" w:hAnsi="仿宋" w:eastAsia="仿宋" w:cs="仿宋_GB2312"/>
                <w:sz w:val="24"/>
              </w:rPr>
              <w:t>④</w:t>
            </w:r>
            <w:r>
              <w:rPr>
                <w:rFonts w:hint="eastAsia" w:ascii="仿宋" w:hAnsi="仿宋" w:eastAsia="仿宋" w:cs="仿宋_GB2312"/>
                <w:sz w:val="24"/>
              </w:rPr>
              <w:fldChar w:fldCharType="end"/>
            </w:r>
            <w:r>
              <w:rPr>
                <w:rFonts w:hint="eastAsia" w:ascii="仿宋" w:hAnsi="仿宋" w:eastAsia="仿宋" w:cs="仿宋_GB2312"/>
                <w:sz w:val="24"/>
              </w:rPr>
              <w:t>表面平整度、光泽度、抗污抗划痕性能（0-3分）</w:t>
            </w:r>
          </w:p>
        </w:tc>
        <w:tc>
          <w:tcPr>
            <w:tcW w:w="727" w:type="dxa"/>
            <w:vMerge w:val="restart"/>
          </w:tcPr>
          <w:p/>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24</w:t>
            </w:r>
          </w:p>
        </w:tc>
        <w:tc>
          <w:tcPr>
            <w:tcW w:w="1954" w:type="dxa"/>
            <w:vMerge w:val="restar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样品分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5" w:type="dxa"/>
            <w:vMerge w:val="continue"/>
            <w:vAlign w:val="center"/>
          </w:tcPr>
          <w:p>
            <w:pPr>
              <w:spacing w:line="360" w:lineRule="auto"/>
              <w:ind w:firstLine="360" w:firstLineChars="150"/>
              <w:jc w:val="left"/>
              <w:outlineLvl w:val="0"/>
              <w:rPr>
                <w:rFonts w:ascii="仿宋" w:hAnsi="仿宋" w:eastAsia="仿宋" w:cs="仿宋_GB2312"/>
                <w:sz w:val="24"/>
              </w:rPr>
            </w:pP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款式是否符合招标文件的要求，外观式样符合学生人体坐姿要求、坐感舒适，美观情况（0-3分）。</w:t>
            </w:r>
          </w:p>
        </w:tc>
        <w:tc>
          <w:tcPr>
            <w:tcW w:w="727" w:type="dxa"/>
            <w:vMerge w:val="continue"/>
          </w:tcPr>
          <w:p/>
        </w:tc>
        <w:tc>
          <w:tcPr>
            <w:tcW w:w="1954" w:type="dxa"/>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5" w:type="dxa"/>
            <w:vMerge w:val="continue"/>
            <w:vAlign w:val="center"/>
          </w:tcPr>
          <w:p>
            <w:pPr>
              <w:spacing w:line="360" w:lineRule="auto"/>
              <w:ind w:firstLine="360" w:firstLineChars="150"/>
              <w:jc w:val="left"/>
              <w:outlineLvl w:val="0"/>
              <w:rPr>
                <w:rFonts w:ascii="仿宋" w:hAnsi="仿宋" w:eastAsia="仿宋" w:cs="仿宋_GB2312"/>
                <w:sz w:val="24"/>
              </w:rPr>
            </w:pP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产品选用的材料，如桌面材料（含加固措施）、桌斗材料、椅面材料、桌脚材料、椅脚材料等（0-3分）</w:t>
            </w:r>
          </w:p>
        </w:tc>
        <w:tc>
          <w:tcPr>
            <w:tcW w:w="727" w:type="dxa"/>
            <w:vMerge w:val="continue"/>
          </w:tcPr>
          <w:p/>
        </w:tc>
        <w:tc>
          <w:tcPr>
            <w:tcW w:w="1954" w:type="dxa"/>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5" w:type="dxa"/>
            <w:vMerge w:val="continue"/>
            <w:vAlign w:val="center"/>
          </w:tcPr>
          <w:p>
            <w:pPr>
              <w:spacing w:line="360" w:lineRule="auto"/>
              <w:ind w:firstLine="360" w:firstLineChars="150"/>
              <w:jc w:val="left"/>
              <w:outlineLvl w:val="0"/>
              <w:rPr>
                <w:rFonts w:ascii="仿宋" w:hAnsi="仿宋" w:eastAsia="仿宋" w:cs="仿宋_GB2312"/>
                <w:sz w:val="24"/>
              </w:rPr>
            </w:pP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产品其它性能的评分，如先进性、成熟性、舒适性、安全性、可维护性、课椅的便捷性。（0-4分）</w:t>
            </w:r>
          </w:p>
          <w:p>
            <w:pPr>
              <w:spacing w:line="360" w:lineRule="auto"/>
              <w:outlineLvl w:val="0"/>
              <w:rPr>
                <w:rFonts w:ascii="仿宋" w:hAnsi="仿宋" w:eastAsia="仿宋" w:cs="仿宋_GB2312"/>
                <w:sz w:val="24"/>
              </w:rPr>
            </w:pPr>
            <w:r>
              <w:rPr>
                <w:rFonts w:hint="eastAsia" w:ascii="仿宋" w:hAnsi="仿宋" w:eastAsia="仿宋" w:cs="仿宋_GB2312"/>
                <w:sz w:val="24"/>
              </w:rPr>
              <w:t>注：课椅的便捷性是指学校实际使用过程中需搬动（学生打扫卫生）课椅，投标人在确保满足招标文件要求和使用安全的前提下，应切实从学校实际使用考虑，提升生产工艺，注重课椅的便捷性。</w:t>
            </w:r>
          </w:p>
        </w:tc>
        <w:tc>
          <w:tcPr>
            <w:tcW w:w="727" w:type="dxa"/>
            <w:vMerge w:val="continue"/>
          </w:tcPr>
          <w:p/>
        </w:tc>
        <w:tc>
          <w:tcPr>
            <w:tcW w:w="1954" w:type="dxa"/>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35" w:type="dxa"/>
            <w:vMerge w:val="continue"/>
            <w:vAlign w:val="center"/>
          </w:tcPr>
          <w:p>
            <w:pPr>
              <w:spacing w:line="360" w:lineRule="auto"/>
              <w:ind w:firstLine="360" w:firstLineChars="150"/>
              <w:jc w:val="left"/>
              <w:outlineLvl w:val="0"/>
              <w:rPr>
                <w:rFonts w:ascii="仿宋" w:hAnsi="仿宋" w:eastAsia="仿宋" w:cs="仿宋_GB2312"/>
                <w:sz w:val="24"/>
              </w:rPr>
            </w:pP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课桌椅钢管刻字</w:t>
            </w:r>
          </w:p>
          <w:p>
            <w:pPr>
              <w:spacing w:line="360" w:lineRule="auto"/>
              <w:outlineLvl w:val="0"/>
              <w:rPr>
                <w:rFonts w:ascii="仿宋" w:hAnsi="仿宋" w:eastAsia="仿宋" w:cs="仿宋_GB2312"/>
                <w:sz w:val="24"/>
              </w:rPr>
            </w:pPr>
            <w:r>
              <w:rPr>
                <w:rFonts w:hint="eastAsia" w:ascii="仿宋" w:hAnsi="仿宋" w:eastAsia="仿宋" w:cs="仿宋_GB2312"/>
                <w:sz w:val="24"/>
              </w:rPr>
              <w:t>美观度、内容完整性（为技术规格及要求-其他要求中</w:t>
            </w:r>
            <w:r>
              <w:rPr>
                <w:rFonts w:hint="eastAsia" w:ascii="仿宋" w:hAnsi="仿宋" w:eastAsia="仿宋" w:cs="仿宋_GB2312"/>
                <w:b/>
                <w:sz w:val="24"/>
              </w:rPr>
              <w:t>钢字刻印统一内容所列字样，不得出现投标人或生产商相关信息</w:t>
            </w:r>
            <w:r>
              <w:rPr>
                <w:rFonts w:hint="eastAsia" w:ascii="仿宋" w:hAnsi="仿宋" w:eastAsia="仿宋" w:cs="仿宋_GB2312"/>
                <w:sz w:val="24"/>
              </w:rPr>
              <w:t>）、工艺。注：内容不完整本项不得分。（0-3分）</w:t>
            </w:r>
          </w:p>
        </w:tc>
        <w:tc>
          <w:tcPr>
            <w:tcW w:w="727" w:type="dxa"/>
            <w:vMerge w:val="continue"/>
          </w:tcPr>
          <w:p/>
        </w:tc>
        <w:tc>
          <w:tcPr>
            <w:tcW w:w="1954" w:type="dxa"/>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ascii="仿宋" w:hAnsi="仿宋" w:eastAsia="仿宋" w:cs="仿宋_GB2312"/>
                <w:sz w:val="24"/>
              </w:rPr>
              <w:t>2</w:t>
            </w: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1.所有指标均满足采购文件技术参数等要求的，得基本分12分，有实质性正偏离的，每项加1分，最多加5分。</w:t>
            </w:r>
          </w:p>
          <w:p>
            <w:pPr>
              <w:spacing w:line="360" w:lineRule="auto"/>
              <w:outlineLvl w:val="0"/>
              <w:rPr>
                <w:rFonts w:ascii="仿宋" w:hAnsi="仿宋" w:eastAsia="仿宋" w:cs="仿宋_GB2312"/>
                <w:sz w:val="24"/>
              </w:rPr>
            </w:pPr>
            <w:r>
              <w:rPr>
                <w:rFonts w:hint="eastAsia" w:ascii="仿宋" w:hAnsi="仿宋" w:eastAsia="仿宋" w:cs="仿宋_GB2312"/>
                <w:sz w:val="24"/>
              </w:rPr>
              <w:t>2.带“◆”号指标不满足的，每项扣3分；其它指标负偏离或未响应的，每项扣2分。扣完为止。</w:t>
            </w:r>
          </w:p>
        </w:tc>
        <w:tc>
          <w:tcPr>
            <w:tcW w:w="727" w:type="dxa"/>
          </w:tcPr>
          <w:p>
            <w:pPr>
              <w:spacing w:line="360" w:lineRule="auto"/>
              <w:ind w:firstLine="240" w:firstLineChars="100"/>
              <w:outlineLvl w:val="0"/>
              <w:rPr>
                <w:rFonts w:ascii="仿宋" w:hAnsi="仿宋" w:eastAsia="仿宋" w:cs="仿宋_GB2312"/>
                <w:sz w:val="24"/>
              </w:rPr>
            </w:pPr>
          </w:p>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17</w:t>
            </w:r>
          </w:p>
        </w:tc>
        <w:tc>
          <w:tcPr>
            <w:tcW w:w="1954" w:type="dxa"/>
          </w:tcPr>
          <w:p>
            <w:pPr>
              <w:spacing w:line="360" w:lineRule="auto"/>
              <w:outlineLvl w:val="0"/>
              <w:rPr>
                <w:rFonts w:ascii="仿宋" w:hAnsi="仿宋" w:eastAsia="仿宋" w:cs="仿宋_GB2312"/>
                <w:sz w:val="24"/>
              </w:rPr>
            </w:pPr>
            <w:r>
              <w:rPr>
                <w:rFonts w:hint="eastAsia" w:ascii="仿宋" w:hAnsi="仿宋" w:eastAsia="仿宋" w:cs="仿宋_GB2312"/>
                <w:sz w:val="24"/>
              </w:rPr>
              <w:t>所投产品具体配置、技术参数及偏离情况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ascii="仿宋" w:hAnsi="仿宋" w:eastAsia="仿宋" w:cs="仿宋_GB2312"/>
                <w:sz w:val="24"/>
              </w:rPr>
              <w:t>3</w:t>
            </w: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本项目所用主要材料满足质量标准证明：须提供桌面ABS、钢板、钢管、塑粉、塑料脚套、升降铰链所用材料</w:t>
            </w:r>
            <w:r>
              <w:rPr>
                <w:rFonts w:hint="eastAsia" w:ascii="仿宋" w:hAnsi="仿宋" w:eastAsia="仿宋" w:cs="仿宋_GB2312"/>
                <w:b/>
                <w:sz w:val="24"/>
              </w:rPr>
              <w:t>国家认可具有CMA资质的检测机构出具的有效期内的合格检测报告</w:t>
            </w:r>
            <w:r>
              <w:rPr>
                <w:rFonts w:hint="eastAsia" w:ascii="仿宋" w:hAnsi="仿宋" w:eastAsia="仿宋" w:cs="仿宋_GB2312"/>
                <w:sz w:val="24"/>
              </w:rPr>
              <w:t>，每提供一个得1分，最高得6分。</w:t>
            </w:r>
          </w:p>
        </w:tc>
        <w:tc>
          <w:tcPr>
            <w:tcW w:w="727" w:type="dxa"/>
          </w:tcPr>
          <w:p>
            <w:pPr>
              <w:spacing w:line="360" w:lineRule="auto"/>
              <w:ind w:firstLine="240" w:firstLineChars="100"/>
              <w:outlineLvl w:val="0"/>
              <w:rPr>
                <w:rFonts w:ascii="仿宋" w:hAnsi="仿宋" w:eastAsia="仿宋" w:cs="仿宋_GB2312"/>
                <w:sz w:val="24"/>
              </w:rPr>
            </w:pPr>
          </w:p>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6</w:t>
            </w:r>
          </w:p>
        </w:tc>
        <w:tc>
          <w:tcPr>
            <w:tcW w:w="1954" w:type="dxa"/>
          </w:tcPr>
          <w:p>
            <w:pPr>
              <w:spacing w:line="360" w:lineRule="auto"/>
              <w:outlineLvl w:val="0"/>
              <w:rPr>
                <w:rFonts w:ascii="仿宋" w:hAnsi="仿宋" w:eastAsia="仿宋" w:cs="仿宋_GB2312"/>
                <w:sz w:val="24"/>
              </w:rPr>
            </w:pPr>
            <w:r>
              <w:rPr>
                <w:rFonts w:hint="eastAsia" w:ascii="仿宋" w:hAnsi="仿宋" w:eastAsia="仿宋" w:cs="仿宋_GB2312"/>
                <w:sz w:val="24"/>
              </w:rPr>
              <w:t>投标产品主要材料检测报告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4</w:t>
            </w: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所投手摇式单人单斗升降课桌椅（符合手摇式）：提供</w:t>
            </w:r>
            <w:r>
              <w:rPr>
                <w:rFonts w:hint="eastAsia" w:ascii="仿宋" w:hAnsi="仿宋" w:eastAsia="仿宋" w:cs="仿宋_GB2312"/>
                <w:b/>
                <w:sz w:val="24"/>
              </w:rPr>
              <w:t>国家认可具有CMA资质的检测机构出具的手摇式单人单斗升降课桌椅（符合手摇式）的有效期内合格的检测报告</w:t>
            </w:r>
            <w:r>
              <w:rPr>
                <w:rFonts w:hint="eastAsia" w:ascii="仿宋" w:hAnsi="仿宋" w:eastAsia="仿宋" w:cs="仿宋_GB2312"/>
                <w:sz w:val="24"/>
              </w:rPr>
              <w:t>。包含力学、理化、安全性能、有害物质检测报告，每提供一项报告得1分，本项最高得4分。提供扫描件或复印件。</w:t>
            </w:r>
          </w:p>
        </w:tc>
        <w:tc>
          <w:tcPr>
            <w:tcW w:w="727" w:type="dxa"/>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4</w:t>
            </w:r>
          </w:p>
        </w:tc>
        <w:tc>
          <w:tcPr>
            <w:tcW w:w="1954" w:type="dxa"/>
          </w:tcPr>
          <w:p>
            <w:pPr>
              <w:spacing w:line="360" w:lineRule="auto"/>
              <w:outlineLvl w:val="0"/>
              <w:rPr>
                <w:rFonts w:ascii="仿宋" w:hAnsi="仿宋" w:eastAsia="仿宋" w:cs="仿宋_GB2312"/>
                <w:sz w:val="24"/>
              </w:rPr>
            </w:pPr>
            <w:r>
              <w:rPr>
                <w:rFonts w:hint="eastAsia" w:ascii="仿宋" w:hAnsi="仿宋" w:eastAsia="仿宋" w:cs="仿宋_GB2312"/>
                <w:sz w:val="24"/>
              </w:rPr>
              <w:t>投标产品检测报告，按QB/T 4071－2010（或QB/T 4071-2021）及GB 28481-2012标准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5</w:t>
            </w:r>
          </w:p>
        </w:tc>
        <w:tc>
          <w:tcPr>
            <w:tcW w:w="5399" w:type="dxa"/>
            <w:vAlign w:val="center"/>
          </w:tcPr>
          <w:p>
            <w:pPr>
              <w:spacing w:line="360" w:lineRule="auto"/>
              <w:outlineLvl w:val="0"/>
              <w:rPr>
                <w:rFonts w:ascii="仿宋" w:hAnsi="仿宋" w:eastAsia="仿宋" w:cs="仿宋_GB2312"/>
                <w:sz w:val="24"/>
              </w:rPr>
            </w:pPr>
            <w:r>
              <w:rPr>
                <w:rFonts w:hint="eastAsia" w:ascii="仿宋" w:hAnsi="仿宋" w:eastAsia="仿宋" w:cs="仿宋_GB2312"/>
                <w:sz w:val="24"/>
              </w:rPr>
              <w:t>本项目所投产品生产工艺流程、出厂检验程序等质量保证体系评分（0-2分）。</w:t>
            </w:r>
          </w:p>
        </w:tc>
        <w:tc>
          <w:tcPr>
            <w:tcW w:w="727" w:type="dxa"/>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2</w:t>
            </w:r>
          </w:p>
        </w:tc>
        <w:tc>
          <w:tcPr>
            <w:tcW w:w="1954" w:type="dxa"/>
          </w:tcPr>
          <w:p>
            <w:pPr>
              <w:spacing w:line="360" w:lineRule="auto"/>
              <w:outlineLvl w:val="0"/>
              <w:rPr>
                <w:rFonts w:ascii="仿宋" w:hAnsi="仿宋" w:eastAsia="仿宋" w:cs="仿宋_GB2312"/>
                <w:sz w:val="24"/>
              </w:rPr>
            </w:pPr>
            <w:r>
              <w:rPr>
                <w:rFonts w:hint="eastAsia" w:ascii="仿宋" w:hAnsi="仿宋" w:eastAsia="仿宋" w:cs="仿宋_GB2312"/>
                <w:sz w:val="24"/>
              </w:rPr>
              <w:t>质量保证体系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spacing w:line="360" w:lineRule="auto"/>
              <w:ind w:left="210" w:leftChars="100"/>
              <w:outlineLvl w:val="0"/>
              <w:rPr>
                <w:rFonts w:ascii="仿宋" w:hAnsi="仿宋" w:eastAsia="仿宋" w:cs="仿宋_GB2312"/>
                <w:sz w:val="24"/>
              </w:rPr>
            </w:pPr>
            <w:r>
              <w:rPr>
                <w:rFonts w:hint="eastAsia" w:ascii="仿宋" w:hAnsi="仿宋" w:eastAsia="仿宋" w:cs="仿宋_GB2312"/>
                <w:sz w:val="24"/>
              </w:rPr>
              <w:t xml:space="preserve">   6</w:t>
            </w:r>
          </w:p>
        </w:tc>
        <w:tc>
          <w:tcPr>
            <w:tcW w:w="5399" w:type="dxa"/>
            <w:vAlign w:val="center"/>
          </w:tcPr>
          <w:p>
            <w:pPr>
              <w:rPr>
                <w:rFonts w:ascii="仿宋" w:hAnsi="仿宋" w:eastAsia="仿宋" w:cs="仿宋_GB2312"/>
                <w:sz w:val="24"/>
              </w:rPr>
            </w:pPr>
            <w:r>
              <w:rPr>
                <w:rFonts w:hint="eastAsia" w:ascii="仿宋" w:hAnsi="仿宋" w:eastAsia="仿宋" w:cs="仿宋_GB2312"/>
                <w:sz w:val="24"/>
              </w:rPr>
              <w:t>总体供货的部署具有合理可行性;供货时间进度表;现场安装管理计划具有合理性、全面性、可执行性；验收方案具有合理可行性。满足一项得0.5分，最高得2分。</w:t>
            </w:r>
          </w:p>
        </w:tc>
        <w:tc>
          <w:tcPr>
            <w:tcW w:w="727" w:type="dxa"/>
          </w:tcPr>
          <w:p>
            <w:pPr>
              <w:spacing w:line="360" w:lineRule="auto"/>
              <w:ind w:firstLine="240" w:firstLineChars="100"/>
              <w:outlineLvl w:val="0"/>
              <w:rPr>
                <w:rFonts w:ascii="仿宋" w:hAnsi="仿宋" w:eastAsia="仿宋" w:cs="仿宋_GB2312"/>
                <w:sz w:val="24"/>
              </w:rPr>
            </w:pPr>
          </w:p>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2</w:t>
            </w:r>
          </w:p>
        </w:tc>
        <w:tc>
          <w:tcPr>
            <w:tcW w:w="1954" w:type="dxa"/>
          </w:tcPr>
          <w:p>
            <w:pPr>
              <w:rPr>
                <w:rFonts w:ascii="仿宋" w:hAnsi="仿宋" w:eastAsia="仿宋" w:cs="仿宋_GB2312"/>
                <w:sz w:val="24"/>
              </w:rPr>
            </w:pPr>
            <w:r>
              <w:rPr>
                <w:rFonts w:hint="eastAsia" w:ascii="仿宋" w:hAnsi="仿宋" w:eastAsia="仿宋" w:cs="仿宋_GB2312"/>
                <w:sz w:val="24"/>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35" w:type="dxa"/>
            <w:vMerge w:val="restart"/>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7</w:t>
            </w:r>
          </w:p>
        </w:tc>
        <w:tc>
          <w:tcPr>
            <w:tcW w:w="5399" w:type="dxa"/>
          </w:tcPr>
          <w:p>
            <w:pPr>
              <w:pStyle w:val="85"/>
              <w:spacing w:before="0" w:line="400" w:lineRule="atLeast"/>
              <w:ind w:firstLine="0" w:firstLineChars="0"/>
              <w:rPr>
                <w:rFonts w:ascii="仿宋" w:hAnsi="仿宋" w:eastAsia="仿宋" w:cs="仿宋_GB2312"/>
                <w:szCs w:val="24"/>
              </w:rPr>
            </w:pPr>
            <w:r>
              <w:rPr>
                <w:rFonts w:hint="eastAsia" w:ascii="仿宋" w:hAnsi="仿宋" w:eastAsia="仿宋" w:cs="仿宋_GB2312"/>
                <w:szCs w:val="24"/>
              </w:rPr>
              <w:t>服务能力及其组织情况：投标人日常维护力量设置情况，并根据投标人和主要设备原厂商维护能力等情况评分。（0-2分）</w:t>
            </w:r>
          </w:p>
        </w:tc>
        <w:tc>
          <w:tcPr>
            <w:tcW w:w="727" w:type="dxa"/>
            <w:vMerge w:val="restart"/>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8</w:t>
            </w:r>
          </w:p>
        </w:tc>
        <w:tc>
          <w:tcPr>
            <w:tcW w:w="1954" w:type="dxa"/>
            <w:vMerge w:val="restart"/>
          </w:tcPr>
          <w:p>
            <w:pPr>
              <w:rPr>
                <w:rFonts w:ascii="仿宋" w:hAnsi="仿宋" w:eastAsia="仿宋" w:cs="仿宋_GB2312"/>
                <w:sz w:val="24"/>
              </w:rPr>
            </w:pPr>
            <w:r>
              <w:rPr>
                <w:rFonts w:hint="eastAsia" w:ascii="仿宋" w:hAnsi="仿宋" w:eastAsia="仿宋" w:cs="仿宋_GB2312"/>
                <w:sz w:val="24"/>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vMerge w:val="continue"/>
            <w:vAlign w:val="center"/>
          </w:tcPr>
          <w:p>
            <w:pPr>
              <w:spacing w:line="360" w:lineRule="auto"/>
              <w:ind w:firstLine="240" w:firstLineChars="100"/>
              <w:outlineLvl w:val="0"/>
              <w:rPr>
                <w:rFonts w:ascii="仿宋" w:hAnsi="仿宋" w:eastAsia="仿宋" w:cs="仿宋_GB2312"/>
                <w:sz w:val="24"/>
              </w:rPr>
            </w:pPr>
          </w:p>
        </w:tc>
        <w:tc>
          <w:tcPr>
            <w:tcW w:w="5399" w:type="dxa"/>
          </w:tcPr>
          <w:p>
            <w:pPr>
              <w:pStyle w:val="85"/>
              <w:spacing w:before="0" w:line="400" w:lineRule="atLeast"/>
              <w:ind w:firstLine="0" w:firstLineChars="0"/>
              <w:rPr>
                <w:rFonts w:ascii="仿宋" w:hAnsi="仿宋" w:eastAsia="仿宋" w:cs="仿宋_GB2312"/>
                <w:szCs w:val="24"/>
              </w:rPr>
            </w:pPr>
            <w:r>
              <w:rPr>
                <w:rFonts w:hint="eastAsia" w:ascii="仿宋" w:hAnsi="仿宋" w:eastAsia="仿宋" w:cs="仿宋_GB2312"/>
                <w:szCs w:val="24"/>
              </w:rPr>
              <w:t>在满足招标文件要求的基础上，技术支持、售后服务响应时间；出现质量问题的处理，日常检测及保养，故障处理效率，应急维修承诺等的具体方案。满足一项得1分，最高得2分。（0-2分）</w:t>
            </w:r>
          </w:p>
        </w:tc>
        <w:tc>
          <w:tcPr>
            <w:tcW w:w="727" w:type="dxa"/>
            <w:vMerge w:val="continue"/>
          </w:tcPr>
          <w:p>
            <w:pPr>
              <w:spacing w:line="360" w:lineRule="auto"/>
              <w:ind w:firstLine="240" w:firstLineChars="100"/>
              <w:outlineLvl w:val="0"/>
              <w:rPr>
                <w:rFonts w:ascii="仿宋" w:hAnsi="仿宋" w:eastAsia="仿宋" w:cs="仿宋_GB2312"/>
                <w:sz w:val="24"/>
              </w:rPr>
            </w:pPr>
          </w:p>
        </w:tc>
        <w:tc>
          <w:tcPr>
            <w:tcW w:w="19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35" w:type="dxa"/>
            <w:vMerge w:val="continue"/>
            <w:vAlign w:val="center"/>
          </w:tcPr>
          <w:p>
            <w:pPr>
              <w:spacing w:line="360" w:lineRule="auto"/>
              <w:ind w:firstLine="240" w:firstLineChars="100"/>
              <w:outlineLvl w:val="0"/>
              <w:rPr>
                <w:rFonts w:ascii="仿宋" w:hAnsi="仿宋" w:eastAsia="仿宋" w:cs="仿宋_GB2312"/>
                <w:sz w:val="24"/>
              </w:rPr>
            </w:pPr>
          </w:p>
        </w:tc>
        <w:tc>
          <w:tcPr>
            <w:tcW w:w="5399" w:type="dxa"/>
          </w:tcPr>
          <w:p>
            <w:pPr>
              <w:widowControl/>
              <w:jc w:val="left"/>
              <w:rPr>
                <w:rFonts w:ascii="仿宋" w:hAnsi="仿宋" w:eastAsia="仿宋" w:cs="仿宋_GB2312"/>
                <w:sz w:val="24"/>
              </w:rPr>
            </w:pPr>
            <w:r>
              <w:rPr>
                <w:rFonts w:hint="eastAsia" w:ascii="仿宋" w:hAnsi="仿宋" w:eastAsia="仿宋" w:cs="仿宋_GB2312"/>
                <w:sz w:val="24"/>
              </w:rPr>
              <w:t>（1）备品备件：根据招标要求，提供全新、可正常使用的课桌椅100套及以上（投标文件中需提供承诺函，内容包含存放地点为教育局指定地点、数量，不允许出现报价，否则视为投标无效）。（0-2分）</w:t>
            </w:r>
          </w:p>
          <w:p>
            <w:pPr>
              <w:pStyle w:val="85"/>
              <w:spacing w:before="0" w:line="400" w:lineRule="atLeast"/>
              <w:ind w:firstLine="0" w:firstLineChars="0"/>
              <w:rPr>
                <w:rFonts w:ascii="仿宋" w:hAnsi="仿宋" w:eastAsia="仿宋" w:cs="仿宋"/>
                <w:szCs w:val="24"/>
              </w:rPr>
            </w:pPr>
            <w:r>
              <w:rPr>
                <w:rFonts w:hint="eastAsia" w:ascii="仿宋" w:hAnsi="仿宋" w:eastAsia="仿宋" w:cs="仿宋_GB2312"/>
                <w:szCs w:val="24"/>
              </w:rPr>
              <w:t>（2）在满足招标文件的要求下，每延长1年质保期，加1分，最多加2分。（0-2分）</w:t>
            </w:r>
          </w:p>
        </w:tc>
        <w:tc>
          <w:tcPr>
            <w:tcW w:w="727" w:type="dxa"/>
            <w:vMerge w:val="continue"/>
          </w:tcPr>
          <w:p>
            <w:pPr>
              <w:spacing w:line="360" w:lineRule="auto"/>
              <w:ind w:firstLine="240" w:firstLineChars="100"/>
              <w:outlineLvl w:val="0"/>
              <w:rPr>
                <w:rFonts w:ascii="仿宋" w:hAnsi="仿宋" w:eastAsia="仿宋" w:cs="仿宋_GB2312"/>
                <w:sz w:val="24"/>
              </w:rPr>
            </w:pPr>
          </w:p>
        </w:tc>
        <w:tc>
          <w:tcPr>
            <w:tcW w:w="19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35" w:type="dxa"/>
            <w:vMerge w:val="restart"/>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8</w:t>
            </w:r>
          </w:p>
        </w:tc>
        <w:tc>
          <w:tcPr>
            <w:tcW w:w="5399" w:type="dxa"/>
          </w:tcPr>
          <w:p>
            <w:pPr>
              <w:pStyle w:val="85"/>
              <w:widowControl/>
              <w:shd w:val="clear" w:color="auto" w:fill="FFFFFF"/>
              <w:adjustRightInd/>
              <w:spacing w:before="0" w:after="225" w:line="315" w:lineRule="atLeast"/>
              <w:ind w:firstLine="0" w:firstLineChars="0"/>
              <w:jc w:val="left"/>
              <w:rPr>
                <w:rFonts w:ascii="仿宋" w:hAnsi="仿宋" w:eastAsia="仿宋" w:cs="仿宋_GB2312"/>
                <w:szCs w:val="24"/>
              </w:rPr>
            </w:pPr>
            <w:r>
              <w:rPr>
                <w:rFonts w:hint="eastAsia" w:ascii="仿宋" w:hAnsi="仿宋" w:eastAsia="仿宋" w:cs="仿宋_GB2312"/>
                <w:szCs w:val="24"/>
              </w:rPr>
              <w:t>投标人提供质量管理体系认证证书复印件（1分）。</w:t>
            </w:r>
          </w:p>
        </w:tc>
        <w:tc>
          <w:tcPr>
            <w:tcW w:w="727" w:type="dxa"/>
            <w:vMerge w:val="restart"/>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4</w:t>
            </w:r>
          </w:p>
        </w:tc>
        <w:tc>
          <w:tcPr>
            <w:tcW w:w="1954" w:type="dxa"/>
            <w:vMerge w:val="restart"/>
          </w:tcPr>
          <w:p>
            <w:pPr>
              <w:rPr>
                <w:rFonts w:ascii="仿宋" w:hAnsi="仿宋" w:eastAsia="仿宋" w:cs="仿宋_GB2312"/>
                <w:sz w:val="24"/>
              </w:rPr>
            </w:pPr>
            <w:r>
              <w:rPr>
                <w:rFonts w:hint="eastAsia" w:ascii="仿宋" w:hAnsi="仿宋" w:eastAsia="仿宋" w:cs="仿宋_GB2312"/>
                <w:sz w:val="24"/>
              </w:rPr>
              <w:t>获得的证书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5" w:type="dxa"/>
            <w:vMerge w:val="continue"/>
            <w:vAlign w:val="center"/>
          </w:tcPr>
          <w:p>
            <w:pPr>
              <w:spacing w:line="360" w:lineRule="auto"/>
              <w:ind w:firstLine="240" w:firstLineChars="100"/>
              <w:outlineLvl w:val="0"/>
              <w:rPr>
                <w:rFonts w:ascii="仿宋" w:hAnsi="仿宋" w:eastAsia="仿宋" w:cs="仿宋_GB2312"/>
                <w:sz w:val="24"/>
              </w:rPr>
            </w:pPr>
          </w:p>
        </w:tc>
        <w:tc>
          <w:tcPr>
            <w:tcW w:w="5399" w:type="dxa"/>
          </w:tcPr>
          <w:p>
            <w:pPr>
              <w:pStyle w:val="85"/>
              <w:widowControl/>
              <w:shd w:val="clear" w:color="auto" w:fill="FFFFFF"/>
              <w:adjustRightInd/>
              <w:spacing w:before="0" w:after="225" w:line="315" w:lineRule="atLeast"/>
              <w:ind w:firstLine="0" w:firstLineChars="0"/>
              <w:jc w:val="left"/>
              <w:rPr>
                <w:rFonts w:ascii="仿宋" w:hAnsi="仿宋" w:eastAsia="仿宋" w:cs="仿宋_GB2312"/>
                <w:szCs w:val="24"/>
              </w:rPr>
            </w:pPr>
            <w:r>
              <w:rPr>
                <w:rFonts w:hint="eastAsia" w:ascii="仿宋" w:hAnsi="仿宋" w:eastAsia="仿宋" w:cs="仿宋_GB2312"/>
                <w:szCs w:val="24"/>
              </w:rPr>
              <w:t>投标人提供环境管理体系认证证书复印件或中国环境标志产品认证证书复印件（1分）。</w:t>
            </w:r>
          </w:p>
        </w:tc>
        <w:tc>
          <w:tcPr>
            <w:tcW w:w="727" w:type="dxa"/>
            <w:vMerge w:val="continue"/>
          </w:tcPr>
          <w:p>
            <w:pPr>
              <w:spacing w:line="360" w:lineRule="auto"/>
              <w:ind w:firstLine="240" w:firstLineChars="100"/>
              <w:outlineLvl w:val="0"/>
              <w:rPr>
                <w:rFonts w:ascii="仿宋" w:hAnsi="仿宋" w:eastAsia="仿宋" w:cs="仿宋_GB2312"/>
                <w:sz w:val="24"/>
              </w:rPr>
            </w:pPr>
          </w:p>
        </w:tc>
        <w:tc>
          <w:tcPr>
            <w:tcW w:w="1954" w:type="dxa"/>
            <w:vMerge w:val="continue"/>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5" w:type="dxa"/>
            <w:vMerge w:val="continue"/>
            <w:vAlign w:val="center"/>
          </w:tcPr>
          <w:p>
            <w:pPr>
              <w:spacing w:line="360" w:lineRule="auto"/>
              <w:ind w:firstLine="240" w:firstLineChars="100"/>
              <w:outlineLvl w:val="0"/>
              <w:rPr>
                <w:rFonts w:ascii="仿宋" w:hAnsi="仿宋" w:eastAsia="仿宋" w:cs="仿宋_GB2312"/>
                <w:sz w:val="24"/>
              </w:rPr>
            </w:pPr>
          </w:p>
        </w:tc>
        <w:tc>
          <w:tcPr>
            <w:tcW w:w="5399" w:type="dxa"/>
          </w:tcPr>
          <w:p>
            <w:pPr>
              <w:pStyle w:val="85"/>
              <w:widowControl/>
              <w:shd w:val="clear" w:color="auto" w:fill="FFFFFF"/>
              <w:adjustRightInd/>
              <w:spacing w:before="0" w:after="225" w:line="315" w:lineRule="atLeast"/>
              <w:ind w:firstLine="0" w:firstLineChars="0"/>
              <w:jc w:val="left"/>
              <w:rPr>
                <w:rFonts w:ascii="仿宋" w:hAnsi="仿宋" w:eastAsia="仿宋" w:cs="仿宋_GB2312"/>
                <w:szCs w:val="24"/>
              </w:rPr>
            </w:pPr>
            <w:r>
              <w:rPr>
                <w:rFonts w:hint="eastAsia" w:ascii="仿宋" w:hAnsi="仿宋" w:eastAsia="仿宋" w:cs="仿宋_GB2312"/>
                <w:szCs w:val="24"/>
              </w:rPr>
              <w:t>投标人提供职业健康安全管理体系认证证书或安监局安全生产标准化证书复印件（1分）。</w:t>
            </w:r>
          </w:p>
        </w:tc>
        <w:tc>
          <w:tcPr>
            <w:tcW w:w="727" w:type="dxa"/>
            <w:vMerge w:val="continue"/>
          </w:tcPr>
          <w:p>
            <w:pPr>
              <w:spacing w:line="360" w:lineRule="auto"/>
              <w:ind w:firstLine="240" w:firstLineChars="100"/>
              <w:outlineLvl w:val="0"/>
              <w:rPr>
                <w:rFonts w:ascii="仿宋" w:hAnsi="仿宋" w:eastAsia="仿宋" w:cs="仿宋_GB2312"/>
                <w:sz w:val="24"/>
              </w:rPr>
            </w:pPr>
          </w:p>
        </w:tc>
        <w:tc>
          <w:tcPr>
            <w:tcW w:w="1954" w:type="dxa"/>
            <w:vMerge w:val="continue"/>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35" w:type="dxa"/>
            <w:vMerge w:val="continue"/>
            <w:vAlign w:val="center"/>
          </w:tcPr>
          <w:p>
            <w:pPr>
              <w:spacing w:line="360" w:lineRule="auto"/>
              <w:ind w:firstLine="240" w:firstLineChars="100"/>
              <w:outlineLvl w:val="0"/>
              <w:rPr>
                <w:rFonts w:ascii="仿宋" w:hAnsi="仿宋" w:eastAsia="仿宋" w:cs="仿宋_GB2312"/>
                <w:sz w:val="24"/>
              </w:rPr>
            </w:pPr>
          </w:p>
        </w:tc>
        <w:tc>
          <w:tcPr>
            <w:tcW w:w="5399" w:type="dxa"/>
          </w:tcPr>
          <w:p>
            <w:pPr>
              <w:pStyle w:val="85"/>
              <w:widowControl/>
              <w:shd w:val="clear" w:color="auto" w:fill="FFFFFF"/>
              <w:adjustRightInd/>
              <w:spacing w:before="0" w:after="225" w:line="315" w:lineRule="atLeast"/>
              <w:ind w:firstLine="0" w:firstLineChars="0"/>
              <w:jc w:val="left"/>
              <w:rPr>
                <w:rFonts w:ascii="仿宋" w:hAnsi="仿宋" w:eastAsia="仿宋" w:cs="仿宋_GB2312"/>
                <w:szCs w:val="24"/>
              </w:rPr>
            </w:pPr>
            <w:r>
              <w:rPr>
                <w:rFonts w:hint="eastAsia" w:ascii="仿宋" w:hAnsi="仿宋" w:eastAsia="仿宋" w:cs="仿宋_GB2312"/>
                <w:szCs w:val="24"/>
              </w:rPr>
              <w:t>投标人或生产商提供本项目同类产品CQC中国质量环保产品认证证书复印件（1分）。</w:t>
            </w:r>
          </w:p>
        </w:tc>
        <w:tc>
          <w:tcPr>
            <w:tcW w:w="727" w:type="dxa"/>
            <w:vMerge w:val="continue"/>
          </w:tcPr>
          <w:p>
            <w:pPr>
              <w:spacing w:line="360" w:lineRule="auto"/>
              <w:ind w:firstLine="240" w:firstLineChars="100"/>
              <w:outlineLvl w:val="0"/>
              <w:rPr>
                <w:rFonts w:ascii="仿宋" w:hAnsi="仿宋" w:eastAsia="仿宋" w:cs="仿宋_GB2312"/>
                <w:sz w:val="24"/>
              </w:rPr>
            </w:pPr>
          </w:p>
        </w:tc>
        <w:tc>
          <w:tcPr>
            <w:tcW w:w="1954" w:type="dxa"/>
            <w:vMerge w:val="continue"/>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9</w:t>
            </w:r>
          </w:p>
        </w:tc>
        <w:tc>
          <w:tcPr>
            <w:tcW w:w="5399" w:type="dxa"/>
            <w:vAlign w:val="center"/>
          </w:tcPr>
          <w:p>
            <w:pPr>
              <w:widowControl/>
              <w:shd w:val="clear" w:color="auto" w:fill="FFFFFF"/>
              <w:adjustRightInd/>
              <w:spacing w:after="225" w:line="315" w:lineRule="atLeast"/>
              <w:jc w:val="left"/>
              <w:rPr>
                <w:rFonts w:ascii="仿宋" w:hAnsi="仿宋" w:eastAsia="仿宋" w:cs="仿宋_GB2312"/>
                <w:sz w:val="24"/>
              </w:rPr>
            </w:pPr>
            <w:r>
              <w:rPr>
                <w:rFonts w:hint="eastAsia" w:ascii="仿宋" w:hAnsi="仿宋" w:eastAsia="仿宋" w:cs="仿宋_GB2312"/>
                <w:sz w:val="24"/>
              </w:rPr>
              <w:t>投标人自2018年1月1日（含）以来（以合同签订时间为准）承担过学生课桌椅项目成功案例。须同时提供合同、合格验收报告复印件。每提供一个得1分，最高得3分。</w:t>
            </w:r>
          </w:p>
        </w:tc>
        <w:tc>
          <w:tcPr>
            <w:tcW w:w="727" w:type="dxa"/>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3</w:t>
            </w:r>
          </w:p>
        </w:tc>
        <w:tc>
          <w:tcPr>
            <w:tcW w:w="1954" w:type="dxa"/>
          </w:tcPr>
          <w:p>
            <w:pPr>
              <w:rPr>
                <w:rFonts w:ascii="仿宋" w:hAnsi="仿宋" w:eastAsia="仿宋" w:cs="仿宋_GB2312"/>
                <w:sz w:val="24"/>
              </w:rPr>
            </w:pPr>
            <w:r>
              <w:rPr>
                <w:rFonts w:hint="eastAsia" w:ascii="仿宋" w:hAnsi="仿宋" w:eastAsia="仿宋" w:cs="仿宋_GB2312"/>
                <w:sz w:val="24"/>
              </w:rPr>
              <w:t>类似项目实施业绩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835" w:type="dxa"/>
            <w:vAlign w:val="center"/>
          </w:tcPr>
          <w:p>
            <w:pPr>
              <w:spacing w:line="360" w:lineRule="auto"/>
              <w:ind w:firstLine="240" w:firstLineChars="100"/>
              <w:outlineLvl w:val="0"/>
              <w:rPr>
                <w:rFonts w:ascii="仿宋" w:hAnsi="仿宋" w:eastAsia="仿宋" w:cs="仿宋_GB2312"/>
                <w:sz w:val="24"/>
              </w:rPr>
            </w:pPr>
            <w:r>
              <w:rPr>
                <w:rFonts w:hint="eastAsia" w:ascii="仿宋" w:hAnsi="仿宋" w:eastAsia="仿宋" w:cs="仿宋_GB2312"/>
                <w:sz w:val="24"/>
              </w:rPr>
              <w:t xml:space="preserve">10 </w:t>
            </w:r>
          </w:p>
        </w:tc>
        <w:tc>
          <w:tcPr>
            <w:tcW w:w="5399" w:type="dxa"/>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=（评标基准价/投标报价）*30］的计算公式计算。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727" w:type="dxa"/>
            <w:vAlign w:val="center"/>
          </w:tcPr>
          <w:p>
            <w:pPr>
              <w:spacing w:line="360" w:lineRule="auto"/>
              <w:ind w:firstLine="240" w:firstLineChars="100"/>
              <w:outlineLvl w:val="0"/>
              <w:rPr>
                <w:rFonts w:ascii="仿宋" w:hAnsi="仿宋" w:eastAsia="仿宋" w:cs="仿宋_GB2312"/>
                <w:sz w:val="24"/>
              </w:rPr>
            </w:pPr>
            <w:r>
              <w:rPr>
                <w:rFonts w:ascii="仿宋" w:hAnsi="仿宋" w:eastAsia="仿宋" w:cs="仿宋_GB2312"/>
                <w:sz w:val="24"/>
              </w:rPr>
              <w:t>30</w:t>
            </w:r>
          </w:p>
        </w:tc>
        <w:tc>
          <w:tcPr>
            <w:tcW w:w="1954" w:type="dxa"/>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w:t>
      </w:r>
      <w:r>
        <w:rPr>
          <w:rFonts w:hint="eastAsia" w:ascii="仿宋_GB2312" w:hAnsi="仿宋" w:eastAsia="仿宋_GB2312" w:cs="Arial"/>
          <w:b/>
          <w:bCs/>
          <w:kern w:val="0"/>
          <w:szCs w:val="24"/>
        </w:rPr>
        <w:t>给予投标人提交澄清、说明或补正的时间不得少于半小时，</w:t>
      </w:r>
      <w:r>
        <w:rPr>
          <w:rFonts w:hint="eastAsia" w:ascii="仿宋_GB2312" w:hAnsi="仿宋" w:eastAsia="仿宋_GB2312" w:cs="Arial"/>
          <w:kern w:val="0"/>
          <w:szCs w:val="24"/>
        </w:rPr>
        <w:t>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3"/>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hint="eastAsia" w:ascii="仿宋_GB2312" w:hAnsi="仿宋" w:eastAsia="仿宋_GB2312" w:cs="Arial"/>
          <w:kern w:val="0"/>
          <w:sz w:val="24"/>
          <w:lang w:eastAsia="zh-CN"/>
        </w:rPr>
      </w:pPr>
      <w:r>
        <w:rPr>
          <w:rFonts w:ascii="仿宋_GB2312" w:hAnsi="仿宋" w:eastAsia="仿宋_GB2312" w:cs="Arial"/>
          <w:kern w:val="0"/>
          <w:sz w:val="24"/>
        </w:rPr>
        <w:t>4.2.14法律、法规、规章（适用本市的）及省级以上规范性文件（适用本市的）规定的其他无效情形</w:t>
      </w:r>
      <w:r>
        <w:rPr>
          <w:rFonts w:hint="eastAsia" w:ascii="仿宋_GB2312" w:hAnsi="仿宋" w:eastAsia="仿宋_GB2312" w:cs="Arial"/>
          <w:kern w:val="0"/>
          <w:sz w:val="24"/>
          <w:lang w:eastAsia="zh-CN"/>
        </w:rPr>
        <w:t>；</w:t>
      </w:r>
    </w:p>
    <w:p>
      <w:pPr>
        <w:spacing w:line="360" w:lineRule="auto"/>
        <w:ind w:firstLine="480" w:firstLineChars="200"/>
        <w:rPr>
          <w:rFonts w:hint="default" w:ascii="仿宋_GB2312" w:hAnsi="仿宋" w:eastAsia="仿宋_GB2312" w:cs="Arial"/>
          <w:kern w:val="0"/>
          <w:sz w:val="24"/>
          <w:lang w:val="en-US" w:eastAsia="zh-CN"/>
        </w:rPr>
      </w:pPr>
      <w:r>
        <w:rPr>
          <w:rFonts w:hint="eastAsia" w:ascii="仿宋_GB2312" w:hAnsi="仿宋" w:eastAsia="仿宋_GB2312" w:cs="Arial"/>
          <w:kern w:val="0"/>
          <w:sz w:val="24"/>
          <w:lang w:val="en-US" w:eastAsia="zh-CN"/>
        </w:rPr>
        <w:t>4.2.15根据招标文件要求，评标委员会认为应当作无效投标处理的其他情况。</w:t>
      </w:r>
      <w:bookmarkStart w:id="551" w:name="_GoBack"/>
      <w:bookmarkEnd w:id="551"/>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402" w:name="第五部分"/>
      <w:bookmarkStart w:id="40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widowControl/>
        <w:adjustRightInd/>
        <w:jc w:val="left"/>
        <w:rPr>
          <w:rFonts w:ascii="仿宋_GB2312" w:hAnsi="仿宋" w:eastAsia="仿宋_GB2312" w:cs="仿宋_GB2312"/>
          <w:b/>
          <w:sz w:val="36"/>
          <w:szCs w:val="36"/>
        </w:rPr>
      </w:pPr>
      <w:r>
        <w:rPr>
          <w:rFonts w:ascii="仿宋_GB2312" w:hAnsi="仿宋" w:eastAsia="仿宋_GB2312" w:cs="仿宋_GB2312"/>
          <w:b/>
          <w:sz w:val="36"/>
          <w:szCs w:val="36"/>
        </w:rPr>
        <w:br w:type="page"/>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385"/>
        <w:rPr>
          <w:rFonts w:ascii="仿宋" w:hAnsi="仿宋" w:eastAsia="仿宋"/>
          <w:szCs w:val="24"/>
        </w:rPr>
      </w:pPr>
    </w:p>
    <w:p>
      <w:pPr>
        <w:pStyle w:val="385"/>
        <w:jc w:val="center"/>
        <w:rPr>
          <w:rFonts w:ascii="仿宋" w:hAnsi="仿宋" w:eastAsia="仿宋"/>
          <w:szCs w:val="24"/>
        </w:rPr>
      </w:pPr>
    </w:p>
    <w:p>
      <w:pPr>
        <w:pStyle w:val="385"/>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385"/>
        <w:rPr>
          <w:rFonts w:ascii="仿宋" w:hAnsi="仿宋" w:eastAsia="仿宋"/>
          <w:szCs w:val="24"/>
        </w:rPr>
      </w:pPr>
    </w:p>
    <w:p>
      <w:pPr>
        <w:autoSpaceDE w:val="0"/>
        <w:autoSpaceDN w:val="0"/>
        <w:spacing w:line="400" w:lineRule="atLeast"/>
        <w:jc w:val="center"/>
        <w:rPr>
          <w:rFonts w:ascii="仿宋" w:hAnsi="仿宋" w:eastAsia="仿宋" w:cs="仿宋"/>
          <w:sz w:val="24"/>
        </w:rPr>
      </w:pPr>
      <w:bookmarkStart w:id="404" w:name="_Toc331685783"/>
      <w:r>
        <w:rPr>
          <w:rFonts w:hint="eastAsia" w:ascii="仿宋_GB2312" w:hAnsi="仿宋" w:eastAsia="仿宋_GB2312" w:cs="仿宋_GB2312"/>
          <w:sz w:val="24"/>
        </w:rPr>
        <w:t>2022年度余杭区教育系统课桌椅规模化采购项目</w:t>
      </w:r>
      <w:r>
        <w:rPr>
          <w:rFonts w:hint="eastAsia" w:ascii="仿宋" w:hAnsi="仿宋" w:eastAsia="仿宋" w:cs="仿宋"/>
          <w:sz w:val="24"/>
        </w:rPr>
        <w:t>供货协议</w:t>
      </w:r>
    </w:p>
    <w:p>
      <w:pPr>
        <w:pStyle w:val="32"/>
        <w:snapToGrid w:val="0"/>
        <w:spacing w:line="400" w:lineRule="atLeast"/>
        <w:rPr>
          <w:rFonts w:ascii="仿宋" w:hAnsi="仿宋" w:eastAsia="仿宋" w:cs="仿宋"/>
          <w:sz w:val="24"/>
          <w:szCs w:val="24"/>
        </w:rPr>
      </w:pPr>
      <w:r>
        <w:rPr>
          <w:rFonts w:hint="eastAsia" w:ascii="仿宋" w:hAnsi="仿宋" w:eastAsia="仿宋" w:cs="仿宋"/>
          <w:sz w:val="24"/>
          <w:szCs w:val="24"/>
        </w:rPr>
        <w:t>甲方：（买方）</w:t>
      </w:r>
    </w:p>
    <w:p>
      <w:pPr>
        <w:pStyle w:val="32"/>
        <w:snapToGrid w:val="0"/>
        <w:spacing w:line="400" w:lineRule="atLeast"/>
        <w:rPr>
          <w:rFonts w:ascii="仿宋" w:hAnsi="仿宋" w:eastAsia="仿宋" w:cs="仿宋"/>
          <w:sz w:val="24"/>
          <w:szCs w:val="24"/>
        </w:rPr>
      </w:pPr>
      <w:r>
        <w:rPr>
          <w:rFonts w:hint="eastAsia" w:ascii="仿宋" w:hAnsi="仿宋" w:eastAsia="仿宋" w:cs="仿宋"/>
          <w:sz w:val="24"/>
          <w:szCs w:val="24"/>
        </w:rPr>
        <w:t>乙方：（卖方）</w:t>
      </w:r>
    </w:p>
    <w:p>
      <w:pPr>
        <w:pStyle w:val="32"/>
        <w:snapToGrid w:val="0"/>
        <w:spacing w:line="400" w:lineRule="atLeast"/>
        <w:rPr>
          <w:rFonts w:ascii="仿宋" w:hAnsi="仿宋" w:eastAsia="仿宋" w:cs="仿宋"/>
          <w:sz w:val="24"/>
          <w:szCs w:val="24"/>
        </w:rPr>
      </w:pPr>
      <w:r>
        <w:rPr>
          <w:rFonts w:hint="eastAsia" w:ascii="仿宋" w:hAnsi="仿宋" w:eastAsia="仿宋" w:cs="仿宋"/>
          <w:sz w:val="24"/>
          <w:szCs w:val="24"/>
        </w:rPr>
        <w:t xml:space="preserve">   甲、乙双方根据</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项目（项目编号：HZYHZFCG-20</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）公开招标的结果，签署本协议。</w:t>
      </w:r>
    </w:p>
    <w:p>
      <w:pPr>
        <w:pStyle w:val="32"/>
        <w:snapToGrid w:val="0"/>
        <w:spacing w:line="400" w:lineRule="atLeast"/>
        <w:rPr>
          <w:rFonts w:ascii="仿宋" w:hAnsi="仿宋" w:eastAsia="仿宋" w:cs="仿宋"/>
          <w:sz w:val="24"/>
          <w:szCs w:val="24"/>
        </w:rPr>
      </w:pPr>
      <w:r>
        <w:rPr>
          <w:rFonts w:hint="eastAsia" w:ascii="仿宋" w:hAnsi="仿宋" w:eastAsia="仿宋" w:cs="仿宋"/>
          <w:sz w:val="24"/>
          <w:szCs w:val="24"/>
        </w:rPr>
        <w:t>一、货物名称、型号、规格、配置、技术参数、数量及合同价款</w:t>
      </w:r>
    </w:p>
    <w:tbl>
      <w:tblPr>
        <w:tblStyle w:val="6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260"/>
        <w:gridCol w:w="1547"/>
        <w:gridCol w:w="1515"/>
        <w:gridCol w:w="1935"/>
        <w:gridCol w:w="1245"/>
        <w:gridCol w:w="136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750"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序号</w:t>
            </w:r>
          </w:p>
        </w:tc>
        <w:tc>
          <w:tcPr>
            <w:tcW w:w="1260"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产品名称</w:t>
            </w:r>
          </w:p>
        </w:tc>
        <w:tc>
          <w:tcPr>
            <w:tcW w:w="1547"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类别</w:t>
            </w:r>
          </w:p>
        </w:tc>
        <w:tc>
          <w:tcPr>
            <w:tcW w:w="1515"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报价（元）</w:t>
            </w:r>
          </w:p>
        </w:tc>
        <w:tc>
          <w:tcPr>
            <w:tcW w:w="1935"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整套报价</w:t>
            </w:r>
          </w:p>
          <w:p>
            <w:pPr>
              <w:spacing w:line="400" w:lineRule="atLeast"/>
              <w:jc w:val="center"/>
              <w:rPr>
                <w:rFonts w:ascii="仿宋" w:hAnsi="仿宋" w:eastAsia="仿宋" w:cs="仿宋"/>
                <w:bCs/>
                <w:kern w:val="0"/>
                <w:sz w:val="24"/>
              </w:rPr>
            </w:pPr>
            <w:r>
              <w:rPr>
                <w:rFonts w:hint="eastAsia" w:ascii="仿宋" w:hAnsi="仿宋" w:eastAsia="仿宋" w:cs="仿宋"/>
                <w:bCs/>
                <w:kern w:val="0"/>
                <w:sz w:val="24"/>
              </w:rPr>
              <w:t>（元/套）</w:t>
            </w:r>
          </w:p>
        </w:tc>
        <w:tc>
          <w:tcPr>
            <w:tcW w:w="1245"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数量</w:t>
            </w:r>
          </w:p>
          <w:p>
            <w:pPr>
              <w:spacing w:line="400" w:lineRule="atLeast"/>
              <w:jc w:val="center"/>
              <w:rPr>
                <w:rFonts w:ascii="仿宋" w:hAnsi="仿宋" w:eastAsia="仿宋" w:cs="仿宋"/>
                <w:bCs/>
                <w:kern w:val="0"/>
                <w:sz w:val="24"/>
              </w:rPr>
            </w:pPr>
            <w:r>
              <w:rPr>
                <w:rFonts w:hint="eastAsia" w:ascii="仿宋" w:hAnsi="仿宋" w:eastAsia="仿宋" w:cs="仿宋"/>
                <w:bCs/>
                <w:kern w:val="0"/>
                <w:sz w:val="24"/>
              </w:rPr>
              <w:t>（套）</w:t>
            </w:r>
          </w:p>
        </w:tc>
        <w:tc>
          <w:tcPr>
            <w:tcW w:w="1366" w:type="dxa"/>
            <w:shd w:val="clear" w:color="auto" w:fill="auto"/>
            <w:vAlign w:val="center"/>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小计</w:t>
            </w:r>
          </w:p>
          <w:p>
            <w:pPr>
              <w:spacing w:line="400" w:lineRule="atLeast"/>
              <w:jc w:val="center"/>
              <w:rPr>
                <w:rFonts w:ascii="仿宋" w:hAnsi="仿宋" w:eastAsia="仿宋" w:cs="仿宋"/>
                <w:bCs/>
                <w:kern w:val="0"/>
                <w:sz w:val="24"/>
              </w:rPr>
            </w:pPr>
            <w:r>
              <w:rPr>
                <w:rFonts w:hint="eastAsia" w:ascii="仿宋" w:hAnsi="仿宋" w:eastAsia="仿宋" w:cs="仿宋"/>
                <w:bCs/>
                <w:kern w:val="0"/>
                <w:sz w:val="24"/>
              </w:rPr>
              <w:t>（元）</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750" w:type="dxa"/>
            <w:vMerge w:val="restart"/>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1</w:t>
            </w:r>
          </w:p>
        </w:tc>
        <w:tc>
          <w:tcPr>
            <w:tcW w:w="1260" w:type="dxa"/>
            <w:vMerge w:val="restart"/>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手摇式单人单斗升降课桌椅</w:t>
            </w:r>
          </w:p>
        </w:tc>
        <w:tc>
          <w:tcPr>
            <w:tcW w:w="1547" w:type="dxa"/>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课桌</w:t>
            </w:r>
          </w:p>
        </w:tc>
        <w:tc>
          <w:tcPr>
            <w:tcW w:w="1515" w:type="dxa"/>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　</w:t>
            </w:r>
          </w:p>
        </w:tc>
        <w:tc>
          <w:tcPr>
            <w:tcW w:w="1935" w:type="dxa"/>
            <w:vMerge w:val="restart"/>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　</w:t>
            </w:r>
          </w:p>
        </w:tc>
        <w:tc>
          <w:tcPr>
            <w:tcW w:w="1245" w:type="dxa"/>
            <w:vMerge w:val="restart"/>
            <w:vAlign w:val="center"/>
          </w:tcPr>
          <w:p>
            <w:pPr>
              <w:widowControl/>
              <w:spacing w:line="400" w:lineRule="atLeast"/>
              <w:jc w:val="center"/>
              <w:rPr>
                <w:rFonts w:ascii="仿宋" w:hAnsi="仿宋" w:eastAsia="仿宋" w:cs="仿宋"/>
                <w:kern w:val="0"/>
                <w:sz w:val="24"/>
              </w:rPr>
            </w:pPr>
          </w:p>
        </w:tc>
        <w:tc>
          <w:tcPr>
            <w:tcW w:w="1366" w:type="dxa"/>
            <w:vMerge w:val="restart"/>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750" w:type="dxa"/>
            <w:vMerge w:val="continue"/>
            <w:vAlign w:val="center"/>
          </w:tcPr>
          <w:p>
            <w:pPr>
              <w:widowControl/>
              <w:spacing w:line="400" w:lineRule="atLeast"/>
              <w:jc w:val="left"/>
              <w:rPr>
                <w:rFonts w:ascii="仿宋" w:hAnsi="仿宋" w:eastAsia="仿宋" w:cs="仿宋"/>
                <w:kern w:val="0"/>
                <w:sz w:val="24"/>
              </w:rPr>
            </w:pPr>
          </w:p>
        </w:tc>
        <w:tc>
          <w:tcPr>
            <w:tcW w:w="1260" w:type="dxa"/>
            <w:vMerge w:val="continue"/>
            <w:vAlign w:val="center"/>
          </w:tcPr>
          <w:p>
            <w:pPr>
              <w:widowControl/>
              <w:spacing w:line="400" w:lineRule="atLeast"/>
              <w:jc w:val="left"/>
              <w:rPr>
                <w:rFonts w:ascii="仿宋" w:hAnsi="仿宋" w:eastAsia="仿宋" w:cs="仿宋"/>
                <w:kern w:val="0"/>
                <w:sz w:val="24"/>
              </w:rPr>
            </w:pPr>
          </w:p>
        </w:tc>
        <w:tc>
          <w:tcPr>
            <w:tcW w:w="1547" w:type="dxa"/>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课椅</w:t>
            </w:r>
          </w:p>
        </w:tc>
        <w:tc>
          <w:tcPr>
            <w:tcW w:w="1515" w:type="dxa"/>
            <w:vAlign w:val="center"/>
          </w:tcPr>
          <w:p>
            <w:pPr>
              <w:widowControl/>
              <w:spacing w:line="400" w:lineRule="atLeast"/>
              <w:jc w:val="center"/>
              <w:rPr>
                <w:rFonts w:ascii="仿宋" w:hAnsi="仿宋" w:eastAsia="仿宋" w:cs="仿宋"/>
                <w:kern w:val="0"/>
                <w:sz w:val="24"/>
              </w:rPr>
            </w:pPr>
            <w:r>
              <w:rPr>
                <w:rFonts w:hint="eastAsia" w:ascii="仿宋" w:hAnsi="仿宋" w:eastAsia="仿宋" w:cs="仿宋"/>
                <w:kern w:val="0"/>
                <w:sz w:val="24"/>
              </w:rPr>
              <w:t>　</w:t>
            </w:r>
          </w:p>
        </w:tc>
        <w:tc>
          <w:tcPr>
            <w:tcW w:w="1935" w:type="dxa"/>
            <w:vMerge w:val="continue"/>
            <w:vAlign w:val="center"/>
          </w:tcPr>
          <w:p>
            <w:pPr>
              <w:widowControl/>
              <w:spacing w:line="400" w:lineRule="atLeast"/>
              <w:jc w:val="left"/>
              <w:rPr>
                <w:rFonts w:ascii="仿宋" w:hAnsi="仿宋" w:eastAsia="仿宋" w:cs="仿宋"/>
                <w:kern w:val="0"/>
                <w:sz w:val="24"/>
              </w:rPr>
            </w:pPr>
          </w:p>
        </w:tc>
        <w:tc>
          <w:tcPr>
            <w:tcW w:w="1245" w:type="dxa"/>
            <w:vMerge w:val="continue"/>
            <w:vAlign w:val="center"/>
          </w:tcPr>
          <w:p>
            <w:pPr>
              <w:widowControl/>
              <w:spacing w:line="400" w:lineRule="atLeast"/>
              <w:jc w:val="center"/>
              <w:rPr>
                <w:rFonts w:ascii="仿宋" w:hAnsi="仿宋" w:eastAsia="仿宋" w:cs="仿宋"/>
                <w:kern w:val="0"/>
                <w:sz w:val="24"/>
              </w:rPr>
            </w:pPr>
          </w:p>
        </w:tc>
        <w:tc>
          <w:tcPr>
            <w:tcW w:w="1366" w:type="dxa"/>
            <w:vMerge w:val="continue"/>
            <w:vAlign w:val="center"/>
          </w:tcPr>
          <w:p>
            <w:pPr>
              <w:widowControl/>
              <w:spacing w:line="400" w:lineRule="atLeast"/>
              <w:jc w:val="left"/>
              <w:rPr>
                <w:rFonts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8252" w:type="dxa"/>
            <w:gridSpan w:val="6"/>
          </w:tcPr>
          <w:p>
            <w:pPr>
              <w:widowControl/>
              <w:spacing w:line="400" w:lineRule="atLeast"/>
              <w:rPr>
                <w:rFonts w:ascii="仿宋" w:hAnsi="仿宋" w:eastAsia="仿宋" w:cs="仿宋"/>
                <w:bCs/>
                <w:kern w:val="0"/>
                <w:sz w:val="24"/>
              </w:rPr>
            </w:pPr>
            <w:r>
              <w:rPr>
                <w:rFonts w:hint="eastAsia" w:ascii="仿宋" w:hAnsi="仿宋" w:eastAsia="仿宋" w:cs="仿宋"/>
                <w:bCs/>
                <w:kern w:val="0"/>
                <w:sz w:val="24"/>
              </w:rPr>
              <w:t>安装调试费、税收及其它费用</w:t>
            </w:r>
          </w:p>
        </w:tc>
        <w:tc>
          <w:tcPr>
            <w:tcW w:w="1366" w:type="dxa"/>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50" w:type="dxa"/>
            <w:vMerge w:val="restart"/>
          </w:tcPr>
          <w:p>
            <w:pPr>
              <w:widowControl/>
              <w:spacing w:line="400" w:lineRule="atLeast"/>
              <w:jc w:val="center"/>
              <w:rPr>
                <w:rFonts w:ascii="仿宋" w:hAnsi="仿宋" w:eastAsia="仿宋" w:cs="仿宋"/>
                <w:bCs/>
                <w:kern w:val="0"/>
                <w:sz w:val="24"/>
              </w:rPr>
            </w:pPr>
            <w:r>
              <w:rPr>
                <w:rFonts w:hint="eastAsia" w:ascii="仿宋" w:hAnsi="仿宋" w:eastAsia="仿宋" w:cs="仿宋"/>
                <w:bCs/>
                <w:kern w:val="0"/>
                <w:sz w:val="24"/>
              </w:rPr>
              <w:t>合同价款合计</w:t>
            </w:r>
          </w:p>
        </w:tc>
        <w:tc>
          <w:tcPr>
            <w:tcW w:w="8868" w:type="dxa"/>
            <w:gridSpan w:val="6"/>
          </w:tcPr>
          <w:p>
            <w:pPr>
              <w:widowControl/>
              <w:spacing w:line="400" w:lineRule="atLeast"/>
              <w:rPr>
                <w:rFonts w:ascii="仿宋" w:hAnsi="仿宋" w:eastAsia="仿宋" w:cs="仿宋"/>
                <w:bCs/>
                <w:kern w:val="0"/>
                <w:sz w:val="24"/>
              </w:rPr>
            </w:pPr>
            <w:r>
              <w:rPr>
                <w:rFonts w:hint="eastAsia" w:ascii="仿宋" w:hAnsi="仿宋" w:eastAsia="仿宋" w:cs="仿宋"/>
                <w:bCs/>
                <w:kern w:val="0"/>
                <w:sz w:val="24"/>
              </w:rPr>
              <w:t>大写：人民币              元整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50" w:type="dxa"/>
            <w:vMerge w:val="continue"/>
            <w:vAlign w:val="center"/>
          </w:tcPr>
          <w:p>
            <w:pPr>
              <w:widowControl/>
              <w:spacing w:line="400" w:lineRule="atLeast"/>
              <w:jc w:val="left"/>
              <w:rPr>
                <w:rFonts w:ascii="仿宋" w:hAnsi="仿宋" w:eastAsia="仿宋" w:cs="仿宋"/>
                <w:bCs/>
                <w:kern w:val="0"/>
                <w:sz w:val="24"/>
              </w:rPr>
            </w:pPr>
          </w:p>
        </w:tc>
        <w:tc>
          <w:tcPr>
            <w:tcW w:w="8868" w:type="dxa"/>
            <w:gridSpan w:val="6"/>
          </w:tcPr>
          <w:p>
            <w:pPr>
              <w:widowControl/>
              <w:spacing w:line="400" w:lineRule="atLeast"/>
              <w:rPr>
                <w:rFonts w:ascii="仿宋" w:hAnsi="仿宋" w:eastAsia="仿宋" w:cs="仿宋"/>
                <w:bCs/>
                <w:kern w:val="0"/>
                <w:sz w:val="24"/>
              </w:rPr>
            </w:pPr>
            <w:r>
              <w:rPr>
                <w:rFonts w:hint="eastAsia" w:ascii="仿宋" w:hAnsi="仿宋" w:eastAsia="仿宋" w:cs="仿宋"/>
                <w:bCs/>
                <w:kern w:val="0"/>
                <w:sz w:val="24"/>
              </w:rPr>
              <w:t>小写：￥</w:t>
            </w:r>
          </w:p>
        </w:tc>
      </w:tr>
    </w:tbl>
    <w:p>
      <w:pPr>
        <w:pStyle w:val="32"/>
        <w:snapToGrid w:val="0"/>
        <w:spacing w:line="400" w:lineRule="atLeast"/>
        <w:rPr>
          <w:rFonts w:ascii="仿宋" w:hAnsi="仿宋" w:eastAsia="仿宋" w:cs="仿宋"/>
          <w:sz w:val="24"/>
          <w:szCs w:val="24"/>
        </w:rPr>
      </w:pPr>
      <w:r>
        <w:rPr>
          <w:rFonts w:hint="eastAsia" w:ascii="仿宋" w:hAnsi="仿宋" w:eastAsia="仿宋" w:cs="仿宋"/>
          <w:sz w:val="24"/>
          <w:szCs w:val="24"/>
        </w:rPr>
        <w:t>（合同价款包括含货款、标准附件、样品费、备品备件、专用工具、包装、运输、装卸、保险、税金、货到就位以及安装、调试、培训、保修等一切税金和费用及其他因本项目而产生的一切费用）。</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二、技术资料</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1.乙方应按招标文件规定的时间向甲方提供使用货物的有关技术资料。</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snapToGrid w:val="0"/>
        <w:spacing w:line="360" w:lineRule="auto"/>
        <w:ind w:left="410" w:hanging="410" w:hangingChars="171"/>
        <w:rPr>
          <w:rFonts w:ascii="仿宋" w:hAnsi="仿宋" w:eastAsia="仿宋" w:cs="仿宋"/>
          <w:bCs/>
          <w:sz w:val="24"/>
          <w:szCs w:val="24"/>
        </w:rPr>
      </w:pPr>
      <w:r>
        <w:rPr>
          <w:rFonts w:hint="eastAsia" w:ascii="仿宋" w:hAnsi="仿宋" w:eastAsia="仿宋" w:cs="仿宋"/>
          <w:bCs/>
          <w:sz w:val="24"/>
          <w:szCs w:val="24"/>
        </w:rPr>
        <w:t>三、权利担保</w:t>
      </w:r>
    </w:p>
    <w:p>
      <w:pPr>
        <w:pStyle w:val="32"/>
        <w:snapToGrid w:val="0"/>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1.乙方应保证所提供的货物或其任何一部分均不会侵犯任何第三方的知识产权。</w:t>
      </w:r>
    </w:p>
    <w:p>
      <w:pPr>
        <w:pStyle w:val="32"/>
        <w:snapToGrid w:val="0"/>
        <w:spacing w:line="360" w:lineRule="auto"/>
        <w:ind w:firstLine="410" w:firstLineChars="171"/>
        <w:rPr>
          <w:rFonts w:ascii="仿宋" w:hAnsi="仿宋" w:eastAsia="仿宋" w:cs="仿宋"/>
          <w:sz w:val="24"/>
          <w:szCs w:val="24"/>
        </w:rPr>
      </w:pPr>
      <w:r>
        <w:rPr>
          <w:rFonts w:hint="eastAsia" w:ascii="仿宋" w:hAnsi="仿宋" w:eastAsia="仿宋" w:cs="仿宋"/>
          <w:sz w:val="24"/>
          <w:szCs w:val="24"/>
        </w:rPr>
        <w:t>2.乙方保证所交付的货物的所有权完全属于乙方且无任何抵押、查封等产权瑕疵。</w:t>
      </w:r>
    </w:p>
    <w:p>
      <w:pPr>
        <w:pStyle w:val="32"/>
        <w:snapToGrid w:val="0"/>
        <w:spacing w:line="360" w:lineRule="auto"/>
        <w:ind w:left="408" w:hanging="408" w:hangingChars="170"/>
        <w:rPr>
          <w:rFonts w:ascii="仿宋" w:hAnsi="仿宋" w:eastAsia="仿宋" w:cs="仿宋"/>
          <w:bCs/>
          <w:sz w:val="24"/>
          <w:szCs w:val="24"/>
        </w:rPr>
      </w:pPr>
      <w:r>
        <w:rPr>
          <w:rFonts w:hint="eastAsia" w:ascii="仿宋" w:hAnsi="仿宋" w:eastAsia="仿宋" w:cs="仿宋"/>
          <w:bCs/>
          <w:sz w:val="24"/>
          <w:szCs w:val="24"/>
        </w:rPr>
        <w:t>四、履约保证金与质量保证金</w:t>
      </w:r>
    </w:p>
    <w:p>
      <w:pPr>
        <w:pStyle w:val="85"/>
        <w:snapToGrid w:val="0"/>
        <w:spacing w:before="0" w:line="400" w:lineRule="atLeast"/>
        <w:ind w:firstLine="240" w:firstLineChars="100"/>
        <w:rPr>
          <w:rFonts w:ascii="仿宋" w:hAnsi="仿宋" w:eastAsia="仿宋" w:cs="仿宋"/>
          <w:kern w:val="0"/>
          <w:szCs w:val="24"/>
        </w:rPr>
      </w:pPr>
      <w:r>
        <w:rPr>
          <w:rFonts w:hint="eastAsia" w:ascii="仿宋" w:hAnsi="仿宋" w:eastAsia="仿宋" w:cs="仿宋"/>
          <w:bCs/>
          <w:kern w:val="0"/>
          <w:szCs w:val="24"/>
        </w:rPr>
        <w:t>中标单位在与采购人签订《杭州市余杭区教育系统课桌椅规模化采购项目供货协议》生效后及时支付合同金额2.5%的履约保证金。</w:t>
      </w:r>
      <w:r>
        <w:rPr>
          <w:rFonts w:hint="eastAsia" w:ascii="仿宋" w:hAnsi="仿宋" w:eastAsia="仿宋" w:cs="仿宋"/>
          <w:kern w:val="0"/>
          <w:szCs w:val="24"/>
        </w:rPr>
        <w:t>履约保证金在验收合格后采购人予以无息退还。</w:t>
      </w:r>
    </w:p>
    <w:p>
      <w:pPr>
        <w:pStyle w:val="85"/>
        <w:ind w:firstLine="0" w:firstLineChars="0"/>
        <w:rPr>
          <w:rFonts w:ascii="仿宋" w:hAnsi="仿宋" w:eastAsia="仿宋" w:cs="仿宋"/>
          <w:bCs/>
          <w:szCs w:val="24"/>
        </w:rPr>
      </w:pPr>
      <w:r>
        <w:rPr>
          <w:rFonts w:hint="eastAsia" w:ascii="仿宋" w:hAnsi="仿宋" w:eastAsia="仿宋" w:cs="仿宋"/>
          <w:bCs/>
          <w:szCs w:val="24"/>
        </w:rPr>
        <w:t>五、转包或分包</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1.本合同范围的货物，应由乙方直接供应，不得转让他人供应；</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2.除非得到甲方的书面同意，乙方不得将本合同范围的货物全部或部分分包给他人供应；</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3.如有转让和未经甲方同意的分包行为，甲方有权解除合同，没收履约保证金并追究乙方的违约责任。</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六、质保期</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质保期原厂   年。质保期内，因人为因素出现的故障不在免费保修范围内，超过质保期的机器设备，终生维修，维修时只收部件成本费。</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七、交货期、交货方式及交货地点</w:t>
      </w:r>
    </w:p>
    <w:p>
      <w:pPr>
        <w:pStyle w:val="32"/>
        <w:spacing w:line="400" w:lineRule="atLeast"/>
        <w:ind w:firstLine="420" w:firstLineChars="175"/>
        <w:rPr>
          <w:rFonts w:ascii="仿宋" w:hAnsi="仿宋" w:eastAsia="仿宋" w:cs="仿宋"/>
          <w:sz w:val="24"/>
          <w:szCs w:val="24"/>
        </w:rPr>
      </w:pPr>
      <w:r>
        <w:rPr>
          <w:rFonts w:hint="eastAsia" w:ascii="仿宋" w:hAnsi="仿宋" w:eastAsia="仿宋" w:cs="仿宋"/>
          <w:sz w:val="24"/>
          <w:szCs w:val="24"/>
        </w:rPr>
        <w:t>1.交货期：</w:t>
      </w:r>
      <w:r>
        <w:rPr>
          <w:rFonts w:hint="eastAsia" w:ascii="仿宋" w:hAnsi="仿宋" w:eastAsia="仿宋" w:cs="仿宋"/>
          <w:kern w:val="0"/>
          <w:sz w:val="24"/>
          <w:szCs w:val="24"/>
        </w:rPr>
        <w:t>原则上</w:t>
      </w:r>
      <w:r>
        <w:rPr>
          <w:rFonts w:hint="eastAsia" w:ascii="仿宋" w:hAnsi="仿宋" w:eastAsia="仿宋" w:cs="仿宋"/>
          <w:sz w:val="24"/>
          <w:szCs w:val="24"/>
        </w:rPr>
        <w:t>2022年7月31日前完成供货、安装</w:t>
      </w:r>
      <w:r>
        <w:rPr>
          <w:rFonts w:hint="eastAsia" w:ascii="仿宋" w:hAnsi="仿宋" w:eastAsia="仿宋" w:cs="仿宋"/>
          <w:kern w:val="0"/>
          <w:sz w:val="24"/>
          <w:szCs w:val="24"/>
        </w:rPr>
        <w:t>调试</w:t>
      </w:r>
      <w:r>
        <w:rPr>
          <w:rFonts w:hint="eastAsia" w:ascii="仿宋" w:hAnsi="仿宋" w:eastAsia="仿宋" w:cs="仿宋"/>
          <w:sz w:val="24"/>
          <w:szCs w:val="24"/>
        </w:rPr>
        <w:t>及学校初步验收。具体安装时间可与学校协商，但不得影响学校正常教学使用。</w:t>
      </w:r>
    </w:p>
    <w:p>
      <w:pPr>
        <w:pStyle w:val="32"/>
        <w:spacing w:line="400" w:lineRule="atLeast"/>
        <w:ind w:firstLine="420" w:firstLineChars="175"/>
        <w:rPr>
          <w:rFonts w:ascii="仿宋" w:hAnsi="仿宋" w:eastAsia="仿宋" w:cs="仿宋"/>
          <w:sz w:val="24"/>
          <w:szCs w:val="24"/>
        </w:rPr>
      </w:pPr>
      <w:r>
        <w:rPr>
          <w:rFonts w:hint="eastAsia" w:ascii="仿宋" w:hAnsi="仿宋" w:eastAsia="仿宋" w:cs="仿宋"/>
          <w:sz w:val="24"/>
          <w:szCs w:val="24"/>
        </w:rPr>
        <w:t>2.交货方式：设备安装调试完毕后，能在其功能范围内保障用户的系统安全、稳定运行。</w:t>
      </w:r>
    </w:p>
    <w:p>
      <w:pPr>
        <w:pStyle w:val="32"/>
        <w:spacing w:line="400" w:lineRule="atLeast"/>
        <w:ind w:firstLine="420" w:firstLineChars="175"/>
        <w:rPr>
          <w:rFonts w:ascii="仿宋" w:hAnsi="仿宋" w:eastAsia="仿宋" w:cs="仿宋"/>
          <w:sz w:val="24"/>
          <w:szCs w:val="24"/>
        </w:rPr>
      </w:pPr>
      <w:r>
        <w:rPr>
          <w:rFonts w:hint="eastAsia" w:ascii="仿宋" w:hAnsi="仿宋" w:eastAsia="仿宋" w:cs="仿宋"/>
          <w:sz w:val="24"/>
          <w:szCs w:val="24"/>
        </w:rPr>
        <w:t>3.交货地点：甲方指定学校。</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八、货款支付</w:t>
      </w:r>
    </w:p>
    <w:p>
      <w:pPr>
        <w:pStyle w:val="85"/>
        <w:snapToGrid w:val="0"/>
        <w:spacing w:line="400" w:lineRule="atLeast"/>
        <w:ind w:firstLine="480"/>
        <w:rPr>
          <w:rFonts w:ascii="仿宋" w:hAnsi="仿宋" w:eastAsia="仿宋" w:cs="仿宋"/>
        </w:rPr>
      </w:pPr>
      <w:r>
        <w:rPr>
          <w:rFonts w:hint="eastAsia" w:ascii="仿宋" w:hAnsi="仿宋" w:eastAsia="仿宋" w:cs="仿宋"/>
          <w:szCs w:val="24"/>
        </w:rPr>
        <w:t>《杭州市余杭区教育系统课桌椅规模化采购项目供货协议》</w:t>
      </w:r>
      <w:r>
        <w:rPr>
          <w:rFonts w:hint="eastAsia" w:ascii="仿宋" w:hAnsi="仿宋" w:eastAsia="仿宋" w:cs="仿宋"/>
          <w:kern w:val="0"/>
          <w:szCs w:val="24"/>
        </w:rPr>
        <w:t>签订生效并收到履约保证金15天内，采购人向中标单位支付合同金额40％的预付款。中标单位向采购人提供有效发票且验收合格后，采购人向中标单位支付剩余货款。</w:t>
      </w:r>
    </w:p>
    <w:p>
      <w:pPr>
        <w:snapToGrid w:val="0"/>
        <w:spacing w:line="400" w:lineRule="atLeast"/>
        <w:rPr>
          <w:rFonts w:ascii="仿宋" w:hAnsi="仿宋" w:eastAsia="仿宋" w:cs="仿宋"/>
          <w:b/>
          <w:bCs/>
          <w:sz w:val="24"/>
        </w:rPr>
      </w:pPr>
      <w:r>
        <w:rPr>
          <w:rFonts w:hint="eastAsia" w:ascii="仿宋" w:hAnsi="仿宋" w:eastAsia="仿宋" w:cs="仿宋"/>
          <w:b/>
          <w:bCs/>
          <w:sz w:val="24"/>
        </w:rPr>
        <w:t>九、税费</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本合同执行中相关的一切税费均由乙方负担。</w:t>
      </w:r>
    </w:p>
    <w:p>
      <w:pPr>
        <w:pStyle w:val="32"/>
        <w:snapToGrid w:val="0"/>
        <w:spacing w:line="400" w:lineRule="atLeast"/>
        <w:ind w:left="410" w:hanging="410" w:hangingChars="171"/>
        <w:rPr>
          <w:rFonts w:ascii="仿宋" w:hAnsi="仿宋" w:eastAsia="仿宋" w:cs="仿宋"/>
          <w:bCs/>
          <w:sz w:val="24"/>
          <w:szCs w:val="24"/>
        </w:rPr>
      </w:pPr>
      <w:r>
        <w:rPr>
          <w:rFonts w:hint="eastAsia" w:ascii="仿宋" w:hAnsi="仿宋" w:eastAsia="仿宋" w:cs="仿宋"/>
          <w:bCs/>
          <w:sz w:val="24"/>
          <w:szCs w:val="24"/>
        </w:rPr>
        <w:t>十、质量保证及售后服务</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1.中标单位必须保证所有货物是未经使用、全新的。</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2.在质保期内，乙方应对货物出现的质量及安全问题负责处理解决并承担一切费用。</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十一、货物包装、发运及运输</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1.乙方应在货物发运前对其进行满足运输距离、防潮、防震、防锈和防破损装卸等要求包装，以保证货物安全运达甲方指定地点。</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2.使用说明书、质量检验证明书、随配附件和工具以及清单一并附于货物内。</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3.货物在交付甲方前发生的风险均由乙方负责。</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十二、调试和验收</w:t>
      </w:r>
    </w:p>
    <w:p>
      <w:pPr>
        <w:spacing w:line="400" w:lineRule="atLeast"/>
        <w:ind w:left="60" w:right="60" w:firstLine="435"/>
        <w:rPr>
          <w:rFonts w:ascii="仿宋" w:hAnsi="仿宋" w:eastAsia="仿宋" w:cs="仿宋"/>
          <w:sz w:val="24"/>
        </w:rPr>
      </w:pPr>
      <w:r>
        <w:rPr>
          <w:rFonts w:hint="eastAsia" w:ascii="仿宋" w:hAnsi="仿宋" w:eastAsia="仿宋" w:cs="仿宋"/>
          <w:sz w:val="24"/>
        </w:rPr>
        <w:t>1.根据余财采〔2020〕14号《关于转发《杭州市政府采购履约验收暂行办法》的通知》精神，组织验收。</w:t>
      </w:r>
    </w:p>
    <w:p>
      <w:pPr>
        <w:spacing w:line="400" w:lineRule="atLeast"/>
        <w:ind w:left="60" w:right="60" w:firstLine="435"/>
        <w:rPr>
          <w:rFonts w:ascii="仿宋" w:hAnsi="仿宋" w:eastAsia="仿宋" w:cs="仿宋"/>
          <w:sz w:val="24"/>
        </w:rPr>
      </w:pPr>
      <w:r>
        <w:rPr>
          <w:rFonts w:hint="eastAsia" w:ascii="仿宋" w:hAnsi="仿宋" w:eastAsia="仿宋" w:cs="仿宋"/>
          <w:sz w:val="24"/>
        </w:rPr>
        <w:t>2.检验验收依据。课桌椅力学性能要求，按照QB/T 4071－2010第4.7条或QB/T 4071-2021相应条款。桌斗底面垂直静载荷不小于1000N，桌面垂直耐久性不小于600N；课桌椅其他安全性能能达到QB/T 4071－2010第4.5条或QB/T 4071-2021相应条款的要求；座椅、桌面面板符合GB 28481-2012要求；金属材质覆面、喷涂层、电镀层按QB/T 4071－2010第4.6条（表2）或QB/T 4071-2021相应条款；有害物含量：塑粉符合GB 28481-2012要求；</w:t>
      </w:r>
    </w:p>
    <w:p>
      <w:pPr>
        <w:spacing w:line="400" w:lineRule="atLeast"/>
        <w:ind w:left="60" w:right="60" w:firstLine="435"/>
        <w:rPr>
          <w:rFonts w:ascii="仿宋" w:hAnsi="仿宋" w:eastAsia="仿宋" w:cs="仿宋"/>
          <w:sz w:val="24"/>
        </w:rPr>
      </w:pPr>
      <w:r>
        <w:rPr>
          <w:rFonts w:hint="eastAsia" w:ascii="仿宋" w:hAnsi="仿宋" w:eastAsia="仿宋" w:cs="仿宋"/>
          <w:sz w:val="24"/>
        </w:rPr>
        <w:t>3.手摇式单人单斗升降课桌椅中的课桌材料ABS材质,PC挂钩将送国家认可具有CMA资质的检测机构检测是否为新料。</w:t>
      </w:r>
    </w:p>
    <w:p>
      <w:pPr>
        <w:spacing w:line="400" w:lineRule="atLeast"/>
        <w:ind w:left="60" w:right="60" w:firstLine="435"/>
        <w:rPr>
          <w:rFonts w:ascii="仿宋" w:hAnsi="仿宋" w:eastAsia="仿宋" w:cs="仿宋"/>
          <w:sz w:val="24"/>
        </w:rPr>
      </w:pPr>
      <w:r>
        <w:rPr>
          <w:rFonts w:hint="eastAsia" w:ascii="仿宋" w:hAnsi="仿宋" w:eastAsia="仿宋" w:cs="仿宋"/>
          <w:sz w:val="24"/>
        </w:rPr>
        <w:t>4.供货完成后，学校先行试用。初验完成后，组织终验，最终验收不合格，中标方整改，由此所产生的所有损失由中标单位承担。</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十三、违约责任</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1.甲方无正当理由拒收货物的，甲方向乙方偿付拒收货款总值的5%违约金。</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2.甲方无故逾期验收和办理货款支付手续的，甲方应按逾期付款总额每日万分之五向乙方支付违约金。</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5.属于保修范围的内容，乙方应当在接到保修通知之时起24小时内派人保修。乙方不在约定期限内派人保修的，甲方可以委托他人修理，所需费用按实在质保金中支出。</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十四、不可抗力事件处理</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3.不可抗力事件延续120天以上，双方应通过友好协商，确定是否继续履行合同。</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十五、诉讼 双方在执行合同中所发生的一切争议，应通过协商解决。如协商不成，可向甲方所在地法院起诉。</w:t>
      </w:r>
    </w:p>
    <w:p>
      <w:pPr>
        <w:pStyle w:val="32"/>
        <w:snapToGrid w:val="0"/>
        <w:spacing w:line="400" w:lineRule="atLeast"/>
        <w:rPr>
          <w:rFonts w:ascii="仿宋" w:hAnsi="仿宋" w:eastAsia="仿宋" w:cs="仿宋"/>
          <w:bCs/>
          <w:sz w:val="24"/>
          <w:szCs w:val="24"/>
        </w:rPr>
      </w:pPr>
      <w:r>
        <w:rPr>
          <w:rFonts w:hint="eastAsia" w:ascii="仿宋" w:hAnsi="仿宋" w:eastAsia="仿宋" w:cs="仿宋"/>
          <w:bCs/>
          <w:sz w:val="24"/>
          <w:szCs w:val="24"/>
        </w:rPr>
        <w:t>十六、合同生效及其它</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1.招标文件、投标文件、更正公告、中标通知书、承诺函等均作为本合同组成部分，具有同等效力。</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2.合同经双方法定代表人或其授权代表签字并加盖单位公章方可生效。</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3.合同执行中涉及采购资金和采购内容修改或补充的，签书面补充协议，作为主合同不可分割的一部分。</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4.本合同未尽事宜，遵照《合同法》有关条文执行。</w:t>
      </w:r>
    </w:p>
    <w:p>
      <w:pPr>
        <w:pStyle w:val="32"/>
        <w:snapToGrid w:val="0"/>
        <w:spacing w:line="400" w:lineRule="atLeast"/>
        <w:ind w:firstLine="410" w:firstLineChars="171"/>
        <w:rPr>
          <w:rFonts w:ascii="仿宋" w:hAnsi="仿宋" w:eastAsia="仿宋" w:cs="仿宋"/>
          <w:sz w:val="24"/>
          <w:szCs w:val="24"/>
        </w:rPr>
      </w:pPr>
      <w:r>
        <w:rPr>
          <w:rFonts w:hint="eastAsia" w:ascii="仿宋" w:hAnsi="仿宋" w:eastAsia="仿宋" w:cs="仿宋"/>
          <w:sz w:val="24"/>
          <w:szCs w:val="24"/>
        </w:rPr>
        <w:t>5.本合同一式多份，具有同等法律效力。</w:t>
      </w:r>
    </w:p>
    <w:p>
      <w:pPr>
        <w:pStyle w:val="32"/>
        <w:snapToGrid w:val="0"/>
        <w:spacing w:line="400" w:lineRule="atLeast"/>
        <w:ind w:firstLine="410" w:firstLineChars="171"/>
        <w:rPr>
          <w:rFonts w:ascii="仿宋" w:hAnsi="仿宋" w:eastAsia="仿宋" w:cs="仿宋"/>
          <w:sz w:val="24"/>
          <w:szCs w:val="24"/>
        </w:rPr>
      </w:pPr>
    </w:p>
    <w:p>
      <w:pPr>
        <w:pStyle w:val="32"/>
        <w:snapToGrid w:val="0"/>
        <w:spacing w:line="400" w:lineRule="atLeast"/>
        <w:ind w:firstLine="410" w:firstLineChars="171"/>
        <w:rPr>
          <w:rFonts w:ascii="仿宋" w:hAnsi="仿宋" w:eastAsia="仿宋" w:cs="仿宋"/>
          <w:sz w:val="24"/>
          <w:szCs w:val="24"/>
        </w:rPr>
      </w:pPr>
    </w:p>
    <w:p>
      <w:pPr>
        <w:pStyle w:val="32"/>
        <w:snapToGrid w:val="0"/>
        <w:spacing w:line="400" w:lineRule="atLeast"/>
        <w:ind w:firstLine="410" w:firstLineChars="171"/>
        <w:rPr>
          <w:rFonts w:ascii="仿宋" w:hAnsi="仿宋" w:eastAsia="仿宋" w:cs="仿宋"/>
          <w:sz w:val="24"/>
          <w:szCs w:val="24"/>
        </w:rPr>
      </w:pP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甲方（盖章）：                        乙方（盖章）：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法定代表人：                         法定代表人：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或授权代表（签字）：                  或授权受委托人（签字）：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地址：                                 地址：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邮编：                                 邮编：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电话：                                 电话：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传真：                                 传真：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开户银行：                             开户银行：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帐号：                                 帐号：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                                        </w:t>
      </w:r>
    </w:p>
    <w:p>
      <w:pPr>
        <w:spacing w:line="400" w:lineRule="atLeast"/>
        <w:ind w:firstLine="360" w:firstLineChars="150"/>
        <w:jc w:val="left"/>
        <w:rPr>
          <w:rFonts w:ascii="仿宋" w:hAnsi="仿宋" w:eastAsia="仿宋" w:cs="仿宋"/>
          <w:bCs/>
          <w:sz w:val="24"/>
        </w:rPr>
      </w:pPr>
      <w:r>
        <w:rPr>
          <w:rFonts w:hint="eastAsia" w:ascii="仿宋" w:hAnsi="仿宋" w:eastAsia="仿宋" w:cs="仿宋"/>
          <w:bCs/>
          <w:sz w:val="24"/>
        </w:rPr>
        <w:t xml:space="preserve">                                              </w:t>
      </w:r>
    </w:p>
    <w:p>
      <w:pPr>
        <w:spacing w:line="400" w:lineRule="atLeast"/>
        <w:ind w:firstLine="360" w:firstLineChars="150"/>
        <w:jc w:val="right"/>
        <w:rPr>
          <w:rFonts w:ascii="仿宋" w:hAnsi="仿宋" w:eastAsia="仿宋" w:cs="仿宋"/>
          <w:bCs/>
          <w:sz w:val="24"/>
        </w:rPr>
      </w:pPr>
      <w:r>
        <w:rPr>
          <w:rFonts w:hint="eastAsia" w:ascii="仿宋" w:hAnsi="仿宋" w:eastAsia="仿宋" w:cs="仿宋"/>
          <w:bCs/>
          <w:sz w:val="24"/>
        </w:rPr>
        <w:t>签约时间：  年    月   日</w:t>
      </w:r>
    </w:p>
    <w:p>
      <w:pPr>
        <w:spacing w:line="400" w:lineRule="atLeast"/>
        <w:ind w:right="480"/>
        <w:rPr>
          <w:rFonts w:ascii="仿宋" w:hAnsi="仿宋" w:eastAsia="仿宋" w:cs="仿宋"/>
          <w:bCs/>
          <w:sz w:val="24"/>
        </w:rPr>
      </w:pPr>
      <w:r>
        <w:rPr>
          <w:rFonts w:hint="eastAsia" w:ascii="仿宋" w:hAnsi="仿宋" w:eastAsia="仿宋" w:cs="仿宋"/>
          <w:bCs/>
          <w:sz w:val="24"/>
        </w:rPr>
        <w:t xml:space="preserve">                                                 </w:t>
      </w:r>
    </w:p>
    <w:p>
      <w:pPr>
        <w:spacing w:line="400" w:lineRule="atLeast"/>
        <w:ind w:right="480"/>
        <w:rPr>
          <w:rFonts w:ascii="仿宋" w:hAnsi="仿宋" w:eastAsia="仿宋" w:cs="仿宋"/>
          <w:bCs/>
          <w:sz w:val="24"/>
        </w:rPr>
      </w:pPr>
      <w:r>
        <w:rPr>
          <w:rFonts w:hint="eastAsia" w:ascii="仿宋" w:hAnsi="仿宋" w:eastAsia="仿宋" w:cs="仿宋"/>
          <w:bCs/>
          <w:sz w:val="24"/>
        </w:rPr>
        <w:t xml:space="preserve">                                            签约地点：</w:t>
      </w:r>
    </w:p>
    <w:p>
      <w:pPr>
        <w:spacing w:line="400" w:lineRule="atLeast"/>
        <w:ind w:right="480"/>
        <w:rPr>
          <w:rFonts w:ascii="仿宋" w:hAnsi="仿宋" w:eastAsia="仿宋" w:cs="仿宋"/>
          <w:bCs/>
          <w:sz w:val="24"/>
        </w:rPr>
      </w:pPr>
    </w:p>
    <w:p>
      <w:pPr>
        <w:pStyle w:val="962"/>
        <w:adjustRightInd w:val="0"/>
        <w:snapToGrid w:val="0"/>
        <w:spacing w:line="400" w:lineRule="atLeast"/>
        <w:ind w:firstLine="117" w:firstLineChars="49"/>
        <w:jc w:val="both"/>
        <w:rPr>
          <w:rFonts w:ascii="仿宋" w:hAnsi="仿宋" w:eastAsia="仿宋" w:cs="仿宋"/>
          <w:sz w:val="24"/>
        </w:rPr>
        <w:sectPr>
          <w:footerReference r:id="rId8"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val="0"/>
          <w:sz w:val="24"/>
          <w:szCs w:val="24"/>
        </w:rPr>
        <w:t xml:space="preserve"> </w:t>
      </w:r>
      <w:bookmarkStart w:id="405" w:name="_Toc25574"/>
      <w:bookmarkStart w:id="406" w:name="_Toc7165"/>
      <w:bookmarkStart w:id="407" w:name="_Toc478802751"/>
      <w:bookmarkStart w:id="408" w:name="_Toc20109"/>
      <w:bookmarkStart w:id="409" w:name="_Toc20960"/>
      <w:bookmarkStart w:id="410" w:name="_Toc14695"/>
      <w:bookmarkStart w:id="411" w:name="_Toc2673434"/>
      <w:r>
        <w:rPr>
          <w:rFonts w:hint="eastAsia" w:ascii="仿宋" w:hAnsi="仿宋" w:eastAsia="仿宋" w:cs="仿宋"/>
          <w:b w:val="0"/>
          <w:sz w:val="24"/>
          <w:szCs w:val="24"/>
        </w:rPr>
        <w:t>此仅为协议样本，中标单位需根据实际情况和采购人签订相应的协议！</w:t>
      </w:r>
      <w:bookmarkEnd w:id="405"/>
      <w:bookmarkEnd w:id="406"/>
      <w:bookmarkEnd w:id="407"/>
      <w:bookmarkEnd w:id="408"/>
      <w:bookmarkEnd w:id="409"/>
      <w:bookmarkEnd w:id="410"/>
      <w:bookmarkEnd w:id="411"/>
    </w:p>
    <w:p>
      <w:pPr>
        <w:widowControl/>
        <w:spacing w:line="560" w:lineRule="exact"/>
        <w:jc w:val="left"/>
        <w:rPr>
          <w:rFonts w:ascii="仿宋" w:hAnsi="仿宋" w:eastAsia="仿宋"/>
          <w:b/>
          <w:sz w:val="24"/>
        </w:rPr>
      </w:pPr>
    </w:p>
    <w:p>
      <w:pPr>
        <w:pStyle w:val="385"/>
        <w:spacing w:line="560" w:lineRule="exact"/>
        <w:ind w:firstLine="482"/>
        <w:jc w:val="center"/>
        <w:rPr>
          <w:rFonts w:ascii="仿宋" w:hAnsi="仿宋" w:eastAsia="仿宋"/>
          <w:b/>
          <w:szCs w:val="24"/>
        </w:rPr>
      </w:pPr>
      <w:r>
        <w:rPr>
          <w:rFonts w:hint="eastAsia" w:ascii="仿宋" w:hAnsi="仿宋" w:eastAsia="仿宋"/>
          <w:b/>
          <w:szCs w:val="24"/>
        </w:rPr>
        <w:t>第二部分</w:t>
      </w:r>
      <w:r>
        <w:rPr>
          <w:rFonts w:ascii="仿宋" w:hAnsi="仿宋" w:eastAsia="仿宋"/>
          <w:b/>
          <w:szCs w:val="24"/>
        </w:rPr>
        <w:t xml:space="preserve"> </w:t>
      </w:r>
      <w:r>
        <w:rPr>
          <w:rFonts w:hint="eastAsia" w:ascii="仿宋" w:hAnsi="仿宋" w:eastAsia="仿宋"/>
          <w:b/>
          <w:szCs w:val="24"/>
        </w:rPr>
        <w:t>合同一般条款</w:t>
      </w:r>
      <w:bookmarkEnd w:id="404"/>
    </w:p>
    <w:p>
      <w:pPr>
        <w:spacing w:line="560" w:lineRule="exact"/>
        <w:ind w:firstLine="482" w:firstLineChars="200"/>
        <w:outlineLvl w:val="0"/>
        <w:rPr>
          <w:rFonts w:ascii="仿宋" w:hAnsi="仿宋" w:eastAsia="仿宋"/>
          <w:b/>
          <w:sz w:val="24"/>
        </w:rPr>
      </w:pPr>
      <w:bookmarkStart w:id="412" w:name="_Ref467379214"/>
      <w:bookmarkStart w:id="413" w:name="_Ref467379205"/>
      <w:bookmarkStart w:id="414" w:name="_Toc279701240"/>
      <w:bookmarkStart w:id="415" w:name="_Ref467379225"/>
      <w:bookmarkStart w:id="416" w:name="_Ref467379109"/>
      <w:bookmarkStart w:id="417" w:name="_Toc19614"/>
      <w:bookmarkStart w:id="418" w:name="_Toc259093669"/>
      <w:bookmarkStart w:id="419" w:name="_Toc487900349"/>
      <w:bookmarkStart w:id="420" w:name="_Ref467378404"/>
      <w:bookmarkStart w:id="421" w:name="_Ref467378463"/>
      <w:bookmarkStart w:id="422" w:name="_Ref467379094"/>
      <w:bookmarkStart w:id="423" w:name="_Ref467379195"/>
      <w:bookmarkStart w:id="424" w:name="_Toc28763"/>
      <w:bookmarkStart w:id="425" w:name="_Toc16917"/>
      <w:bookmarkStart w:id="426" w:name="_Ref467378499"/>
      <w:bookmarkStart w:id="427" w:name="_Ref467379101"/>
      <w:r>
        <w:rPr>
          <w:rFonts w:ascii="仿宋" w:hAnsi="仿宋" w:eastAsia="仿宋"/>
          <w:b/>
          <w:sz w:val="24"/>
        </w:rPr>
        <w:t xml:space="preserve">2.1 </w:t>
      </w:r>
      <w:r>
        <w:rPr>
          <w:rFonts w:hint="eastAsia" w:ascii="仿宋" w:hAnsi="仿宋" w:eastAsia="仿宋"/>
          <w:b/>
          <w:sz w:val="24"/>
        </w:rPr>
        <w:t>定义</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ascii="仿宋" w:hAnsi="仿宋" w:eastAsia="仿宋"/>
          <w:sz w:val="24"/>
        </w:rPr>
        <w:t xml:space="preserve">2.1.1 </w:t>
      </w:r>
      <w:r>
        <w:rPr>
          <w:rFonts w:hint="eastAsia" w:ascii="仿宋" w:hAnsi="仿宋" w:eastAsia="仿宋"/>
          <w:sz w:val="24"/>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ascii="仿宋" w:hAnsi="仿宋" w:eastAsia="仿宋"/>
          <w:sz w:val="24"/>
        </w:rPr>
        <w:t xml:space="preserve">2.1.2 </w:t>
      </w:r>
      <w:r>
        <w:rPr>
          <w:rFonts w:hint="eastAsia" w:ascii="仿宋" w:hAnsi="仿宋" w:eastAsia="仿宋"/>
          <w:sz w:val="24"/>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ascii="仿宋" w:hAnsi="仿宋" w:eastAsia="仿宋"/>
          <w:sz w:val="24"/>
        </w:rPr>
        <w:t xml:space="preserve">2.1.3 </w:t>
      </w:r>
      <w:r>
        <w:rPr>
          <w:rFonts w:hint="eastAsia" w:ascii="仿宋" w:hAnsi="仿宋" w:eastAsia="仿宋"/>
          <w:sz w:val="24"/>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28" w:name="_Ref467378840"/>
      <w:r>
        <w:rPr>
          <w:rFonts w:ascii="仿宋" w:hAnsi="仿宋" w:eastAsia="仿宋"/>
          <w:sz w:val="24"/>
        </w:rPr>
        <w:t xml:space="preserve">2.1.4 </w:t>
      </w:r>
      <w:r>
        <w:rPr>
          <w:rFonts w:hint="eastAsia" w:ascii="仿宋" w:hAnsi="仿宋" w:eastAsia="仿宋"/>
          <w:sz w:val="24"/>
        </w:rPr>
        <w:t>“甲方”系指与中标供应商签署合同的采购人</w:t>
      </w:r>
      <w:bookmarkEnd w:id="428"/>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29" w:name="_Ref467379400"/>
      <w:r>
        <w:rPr>
          <w:rFonts w:ascii="仿宋" w:hAnsi="仿宋" w:eastAsia="仿宋"/>
          <w:sz w:val="24"/>
        </w:rPr>
        <w:t xml:space="preserve">2.1.5 </w:t>
      </w:r>
      <w:r>
        <w:rPr>
          <w:rFonts w:hint="eastAsia" w:ascii="仿宋" w:hAnsi="仿宋" w:eastAsia="仿宋"/>
          <w:sz w:val="24"/>
        </w:rPr>
        <w:t>“乙方”系指根据合同约定交付货物的中标供应商</w:t>
      </w:r>
      <w:bookmarkEnd w:id="429"/>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30" w:name="_Ref467379436"/>
      <w:r>
        <w:rPr>
          <w:rFonts w:ascii="仿宋" w:hAnsi="仿宋" w:eastAsia="仿宋"/>
          <w:sz w:val="24"/>
        </w:rPr>
        <w:t xml:space="preserve">2.1.6 </w:t>
      </w:r>
      <w:r>
        <w:rPr>
          <w:rFonts w:hint="eastAsia" w:ascii="仿宋" w:hAnsi="仿宋" w:eastAsia="仿宋"/>
          <w:sz w:val="24"/>
        </w:rPr>
        <w:t>“现场”系指合同约定货物将要运至或者安装的地点。</w:t>
      </w:r>
      <w:bookmarkEnd w:id="430"/>
    </w:p>
    <w:p>
      <w:pPr>
        <w:spacing w:line="560" w:lineRule="exact"/>
        <w:ind w:firstLine="482" w:firstLineChars="200"/>
        <w:outlineLvl w:val="0"/>
        <w:rPr>
          <w:rFonts w:ascii="仿宋" w:hAnsi="仿宋" w:eastAsia="仿宋"/>
          <w:b/>
          <w:sz w:val="24"/>
        </w:rPr>
      </w:pPr>
      <w:bookmarkStart w:id="431" w:name="_Toc32504"/>
      <w:bookmarkStart w:id="432" w:name="_Toc487900350"/>
      <w:bookmarkStart w:id="433" w:name="_Toc13336"/>
      <w:bookmarkStart w:id="434" w:name="_Toc279701241"/>
      <w:bookmarkStart w:id="435" w:name="_Toc259093670"/>
      <w:bookmarkStart w:id="436" w:name="_Toc27635"/>
      <w:r>
        <w:rPr>
          <w:rFonts w:ascii="仿宋" w:hAnsi="仿宋" w:eastAsia="仿宋"/>
          <w:b/>
          <w:sz w:val="24"/>
        </w:rPr>
        <w:t xml:space="preserve">2.2 </w:t>
      </w:r>
      <w:r>
        <w:rPr>
          <w:rFonts w:hint="eastAsia" w:ascii="仿宋" w:hAnsi="仿宋" w:eastAsia="仿宋"/>
          <w:b/>
          <w:sz w:val="24"/>
        </w:rPr>
        <w:t>技术规范</w:t>
      </w:r>
      <w:bookmarkEnd w:id="431"/>
      <w:bookmarkEnd w:id="432"/>
      <w:bookmarkEnd w:id="433"/>
      <w:bookmarkEnd w:id="434"/>
      <w:bookmarkEnd w:id="435"/>
      <w:bookmarkEnd w:id="436"/>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w:t>
      </w:r>
      <w:r>
        <w:rPr>
          <w:rFonts w:ascii="仿宋" w:hAnsi="仿宋" w:eastAsia="仿宋"/>
          <w:sz w:val="24"/>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37" w:name="_Toc27853"/>
      <w:bookmarkStart w:id="438" w:name="_Toc487900351"/>
      <w:bookmarkStart w:id="439" w:name="_Toc259093671"/>
      <w:bookmarkStart w:id="440" w:name="_Toc279701242"/>
      <w:bookmarkStart w:id="441" w:name="_Toc9829"/>
      <w:bookmarkStart w:id="442" w:name="_Toc31634"/>
      <w:r>
        <w:rPr>
          <w:rFonts w:ascii="仿宋" w:hAnsi="仿宋" w:eastAsia="仿宋"/>
          <w:b/>
          <w:sz w:val="24"/>
        </w:rPr>
        <w:t xml:space="preserve">2.3 </w:t>
      </w:r>
      <w:r>
        <w:rPr>
          <w:rFonts w:hint="eastAsia" w:ascii="仿宋" w:hAnsi="仿宋" w:eastAsia="仿宋"/>
          <w:b/>
          <w:sz w:val="24"/>
        </w:rPr>
        <w:t>知识产权</w:t>
      </w:r>
      <w:bookmarkEnd w:id="437"/>
      <w:bookmarkEnd w:id="438"/>
      <w:bookmarkEnd w:id="439"/>
      <w:bookmarkEnd w:id="440"/>
      <w:bookmarkEnd w:id="441"/>
      <w:bookmarkEnd w:id="442"/>
    </w:p>
    <w:p>
      <w:pPr>
        <w:spacing w:line="560" w:lineRule="exact"/>
        <w:ind w:firstLine="480" w:firstLineChars="200"/>
        <w:rPr>
          <w:rFonts w:ascii="仿宋" w:hAnsi="仿宋" w:eastAsia="仿宋"/>
          <w:sz w:val="24"/>
        </w:rPr>
      </w:pPr>
      <w:r>
        <w:rPr>
          <w:rFonts w:ascii="仿宋" w:hAnsi="仿宋" w:eastAsia="仿宋"/>
          <w:sz w:val="24"/>
        </w:rPr>
        <w:t xml:space="preserve">2.3.1 </w:t>
      </w:r>
      <w:r>
        <w:rPr>
          <w:rFonts w:hint="eastAsia" w:ascii="仿宋" w:hAnsi="仿宋" w:eastAsia="仿宋"/>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3" w:name="_Toc29149"/>
      <w:bookmarkStart w:id="444" w:name="_Toc4194"/>
      <w:bookmarkStart w:id="445" w:name="_Toc11932"/>
      <w:r>
        <w:rPr>
          <w:rFonts w:ascii="仿宋" w:hAnsi="仿宋" w:eastAsia="仿宋"/>
          <w:b/>
          <w:sz w:val="24"/>
        </w:rPr>
        <w:t xml:space="preserve">2.4 </w:t>
      </w:r>
      <w:r>
        <w:rPr>
          <w:rFonts w:hint="eastAsia" w:ascii="仿宋" w:hAnsi="仿宋" w:eastAsia="仿宋"/>
          <w:b/>
          <w:sz w:val="24"/>
        </w:rPr>
        <w:t>包装和装运</w:t>
      </w:r>
      <w:bookmarkEnd w:id="443"/>
      <w:bookmarkEnd w:id="444"/>
      <w:bookmarkEnd w:id="445"/>
    </w:p>
    <w:p>
      <w:pPr>
        <w:spacing w:line="560" w:lineRule="exact"/>
        <w:ind w:firstLine="480" w:firstLineChars="200"/>
        <w:rPr>
          <w:rFonts w:ascii="仿宋" w:hAnsi="仿宋" w:eastAsia="仿宋"/>
          <w:sz w:val="24"/>
        </w:rPr>
      </w:pPr>
      <w:r>
        <w:rPr>
          <w:rFonts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w:t>
      </w:r>
      <w:r>
        <w:rPr>
          <w:rFonts w:ascii="仿宋" w:hAnsi="仿宋" w:eastAsia="仿宋"/>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ascii="仿宋" w:hAnsi="仿宋" w:eastAsia="仿宋"/>
          <w:sz w:val="24"/>
        </w:rPr>
        <w:t xml:space="preserve">2.4.2 </w:t>
      </w:r>
      <w:r>
        <w:rPr>
          <w:rFonts w:hint="eastAsia" w:ascii="仿宋" w:hAnsi="仿宋" w:eastAsia="仿宋"/>
          <w:sz w:val="24"/>
        </w:rPr>
        <w:t>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46" w:name="_Ref467378591"/>
      <w:bookmarkStart w:id="447" w:name="_Toc259093674"/>
      <w:bookmarkStart w:id="448" w:name="_Ref467379542"/>
      <w:bookmarkStart w:id="449" w:name="_Toc279701245"/>
      <w:bookmarkStart w:id="450" w:name="_Ref467378541"/>
      <w:bookmarkStart w:id="451" w:name="_Ref467379536"/>
      <w:bookmarkStart w:id="452" w:name="_Ref467379527"/>
      <w:bookmarkStart w:id="453" w:name="_Toc487900354"/>
      <w:bookmarkStart w:id="454" w:name="_Toc30272"/>
      <w:bookmarkStart w:id="455" w:name="_Toc19074"/>
      <w:bookmarkStart w:id="456" w:name="_Toc26182"/>
      <w:r>
        <w:rPr>
          <w:rFonts w:ascii="仿宋" w:hAnsi="仿宋" w:eastAsia="仿宋"/>
          <w:b/>
          <w:sz w:val="24"/>
        </w:rPr>
        <w:t>2.</w:t>
      </w:r>
      <w:bookmarkEnd w:id="446"/>
      <w:bookmarkEnd w:id="447"/>
      <w:bookmarkEnd w:id="448"/>
      <w:bookmarkEnd w:id="449"/>
      <w:bookmarkEnd w:id="450"/>
      <w:bookmarkEnd w:id="451"/>
      <w:bookmarkEnd w:id="452"/>
      <w:bookmarkEnd w:id="453"/>
      <w:r>
        <w:rPr>
          <w:rFonts w:ascii="仿宋" w:hAnsi="仿宋" w:eastAsia="仿宋"/>
          <w:b/>
          <w:sz w:val="24"/>
        </w:rPr>
        <w:t xml:space="preserve">5 </w:t>
      </w:r>
      <w:r>
        <w:rPr>
          <w:rFonts w:hint="eastAsia" w:ascii="仿宋" w:hAnsi="仿宋" w:eastAsia="仿宋"/>
          <w:b/>
          <w:sz w:val="24"/>
        </w:rPr>
        <w:t>履约检查和问题反馈</w:t>
      </w:r>
      <w:bookmarkEnd w:id="454"/>
      <w:bookmarkEnd w:id="455"/>
      <w:bookmarkEnd w:id="456"/>
    </w:p>
    <w:p>
      <w:pPr>
        <w:spacing w:line="560" w:lineRule="exact"/>
        <w:ind w:firstLine="480" w:firstLineChars="200"/>
        <w:rPr>
          <w:rFonts w:ascii="仿宋" w:hAnsi="仿宋" w:eastAsia="仿宋"/>
          <w:sz w:val="24"/>
        </w:rPr>
      </w:pPr>
      <w:bookmarkStart w:id="457" w:name="_Ref467379657"/>
      <w:r>
        <w:rPr>
          <w:rFonts w:ascii="仿宋" w:hAnsi="仿宋" w:eastAsia="仿宋"/>
          <w:sz w:val="24"/>
        </w:rPr>
        <w:t>2.5.1</w:t>
      </w:r>
      <w:bookmarkEnd w:id="457"/>
      <w:bookmarkStart w:id="458" w:name="_Toc186431854"/>
      <w:bookmarkStart w:id="459" w:name="_Ref467379807"/>
      <w:bookmarkStart w:id="460" w:name="_Ref467379793"/>
      <w:bookmarkStart w:id="461" w:name="_Toc259093676"/>
      <w:bookmarkStart w:id="462" w:name="_Toc487900357"/>
      <w:bookmarkStart w:id="463" w:name="_Toc27970124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ascii="仿宋" w:hAnsi="仿宋" w:eastAsia="仿宋"/>
          <w:sz w:val="24"/>
        </w:rPr>
        <w:t xml:space="preserve">2.5.2 </w:t>
      </w:r>
      <w:r>
        <w:rPr>
          <w:rFonts w:hint="eastAsia" w:ascii="仿宋" w:hAnsi="仿宋" w:eastAsia="仿宋"/>
          <w:sz w:val="24"/>
        </w:rPr>
        <w:t>合同履行期间，甲方有权将履行过程中出现的问题反馈给乙方，双方当事人应以书面形式约定需要完善和改进的内容</w:t>
      </w:r>
      <w:bookmarkEnd w:id="458"/>
      <w:bookmarkStart w:id="464" w:name="_Toc186431855"/>
      <w:r>
        <w:rPr>
          <w:rFonts w:hint="eastAsia" w:ascii="仿宋" w:hAnsi="仿宋" w:eastAsia="仿宋"/>
          <w:sz w:val="24"/>
        </w:rPr>
        <w:t>。</w:t>
      </w:r>
    </w:p>
    <w:bookmarkEnd w:id="459"/>
    <w:bookmarkEnd w:id="460"/>
    <w:bookmarkEnd w:id="461"/>
    <w:bookmarkEnd w:id="462"/>
    <w:bookmarkEnd w:id="463"/>
    <w:bookmarkEnd w:id="464"/>
    <w:p>
      <w:pPr>
        <w:spacing w:line="560" w:lineRule="exact"/>
        <w:ind w:firstLine="482" w:firstLineChars="200"/>
        <w:outlineLvl w:val="0"/>
        <w:rPr>
          <w:rFonts w:ascii="仿宋" w:hAnsi="仿宋" w:eastAsia="仿宋"/>
          <w:b/>
          <w:sz w:val="24"/>
        </w:rPr>
      </w:pPr>
      <w:bookmarkStart w:id="465" w:name="_Toc259093677"/>
      <w:bookmarkStart w:id="466" w:name="_Toc487900358"/>
      <w:bookmarkStart w:id="467" w:name="_Ref467379923"/>
      <w:bookmarkStart w:id="468" w:name="_Ref467379863"/>
      <w:bookmarkStart w:id="469" w:name="_Toc279701248"/>
      <w:bookmarkStart w:id="470" w:name="_Ref467379852"/>
      <w:bookmarkStart w:id="471" w:name="_Toc16110"/>
      <w:bookmarkStart w:id="472" w:name="_Toc3225"/>
      <w:bookmarkStart w:id="473" w:name="_Toc774"/>
      <w:r>
        <w:rPr>
          <w:rFonts w:ascii="仿宋" w:hAnsi="仿宋" w:eastAsia="仿宋"/>
          <w:b/>
          <w:sz w:val="24"/>
        </w:rPr>
        <w:t xml:space="preserve">2.6 </w:t>
      </w:r>
      <w:r>
        <w:rPr>
          <w:rFonts w:hint="eastAsia" w:ascii="仿宋" w:hAnsi="仿宋" w:eastAsia="仿宋"/>
          <w:b/>
          <w:sz w:val="24"/>
        </w:rPr>
        <w:t>技术资料</w:t>
      </w:r>
      <w:bookmarkEnd w:id="465"/>
      <w:bookmarkEnd w:id="466"/>
      <w:bookmarkEnd w:id="467"/>
      <w:bookmarkEnd w:id="468"/>
      <w:bookmarkEnd w:id="469"/>
      <w:bookmarkEnd w:id="470"/>
      <w:r>
        <w:rPr>
          <w:rFonts w:hint="eastAsia" w:ascii="仿宋" w:hAnsi="仿宋" w:eastAsia="仿宋"/>
          <w:b/>
          <w:sz w:val="24"/>
        </w:rPr>
        <w:t>和保密义务</w:t>
      </w:r>
      <w:bookmarkEnd w:id="471"/>
      <w:bookmarkEnd w:id="472"/>
      <w:bookmarkEnd w:id="473"/>
    </w:p>
    <w:p>
      <w:pPr>
        <w:spacing w:line="560" w:lineRule="exact"/>
        <w:ind w:firstLine="480" w:firstLineChars="200"/>
        <w:rPr>
          <w:rFonts w:ascii="仿宋" w:hAnsi="仿宋" w:eastAsia="仿宋"/>
          <w:sz w:val="24"/>
        </w:rPr>
      </w:pPr>
      <w:r>
        <w:rPr>
          <w:rFonts w:ascii="仿宋" w:hAnsi="仿宋" w:eastAsia="仿宋"/>
          <w:sz w:val="24"/>
        </w:rPr>
        <w:t xml:space="preserve">2.6.1 </w:t>
      </w:r>
      <w:r>
        <w:rPr>
          <w:rFonts w:hint="eastAsia" w:ascii="仿宋" w:hAnsi="仿宋" w:eastAsia="仿宋"/>
          <w:sz w:val="24"/>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ascii="仿宋" w:hAnsi="仿宋" w:eastAsia="仿宋"/>
          <w:sz w:val="24"/>
        </w:rPr>
        <w:t xml:space="preserve">2.6.2 </w:t>
      </w:r>
      <w:r>
        <w:rPr>
          <w:rFonts w:hint="eastAsia" w:ascii="仿宋" w:hAnsi="仿宋" w:eastAsia="仿宋"/>
          <w:sz w:val="24"/>
        </w:rPr>
        <w:t>乙方有义务妥善保管和保护由甲方提供的前款信息和资料等；</w:t>
      </w:r>
    </w:p>
    <w:p>
      <w:pPr>
        <w:spacing w:line="560" w:lineRule="exact"/>
        <w:ind w:firstLine="480" w:firstLineChars="200"/>
        <w:rPr>
          <w:rFonts w:ascii="仿宋" w:hAnsi="仿宋" w:eastAsia="仿宋"/>
          <w:sz w:val="24"/>
        </w:rPr>
      </w:pPr>
      <w:r>
        <w:rPr>
          <w:rFonts w:ascii="仿宋" w:hAnsi="仿宋" w:eastAsia="仿宋"/>
          <w:sz w:val="24"/>
        </w:rPr>
        <w:t xml:space="preserve">2.6.3 </w:t>
      </w:r>
      <w:r>
        <w:rPr>
          <w:rFonts w:hint="eastAsia" w:ascii="仿宋" w:hAnsi="仿宋" w:eastAsia="仿宋"/>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474" w:name="_Toc7860"/>
      <w:r>
        <w:rPr>
          <w:rFonts w:ascii="仿宋" w:hAnsi="仿宋" w:eastAsia="仿宋"/>
          <w:b/>
          <w:sz w:val="24"/>
        </w:rPr>
        <w:t xml:space="preserve">2.7 </w:t>
      </w:r>
      <w:r>
        <w:rPr>
          <w:rFonts w:hint="eastAsia" w:ascii="仿宋" w:hAnsi="仿宋" w:eastAsia="仿宋"/>
          <w:b/>
          <w:sz w:val="24"/>
        </w:rPr>
        <w:t>质量保证</w:t>
      </w:r>
      <w:bookmarkEnd w:id="474"/>
    </w:p>
    <w:p>
      <w:pPr>
        <w:spacing w:line="560" w:lineRule="exact"/>
        <w:ind w:firstLine="480" w:firstLineChars="200"/>
        <w:rPr>
          <w:rFonts w:ascii="仿宋" w:hAnsi="仿宋" w:eastAsia="仿宋"/>
          <w:sz w:val="24"/>
        </w:rPr>
      </w:pPr>
      <w:r>
        <w:rPr>
          <w:rFonts w:ascii="仿宋" w:hAnsi="仿宋" w:eastAsia="仿宋"/>
          <w:sz w:val="24"/>
        </w:rPr>
        <w:t xml:space="preserve">2.7.1 </w:t>
      </w:r>
      <w:r>
        <w:rPr>
          <w:rFonts w:hint="eastAsia" w:ascii="仿宋" w:hAnsi="仿宋" w:eastAsia="仿宋"/>
          <w:sz w:val="24"/>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ascii="仿宋" w:hAnsi="仿宋" w:eastAsia="仿宋"/>
          <w:sz w:val="24"/>
        </w:rPr>
        <w:t xml:space="preserve">2.7.2 </w:t>
      </w:r>
      <w:r>
        <w:rPr>
          <w:rFonts w:hint="eastAsia" w:ascii="仿宋" w:hAnsi="仿宋" w:eastAsia="仿宋"/>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475" w:name="_Toc17244"/>
      <w:bookmarkStart w:id="476" w:name="_Toc279701252"/>
      <w:bookmarkStart w:id="477" w:name="_Toc259093681"/>
      <w:bookmarkStart w:id="478" w:name="_Toc487900362"/>
      <w:r>
        <w:rPr>
          <w:rFonts w:ascii="仿宋" w:hAnsi="仿宋" w:eastAsia="仿宋"/>
          <w:b/>
          <w:sz w:val="24"/>
        </w:rPr>
        <w:t xml:space="preserve">2.8 </w:t>
      </w:r>
      <w:r>
        <w:rPr>
          <w:rFonts w:hint="eastAsia" w:ascii="仿宋" w:hAnsi="仿宋" w:eastAsia="仿宋"/>
          <w:b/>
          <w:sz w:val="24"/>
        </w:rPr>
        <w:t>货物的风险负担</w:t>
      </w:r>
      <w:bookmarkEnd w:id="475"/>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9" w:name="_Toc14055"/>
      <w:r>
        <w:rPr>
          <w:rFonts w:ascii="仿宋" w:hAnsi="仿宋" w:eastAsia="仿宋"/>
          <w:b/>
          <w:sz w:val="24"/>
        </w:rPr>
        <w:t xml:space="preserve">2.9 </w:t>
      </w:r>
      <w:r>
        <w:rPr>
          <w:rFonts w:hint="eastAsia" w:ascii="仿宋" w:hAnsi="仿宋" w:eastAsia="仿宋"/>
          <w:b/>
          <w:sz w:val="24"/>
        </w:rPr>
        <w:t>延迟交货</w:t>
      </w:r>
      <w:bookmarkEnd w:id="476"/>
      <w:bookmarkEnd w:id="477"/>
      <w:bookmarkEnd w:id="478"/>
      <w:bookmarkEnd w:id="479"/>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480" w:name="_Toc7502"/>
      <w:bookmarkStart w:id="481" w:name="_Toc487900364"/>
      <w:bookmarkStart w:id="482" w:name="_Ref467378121"/>
      <w:bookmarkStart w:id="483" w:name="_Toc279701254"/>
      <w:bookmarkStart w:id="484" w:name="_Toc259093683"/>
      <w:r>
        <w:rPr>
          <w:rFonts w:ascii="仿宋" w:hAnsi="仿宋" w:eastAsia="仿宋"/>
          <w:b/>
          <w:sz w:val="24"/>
        </w:rPr>
        <w:t xml:space="preserve">2.10 </w:t>
      </w:r>
      <w:r>
        <w:rPr>
          <w:rFonts w:hint="eastAsia" w:ascii="仿宋" w:hAnsi="仿宋" w:eastAsia="仿宋"/>
          <w:b/>
          <w:sz w:val="24"/>
        </w:rPr>
        <w:t>合同变更</w:t>
      </w:r>
      <w:bookmarkEnd w:id="480"/>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485" w:name="_Toc279701259"/>
      <w:bookmarkStart w:id="486" w:name="_Toc487900369"/>
      <w:bookmarkStart w:id="487" w:name="_Toc259093688"/>
    </w:p>
    <w:p>
      <w:pPr>
        <w:spacing w:line="560" w:lineRule="exact"/>
        <w:ind w:firstLine="482" w:firstLineChars="200"/>
        <w:outlineLvl w:val="0"/>
        <w:rPr>
          <w:rFonts w:ascii="仿宋" w:hAnsi="仿宋" w:eastAsia="仿宋"/>
          <w:b/>
          <w:sz w:val="24"/>
        </w:rPr>
      </w:pPr>
      <w:bookmarkStart w:id="488" w:name="_Toc10366"/>
      <w:bookmarkStart w:id="489" w:name="_Toc15237"/>
      <w:bookmarkStart w:id="490" w:name="_Toc22955"/>
      <w:r>
        <w:rPr>
          <w:rFonts w:ascii="仿宋" w:hAnsi="仿宋" w:eastAsia="仿宋"/>
          <w:b/>
          <w:sz w:val="24"/>
        </w:rPr>
        <w:t xml:space="preserve">2.11 </w:t>
      </w:r>
      <w:r>
        <w:rPr>
          <w:rFonts w:hint="eastAsia" w:ascii="仿宋" w:hAnsi="仿宋" w:eastAsia="仿宋"/>
          <w:b/>
          <w:sz w:val="24"/>
        </w:rPr>
        <w:t>合同转让</w:t>
      </w:r>
      <w:bookmarkEnd w:id="485"/>
      <w:bookmarkEnd w:id="486"/>
      <w:bookmarkEnd w:id="487"/>
      <w:r>
        <w:rPr>
          <w:rFonts w:hint="eastAsia" w:ascii="仿宋" w:hAnsi="仿宋" w:eastAsia="仿宋"/>
          <w:b/>
          <w:sz w:val="24"/>
        </w:rPr>
        <w:t>和分包</w:t>
      </w:r>
      <w:bookmarkEnd w:id="488"/>
      <w:bookmarkEnd w:id="489"/>
      <w:bookmarkEnd w:id="490"/>
    </w:p>
    <w:p>
      <w:pPr>
        <w:spacing w:line="560" w:lineRule="exact"/>
        <w:ind w:firstLine="480" w:firstLineChars="200"/>
        <w:rPr>
          <w:rFonts w:ascii="仿宋" w:hAnsi="仿宋" w:eastAsia="仿宋"/>
          <w:sz w:val="24"/>
        </w:rPr>
      </w:pPr>
      <w:r>
        <w:rPr>
          <w:rFonts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491" w:name="_Toc14066"/>
      <w:bookmarkStart w:id="492" w:name="_Toc13566"/>
      <w:bookmarkStart w:id="493" w:name="_Toc16508"/>
      <w:r>
        <w:rPr>
          <w:rFonts w:ascii="仿宋" w:hAnsi="仿宋" w:eastAsia="仿宋"/>
          <w:b/>
          <w:sz w:val="24"/>
        </w:rPr>
        <w:t xml:space="preserve">2.12 </w:t>
      </w:r>
      <w:r>
        <w:rPr>
          <w:rFonts w:hint="eastAsia" w:ascii="仿宋" w:hAnsi="仿宋" w:eastAsia="仿宋"/>
          <w:b/>
          <w:sz w:val="24"/>
        </w:rPr>
        <w:t>不可抗力</w:t>
      </w:r>
      <w:bookmarkEnd w:id="491"/>
      <w:bookmarkEnd w:id="492"/>
      <w:bookmarkEnd w:id="493"/>
    </w:p>
    <w:p>
      <w:pPr>
        <w:spacing w:line="560" w:lineRule="exact"/>
        <w:ind w:firstLine="480" w:firstLineChars="200"/>
        <w:rPr>
          <w:rFonts w:ascii="仿宋" w:hAnsi="仿宋" w:eastAsia="仿宋"/>
          <w:sz w:val="24"/>
        </w:rPr>
      </w:pPr>
      <w:r>
        <w:rPr>
          <w:rFonts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ascii="仿宋" w:hAnsi="仿宋" w:eastAsia="仿宋"/>
          <w:sz w:val="24"/>
        </w:rPr>
        <w:t xml:space="preserve">2.12.2 </w:t>
      </w:r>
      <w:r>
        <w:rPr>
          <w:rFonts w:hint="eastAsia" w:ascii="仿宋" w:hAnsi="仿宋" w:eastAsia="仿宋"/>
          <w:sz w:val="24"/>
        </w:rPr>
        <w:t>因不可抗力致使不能实现合同目的的，当事人可以解除合同；</w:t>
      </w:r>
    </w:p>
    <w:p>
      <w:pPr>
        <w:spacing w:line="560" w:lineRule="exact"/>
        <w:ind w:firstLine="480" w:firstLineChars="200"/>
        <w:rPr>
          <w:rFonts w:ascii="仿宋" w:hAnsi="仿宋" w:eastAsia="仿宋"/>
          <w:sz w:val="24"/>
        </w:rPr>
      </w:pPr>
      <w:r>
        <w:rPr>
          <w:rFonts w:ascii="仿宋" w:hAnsi="仿宋" w:eastAsia="仿宋"/>
          <w:sz w:val="24"/>
        </w:rPr>
        <w:t xml:space="preserve">2.12.3 </w:t>
      </w:r>
      <w:r>
        <w:rPr>
          <w:rFonts w:hint="eastAsia" w:ascii="仿宋" w:hAnsi="仿宋" w:eastAsia="仿宋"/>
          <w:sz w:val="24"/>
        </w:rPr>
        <w:t>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494" w:name="_Toc30676"/>
      <w:bookmarkStart w:id="495" w:name="_Toc259093684"/>
      <w:bookmarkStart w:id="496" w:name="_Toc6969"/>
      <w:bookmarkStart w:id="497" w:name="_Toc487900365"/>
      <w:bookmarkStart w:id="498" w:name="_Toc279701255"/>
      <w:bookmarkStart w:id="499" w:name="_Toc689"/>
      <w:r>
        <w:rPr>
          <w:rFonts w:ascii="仿宋" w:hAnsi="仿宋" w:eastAsia="仿宋"/>
          <w:b/>
          <w:sz w:val="24"/>
        </w:rPr>
        <w:t xml:space="preserve">2.13 </w:t>
      </w:r>
      <w:r>
        <w:rPr>
          <w:rFonts w:hint="eastAsia" w:ascii="仿宋" w:hAnsi="仿宋" w:eastAsia="仿宋"/>
          <w:b/>
          <w:sz w:val="24"/>
        </w:rPr>
        <w:t>税费</w:t>
      </w:r>
      <w:bookmarkEnd w:id="494"/>
      <w:bookmarkEnd w:id="495"/>
      <w:bookmarkEnd w:id="496"/>
      <w:bookmarkEnd w:id="497"/>
      <w:bookmarkEnd w:id="498"/>
      <w:bookmarkEnd w:id="499"/>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00" w:name="_Toc487900368"/>
      <w:bookmarkStart w:id="501" w:name="_Toc279701258"/>
      <w:bookmarkStart w:id="502" w:name="_Toc7102"/>
      <w:bookmarkStart w:id="503" w:name="_Toc16959"/>
      <w:bookmarkStart w:id="504" w:name="_Toc259093687"/>
      <w:bookmarkStart w:id="505" w:name="_Toc8298"/>
      <w:r>
        <w:rPr>
          <w:rFonts w:ascii="仿宋" w:hAnsi="仿宋" w:eastAsia="仿宋"/>
          <w:b/>
          <w:sz w:val="24"/>
        </w:rPr>
        <w:t>2.14乙方破产</w:t>
      </w:r>
      <w:bookmarkEnd w:id="500"/>
      <w:bookmarkEnd w:id="501"/>
      <w:bookmarkEnd w:id="502"/>
      <w:bookmarkEnd w:id="503"/>
      <w:bookmarkEnd w:id="504"/>
      <w:bookmarkEnd w:id="505"/>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06" w:name="_Toc15387"/>
      <w:bookmarkStart w:id="507" w:name="_Toc29333"/>
      <w:bookmarkStart w:id="508" w:name="_Toc6134"/>
      <w:r>
        <w:rPr>
          <w:rFonts w:ascii="仿宋" w:hAnsi="仿宋" w:eastAsia="仿宋"/>
          <w:b/>
          <w:sz w:val="24"/>
        </w:rPr>
        <w:t xml:space="preserve">2.15 </w:t>
      </w:r>
      <w:r>
        <w:rPr>
          <w:rFonts w:hint="eastAsia" w:ascii="仿宋" w:hAnsi="仿宋" w:eastAsia="仿宋"/>
          <w:b/>
          <w:sz w:val="24"/>
        </w:rPr>
        <w:t>合同中止、终止</w:t>
      </w:r>
      <w:bookmarkEnd w:id="506"/>
      <w:bookmarkEnd w:id="507"/>
      <w:bookmarkEnd w:id="508"/>
    </w:p>
    <w:p>
      <w:pPr>
        <w:spacing w:line="560" w:lineRule="exact"/>
        <w:ind w:firstLine="480" w:firstLineChars="200"/>
        <w:rPr>
          <w:rFonts w:ascii="仿宋" w:hAnsi="仿宋" w:eastAsia="仿宋"/>
          <w:sz w:val="24"/>
        </w:rPr>
      </w:pPr>
      <w:r>
        <w:rPr>
          <w:rFonts w:ascii="仿宋" w:hAnsi="仿宋" w:eastAsia="仿宋"/>
          <w:sz w:val="24"/>
        </w:rPr>
        <w:t xml:space="preserve">2.15.1 </w:t>
      </w:r>
      <w:r>
        <w:rPr>
          <w:rFonts w:hint="eastAsia" w:ascii="仿宋" w:hAnsi="仿宋" w:eastAsia="仿宋"/>
          <w:sz w:val="24"/>
        </w:rPr>
        <w:t>双方当事人不得擅自中止或者终止合同；</w:t>
      </w:r>
    </w:p>
    <w:p>
      <w:pPr>
        <w:spacing w:line="560" w:lineRule="exact"/>
        <w:ind w:firstLine="480" w:firstLineChars="200"/>
        <w:rPr>
          <w:rFonts w:ascii="仿宋" w:hAnsi="仿宋" w:eastAsia="仿宋"/>
          <w:sz w:val="24"/>
        </w:rPr>
      </w:pPr>
      <w:r>
        <w:rPr>
          <w:rFonts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09" w:name="_Toc14563"/>
      <w:bookmarkStart w:id="510" w:name="_Toc6596"/>
      <w:bookmarkStart w:id="511" w:name="_Toc1125"/>
      <w:r>
        <w:rPr>
          <w:rFonts w:ascii="仿宋" w:hAnsi="仿宋" w:eastAsia="仿宋"/>
          <w:b/>
          <w:sz w:val="24"/>
        </w:rPr>
        <w:t>2.16检验和验收</w:t>
      </w:r>
      <w:bookmarkEnd w:id="509"/>
      <w:bookmarkEnd w:id="510"/>
      <w:bookmarkEnd w:id="511"/>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2.16.1货物交付前，乙方应对货物的质量、数量等方面进行详细、全面的检验，并向甲方出具证明货物符合合同约定的文件；货物交付时，乙方在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ascii="仿宋" w:hAnsi="仿宋" w:eastAsia="仿宋"/>
          <w:sz w:val="24"/>
        </w:rPr>
        <w:t xml:space="preserve">2.16.3 </w:t>
      </w:r>
      <w:r>
        <w:rPr>
          <w:rFonts w:hint="eastAsia" w:ascii="仿宋" w:hAnsi="仿宋" w:eastAsia="仿宋"/>
          <w:sz w:val="24"/>
        </w:rPr>
        <w:t>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481"/>
    <w:bookmarkEnd w:id="482"/>
    <w:bookmarkEnd w:id="483"/>
    <w:bookmarkEnd w:id="484"/>
    <w:p>
      <w:pPr>
        <w:spacing w:line="560" w:lineRule="exact"/>
        <w:ind w:firstLine="482" w:firstLineChars="200"/>
        <w:outlineLvl w:val="0"/>
        <w:rPr>
          <w:rFonts w:ascii="仿宋" w:hAnsi="仿宋" w:eastAsia="仿宋"/>
          <w:b/>
          <w:sz w:val="24"/>
        </w:rPr>
      </w:pPr>
      <w:bookmarkStart w:id="512" w:name="_Toc279701261"/>
      <w:bookmarkStart w:id="513" w:name="_Toc259093690"/>
      <w:bookmarkStart w:id="514" w:name="_Toc487900371"/>
      <w:bookmarkStart w:id="515" w:name="_Toc11284"/>
      <w:bookmarkStart w:id="516" w:name="_Toc25182"/>
      <w:bookmarkStart w:id="517" w:name="_Toc19604"/>
      <w:r>
        <w:rPr>
          <w:rFonts w:ascii="仿宋" w:hAnsi="仿宋" w:eastAsia="仿宋"/>
          <w:b/>
          <w:sz w:val="24"/>
        </w:rPr>
        <w:t xml:space="preserve">2.17 </w:t>
      </w:r>
      <w:r>
        <w:rPr>
          <w:rFonts w:hint="eastAsia" w:ascii="仿宋" w:hAnsi="仿宋" w:eastAsia="仿宋"/>
          <w:b/>
          <w:sz w:val="24"/>
        </w:rPr>
        <w:t>通知</w:t>
      </w:r>
      <w:bookmarkEnd w:id="512"/>
      <w:bookmarkEnd w:id="513"/>
      <w:bookmarkEnd w:id="514"/>
      <w:r>
        <w:rPr>
          <w:rFonts w:hint="eastAsia" w:ascii="仿宋" w:hAnsi="仿宋" w:eastAsia="仿宋"/>
          <w:b/>
          <w:sz w:val="24"/>
        </w:rPr>
        <w:t>和送达</w:t>
      </w:r>
      <w:bookmarkEnd w:id="515"/>
      <w:bookmarkEnd w:id="516"/>
      <w:bookmarkEnd w:id="517"/>
    </w:p>
    <w:p>
      <w:pPr>
        <w:spacing w:line="560" w:lineRule="exact"/>
        <w:ind w:firstLine="480" w:firstLineChars="200"/>
        <w:rPr>
          <w:rFonts w:ascii="仿宋" w:hAnsi="仿宋" w:eastAsia="仿宋"/>
          <w:sz w:val="24"/>
        </w:rPr>
      </w:pPr>
      <w:bookmarkStart w:id="518" w:name="_Toc6698"/>
      <w:bookmarkStart w:id="519" w:name="_Toc3135"/>
      <w:bookmarkStart w:id="520" w:name="_Toc487900372"/>
      <w:bookmarkStart w:id="521" w:name="_Toc279701262"/>
      <w:bookmarkStart w:id="522" w:name="_Toc259093691"/>
      <w:r>
        <w:rPr>
          <w:rFonts w:ascii="仿宋" w:hAnsi="仿宋" w:eastAsia="仿宋"/>
          <w:sz w:val="24"/>
        </w:rPr>
        <w:t>2.17.1</w:t>
      </w:r>
      <w:r>
        <w:rPr>
          <w:rFonts w:hint="eastAsia" w:ascii="仿宋" w:hAnsi="仿宋" w:eastAsia="仿宋"/>
          <w:sz w:val="24"/>
        </w:rPr>
        <w:t>任何一方因履行合同而以合同第一部分尾部所列明的传真或电子邮件</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rPr>
        <w:t>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18"/>
      <w:bookmarkEnd w:id="519"/>
    </w:p>
    <w:p>
      <w:pPr>
        <w:spacing w:line="560" w:lineRule="exact"/>
        <w:ind w:firstLine="480" w:firstLineChars="200"/>
        <w:rPr>
          <w:rFonts w:ascii="仿宋" w:hAnsi="仿宋" w:eastAsia="仿宋"/>
          <w:sz w:val="24"/>
        </w:rPr>
      </w:pPr>
      <w:bookmarkStart w:id="523" w:name="_Toc23128"/>
      <w:bookmarkStart w:id="524" w:name="_Toc23294"/>
      <w:r>
        <w:rPr>
          <w:rFonts w:ascii="仿宋" w:hAnsi="仿宋" w:eastAsia="仿宋"/>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sz w:val="24"/>
        </w:rPr>
        <w:t>的，邮件挂号寄出或者交邮之日之次日视为送达。</w:t>
      </w:r>
      <w:bookmarkEnd w:id="523"/>
      <w:bookmarkEnd w:id="524"/>
    </w:p>
    <w:p>
      <w:pPr>
        <w:spacing w:line="560" w:lineRule="exact"/>
        <w:ind w:firstLine="482" w:firstLineChars="200"/>
        <w:outlineLvl w:val="0"/>
        <w:rPr>
          <w:rFonts w:ascii="仿宋" w:hAnsi="仿宋" w:eastAsia="仿宋"/>
          <w:b/>
          <w:sz w:val="24"/>
        </w:rPr>
      </w:pPr>
      <w:bookmarkStart w:id="525" w:name="_Toc30599"/>
      <w:bookmarkStart w:id="526" w:name="_Toc4355"/>
      <w:bookmarkStart w:id="527" w:name="_Toc18540"/>
      <w:r>
        <w:rPr>
          <w:rFonts w:ascii="仿宋" w:hAnsi="仿宋" w:eastAsia="仿宋"/>
          <w:b/>
          <w:sz w:val="24"/>
        </w:rPr>
        <w:t xml:space="preserve">2.18 </w:t>
      </w:r>
      <w:r>
        <w:rPr>
          <w:rFonts w:hint="eastAsia" w:ascii="仿宋" w:hAnsi="仿宋" w:eastAsia="仿宋"/>
          <w:b/>
          <w:sz w:val="24"/>
        </w:rPr>
        <w:t>计量单位</w:t>
      </w:r>
      <w:bookmarkEnd w:id="520"/>
      <w:bookmarkEnd w:id="521"/>
      <w:bookmarkEnd w:id="522"/>
      <w:bookmarkEnd w:id="525"/>
      <w:bookmarkEnd w:id="526"/>
      <w:bookmarkEnd w:id="527"/>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w:t>
      </w:r>
      <w:r>
        <w:rPr>
          <w:rFonts w:ascii="仿宋" w:hAnsi="仿宋" w:eastAsia="仿宋"/>
          <w:sz w:val="24"/>
        </w:rPr>
        <w:t>,合同的计量单位均使用国家法定计量单位。</w:t>
      </w:r>
    </w:p>
    <w:p>
      <w:pPr>
        <w:spacing w:line="560" w:lineRule="exact"/>
        <w:ind w:firstLine="482" w:firstLineChars="200"/>
        <w:outlineLvl w:val="0"/>
        <w:rPr>
          <w:rFonts w:ascii="仿宋" w:hAnsi="仿宋" w:eastAsia="仿宋"/>
          <w:b/>
          <w:sz w:val="24"/>
        </w:rPr>
      </w:pPr>
      <w:bookmarkStart w:id="528" w:name="_Toc12773"/>
      <w:bookmarkStart w:id="529" w:name="_Toc279701263"/>
      <w:bookmarkStart w:id="530" w:name="_Toc487900373"/>
      <w:bookmarkStart w:id="531" w:name="_Toc18567"/>
      <w:bookmarkStart w:id="532" w:name="_Toc259093692"/>
      <w:bookmarkStart w:id="533" w:name="_Toc10330"/>
      <w:r>
        <w:rPr>
          <w:rFonts w:ascii="仿宋" w:hAnsi="仿宋" w:eastAsia="仿宋"/>
          <w:b/>
          <w:sz w:val="24"/>
        </w:rPr>
        <w:t xml:space="preserve">2.19 </w:t>
      </w:r>
      <w:r>
        <w:rPr>
          <w:rFonts w:hint="eastAsia" w:ascii="仿宋" w:hAnsi="仿宋" w:eastAsia="仿宋"/>
          <w:b/>
          <w:sz w:val="24"/>
        </w:rPr>
        <w:t>合同使用的文字和适用的法律</w:t>
      </w:r>
      <w:bookmarkEnd w:id="528"/>
      <w:bookmarkEnd w:id="529"/>
      <w:bookmarkEnd w:id="530"/>
      <w:bookmarkEnd w:id="531"/>
      <w:bookmarkEnd w:id="532"/>
      <w:bookmarkEnd w:id="533"/>
    </w:p>
    <w:p>
      <w:pPr>
        <w:spacing w:line="560" w:lineRule="exact"/>
        <w:ind w:firstLine="480" w:firstLineChars="200"/>
        <w:rPr>
          <w:rFonts w:ascii="仿宋" w:hAnsi="仿宋" w:eastAsia="仿宋"/>
          <w:sz w:val="24"/>
        </w:rPr>
      </w:pPr>
      <w:r>
        <w:rPr>
          <w:rFonts w:ascii="仿宋" w:hAnsi="仿宋" w:eastAsia="仿宋"/>
          <w:sz w:val="24"/>
        </w:rPr>
        <w:t xml:space="preserve">2.19.1 </w:t>
      </w:r>
      <w:r>
        <w:rPr>
          <w:rFonts w:hint="eastAsia" w:ascii="仿宋" w:hAnsi="仿宋" w:eastAsia="仿宋"/>
          <w:sz w:val="24"/>
        </w:rPr>
        <w:t>合同使用汉语书就、变更和解释；</w:t>
      </w:r>
    </w:p>
    <w:p>
      <w:pPr>
        <w:spacing w:line="560" w:lineRule="exact"/>
        <w:ind w:firstLine="480" w:firstLineChars="200"/>
        <w:rPr>
          <w:rFonts w:ascii="仿宋" w:hAnsi="仿宋" w:eastAsia="仿宋"/>
          <w:sz w:val="24"/>
        </w:rPr>
      </w:pPr>
      <w:r>
        <w:rPr>
          <w:rFonts w:ascii="仿宋" w:hAnsi="仿宋" w:eastAsia="仿宋"/>
          <w:sz w:val="24"/>
        </w:rPr>
        <w:t xml:space="preserve">2.19.2 </w:t>
      </w:r>
      <w:r>
        <w:rPr>
          <w:rFonts w:hint="eastAsia" w:ascii="仿宋" w:hAnsi="仿宋" w:eastAsia="仿宋"/>
          <w:sz w:val="24"/>
        </w:rPr>
        <w:t>合同适用中华人民共和国法律。</w:t>
      </w:r>
    </w:p>
    <w:p>
      <w:pPr>
        <w:spacing w:line="560" w:lineRule="exact"/>
        <w:ind w:firstLine="482" w:firstLineChars="200"/>
        <w:outlineLvl w:val="0"/>
        <w:rPr>
          <w:rFonts w:ascii="仿宋" w:hAnsi="仿宋" w:eastAsia="仿宋"/>
          <w:b/>
          <w:sz w:val="24"/>
        </w:rPr>
      </w:pPr>
      <w:bookmarkStart w:id="534" w:name="_Toc279701264"/>
      <w:bookmarkStart w:id="535" w:name="_Toc3148"/>
      <w:bookmarkStart w:id="536" w:name="_Toc12004"/>
      <w:bookmarkStart w:id="537" w:name="_Toc259093693"/>
      <w:bookmarkStart w:id="538" w:name="_Toc16673"/>
      <w:bookmarkStart w:id="539" w:name="_Toc487900374"/>
      <w:r>
        <w:rPr>
          <w:rFonts w:ascii="仿宋" w:hAnsi="仿宋" w:eastAsia="仿宋"/>
          <w:b/>
          <w:sz w:val="24"/>
        </w:rPr>
        <w:t xml:space="preserve">2.20 </w:t>
      </w:r>
      <w:r>
        <w:rPr>
          <w:rFonts w:hint="eastAsia" w:ascii="仿宋" w:hAnsi="仿宋" w:eastAsia="仿宋"/>
          <w:b/>
          <w:sz w:val="24"/>
        </w:rPr>
        <w:t>履约保证金</w:t>
      </w:r>
      <w:bookmarkEnd w:id="534"/>
      <w:bookmarkEnd w:id="535"/>
      <w:bookmarkEnd w:id="536"/>
      <w:bookmarkEnd w:id="537"/>
      <w:bookmarkEnd w:id="538"/>
    </w:p>
    <w:p>
      <w:pPr>
        <w:pStyle w:val="61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rPr>
        <w:t>5%的履约保证金；鼓励和支持乙方以银行、保险公司出具的保函形式提供履约保证。</w:t>
      </w:r>
    </w:p>
    <w:p>
      <w:pPr>
        <w:spacing w:line="560" w:lineRule="exact"/>
        <w:ind w:firstLine="480" w:firstLineChars="200"/>
        <w:rPr>
          <w:rFonts w:ascii="仿宋" w:hAnsi="仿宋" w:eastAsia="仿宋"/>
          <w:sz w:val="24"/>
        </w:rPr>
      </w:pPr>
      <w:r>
        <w:rPr>
          <w:rFonts w:ascii="仿宋" w:hAnsi="仿宋" w:eastAsia="仿宋"/>
          <w:sz w:val="24"/>
        </w:rPr>
        <w:t xml:space="preserve">2.20.2  </w:t>
      </w:r>
      <w:r>
        <w:rPr>
          <w:rFonts w:hint="eastAsia" w:ascii="仿宋" w:hAnsi="仿宋" w:eastAsia="仿宋"/>
          <w:sz w:val="24"/>
        </w:rPr>
        <w:t>履约保证金在</w:t>
      </w:r>
      <w:r>
        <w:rPr>
          <w:rFonts w:hint="eastAsia" w:ascii="仿宋" w:hAnsi="仿宋" w:eastAsia="仿宋"/>
          <w:b/>
          <w:i/>
          <w:sz w:val="24"/>
          <w:u w:val="single"/>
        </w:rPr>
        <w:t>合同专用条款</w:t>
      </w:r>
      <w:r>
        <w:rPr>
          <w:rFonts w:hint="eastAsia" w:ascii="仿宋" w:hAnsi="仿宋" w:eastAsia="仿宋"/>
          <w:sz w:val="24"/>
        </w:rPr>
        <w:t>约定期间内不予退还。乙方在前述约定期间届满前能履行完合同约定义务事项的，甲方在前述约定期间届满之日起</w:t>
      </w:r>
      <w:r>
        <w:rPr>
          <w:rFonts w:ascii="仿宋" w:hAnsi="仿宋" w:eastAsia="仿宋"/>
          <w:sz w:val="24"/>
          <w:u w:val="single"/>
        </w:rPr>
        <w:t xml:space="preserve"> </w:t>
      </w:r>
      <w:r>
        <w:rPr>
          <w:rFonts w:hint="eastAsia" w:ascii="仿宋" w:hAnsi="仿宋" w:eastAsia="仿宋"/>
          <w:sz w:val="24"/>
          <w:u w:val="single"/>
        </w:rPr>
        <w:t>5</w:t>
      </w:r>
      <w:r>
        <w:rPr>
          <w:rFonts w:ascii="仿宋" w:hAnsi="仿宋" w:eastAsia="仿宋"/>
          <w:sz w:val="24"/>
          <w:u w:val="single"/>
        </w:rPr>
        <w:t xml:space="preserve"> </w:t>
      </w:r>
      <w:r>
        <w:rPr>
          <w:rFonts w:hint="eastAsia" w:ascii="仿宋" w:hAnsi="仿宋" w:eastAsia="仿宋"/>
          <w:sz w:val="24"/>
        </w:rPr>
        <w:t>个工作日内，按</w:t>
      </w:r>
      <w:r>
        <w:rPr>
          <w:rFonts w:hint="eastAsia" w:ascii="仿宋" w:hAnsi="仿宋" w:eastAsia="仿宋"/>
          <w:b/>
          <w:i/>
          <w:sz w:val="24"/>
          <w:u w:val="single"/>
        </w:rPr>
        <w:t>合同专用条款</w:t>
      </w:r>
      <w:r>
        <w:rPr>
          <w:rFonts w:hint="eastAsia" w:ascii="仿宋" w:hAnsi="仿宋" w:eastAsia="仿宋"/>
          <w:sz w:val="24"/>
        </w:rPr>
        <w:t>约定的方式将履约保证金退还乙方，逾期退还的，乙方可要求甲方支付违约金，违约金按每迟延退还一日的应退还而未退还金额的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%计算，最高限额为本合同履约保证金的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 xml:space="preserve">%； </w:t>
      </w:r>
    </w:p>
    <w:p>
      <w:pPr>
        <w:spacing w:line="560" w:lineRule="exact"/>
        <w:ind w:firstLine="480" w:firstLineChars="200"/>
        <w:rPr>
          <w:rFonts w:ascii="仿宋" w:hAnsi="仿宋" w:eastAsia="仿宋"/>
          <w:sz w:val="24"/>
        </w:rPr>
      </w:pPr>
      <w:r>
        <w:rPr>
          <w:rFonts w:ascii="仿宋" w:hAnsi="仿宋" w:eastAsia="仿宋"/>
          <w:sz w:val="24"/>
        </w:rPr>
        <w:t xml:space="preserve">2.20.3 </w:t>
      </w:r>
      <w:r>
        <w:rPr>
          <w:rFonts w:hint="eastAsia" w:ascii="仿宋" w:hAnsi="仿宋" w:eastAsia="仿宋"/>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rPr>
          <w:rFonts w:ascii="仿宋" w:hAnsi="仿宋" w:eastAsia="仿宋"/>
          <w:sz w:val="24"/>
        </w:rPr>
        <w:t>2.2</w:t>
      </w:r>
      <w:r>
        <w:rPr>
          <w:rFonts w:hint="eastAsia" w:ascii="仿宋" w:hAnsi="仿宋" w:eastAsia="仿宋"/>
          <w:sz w:val="24"/>
        </w:rPr>
        <w:t>0</w:t>
      </w:r>
      <w:r>
        <w:rPr>
          <w:rFonts w:ascii="仿宋" w:hAnsi="仿宋" w:eastAsia="仿宋"/>
          <w:sz w:val="24"/>
        </w:rPr>
        <w:t>.4</w:t>
      </w:r>
      <w:r>
        <w:rPr>
          <w:rFonts w:hint="eastAsia" w:ascii="仿宋" w:hAnsi="仿宋" w:eastAsia="仿宋"/>
          <w:sz w:val="24"/>
        </w:rPr>
        <w:t> 甲方</w:t>
      </w:r>
      <w:r>
        <w:rPr>
          <w:rFonts w:ascii="仿宋" w:hAnsi="仿宋" w:eastAsia="仿宋"/>
          <w:sz w:val="24"/>
        </w:rPr>
        <w:t>在</w:t>
      </w:r>
      <w:r>
        <w:rPr>
          <w:rFonts w:hint="eastAsia" w:ascii="仿宋" w:hAnsi="仿宋" w:eastAsia="仿宋"/>
          <w:sz w:val="24"/>
        </w:rPr>
        <w:t>乙方</w:t>
      </w:r>
      <w:r>
        <w:rPr>
          <w:rFonts w:ascii="仿宋" w:hAnsi="仿宋" w:eastAsia="仿宋"/>
          <w:sz w:val="24"/>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rPr>
      </w:pPr>
      <w:r>
        <w:rPr>
          <w:rFonts w:ascii="仿宋" w:hAnsi="仿宋" w:eastAsia="仿宋"/>
          <w:sz w:val="24"/>
        </w:rPr>
        <w:t>2.2</w:t>
      </w:r>
      <w:r>
        <w:rPr>
          <w:rFonts w:hint="eastAsia" w:ascii="仿宋" w:hAnsi="仿宋" w:eastAsia="仿宋"/>
          <w:sz w:val="24"/>
        </w:rPr>
        <w:t>1</w:t>
      </w:r>
      <w:r>
        <w:rPr>
          <w:rFonts w:ascii="仿宋" w:hAnsi="仿宋" w:eastAsia="仿宋"/>
          <w:sz w:val="24"/>
        </w:rPr>
        <w:t>对于因甲方原因导致变更、中止或者终止政府采购合同的，甲方应当依照合同约定对供应商受到的损失予以赔偿或者补偿。</w:t>
      </w:r>
    </w:p>
    <w:bookmarkEnd w:id="539"/>
    <w:p>
      <w:pPr>
        <w:spacing w:line="560" w:lineRule="exact"/>
        <w:ind w:firstLine="482" w:firstLineChars="200"/>
        <w:outlineLvl w:val="0"/>
        <w:rPr>
          <w:rFonts w:ascii="仿宋" w:hAnsi="仿宋" w:eastAsia="仿宋"/>
          <w:b/>
          <w:sz w:val="24"/>
        </w:rPr>
      </w:pPr>
      <w:bookmarkStart w:id="540" w:name="_Toc14001"/>
      <w:bookmarkStart w:id="541" w:name="_Toc19890"/>
      <w:bookmarkStart w:id="542" w:name="_Toc6885"/>
      <w:r>
        <w:rPr>
          <w:rFonts w:ascii="仿宋" w:hAnsi="仿宋" w:eastAsia="仿宋"/>
          <w:b/>
          <w:sz w:val="24"/>
        </w:rPr>
        <w:t>2.2</w:t>
      </w:r>
      <w:r>
        <w:rPr>
          <w:rFonts w:hint="eastAsia" w:ascii="仿宋" w:hAnsi="仿宋" w:eastAsia="仿宋"/>
          <w:b/>
          <w:sz w:val="24"/>
        </w:rPr>
        <w:t>2合同份数</w:t>
      </w:r>
      <w:bookmarkEnd w:id="540"/>
      <w:bookmarkEnd w:id="541"/>
      <w:bookmarkEnd w:id="542"/>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385"/>
        <w:spacing w:line="560" w:lineRule="exact"/>
        <w:jc w:val="center"/>
        <w:rPr>
          <w:rFonts w:ascii="仿宋" w:hAnsi="仿宋" w:eastAsia="仿宋"/>
          <w:b/>
          <w:szCs w:val="24"/>
        </w:rPr>
      </w:pPr>
      <w:r>
        <w:rPr>
          <w:rFonts w:ascii="仿宋" w:hAnsi="仿宋" w:eastAsia="仿宋" w:cs="黑体"/>
          <w:kern w:val="0"/>
          <w:szCs w:val="24"/>
        </w:rPr>
        <w:br w:type="page"/>
      </w:r>
      <w:bookmarkStart w:id="543" w:name="_Toc331685784"/>
      <w:r>
        <w:rPr>
          <w:rFonts w:hint="eastAsia" w:ascii="仿宋" w:hAnsi="仿宋" w:eastAsia="仿宋"/>
          <w:b/>
          <w:szCs w:val="24"/>
        </w:rPr>
        <w:t xml:space="preserve"> </w:t>
      </w:r>
      <w:bookmarkEnd w:id="543"/>
      <w:r>
        <w:rPr>
          <w:rFonts w:hint="eastAsia" w:ascii="仿宋" w:hAnsi="仿宋" w:eastAsia="仿宋"/>
          <w:b/>
          <w:szCs w:val="24"/>
        </w:rPr>
        <w:t>第三部分</w:t>
      </w:r>
      <w:r>
        <w:rPr>
          <w:rFonts w:ascii="仿宋" w:hAnsi="仿宋" w:eastAsia="仿宋"/>
          <w:b/>
          <w:szCs w:val="24"/>
        </w:rPr>
        <w:t xml:space="preserve">  </w:t>
      </w:r>
      <w:r>
        <w:rPr>
          <w:rFonts w:hint="eastAsia" w:ascii="仿宋" w:hAnsi="仿宋" w:eastAsia="仿宋"/>
          <w:b/>
          <w:szCs w:val="24"/>
        </w:rPr>
        <w:t>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r>
              <w:rPr>
                <w:rFonts w:ascii="仿宋" w:hAnsi="仿宋" w:eastAsia="仿宋"/>
                <w:sz w:val="24"/>
              </w:rPr>
              <w:t xml:space="preserve"> </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02"/>
      <w:r>
        <w:rPr>
          <w:rFonts w:ascii="仿宋" w:hAnsi="仿宋" w:eastAsia="仿宋" w:cs="仿宋_GB2312"/>
          <w:b/>
          <w:sz w:val="36"/>
          <w:szCs w:val="20"/>
        </w:rPr>
        <w:t xml:space="preserve"> </w:t>
      </w:r>
      <w:bookmarkEnd w:id="40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8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8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3"/>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3"/>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376"/>
        <w:tabs>
          <w:tab w:val="clear" w:pos="720"/>
        </w:tabs>
        <w:snapToGrid w:val="0"/>
        <w:spacing w:before="120" w:after="120"/>
        <w:ind w:firstLine="643"/>
        <w:jc w:val="both"/>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3"/>
        <w:rPr>
          <w:rFonts w:cs="仿宋_GB2312"/>
          <w:kern w:val="0"/>
          <w:sz w:val="36"/>
          <w:szCs w:val="36"/>
        </w:rPr>
      </w:pPr>
    </w:p>
    <w:p>
      <w:pPr>
        <w:rPr>
          <w:rFonts w:ascii="仿宋_GB2312" w:hAnsi="仿宋" w:eastAsia="仿宋_GB2312" w:cs="仿宋_GB2312"/>
          <w:b/>
          <w:kern w:val="0"/>
          <w:sz w:val="36"/>
          <w:szCs w:val="36"/>
        </w:rPr>
      </w:pPr>
    </w:p>
    <w:p>
      <w:pPr>
        <w:pStyle w:val="2"/>
        <w:pageBreakBefore/>
        <w:widowControl/>
        <w:spacing w:before="100" w:beforeAutospacing="1" w:after="100" w:afterAutospacing="1" w:line="360" w:lineRule="auto"/>
        <w:ind w:left="0" w:firstLine="0"/>
        <w:jc w:val="center"/>
        <w:rPr>
          <w:rFonts w:ascii="仿宋_GB2312" w:hAnsi="仿宋" w:eastAsia="仿宋_GB2312"/>
        </w:rPr>
      </w:pPr>
      <w:bookmarkStart w:id="544" w:name="_Toc465665161"/>
      <w:r>
        <w:rPr>
          <w:rFonts w:hint="eastAsia" w:ascii="仿宋_GB2312" w:hAnsi="仿宋" w:eastAsia="仿宋_GB2312"/>
        </w:rPr>
        <w:t>附件</w:t>
      </w:r>
      <w:bookmarkEnd w:id="54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45" w:name="OLE_LINK13"/>
      <w:bookmarkStart w:id="546" w:name="OLE_LINK14"/>
      <w:r>
        <w:rPr>
          <w:rFonts w:hint="eastAsia" w:ascii="仿宋_GB2312" w:hAnsi="仿宋" w:eastAsia="仿宋_GB2312"/>
          <w:b/>
          <w:spacing w:val="6"/>
          <w:sz w:val="32"/>
          <w:szCs w:val="32"/>
        </w:rPr>
        <w:t>残疾人福利性单位声明函</w:t>
      </w:r>
    </w:p>
    <w:bookmarkEnd w:id="545"/>
    <w:bookmarkEnd w:id="54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26"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27"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lang w:val="en-US"/>
        </w:rPr>
      </w:pPr>
    </w:p>
    <w:p>
      <w:pPr>
        <w:spacing w:line="360" w:lineRule="auto"/>
        <w:ind w:right="420"/>
      </w:pP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47" w:name="_Toc91899912"/>
    <w:bookmarkStart w:id="548" w:name="_Toc164085800"/>
    <w:bookmarkStart w:id="549" w:name="_Toc36110187"/>
    <w:bookmarkStart w:id="550" w:name="_Toc13184514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pict>
        <v:shape id="文本框 5"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40</w:t>
                </w:r>
                <w:r>
                  <w:rPr>
                    <w:rFonts w:hint="eastAsia"/>
                    <w:sz w:val="18"/>
                  </w:rPr>
                  <w:fldChar w:fldCharType="end"/>
                </w:r>
                <w:r>
                  <w:rPr>
                    <w:rFonts w:hint="eastAsia"/>
                    <w:sz w:val="18"/>
                  </w:rPr>
                  <w:t xml:space="preserve"> 页</w:t>
                </w:r>
              </w:p>
            </w:txbxContent>
          </v:textbox>
        </v:shape>
      </w:pict>
    </w:r>
  </w:p>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杭州市余杭区政府采购公开招标文件</w:t>
    </w:r>
  </w:p>
  <w:p>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杭州市余杭区政府采购公开招标文件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杭州市余杭区政府采购公开招标文件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杭州市余杭区政府采购公开招标文件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692AA"/>
    <w:multiLevelType w:val="singleLevel"/>
    <w:tmpl w:val="600692AA"/>
    <w:lvl w:ilvl="0" w:tentative="0">
      <w:start w:val="2"/>
      <w:numFmt w:val="decimal"/>
      <w:suff w:val="space"/>
      <w:lvlText w:val="%1."/>
      <w:lvlJc w:val="left"/>
    </w:lvl>
  </w:abstractNum>
  <w:abstractNum w:abstractNumId="1">
    <w:nsid w:val="6247EC92"/>
    <w:multiLevelType w:val="singleLevel"/>
    <w:tmpl w:val="6247EC92"/>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940"/>
    <w:rsid w:val="00026EAC"/>
    <w:rsid w:val="000270F2"/>
    <w:rsid w:val="00027540"/>
    <w:rsid w:val="00030572"/>
    <w:rsid w:val="00030A97"/>
    <w:rsid w:val="00030CB3"/>
    <w:rsid w:val="0003206A"/>
    <w:rsid w:val="000326A7"/>
    <w:rsid w:val="00032EA0"/>
    <w:rsid w:val="000331B0"/>
    <w:rsid w:val="00033284"/>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DAE"/>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37B"/>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4A"/>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87C"/>
    <w:rsid w:val="003B2930"/>
    <w:rsid w:val="003B31A7"/>
    <w:rsid w:val="003B4587"/>
    <w:rsid w:val="003B4B51"/>
    <w:rsid w:val="003B4EF3"/>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ED"/>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D18"/>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286"/>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7BA"/>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647"/>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10AE"/>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29"/>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0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91"/>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7BA"/>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60C"/>
    <w:rsid w:val="00A3786A"/>
    <w:rsid w:val="00A4008C"/>
    <w:rsid w:val="00A402A8"/>
    <w:rsid w:val="00A40685"/>
    <w:rsid w:val="00A40E2F"/>
    <w:rsid w:val="00A41819"/>
    <w:rsid w:val="00A41C9A"/>
    <w:rsid w:val="00A41D73"/>
    <w:rsid w:val="00A42406"/>
    <w:rsid w:val="00A43113"/>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9CC"/>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57E"/>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138"/>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180"/>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60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1DD"/>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194"/>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A10"/>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07DD1"/>
    <w:rsid w:val="00D10327"/>
    <w:rsid w:val="00D1033E"/>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6F03"/>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0D59"/>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94"/>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6CB6"/>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50F25"/>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B57B3"/>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C4725"/>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2174E"/>
    <w:rsid w:val="10C26171"/>
    <w:rsid w:val="10F33360"/>
    <w:rsid w:val="10FC16EA"/>
    <w:rsid w:val="110F1D40"/>
    <w:rsid w:val="11266F33"/>
    <w:rsid w:val="118963A1"/>
    <w:rsid w:val="11C6522A"/>
    <w:rsid w:val="11E104CC"/>
    <w:rsid w:val="11E20309"/>
    <w:rsid w:val="12255233"/>
    <w:rsid w:val="12530213"/>
    <w:rsid w:val="12627D38"/>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94039"/>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C872D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974DE1"/>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075038"/>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C76DF2"/>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1D401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C64254"/>
    <w:rsid w:val="32FB6478"/>
    <w:rsid w:val="33263B3F"/>
    <w:rsid w:val="336963EB"/>
    <w:rsid w:val="33816EEB"/>
    <w:rsid w:val="33EB55CD"/>
    <w:rsid w:val="33EC4C02"/>
    <w:rsid w:val="340D2360"/>
    <w:rsid w:val="3410665D"/>
    <w:rsid w:val="34211214"/>
    <w:rsid w:val="342E63AB"/>
    <w:rsid w:val="347325E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668D4"/>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47785"/>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A055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A39C0"/>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C05D1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575AE"/>
    <w:rsid w:val="61421856"/>
    <w:rsid w:val="615227C4"/>
    <w:rsid w:val="61654E3F"/>
    <w:rsid w:val="6182292A"/>
    <w:rsid w:val="619F7F92"/>
    <w:rsid w:val="61F94C26"/>
    <w:rsid w:val="62000E56"/>
    <w:rsid w:val="624F3E49"/>
    <w:rsid w:val="62632286"/>
    <w:rsid w:val="62885958"/>
    <w:rsid w:val="62F40B65"/>
    <w:rsid w:val="62FC1C93"/>
    <w:rsid w:val="62FC2CFE"/>
    <w:rsid w:val="63024505"/>
    <w:rsid w:val="635B1DB5"/>
    <w:rsid w:val="63711FED"/>
    <w:rsid w:val="63880DDC"/>
    <w:rsid w:val="638D750D"/>
    <w:rsid w:val="63AC6CC0"/>
    <w:rsid w:val="63F12FEE"/>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7B7BC0"/>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CE663B"/>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F7E69"/>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429B0"/>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0"/>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Char Char Char Char Char Char Char Char Char Char Char Char Char"/>
    <w:basedOn w:val="1"/>
    <w:qFormat/>
    <w:uiPriority w:val="0"/>
    <w:rPr>
      <w:rFonts w:ascii="仿宋_GB2312" w:eastAsia="仿宋_GB2312"/>
      <w:b/>
      <w:sz w:val="32"/>
      <w:szCs w:val="32"/>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3"/>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列出段落1"/>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无间隔2"/>
    <w:basedOn w:val="1"/>
    <w:link w:val="938"/>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4"/>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7"/>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4"/>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6"/>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2"/>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6"/>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4"/>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3"/>
    <w:qFormat/>
    <w:uiPriority w:val="0"/>
    <w:pPr>
      <w:snapToGrid w:val="0"/>
      <w:ind w:firstLine="480" w:firstLineChars="200"/>
    </w:pPr>
    <w:rPr>
      <w:rFonts w:ascii="Times New Roman"/>
      <w:szCs w:val="24"/>
      <w:lang w:val="en-US"/>
    </w:rPr>
  </w:style>
  <w:style w:type="paragraph" w:customStyle="1" w:styleId="453">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8"/>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7"/>
    <w:next w:val="1"/>
    <w:qFormat/>
    <w:uiPriority w:val="0"/>
    <w:pPr>
      <w:tabs>
        <w:tab w:val="left" w:pos="1080"/>
        <w:tab w:val="clear" w:pos="1008"/>
      </w:tabs>
      <w:ind w:left="1080" w:hanging="1080"/>
    </w:pPr>
  </w:style>
  <w:style w:type="paragraph" w:customStyle="1" w:styleId="580">
    <w:name w:val="数字标题1"/>
    <w:basedOn w:val="2"/>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99"/>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0"/>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2"/>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0"/>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6"/>
    <w:qFormat/>
    <w:uiPriority w:val="99"/>
    <w:rPr>
      <w:kern w:val="2"/>
      <w:sz w:val="21"/>
      <w:szCs w:val="22"/>
    </w:rPr>
  </w:style>
  <w:style w:type="character" w:customStyle="1" w:styleId="939">
    <w:name w:val="标准文本 Char Char"/>
    <w:link w:val="605"/>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2">
    <w:name w:val="1册标题1"/>
    <w:basedOn w:val="1"/>
    <w:next w:val="1"/>
    <w:qFormat/>
    <w:uiPriority w:val="0"/>
    <w:pPr>
      <w:adjustRightInd/>
      <w:spacing w:before="156" w:beforeLines="50" w:after="156" w:afterLines="50" w:line="300" w:lineRule="auto"/>
      <w:jc w:val="center"/>
      <w:outlineLvl w:val="0"/>
    </w:pPr>
    <w:rPr>
      <w:rFonts w:ascii="Arial" w:hAnsi="Arial" w:eastAsia="黑体"/>
      <w:b/>
      <w:bCs/>
      <w:sz w:val="4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35471</Words>
  <Characters>37910</Characters>
  <Lines>323</Lines>
  <Paragraphs>91</Paragraphs>
  <TotalTime>63</TotalTime>
  <ScaleCrop>false</ScaleCrop>
  <LinksUpToDate>false</LinksUpToDate>
  <CharactersWithSpaces>43516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2022-04-01T09:02:00Z</dcterms:created>
  <dc:creator>玥</dc:creator>
  <cp:lastModifiedBy>高乐怡</cp:lastModifiedBy>
  <cp:lastPrinted>2022-04-08T05:47:00Z</cp:lastPrinted>
  <dcterms:modified xsi:type="dcterms:W3CDTF">2022-04-08T07:26:49Z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FA9F72B009544022A1647FBCEBA41615</vt:lpwstr>
  </property>
</Properties>
</file>