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lang w:eastAsia="zh-CN"/>
        </w:rPr>
        <w:t>仓前街道区委区政府、浙一医院等重点目标单位及周边安保项目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w:t>
      </w:r>
      <w:r>
        <w:rPr>
          <w:rFonts w:hint="eastAsia" w:ascii="仿宋" w:hAnsi="仿宋" w:eastAsia="仿宋" w:cs="仿宋_GB2312"/>
          <w:sz w:val="30"/>
          <w:szCs w:val="30"/>
          <w:lang w:eastAsia="zh-CN"/>
        </w:rPr>
        <w:t>HZZHCG2022-025</w:t>
      </w: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杭州市余杭区人民政府仓前街道办事处</w:t>
      </w:r>
    </w:p>
    <w:p>
      <w:pPr>
        <w:snapToGrid w:val="0"/>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杭州正鸿工程咨询有限公司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仓前街道区委区政府、浙一医院等重点目标单位及周边安保项目</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77"/>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6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 xml:space="preserve">HZZHCG2022-025  </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w:t>
      </w:r>
      <w:r>
        <w:rPr>
          <w:rFonts w:hint="eastAsia" w:ascii="仿宋_GB2312" w:hAnsi="仿宋" w:eastAsia="仿宋_GB2312"/>
          <w:b/>
          <w:sz w:val="24"/>
          <w:lang w:eastAsia="zh-CN"/>
        </w:rPr>
        <w:t>项目</w:t>
      </w:r>
      <w:r>
        <w:rPr>
          <w:rFonts w:hint="eastAsia" w:ascii="仿宋_GB2312" w:hAnsi="仿宋" w:eastAsia="仿宋_GB2312"/>
          <w:b/>
          <w:sz w:val="24"/>
          <w:lang w:val="en-US" w:eastAsia="zh-CN"/>
        </w:rPr>
        <w:t>名称</w:t>
      </w:r>
      <w:r>
        <w:rPr>
          <w:rFonts w:ascii="仿宋_GB2312" w:hAnsi="仿宋" w:eastAsia="仿宋_GB2312"/>
          <w:b/>
          <w:sz w:val="24"/>
        </w:rPr>
        <w:t>：</w:t>
      </w:r>
      <w:r>
        <w:rPr>
          <w:rFonts w:hint="eastAsia" w:ascii="仿宋_GB2312" w:hAnsi="仿宋" w:eastAsia="仿宋_GB2312" w:cs="仿宋_GB2312"/>
          <w:sz w:val="24"/>
          <w:lang w:eastAsia="zh-CN"/>
        </w:rPr>
        <w:t>仓前街道区委区政府、浙一医院等重点目标单位及周边安保项目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ascii="仿宋_GB2312" w:hAnsi="仿宋" w:eastAsia="仿宋_GB2312"/>
          <w:sz w:val="24"/>
        </w:rPr>
        <w:t xml:space="preserve"> </w:t>
      </w:r>
      <w:r>
        <w:rPr>
          <w:rFonts w:hint="eastAsia" w:ascii="仿宋_GB2312" w:hAnsi="仿宋" w:eastAsia="仿宋_GB2312"/>
          <w:sz w:val="24"/>
          <w:lang w:val="en-US" w:eastAsia="zh-CN"/>
        </w:rPr>
        <w:t>11400000</w:t>
      </w:r>
      <w:r>
        <w:rPr>
          <w:rFonts w:hint="eastAsia" w:ascii="仿宋_GB2312" w:hAnsi="仿宋" w:eastAsia="仿宋_GB2312"/>
          <w:sz w:val="24"/>
        </w:rPr>
        <w:t xml:space="preserve"> </w:t>
      </w:r>
    </w:p>
    <w:p>
      <w:pPr>
        <w:spacing w:line="360" w:lineRule="auto"/>
        <w:ind w:firstLine="480"/>
        <w:rPr>
          <w:rFonts w:hint="default" w:ascii="仿宋_GB2312" w:hAnsi="仿宋" w:eastAsia="仿宋_GB2312"/>
          <w:sz w:val="24"/>
          <w:lang w:val="en-US"/>
        </w:rPr>
      </w:pPr>
      <w:r>
        <w:rPr>
          <w:rFonts w:hint="eastAsia" w:ascii="仿宋_GB2312" w:hAnsi="仿宋" w:eastAsia="仿宋_GB2312"/>
          <w:b/>
          <w:sz w:val="24"/>
        </w:rPr>
        <w:t>最高限价（元）：</w:t>
      </w:r>
      <w:r>
        <w:rPr>
          <w:rFonts w:ascii="仿宋_GB2312" w:hAnsi="仿宋" w:eastAsia="仿宋_GB2312"/>
          <w:sz w:val="24"/>
        </w:rPr>
        <w:t xml:space="preserve"> </w:t>
      </w:r>
      <w:r>
        <w:rPr>
          <w:rFonts w:hint="eastAsia" w:ascii="仿宋_GB2312" w:hAnsi="仿宋" w:eastAsia="仿宋_GB2312"/>
          <w:sz w:val="24"/>
          <w:lang w:val="en-US" w:eastAsia="zh-CN"/>
        </w:rPr>
        <w:t>11400000</w:t>
      </w:r>
    </w:p>
    <w:p>
      <w:pPr>
        <w:pStyle w:val="5"/>
        <w:spacing w:line="360" w:lineRule="auto"/>
        <w:ind w:firstLine="480"/>
        <w:rPr>
          <w:rFonts w:hint="eastAsia" w:ascii="仿宋_GB2312" w:hAnsi="仿宋" w:eastAsia="仿宋_GB2312"/>
          <w:bCs/>
          <w:color w:val="auto"/>
          <w:kern w:val="2"/>
          <w:sz w:val="24"/>
          <w:szCs w:val="24"/>
          <w:lang w:eastAsia="zh-CN"/>
        </w:rPr>
      </w:pPr>
      <w:r>
        <w:rPr>
          <w:rFonts w:hint="eastAsia" w:ascii="仿宋_GB2312" w:hAnsi="仿宋" w:eastAsia="仿宋_GB2312"/>
          <w:b/>
          <w:color w:val="auto"/>
          <w:sz w:val="24"/>
        </w:rPr>
        <w:t>采购需求：</w:t>
      </w:r>
    </w:p>
    <w:p>
      <w:pPr>
        <w:pStyle w:val="5"/>
        <w:spacing w:line="360" w:lineRule="auto"/>
        <w:ind w:firstLine="480"/>
        <w:rPr>
          <w:rFonts w:ascii="仿宋_GB2312" w:hAnsi="仿宋" w:eastAsia="仿宋_GB2312"/>
          <w:bCs/>
          <w:color w:val="auto"/>
          <w:kern w:val="2"/>
          <w:sz w:val="24"/>
          <w:szCs w:val="24"/>
        </w:rPr>
      </w:pPr>
      <w:r>
        <w:rPr>
          <w:rFonts w:hint="eastAsia" w:ascii="仿宋_GB2312" w:hAnsi="仿宋" w:eastAsia="仿宋_GB2312"/>
          <w:bCs/>
          <w:color w:val="auto"/>
          <w:kern w:val="2"/>
          <w:sz w:val="24"/>
          <w:szCs w:val="24"/>
        </w:rPr>
        <w:t>主要内容：</w:t>
      </w:r>
      <w:r>
        <w:rPr>
          <w:rFonts w:hint="eastAsia" w:ascii="仿宋_GB2312" w:hAnsi="仿宋" w:eastAsia="仿宋_GB2312"/>
          <w:bCs/>
          <w:color w:val="auto"/>
          <w:kern w:val="2"/>
          <w:sz w:val="24"/>
          <w:szCs w:val="24"/>
          <w:lang w:eastAsia="zh-CN"/>
        </w:rPr>
        <w:t>仓前街道区委区政府、浙一医院等重点目标单位及周边安保项目</w:t>
      </w:r>
      <w:r>
        <w:rPr>
          <w:rFonts w:hint="eastAsia" w:ascii="仿宋_GB2312" w:hAnsi="仿宋" w:eastAsia="仿宋_GB2312"/>
          <w:bCs/>
          <w:color w:val="auto"/>
          <w:kern w:val="2"/>
          <w:sz w:val="24"/>
          <w:szCs w:val="24"/>
        </w:rPr>
        <w:t>等。详见招标文件第三部分采购需求。</w:t>
      </w:r>
    </w:p>
    <w:p>
      <w:pPr>
        <w:pStyle w:val="86"/>
        <w:ind w:firstLine="482"/>
        <w:outlineLvl w:val="2"/>
        <w:rPr>
          <w:rFonts w:hint="eastAsia" w:ascii="仿宋_GB2312" w:hAnsi="仿宋" w:eastAsia="仿宋_GB2312"/>
          <w:lang w:val="en-US" w:eastAsia="zh-CN"/>
        </w:rPr>
      </w:pPr>
      <w:r>
        <w:rPr>
          <w:rFonts w:hint="eastAsia" w:ascii="仿宋_GB2312" w:hAnsi="仿宋" w:eastAsia="仿宋_GB2312"/>
          <w:b/>
        </w:rPr>
        <w:t>合同履约期限：</w:t>
      </w:r>
      <w:r>
        <w:rPr>
          <w:rFonts w:hint="eastAsia" w:ascii="仿宋_GB2312" w:hAnsi="仿宋" w:eastAsia="仿宋_GB2312"/>
          <w:b/>
          <w:lang w:val="en-US" w:eastAsia="zh-CN"/>
        </w:rPr>
        <w:t>一年</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hint="eastAsia" w:ascii="仿宋_GB2312" w:hAnsi="仿宋" w:eastAsia="仿宋_GB2312"/>
          <w:b/>
          <w:color w:val="auto"/>
          <w:sz w:val="24"/>
          <w:lang w:val="en-US" w:eastAsia="zh-CN"/>
        </w:rPr>
        <w:t>是</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hint="eastAsia" w:ascii="仿宋_GB2312" w:hAnsi="仿宋" w:eastAsia="仿宋_GB2312"/>
          <w:sz w:val="24"/>
          <w:lang w:eastAsia="zh-CN"/>
        </w:rPr>
      </w:pPr>
      <w:r>
        <w:rPr>
          <w:rFonts w:ascii="仿宋_GB2312" w:hAnsi="仿宋" w:eastAsia="仿宋_GB2312"/>
          <w:sz w:val="24"/>
        </w:rPr>
        <w:t>3.本项目的特定资格要求：</w:t>
      </w:r>
      <w:r>
        <w:rPr>
          <w:rFonts w:hint="eastAsia" w:ascii="仿宋_GB2312" w:hAnsi="仿宋" w:eastAsia="仿宋_GB2312" w:cs="Times New Roman"/>
          <w:sz w:val="24"/>
          <w:lang w:val="en-US" w:eastAsia="zh-CN"/>
        </w:rPr>
        <w:t>无</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2022年</w:t>
      </w:r>
      <w:r>
        <w:rPr>
          <w:rFonts w:hint="eastAsia" w:ascii="仿宋_GB2312" w:hAnsi="仿宋" w:eastAsia="仿宋_GB2312"/>
          <w:sz w:val="24"/>
          <w:u w:val="single"/>
          <w:lang w:val="en-US" w:eastAsia="zh-CN"/>
        </w:rPr>
        <w:t>6</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6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6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杭州市余杭区人民政府仓前街道办事处</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仓前街道向往街1008号乐富海邦园18幢</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hint="eastAsia" w:ascii="仿宋_GB2312" w:hAnsi="仿宋" w:eastAsia="仿宋_GB2312"/>
          <w:sz w:val="24"/>
          <w:lang w:val="en-US" w:eastAsia="zh-CN"/>
        </w:rPr>
      </w:pPr>
      <w:r>
        <w:rPr>
          <w:rFonts w:hint="eastAsia" w:ascii="仿宋_GB2312" w:hAnsi="仿宋" w:eastAsia="仿宋_GB2312"/>
          <w:sz w:val="24"/>
        </w:rPr>
        <w:t>项目联系人（询问）：王天喜</w:t>
      </w:r>
      <w:r>
        <w:rPr>
          <w:rFonts w:hint="eastAsia" w:ascii="仿宋_GB2312" w:hAnsi="仿宋" w:eastAsia="仿宋_GB2312"/>
          <w:sz w:val="24"/>
          <w:lang w:val="en-US" w:eastAsia="zh-CN"/>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0571-88613825</w:t>
      </w:r>
      <w:r>
        <w:rPr>
          <w:rFonts w:hint="eastAsia" w:ascii="仿宋_GB2312" w:hAnsi="仿宋" w:eastAsia="仿宋_GB2312" w:cs="仿宋_GB2312"/>
          <w:sz w:val="24"/>
          <w:lang w:val="en-US" w:eastAsia="zh-CN"/>
        </w:rPr>
        <w:t xml:space="preserve"> </w:t>
      </w:r>
      <w:r>
        <w:rPr>
          <w:rFonts w:hint="eastAsia" w:ascii="仿宋_GB2312" w:hAnsi="仿宋" w:eastAsia="仿宋_GB2312"/>
          <w:sz w:val="24"/>
        </w:rPr>
        <w:t xml:space="preserve"> </w:t>
      </w:r>
    </w:p>
    <w:p>
      <w:pPr>
        <w:spacing w:line="360" w:lineRule="auto"/>
        <w:rPr>
          <w:rFonts w:hint="eastAsia" w:ascii="仿宋" w:hAnsi="仿宋" w:eastAsia="仿宋"/>
          <w:sz w:val="24"/>
          <w:lang w:eastAsia="zh-CN"/>
        </w:rPr>
      </w:pPr>
      <w:r>
        <w:rPr>
          <w:rFonts w:ascii="仿宋_GB2312" w:hAnsi="仿宋" w:eastAsia="仿宋_GB2312"/>
          <w:sz w:val="24"/>
        </w:rPr>
        <w:t xml:space="preserve">    质疑联系人：</w:t>
      </w:r>
      <w:r>
        <w:rPr>
          <w:rFonts w:hint="eastAsia" w:ascii="仿宋" w:hAnsi="仿宋" w:eastAsia="仿宋"/>
          <w:sz w:val="24"/>
        </w:rPr>
        <w:t xml:space="preserve"> </w:t>
      </w:r>
      <w:r>
        <w:rPr>
          <w:rFonts w:hint="eastAsia" w:ascii="仿宋" w:hAnsi="仿宋" w:eastAsia="仿宋"/>
          <w:sz w:val="24"/>
          <w:lang w:val="en-US" w:eastAsia="zh-CN"/>
        </w:rPr>
        <w:t xml:space="preserve"> 王工</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质疑联系方式：</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 18768198987</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称：杭州正鸿工程咨询有限公司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址：浙江省杭州市余杭区瓶窑镇国辅路118号</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ascii="仿宋_GB2312" w:hAnsi="仿宋" w:eastAsia="仿宋_GB2312"/>
          <w:sz w:val="24"/>
        </w:rPr>
        <w:t xml:space="preserve"> </w:t>
      </w:r>
      <w:r>
        <w:rPr>
          <w:rFonts w:hint="eastAsia" w:ascii="仿宋_GB2312" w:hAnsi="仿宋" w:eastAsia="仿宋_GB2312"/>
          <w:sz w:val="24"/>
          <w:lang w:val="en-US" w:eastAsia="zh-CN"/>
        </w:rPr>
        <w:t>贺胜杰</w:t>
      </w:r>
      <w:r>
        <w:rPr>
          <w:rFonts w:ascii="仿宋_GB2312" w:hAnsi="仿宋" w:eastAsia="仿宋_GB2312"/>
          <w:sz w:val="24"/>
        </w:rPr>
        <w:t xml:space="preserve">       </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_GB2312" w:hAnsi="仿宋" w:eastAsia="仿宋_GB2312"/>
          <w:sz w:val="24"/>
        </w:rPr>
        <w:t xml:space="preserve"> </w:t>
      </w:r>
      <w:r>
        <w:rPr>
          <w:rFonts w:hint="eastAsia" w:ascii="仿宋_GB2312" w:hAnsi="仿宋" w:eastAsia="仿宋_GB2312"/>
          <w:sz w:val="24"/>
          <w:lang w:val="en-US" w:eastAsia="zh-CN"/>
        </w:rPr>
        <w:t>13738009078</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俞方华</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hint="default" w:ascii="仿宋" w:hAnsi="仿宋" w:eastAsia="仿宋"/>
          <w:sz w:val="24"/>
          <w:lang w:val="en-US" w:eastAsia="zh-CN"/>
        </w:rPr>
      </w:pPr>
      <w:r>
        <w:rPr>
          <w:rFonts w:ascii="仿宋_GB2312" w:hAnsi="仿宋" w:eastAsia="仿宋_GB2312"/>
          <w:sz w:val="24"/>
        </w:rPr>
        <w:t xml:space="preserve">    质疑联系方式：</w:t>
      </w:r>
      <w:r>
        <w:rPr>
          <w:rFonts w:hint="eastAsia" w:ascii="仿宋" w:hAnsi="仿宋" w:eastAsia="仿宋"/>
          <w:sz w:val="24"/>
          <w:lang w:val="en-US" w:eastAsia="zh-CN"/>
        </w:rPr>
        <w:t>18757186930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en-US" w:eastAsia="zh-CN"/>
        </w:rPr>
        <w:t>杭州市余杭区财政局</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杭州市余杭区五常街道溪沁路8号中国电信浙江创新园1号楼 。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lang w:val="en-US" w:eastAsia="zh-CN"/>
        </w:rPr>
        <w:t>/</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 </w:t>
      </w:r>
      <w:r>
        <w:rPr>
          <w:rFonts w:hint="eastAsia" w:ascii="仿宋_GB2312" w:hAnsi="仿宋" w:eastAsia="仿宋_GB2312"/>
          <w:sz w:val="24"/>
          <w:lang w:val="en-US" w:eastAsia="zh-CN"/>
        </w:rPr>
        <w:t>杜国强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0571-88728858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w:t>
            </w:r>
            <w:r>
              <w:rPr>
                <w:rFonts w:hint="eastAsia" w:ascii="仿宋_GB2312" w:hAnsi="仿宋" w:eastAsia="仿宋_GB2312" w:cs="仿宋_GB2312"/>
                <w:b/>
                <w:kern w:val="0"/>
                <w:sz w:val="24"/>
                <w:lang w:val="en-US" w:eastAsia="zh-CN"/>
              </w:rPr>
              <w:t>中标人</w:t>
            </w:r>
            <w:r>
              <w:rPr>
                <w:rFonts w:hint="eastAsia" w:ascii="仿宋_GB2312" w:hAnsi="仿宋" w:eastAsia="仿宋_GB2312" w:cs="仿宋_GB2312"/>
                <w:b/>
                <w:kern w:val="0"/>
                <w:sz w:val="24"/>
                <w:lang w:val="zh-CN"/>
              </w:rPr>
              <w:t>承担，包含在投标总价中。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en-US" w:eastAsia="zh-CN"/>
              </w:rPr>
              <w:t>最高限价：11400000元，</w:t>
            </w: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lang w:val="en-US"/>
              </w:rPr>
            </w:pPr>
            <w:r>
              <w:rPr>
                <w:rFonts w:hint="eastAsia" w:ascii="仿宋_GB2312" w:hAnsi="仿宋" w:eastAsia="仿宋_GB2312" w:cs="Arial"/>
                <w:kern w:val="0"/>
                <w:sz w:val="24"/>
              </w:rPr>
              <w:t>标的：</w:t>
            </w:r>
            <w:r>
              <w:rPr>
                <w:rFonts w:hint="eastAsia" w:ascii="仿宋_GB2312" w:hAnsi="仿宋" w:eastAsia="仿宋_GB2312" w:cs="Arial"/>
                <w:kern w:val="0"/>
                <w:sz w:val="24"/>
                <w:u w:val="single"/>
                <w:lang w:val="en-US" w:eastAsia="zh-CN"/>
              </w:rPr>
              <w:t>保安服务</w:t>
            </w:r>
            <w:r>
              <w:rPr>
                <w:rFonts w:hint="eastAsia" w:ascii="仿宋_GB2312" w:hAnsi="仿宋" w:eastAsia="仿宋_GB2312" w:cs="Arial"/>
                <w:kern w:val="0"/>
                <w:sz w:val="24"/>
              </w:rPr>
              <w:t>，属于</w:t>
            </w:r>
            <w:r>
              <w:rPr>
                <w:rFonts w:hint="eastAsia" w:ascii="仿宋_GB2312" w:hAnsi="仿宋" w:eastAsia="仿宋_GB2312" w:cs="Arial"/>
                <w:kern w:val="0"/>
                <w:sz w:val="24"/>
                <w:u w:val="single"/>
                <w:lang w:val="en-US" w:eastAsia="zh-CN"/>
              </w:rPr>
              <w:t>未列明</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000000"/>
                <w:sz w:val="24"/>
              </w:rPr>
            </w:pPr>
            <w:r>
              <w:rPr>
                <w:rFonts w:hint="eastAsia" w:ascii="仿宋_GB2312" w:hAnsi="仿宋" w:eastAsia="仿宋_GB2312"/>
                <w:snapToGrid w:val="0"/>
                <w:color w:val="00000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000000"/>
                <w:kern w:val="28"/>
                <w:sz w:val="24"/>
              </w:rPr>
            </w:pPr>
            <w:r>
              <w:rPr>
                <w:rFonts w:hint="eastAsia" w:ascii="仿宋_GB2312" w:hAnsi="仿宋" w:eastAsia="仿宋_GB2312"/>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lang w:val="en-US" w:eastAsia="zh-CN"/>
              </w:rPr>
              <w:t>杭州市临平区星桥街道远展街1号联融大厦22幢505室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lang w:val="en-US" w:eastAsia="zh-CN"/>
              </w:rPr>
              <w:t>贺胜杰13738009078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宋体" w:hAnsi="宋体" w:cs="宋体"/>
                <w:b/>
                <w:bCs/>
                <w:color w:val="auto"/>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Cs w:val="20"/>
                <w:highlight w:val="none"/>
                <w:lang w:eastAsia="zh-CN"/>
              </w:rPr>
            </w:pPr>
            <w:r>
              <w:rPr>
                <w:rFonts w:hint="eastAsia" w:ascii="宋体" w:hAnsi="宋体" w:cs="宋体"/>
                <w:color w:val="auto"/>
                <w:szCs w:val="20"/>
                <w:highlight w:val="none"/>
              </w:rPr>
              <w:t>本项目的招标代理费用由</w:t>
            </w:r>
            <w:r>
              <w:rPr>
                <w:rFonts w:hint="eastAsia" w:ascii="宋体" w:hAnsi="宋体" w:cs="宋体"/>
                <w:color w:val="auto"/>
                <w:szCs w:val="20"/>
                <w:highlight w:val="none"/>
                <w:lang w:val="en-US" w:eastAsia="zh-CN"/>
              </w:rPr>
              <w:t>中标</w:t>
            </w:r>
            <w:r>
              <w:rPr>
                <w:rFonts w:hint="eastAsia" w:ascii="宋体" w:hAnsi="宋体" w:eastAsia="宋体" w:cs="宋体"/>
                <w:color w:val="auto"/>
                <w:szCs w:val="20"/>
                <w:highlight w:val="none"/>
                <w:lang w:eastAsia="zh-CN"/>
              </w:rPr>
              <w:t>单位</w:t>
            </w:r>
            <w:r>
              <w:rPr>
                <w:rFonts w:hint="eastAsia" w:ascii="宋体" w:hAnsi="宋体" w:cs="宋体"/>
                <w:color w:val="auto"/>
                <w:szCs w:val="20"/>
                <w:highlight w:val="none"/>
              </w:rPr>
              <w:t>支付，代理费用付款</w:t>
            </w:r>
            <w:r>
              <w:rPr>
                <w:rFonts w:hint="eastAsia" w:ascii="宋体" w:hAnsi="宋体" w:cs="宋体"/>
                <w:color w:val="auto"/>
                <w:szCs w:val="20"/>
                <w:highlight w:val="none"/>
                <w:lang w:val="en-US" w:eastAsia="zh-CN"/>
              </w:rPr>
              <w:t>78250元</w:t>
            </w:r>
            <w:r>
              <w:rPr>
                <w:rFonts w:hint="eastAsia" w:ascii="宋体" w:hAnsi="宋体" w:eastAsia="宋体" w:cs="宋体"/>
                <w:color w:val="auto"/>
                <w:szCs w:val="20"/>
                <w:highlight w:val="none"/>
                <w:lang w:eastAsia="zh-CN"/>
              </w:rPr>
              <w:t>，</w:t>
            </w:r>
            <w:r>
              <w:rPr>
                <w:rFonts w:hint="eastAsia" w:ascii="宋体" w:hAnsi="宋体" w:cs="宋体"/>
                <w:color w:val="auto"/>
                <w:szCs w:val="20"/>
                <w:highlight w:val="none"/>
                <w:lang w:val="en-US" w:eastAsia="zh-CN"/>
              </w:rPr>
              <w:t>在领取中标通知书前</w:t>
            </w:r>
            <w:r>
              <w:rPr>
                <w:rFonts w:hint="eastAsia" w:ascii="宋体" w:hAnsi="宋体" w:eastAsia="宋体" w:cs="宋体"/>
                <w:color w:val="auto"/>
                <w:szCs w:val="20"/>
                <w:highlight w:val="none"/>
                <w:lang w:val="en-US" w:eastAsia="zh-CN"/>
              </w:rPr>
              <w:t>，</w:t>
            </w:r>
            <w:r>
              <w:rPr>
                <w:rFonts w:hint="eastAsia" w:ascii="宋体" w:hAnsi="宋体" w:cs="宋体"/>
                <w:color w:val="auto"/>
                <w:szCs w:val="20"/>
                <w:highlight w:val="none"/>
              </w:rPr>
              <w:t>直接支付给分散采购招标代理单位</w:t>
            </w:r>
            <w:r>
              <w:rPr>
                <w:rFonts w:hint="eastAsia" w:ascii="宋体" w:hAnsi="宋体" w:eastAsia="宋体" w:cs="宋体"/>
                <w:color w:val="auto"/>
                <w:szCs w:val="20"/>
                <w:highlight w:val="none"/>
                <w:lang w:eastAsia="zh-CN"/>
              </w:rPr>
              <w:t>。各投标人应在投标报价中予以考虑</w:t>
            </w:r>
            <w:r>
              <w:rPr>
                <w:rFonts w:hint="eastAsia" w:ascii="宋体" w:hAnsi="宋体" w:cs="宋体"/>
                <w:color w:val="auto"/>
                <w:szCs w:val="20"/>
                <w:highlight w:val="none"/>
                <w:lang w:eastAsia="zh-CN"/>
              </w:rPr>
              <w:t>。</w:t>
            </w:r>
          </w:p>
          <w:p>
            <w:pPr>
              <w:spacing w:line="360" w:lineRule="auto"/>
              <w:rPr>
                <w:rFonts w:hint="eastAsia" w:ascii="宋体" w:hAnsi="宋体" w:cs="宋体"/>
                <w:color w:val="auto"/>
                <w:szCs w:val="20"/>
                <w:highlight w:val="none"/>
                <w:lang w:eastAsia="zh-CN"/>
              </w:rPr>
            </w:pPr>
            <w:r>
              <w:rPr>
                <w:rFonts w:hint="eastAsia" w:ascii="宋体" w:hAnsi="宋体" w:cs="宋体"/>
                <w:color w:val="auto"/>
                <w:szCs w:val="20"/>
                <w:highlight w:val="none"/>
                <w:lang w:eastAsia="zh-CN"/>
              </w:rPr>
              <w:t xml:space="preserve">开户银行：杭州联合农村商业银行股份有限公司康桥支行  </w:t>
            </w:r>
          </w:p>
          <w:p>
            <w:pPr>
              <w:spacing w:line="360" w:lineRule="auto"/>
              <w:rPr>
                <w:rFonts w:hint="eastAsia" w:ascii="宋体" w:hAnsi="宋体" w:cs="宋体"/>
                <w:color w:val="auto"/>
                <w:szCs w:val="20"/>
                <w:highlight w:val="none"/>
                <w:lang w:eastAsia="zh-CN"/>
              </w:rPr>
            </w:pPr>
            <w:r>
              <w:rPr>
                <w:rFonts w:hint="eastAsia" w:ascii="宋体" w:hAnsi="宋体" w:cs="宋体"/>
                <w:color w:val="auto"/>
                <w:szCs w:val="20"/>
                <w:highlight w:val="none"/>
                <w:lang w:eastAsia="zh-CN"/>
              </w:rPr>
              <w:t>账号：201000279863923</w:t>
            </w:r>
          </w:p>
          <w:p>
            <w:pPr>
              <w:spacing w:line="360" w:lineRule="auto"/>
              <w:rPr>
                <w:rFonts w:hint="eastAsia" w:ascii="仿宋_GB2312" w:hAnsi="仿宋" w:eastAsia="仿宋_GB2312"/>
                <w:snapToGrid w:val="0"/>
                <w:kern w:val="2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Cs w:val="20"/>
                <w:highlight w:val="none"/>
              </w:rPr>
            </w:pPr>
            <w:r>
              <w:rPr>
                <w:rFonts w:hint="eastAsia" w:ascii="宋体" w:hAnsi="宋体" w:cs="宋体"/>
                <w:color w:val="auto"/>
                <w:szCs w:val="20"/>
                <w:highlight w:val="none"/>
              </w:rPr>
              <w:t>中标单位需在领取中标通知书时，提供本项目纸质投标文件（资格文件”、“报价文件”和“商务技术文件”） 四份（正本一份，副本 三 份）并提供电子投标文件与纸质投标文件内容一致承诺书三份（详见采购文件格式）。</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color w:val="000000"/>
          <w:sz w:val="24"/>
        </w:rPr>
      </w:pPr>
      <w:r>
        <w:rPr>
          <w:rFonts w:ascii="仿宋_GB2312" w:hAnsi="仿宋" w:eastAsia="仿宋_GB2312"/>
          <w:sz w:val="24"/>
        </w:rPr>
        <w:t>3.4.2</w:t>
      </w:r>
      <w:r>
        <w:rPr>
          <w:rFonts w:ascii="仿宋_GB2312" w:hAnsi="仿宋" w:eastAsia="仿宋_GB2312"/>
          <w:color w:val="000000"/>
          <w:sz w:val="24"/>
        </w:rPr>
        <w:t>首台套产品</w:t>
      </w:r>
      <w:r>
        <w:rPr>
          <w:rFonts w:hint="eastAsia" w:ascii="仿宋_GB2312" w:hAnsi="仿宋" w:eastAsia="仿宋_GB2312"/>
          <w:color w:val="000000"/>
          <w:sz w:val="24"/>
        </w:rPr>
        <w:t>被纳入《首台套产品推广应用指导目录》之日起</w:t>
      </w:r>
      <w:r>
        <w:rPr>
          <w:rFonts w:ascii="仿宋_GB2312" w:hAnsi="仿宋" w:eastAsia="仿宋_GB2312"/>
          <w:color w:val="000000"/>
          <w:sz w:val="24"/>
        </w:rPr>
        <w:t>2年内，以及产品核心技术高于国内领先水平，并具有明晰自主知识产权的“制造精品”产品，</w:t>
      </w:r>
      <w:r>
        <w:rPr>
          <w:rFonts w:hint="eastAsia" w:ascii="仿宋_GB2312" w:hAnsi="仿宋" w:eastAsia="仿宋_GB2312"/>
          <w:color w:val="000000"/>
          <w:sz w:val="24"/>
        </w:rPr>
        <w:t>自认定之日起</w:t>
      </w:r>
      <w:r>
        <w:rPr>
          <w:rFonts w:ascii="仿宋_GB2312" w:hAnsi="仿宋" w:eastAsia="仿宋_GB2312"/>
          <w:color w:val="000000"/>
          <w:sz w:val="24"/>
        </w:rPr>
        <w:t>2年内视同已具备相应销售业绩，参加政府采购活动</w:t>
      </w:r>
      <w:r>
        <w:rPr>
          <w:rFonts w:hint="eastAsia" w:ascii="仿宋_GB2312" w:hAnsi="仿宋" w:eastAsia="仿宋_GB2312"/>
          <w:color w:val="000000"/>
          <w:sz w:val="24"/>
        </w:rPr>
        <w:t>时业绩分值为满分。</w:t>
      </w:r>
    </w:p>
    <w:p>
      <w:pPr>
        <w:spacing w:line="360" w:lineRule="auto"/>
        <w:rPr>
          <w:rFonts w:ascii="仿宋_GB2312" w:hAnsi="仿宋" w:eastAsia="仿宋_GB2312"/>
          <w:b/>
          <w:sz w:val="24"/>
        </w:rPr>
      </w:pPr>
      <w:r>
        <w:rPr>
          <w:rFonts w:ascii="仿宋_GB2312" w:hAnsi="仿宋" w:eastAsia="仿宋_GB2312"/>
          <w:color w:val="000000"/>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sz w:val="24"/>
        </w:rPr>
        <w:t>登录</w:t>
      </w:r>
      <w:r>
        <w:rPr>
          <w:rFonts w:ascii="仿宋_GB2312" w:hAnsi="仿宋" w:eastAsia="仿宋_GB2312"/>
          <w:color w:val="000000"/>
          <w:sz w:val="24"/>
        </w:rPr>
        <w:t>杭州市政府采购网“中小企业信用融资”模块，查看信用融资政策文件及各相关银行服务方案。</w:t>
      </w:r>
      <w:r>
        <w:rPr>
          <w:rFonts w:ascii="仿宋_GB2312" w:hAnsi="仿宋" w:eastAsia="仿宋_GB2312"/>
          <w:color w:val="000000"/>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3"/>
        <w:shd w:val="clear" w:color="auto" w:fill="FFFFFF"/>
        <w:snapToGrid w:val="0"/>
        <w:spacing w:after="240" w:afterAutospacing="0" w:line="360" w:lineRule="auto"/>
        <w:ind w:firstLine="400"/>
        <w:contextualSpacing/>
        <w:rPr>
          <w:rFonts w:ascii="仿宋_GB2312" w:hAnsi="仿宋" w:eastAsia="仿宋_GB2312"/>
          <w:color w:val="000000"/>
        </w:rPr>
      </w:pPr>
      <w:r>
        <w:rPr>
          <w:rFonts w:ascii="仿宋_GB2312" w:hAnsi="仿宋" w:eastAsia="仿宋_GB2312" w:cs="微软雅黑"/>
          <w:color w:val="000000"/>
          <w:lang w:val="zh-CN"/>
        </w:rPr>
        <w:t>4.2</w:t>
      </w:r>
      <w:r>
        <w:rPr>
          <w:rFonts w:ascii="仿宋_GB2312" w:hAnsi="仿宋" w:eastAsia="仿宋_GB2312"/>
          <w:color w:val="000000"/>
        </w:rPr>
        <w:t>.4</w:t>
      </w:r>
      <w:r>
        <w:rPr>
          <w:rFonts w:hint="eastAsia" w:ascii="仿宋_GB2312" w:hAnsi="仿宋" w:eastAsia="仿宋_GB2312"/>
          <w:color w:val="000000"/>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rPr>
        <w:t>2021〕17号）,</w:t>
      </w:r>
      <w:r>
        <w:rPr>
          <w:rFonts w:hint="eastAsia" w:ascii="仿宋_GB2312" w:hAnsi="仿宋" w:eastAsia="仿宋_GB2312"/>
          <w:color w:val="000000"/>
        </w:rPr>
        <w:t>采购人或者采购机构在质疑回复后</w:t>
      </w:r>
      <w:r>
        <w:rPr>
          <w:rFonts w:ascii="仿宋_GB2312" w:hAnsi="仿宋" w:eastAsia="仿宋_GB2312"/>
          <w:color w:val="000000"/>
        </w:rPr>
        <w:t>5个工作日内，在浙江政府采购网的“其他公告”栏目公开质疑答复，答复内容应当完整。质疑</w:t>
      </w:r>
      <w:r>
        <w:rPr>
          <w:rFonts w:hint="eastAsia" w:ascii="仿宋_GB2312" w:hAnsi="仿宋" w:eastAsia="仿宋_GB2312"/>
          <w:color w:val="000000"/>
        </w:rPr>
        <w:t>函作为附件上传。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6"/>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6"/>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color w:val="000000"/>
          <w:sz w:val="24"/>
        </w:rPr>
      </w:pPr>
      <w:r>
        <w:rPr>
          <w:rFonts w:ascii="仿宋_GB2312" w:hAnsi="仿宋" w:eastAsia="仿宋_GB2312" w:cs="仿宋_GB2312"/>
          <w:color w:val="000000"/>
          <w:sz w:val="24"/>
        </w:rPr>
        <w:t>11.1</w:t>
      </w:r>
      <w:r>
        <w:rPr>
          <w:rFonts w:hint="eastAsia" w:ascii="仿宋_GB2312" w:hAnsi="仿宋" w:eastAsia="仿宋_GB2312" w:cs="仿宋_GB2312"/>
          <w:b/>
          <w:color w:val="000000"/>
          <w:sz w:val="24"/>
        </w:rPr>
        <w:t>资格文件</w:t>
      </w:r>
      <w:r>
        <w:rPr>
          <w:rFonts w:hint="eastAsia" w:ascii="仿宋_GB2312" w:hAnsi="仿宋" w:eastAsia="仿宋_GB2312" w:cs="仿宋_GB2312"/>
          <w:color w:val="000000"/>
          <w:sz w:val="24"/>
        </w:rPr>
        <w:t>：</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11.1.2落实政府采购政策需满足的资格要求；</w:t>
      </w:r>
    </w:p>
    <w:p>
      <w:pPr>
        <w:snapToGrid w:val="0"/>
        <w:spacing w:line="360" w:lineRule="auto"/>
        <w:ind w:firstLine="960" w:firstLineChars="400"/>
        <w:rPr>
          <w:rFonts w:ascii="仿宋_GB2312" w:hAnsi="仿宋" w:eastAsia="仿宋_GB2312" w:cs="仿宋_GB2312"/>
          <w:color w:val="000000"/>
          <w:sz w:val="24"/>
        </w:rPr>
      </w:pPr>
      <w:r>
        <w:rPr>
          <w:rFonts w:ascii="仿宋_GB2312" w:hAnsi="仿宋" w:eastAsia="仿宋_GB2312" w:cs="仿宋_GB2312"/>
          <w:color w:val="000000"/>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6"/>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6"/>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6"/>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6"/>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lang w:val="en-US" w:eastAsia="zh-CN"/>
        </w:rPr>
        <w:t>U盘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sz w:val="24"/>
          <w:szCs w:val="24"/>
          <w:lang w:eastAsia="zh-CN"/>
        </w:rPr>
        <w:t>仓前街道区委区政府、浙一医院等重点目标单位及周边安保项目</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6"/>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6"/>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cs="仿宋_GB2312"/>
          <w:b/>
          <w:sz w:val="32"/>
        </w:rPr>
      </w:pPr>
    </w:p>
    <w:p>
      <w:pPr>
        <w:pStyle w:val="86"/>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1"/>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1"/>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6"/>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6"/>
        <w:spacing w:before="0"/>
        <w:ind w:firstLine="0" w:firstLineChars="0"/>
        <w:rPr>
          <w:rFonts w:ascii="仿宋_GB2312" w:hAnsi="仿宋" w:eastAsia="仿宋_GB2312" w:cs="仿宋_GB2312"/>
          <w:b/>
          <w:color w:val="000000"/>
          <w:szCs w:val="24"/>
        </w:rPr>
      </w:pPr>
      <w:r>
        <w:rPr>
          <w:rFonts w:ascii="仿宋_GB2312" w:hAnsi="仿宋" w:eastAsia="仿宋_GB2312" w:cs="仿宋_GB2312"/>
          <w:b/>
          <w:color w:val="000000"/>
          <w:szCs w:val="24"/>
        </w:rPr>
        <w:t>20、信用信息查询</w:t>
      </w:r>
    </w:p>
    <w:p>
      <w:pPr>
        <w:pStyle w:val="86"/>
        <w:spacing w:before="0"/>
        <w:ind w:firstLine="495" w:firstLineChars="0"/>
        <w:rPr>
          <w:rFonts w:ascii="仿宋_GB2312" w:hAnsi="仿宋" w:eastAsia="仿宋_GB2312" w:cs="Arial"/>
          <w:color w:val="000000"/>
          <w:kern w:val="0"/>
          <w:szCs w:val="24"/>
        </w:rPr>
      </w:pPr>
      <w:r>
        <w:rPr>
          <w:rFonts w:ascii="仿宋_GB2312" w:hAnsi="仿宋" w:eastAsia="仿宋_GB2312" w:cs="Arial"/>
          <w:color w:val="000000"/>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6"/>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6"/>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6"/>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lang w:eastAsia="zh-CN"/>
        </w:rPr>
        <w:t>仓前街道区委区政府、浙一医院等重点目标单位及周边安保项目</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6"/>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color w:val="000000"/>
          <w:sz w:val="24"/>
          <w:szCs w:val="20"/>
        </w:rPr>
      </w:pPr>
      <w:r>
        <w:rPr>
          <w:rFonts w:hint="eastAsia" w:ascii="仿宋_GB2312" w:hAnsi="仿宋" w:eastAsia="仿宋_GB2312" w:cs="仿宋_GB2312"/>
          <w:color w:val="000000"/>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000000"/>
          <w:sz w:val="24"/>
          <w:szCs w:val="20"/>
          <w:lang w:val="en-US" w:eastAsia="zh-CN"/>
        </w:rPr>
        <w:t>2.5</w:t>
      </w:r>
      <w:r>
        <w:rPr>
          <w:rFonts w:hint="eastAsia" w:ascii="仿宋_GB2312" w:hAnsi="仿宋" w:eastAsia="仿宋_GB2312" w:cs="仿宋_GB2312"/>
          <w:color w:val="000000"/>
          <w:sz w:val="24"/>
          <w:szCs w:val="20"/>
        </w:rPr>
        <w:t>%。</w:t>
      </w:r>
    </w:p>
    <w:p>
      <w:pPr>
        <w:pStyle w:val="3"/>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w:t>
      </w:r>
      <w:r>
        <w:rPr>
          <w:rFonts w:ascii="仿宋_GB2312" w:hAnsi="仿宋" w:eastAsia="仿宋_GB2312" w:cs="Helvetica"/>
          <w:color w:val="auto"/>
          <w:kern w:val="0"/>
          <w:sz w:val="24"/>
        </w:rPr>
        <w:t>采购合同的履行、违约责任和解决争议的方式等适用《中华人民共和国民法典》。</w:t>
      </w:r>
      <w:r>
        <w:rPr>
          <w:rFonts w:ascii="仿宋_GB2312" w:hAnsi="仿宋" w:eastAsia="仿宋_GB2312" w:cs="Helvetica"/>
          <w:kern w:val="0"/>
          <w:sz w:val="24"/>
        </w:rPr>
        <w:t>供应商在履约过程中有政府采购法律法规规定的违法违规情形的，采购人应当及时报告本级财政部门。</w:t>
      </w:r>
    </w:p>
    <w:bookmarkEnd w:id="13"/>
    <w:p>
      <w:pPr>
        <w:tabs>
          <w:tab w:val="left" w:pos="0"/>
        </w:tabs>
        <w:spacing w:line="360" w:lineRule="auto"/>
        <w:ind w:firstLine="480" w:firstLineChars="200"/>
        <w:rPr>
          <w:rFonts w:hint="eastAsia" w:ascii="仿宋_GB2312" w:hAnsi="仿宋" w:eastAsia="仿宋_GB2312" w:cs="Helvetica"/>
          <w:kern w:val="0"/>
          <w:sz w:val="24"/>
        </w:rPr>
      </w:pPr>
      <w:bookmarkStart w:id="14" w:name="_Hlt74730295"/>
      <w:bookmarkEnd w:id="14"/>
      <w:bookmarkStart w:id="15" w:name="_Hlt68057669"/>
      <w:bookmarkEnd w:id="15"/>
      <w:bookmarkStart w:id="16" w:name="_Hlt68072990"/>
      <w:bookmarkEnd w:id="16"/>
      <w:bookmarkStart w:id="17" w:name="_Hlt74729768"/>
      <w:bookmarkEnd w:id="17"/>
      <w:bookmarkStart w:id="18" w:name="_Hlt68072998"/>
      <w:bookmarkEnd w:id="18"/>
      <w:bookmarkStart w:id="19" w:name="_Hlt75236101"/>
      <w:bookmarkEnd w:id="19"/>
      <w:bookmarkStart w:id="20" w:name="_Hlt74714665"/>
      <w:bookmarkEnd w:id="20"/>
      <w:bookmarkStart w:id="21" w:name="_Hlt68073093"/>
      <w:bookmarkEnd w:id="21"/>
      <w:bookmarkStart w:id="22" w:name="_Hlt75236011"/>
      <w:bookmarkEnd w:id="22"/>
      <w:bookmarkStart w:id="23" w:name="_Hlt68403820"/>
      <w:bookmarkEnd w:id="23"/>
      <w:bookmarkStart w:id="24" w:name="_Hlt75236290"/>
      <w:bookmarkEnd w:id="24"/>
      <w:bookmarkStart w:id="25" w:name="_Hlt74707468"/>
      <w:bookmarkEnd w:id="25"/>
      <w:r>
        <w:rPr>
          <w:rFonts w:hint="eastAsia" w:ascii="仿宋_GB2312" w:hAnsi="仿宋" w:eastAsia="仿宋_GB2312" w:cs="Helvetica"/>
          <w:kern w:val="0"/>
          <w:sz w:val="24"/>
          <w:lang w:val="en-US" w:eastAsia="zh-CN"/>
        </w:rPr>
        <w:t>29.5</w:t>
      </w:r>
      <w:r>
        <w:rPr>
          <w:rFonts w:hint="eastAsia" w:ascii="仿宋_GB2312" w:hAnsi="仿宋" w:eastAsia="仿宋_GB2312" w:cs="Helvetica"/>
          <w:kern w:val="0"/>
          <w:sz w:val="24"/>
        </w:rPr>
        <w:t>根据余财采〔2020〕14号《关于转发《杭州市政府采购履约验收暂行办法》的通知》执行。</w:t>
      </w:r>
      <w:r>
        <w:rPr>
          <w:rFonts w:hint="eastAsia" w:ascii="仿宋_GB2312" w:hAnsi="仿宋" w:eastAsia="仿宋_GB2312" w:cs="Helvetica"/>
          <w:kern w:val="0"/>
          <w:sz w:val="24"/>
          <w:lang w:val="en-US" w:eastAsia="zh-CN"/>
        </w:rPr>
        <w:t>验收费用为中标价的1%，费用由中标人支付。</w:t>
      </w:r>
    </w:p>
    <w:p>
      <w:pPr>
        <w:tabs>
          <w:tab w:val="left" w:pos="0"/>
        </w:tabs>
        <w:spacing w:line="360" w:lineRule="auto"/>
        <w:ind w:firstLine="480"/>
        <w:rPr>
          <w:rFonts w:hint="default" w:ascii="仿宋_GB2312" w:hAnsi="仿宋" w:eastAsia="仿宋_GB2312" w:cs="Helvetica"/>
          <w:kern w:val="0"/>
          <w:sz w:val="24"/>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adjustRightInd w:val="0"/>
        <w:snapToGrid w:val="0"/>
        <w:spacing w:line="360" w:lineRule="auto"/>
        <w:rPr>
          <w:rFonts w:hint="eastAsia" w:ascii="宋体" w:hAnsi="宋体"/>
          <w:b/>
          <w:bCs/>
          <w:color w:val="000000"/>
          <w:sz w:val="24"/>
          <w:szCs w:val="24"/>
        </w:rPr>
      </w:pPr>
      <w:r>
        <w:rPr>
          <w:rFonts w:hint="eastAsia" w:ascii="宋体" w:hAnsi="宋体" w:cs="宋体"/>
          <w:b/>
          <w:color w:val="auto"/>
          <w:sz w:val="24"/>
          <w:highlight w:val="none"/>
          <w:lang w:val="en-US" w:eastAsia="zh-CN"/>
        </w:rPr>
        <w:t xml:space="preserve"> </w:t>
      </w:r>
      <w:r>
        <w:rPr>
          <w:rFonts w:hint="eastAsia" w:ascii="仿宋" w:hAnsi="仿宋" w:eastAsia="仿宋" w:cs="仿宋"/>
          <w:b/>
          <w:bCs/>
          <w:color w:val="auto"/>
          <w:sz w:val="32"/>
          <w:szCs w:val="32"/>
          <w:highlight w:val="none"/>
        </w:rPr>
        <w:t xml:space="preserve"> </w:t>
      </w:r>
      <w:r>
        <w:rPr>
          <w:rFonts w:hint="eastAsia" w:ascii="宋体" w:hAnsi="宋体" w:cs="宋体"/>
          <w:b/>
          <w:bCs/>
          <w:color w:val="auto"/>
          <w:sz w:val="24"/>
          <w:highlight w:val="none"/>
        </w:rPr>
        <w:t xml:space="preserve"> </w:t>
      </w:r>
      <w:r>
        <w:rPr>
          <w:rFonts w:hint="eastAsia" w:ascii="宋体" w:hAnsi="宋体"/>
          <w:b/>
          <w:bCs/>
          <w:color w:val="000000"/>
          <w:sz w:val="24"/>
          <w:szCs w:val="24"/>
        </w:rPr>
        <w:t>一、项目概述：</w:t>
      </w:r>
    </w:p>
    <w:p>
      <w:pPr>
        <w:adjustRightInd w:val="0"/>
        <w:snapToGrid w:val="0"/>
        <w:spacing w:line="360" w:lineRule="auto"/>
        <w:ind w:firstLine="352" w:firstLineChars="147"/>
        <w:rPr>
          <w:rFonts w:hint="eastAsia" w:ascii="宋体" w:hAnsi="宋体"/>
          <w:bCs/>
          <w:color w:val="000000"/>
          <w:sz w:val="24"/>
          <w:szCs w:val="24"/>
        </w:rPr>
      </w:pPr>
      <w:r>
        <w:rPr>
          <w:rFonts w:hint="eastAsia" w:ascii="宋体" w:hAnsi="宋体"/>
          <w:bCs/>
          <w:color w:val="000000"/>
          <w:sz w:val="24"/>
          <w:szCs w:val="24"/>
        </w:rPr>
        <w:t>本项目为“交钥匙”项目，采购内容包括</w:t>
      </w:r>
      <w:r>
        <w:rPr>
          <w:rFonts w:hint="eastAsia" w:ascii="宋体" w:hAnsi="宋体"/>
          <w:bCs/>
          <w:color w:val="000000"/>
          <w:sz w:val="24"/>
          <w:szCs w:val="24"/>
          <w:lang w:eastAsia="zh-CN"/>
        </w:rPr>
        <w:t>对仓前街道区委区政府、浙一医院等重点目标单位及周边安保项目等</w:t>
      </w:r>
      <w:r>
        <w:rPr>
          <w:rFonts w:hint="eastAsia" w:ascii="宋体" w:hAnsi="宋体"/>
          <w:bCs/>
          <w:color w:val="000000"/>
          <w:sz w:val="24"/>
          <w:szCs w:val="24"/>
          <w:lang w:val="en-US" w:eastAsia="zh-CN"/>
        </w:rPr>
        <w:t>周边区域进行巡逻防控和突发事件处置</w:t>
      </w:r>
      <w:r>
        <w:rPr>
          <w:rFonts w:hint="eastAsia" w:ascii="宋体" w:hAnsi="宋体"/>
          <w:bCs/>
          <w:color w:val="000000"/>
          <w:sz w:val="24"/>
          <w:szCs w:val="24"/>
          <w:lang w:eastAsia="zh-CN"/>
        </w:rPr>
        <w:t>等工作。</w:t>
      </w:r>
    </w:p>
    <w:p>
      <w:pPr>
        <w:numPr>
          <w:ilvl w:val="0"/>
          <w:numId w:val="1"/>
        </w:numPr>
        <w:adjustRightInd w:val="0"/>
        <w:snapToGrid w:val="0"/>
        <w:spacing w:line="360" w:lineRule="auto"/>
        <w:rPr>
          <w:rFonts w:hint="eastAsia" w:ascii="宋体" w:hAnsi="宋体"/>
          <w:b/>
          <w:bCs/>
          <w:color w:val="000000"/>
          <w:sz w:val="24"/>
          <w:szCs w:val="24"/>
        </w:rPr>
      </w:pPr>
      <w:r>
        <w:rPr>
          <w:rFonts w:hint="eastAsia" w:ascii="宋体" w:hAnsi="宋体"/>
          <w:b/>
          <w:bCs/>
          <w:color w:val="000000"/>
          <w:sz w:val="24"/>
          <w:szCs w:val="24"/>
        </w:rPr>
        <w:t>具体服务内容、要求等：</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 目</w:t>
            </w:r>
          </w:p>
        </w:tc>
        <w:tc>
          <w:tcPr>
            <w:tcW w:w="7823" w:type="dxa"/>
            <w:noWrap w:val="0"/>
            <w:vAlign w:val="center"/>
          </w:tcPr>
          <w:p>
            <w:pPr>
              <w:spacing w:line="360" w:lineRule="auto"/>
              <w:ind w:firstLine="2400" w:firstLineChars="1000"/>
              <w:rPr>
                <w:rFonts w:hint="eastAsia" w:ascii="宋体" w:hAnsi="宋体" w:eastAsia="宋体" w:cs="宋体"/>
                <w:color w:val="000000"/>
                <w:sz w:val="24"/>
                <w:szCs w:val="24"/>
              </w:rPr>
            </w:pPr>
            <w:r>
              <w:rPr>
                <w:rFonts w:hint="eastAsia" w:ascii="宋体" w:hAnsi="宋体" w:eastAsia="宋体" w:cs="宋体"/>
                <w:color w:val="000000"/>
                <w:sz w:val="24"/>
                <w:szCs w:val="24"/>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队员数量要求</w:t>
            </w:r>
          </w:p>
        </w:tc>
        <w:tc>
          <w:tcPr>
            <w:tcW w:w="7823" w:type="dxa"/>
            <w:noWrap w:val="0"/>
            <w:vAlign w:val="center"/>
          </w:tcPr>
          <w:p>
            <w:pPr>
              <w:spacing w:line="360" w:lineRule="auto"/>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根据项目相关工作要求进行合理配备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保安队员素质要求</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保安队伍人员组成要求</w:t>
            </w:r>
            <w:r>
              <w:rPr>
                <w:rFonts w:hint="eastAsia" w:ascii="宋体" w:hAnsi="宋体" w:eastAsia="宋体" w:cs="宋体"/>
                <w:sz w:val="24"/>
                <w:szCs w:val="24"/>
                <w:lang w:val="en-US" w:eastAsia="zh-CN"/>
              </w:rPr>
              <w:t>人员</w:t>
            </w:r>
            <w:r>
              <w:rPr>
                <w:rFonts w:hint="eastAsia" w:ascii="宋体" w:hAnsi="宋体" w:eastAsia="宋体" w:cs="宋体"/>
                <w:sz w:val="24"/>
                <w:szCs w:val="24"/>
              </w:rPr>
              <w:t>具</w:t>
            </w:r>
            <w:r>
              <w:rPr>
                <w:rFonts w:hint="eastAsia" w:ascii="宋体" w:hAnsi="宋体" w:eastAsia="宋体" w:cs="宋体"/>
                <w:sz w:val="24"/>
                <w:szCs w:val="24"/>
                <w:lang w:val="en-US" w:eastAsia="zh-CN"/>
              </w:rPr>
              <w:t>有</w:t>
            </w:r>
            <w:r>
              <w:rPr>
                <w:rFonts w:hint="eastAsia" w:ascii="宋体" w:hAnsi="宋体" w:eastAsia="宋体" w:cs="宋体"/>
                <w:sz w:val="24"/>
                <w:szCs w:val="24"/>
              </w:rPr>
              <w:t>高中</w:t>
            </w:r>
            <w:r>
              <w:rPr>
                <w:rFonts w:hint="eastAsia" w:ascii="宋体" w:hAnsi="宋体" w:eastAsia="宋体" w:cs="宋体"/>
                <w:sz w:val="24"/>
                <w:szCs w:val="24"/>
                <w:lang w:val="en-US" w:eastAsia="zh-CN"/>
              </w:rPr>
              <w:t>及</w:t>
            </w:r>
            <w:r>
              <w:rPr>
                <w:rFonts w:hint="eastAsia" w:ascii="宋体" w:hAnsi="宋体" w:eastAsia="宋体" w:cs="宋体"/>
                <w:sz w:val="24"/>
                <w:szCs w:val="24"/>
              </w:rPr>
              <w:t>以上学历</w:t>
            </w:r>
            <w:r>
              <w:rPr>
                <w:rFonts w:hint="eastAsia" w:ascii="宋体" w:hAnsi="宋体" w:eastAsia="宋体" w:cs="宋体"/>
                <w:sz w:val="24"/>
                <w:szCs w:val="24"/>
                <w:lang w:eastAsia="zh-CN"/>
              </w:rPr>
              <w:t>，具备</w:t>
            </w:r>
            <w:r>
              <w:rPr>
                <w:rFonts w:hint="eastAsia" w:ascii="宋体" w:hAnsi="宋体" w:eastAsia="宋体" w:cs="宋体"/>
                <w:sz w:val="24"/>
                <w:szCs w:val="24"/>
              </w:rPr>
              <w:t>保安员上岗</w:t>
            </w:r>
            <w:r>
              <w:rPr>
                <w:rFonts w:hint="eastAsia" w:ascii="宋体" w:hAnsi="宋体" w:eastAsia="宋体" w:cs="宋体"/>
                <w:sz w:val="24"/>
                <w:szCs w:val="24"/>
                <w:lang w:val="en-US" w:eastAsia="zh-CN"/>
              </w:rPr>
              <w:t>资格</w:t>
            </w:r>
            <w:r>
              <w:rPr>
                <w:rFonts w:hint="eastAsia" w:ascii="宋体" w:hAnsi="宋体" w:eastAsia="宋体" w:cs="宋体"/>
                <w:sz w:val="24"/>
                <w:szCs w:val="24"/>
              </w:rPr>
              <w:t>证；</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2、身体健康、</w:t>
            </w:r>
            <w:r>
              <w:rPr>
                <w:rFonts w:hint="eastAsia" w:ascii="宋体" w:hAnsi="宋体" w:eastAsia="宋体" w:cs="宋体"/>
                <w:sz w:val="24"/>
                <w:szCs w:val="24"/>
              </w:rPr>
              <w:t>五官端正，男性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个别岗位可安排女性</w:t>
            </w:r>
            <w:r>
              <w:rPr>
                <w:rFonts w:hint="eastAsia" w:ascii="宋体" w:hAnsi="宋体" w:eastAsia="宋体" w:cs="宋体"/>
                <w:sz w:val="24"/>
                <w:szCs w:val="24"/>
                <w:lang w:eastAsia="zh-CN"/>
              </w:rPr>
              <w:t>）</w:t>
            </w:r>
            <w:r>
              <w:rPr>
                <w:rFonts w:hint="eastAsia" w:ascii="宋体" w:hAnsi="宋体" w:eastAsia="宋体" w:cs="宋体"/>
                <w:sz w:val="24"/>
                <w:szCs w:val="24"/>
              </w:rPr>
              <w:t>，身高不低于</w:t>
            </w:r>
            <w:r>
              <w:rPr>
                <w:rFonts w:hint="eastAsia" w:ascii="宋体" w:hAnsi="宋体" w:eastAsia="宋体" w:cs="宋体"/>
                <w:sz w:val="24"/>
                <w:szCs w:val="24"/>
                <w:lang w:val="en-US" w:eastAsia="zh-CN"/>
              </w:rPr>
              <w:t>170厘</w:t>
            </w:r>
            <w:r>
              <w:rPr>
                <w:rFonts w:hint="eastAsia" w:ascii="宋体" w:hAnsi="宋体" w:eastAsia="宋体" w:cs="宋体"/>
                <w:sz w:val="24"/>
                <w:szCs w:val="24"/>
              </w:rPr>
              <w:t>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女性身高不低于160厘米</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两眼</w:t>
            </w:r>
            <w:r>
              <w:rPr>
                <w:rFonts w:hint="eastAsia" w:ascii="宋体" w:hAnsi="宋体" w:eastAsia="宋体" w:cs="宋体"/>
                <w:sz w:val="24"/>
                <w:szCs w:val="24"/>
              </w:rPr>
              <w:t>矫正视力</w:t>
            </w:r>
            <w:r>
              <w:rPr>
                <w:rFonts w:hint="eastAsia" w:ascii="宋体" w:hAnsi="宋体" w:eastAsia="宋体" w:cs="宋体"/>
                <w:sz w:val="24"/>
                <w:szCs w:val="24"/>
                <w:lang w:val="en-US" w:eastAsia="zh-CN"/>
              </w:rPr>
              <w:t>分别</w:t>
            </w:r>
            <w:r>
              <w:rPr>
                <w:rFonts w:hint="eastAsia" w:ascii="宋体" w:hAnsi="宋体" w:eastAsia="宋体" w:cs="宋体"/>
                <w:sz w:val="24"/>
                <w:szCs w:val="24"/>
              </w:rPr>
              <w:t>不低于4.</w:t>
            </w:r>
            <w:r>
              <w:rPr>
                <w:rFonts w:hint="eastAsia" w:ascii="宋体" w:hAnsi="宋体" w:eastAsia="宋体" w:cs="宋体"/>
                <w:sz w:val="24"/>
                <w:szCs w:val="24"/>
                <w:lang w:val="en-US" w:eastAsia="zh-CN"/>
              </w:rPr>
              <w:t>0</w:t>
            </w:r>
            <w:r>
              <w:rPr>
                <w:rFonts w:hint="eastAsia" w:ascii="宋体" w:hAnsi="宋体" w:eastAsia="宋体" w:cs="宋体"/>
                <w:sz w:val="24"/>
                <w:szCs w:val="24"/>
              </w:rPr>
              <w:t>或矫正度数不超过</w:t>
            </w:r>
            <w:r>
              <w:rPr>
                <w:rFonts w:hint="eastAsia" w:ascii="宋体" w:hAnsi="宋体" w:eastAsia="宋体" w:cs="宋体"/>
                <w:sz w:val="24"/>
                <w:szCs w:val="24"/>
                <w:lang w:val="en-US" w:eastAsia="zh-CN"/>
              </w:rPr>
              <w:t>200</w:t>
            </w:r>
            <w:r>
              <w:rPr>
                <w:rFonts w:hint="eastAsia" w:ascii="宋体" w:hAnsi="宋体" w:eastAsia="宋体" w:cs="宋体"/>
                <w:sz w:val="24"/>
                <w:szCs w:val="24"/>
              </w:rPr>
              <w:t>度；</w:t>
            </w:r>
          </w:p>
          <w:p>
            <w:pPr>
              <w:tabs>
                <w:tab w:val="left" w:pos="1080"/>
              </w:tabs>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3、巡逻岗位的工作人员</w:t>
            </w:r>
            <w:r>
              <w:rPr>
                <w:rFonts w:hint="eastAsia" w:ascii="宋体" w:hAnsi="宋体" w:eastAsia="宋体" w:cs="宋体"/>
                <w:sz w:val="24"/>
                <w:szCs w:val="24"/>
              </w:rPr>
              <w:t>年龄一般</w:t>
            </w:r>
            <w:r>
              <w:rPr>
                <w:rFonts w:hint="eastAsia" w:ascii="宋体" w:hAnsi="宋体" w:eastAsia="宋体" w:cs="宋体"/>
                <w:sz w:val="24"/>
                <w:szCs w:val="24"/>
                <w:lang w:val="en-US" w:eastAsia="zh-CN"/>
              </w:rPr>
              <w:t>不超过30周岁，其他工作岗位的可适当放宽至35</w:t>
            </w:r>
            <w:r>
              <w:rPr>
                <w:rFonts w:hint="eastAsia" w:ascii="宋体" w:hAnsi="宋体" w:eastAsia="宋体" w:cs="宋体"/>
                <w:sz w:val="24"/>
                <w:szCs w:val="24"/>
              </w:rPr>
              <w:t>周岁以下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有公安工作经历的优先考虑，年龄可适当放宽至40周岁以下</w:t>
            </w:r>
            <w:r>
              <w:rPr>
                <w:rFonts w:hint="eastAsia" w:ascii="宋体" w:hAnsi="宋体" w:eastAsia="宋体" w:cs="宋体"/>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无</w:t>
            </w:r>
            <w:r>
              <w:rPr>
                <w:rFonts w:hint="eastAsia" w:ascii="宋体" w:hAnsi="宋体" w:eastAsia="宋体" w:cs="宋体"/>
                <w:sz w:val="24"/>
                <w:szCs w:val="24"/>
                <w:lang w:val="en-US" w:eastAsia="zh-CN"/>
              </w:rPr>
              <w:t>违法</w:t>
            </w:r>
            <w:r>
              <w:rPr>
                <w:rFonts w:hint="eastAsia" w:ascii="宋体" w:hAnsi="宋体" w:eastAsia="宋体" w:cs="宋体"/>
                <w:sz w:val="24"/>
                <w:szCs w:val="24"/>
              </w:rPr>
              <w:t>犯罪记录，政审合格。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中队骨干素质要求</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中队长、副中队长</w:t>
            </w:r>
            <w:r>
              <w:rPr>
                <w:rFonts w:hint="eastAsia" w:ascii="宋体" w:hAnsi="宋体" w:eastAsia="宋体" w:cs="宋体"/>
                <w:sz w:val="24"/>
                <w:szCs w:val="24"/>
                <w:lang w:val="en-US" w:eastAsia="zh-CN"/>
              </w:rPr>
              <w:t>必须</w:t>
            </w:r>
            <w:r>
              <w:rPr>
                <w:rFonts w:hint="eastAsia" w:ascii="宋体" w:hAnsi="宋体" w:eastAsia="宋体" w:cs="宋体"/>
                <w:sz w:val="24"/>
                <w:szCs w:val="24"/>
              </w:rPr>
              <w:t>从事保安</w:t>
            </w:r>
            <w:r>
              <w:rPr>
                <w:rFonts w:hint="eastAsia" w:ascii="宋体" w:hAnsi="宋体" w:eastAsia="宋体" w:cs="宋体"/>
                <w:sz w:val="24"/>
                <w:szCs w:val="24"/>
                <w:lang w:eastAsia="zh-CN"/>
              </w:rPr>
              <w:t>相关</w:t>
            </w:r>
            <w:r>
              <w:rPr>
                <w:rFonts w:hint="eastAsia" w:ascii="宋体" w:hAnsi="宋体" w:eastAsia="宋体" w:cs="宋体"/>
                <w:sz w:val="24"/>
                <w:szCs w:val="24"/>
              </w:rPr>
              <w:t>工作5年以上，</w:t>
            </w:r>
            <w:r>
              <w:rPr>
                <w:rFonts w:hint="eastAsia" w:ascii="宋体" w:hAnsi="宋体" w:eastAsia="宋体" w:cs="宋体"/>
                <w:sz w:val="24"/>
                <w:szCs w:val="24"/>
                <w:lang w:val="en-US" w:eastAsia="zh-CN"/>
              </w:rPr>
              <w:t>具备</w:t>
            </w:r>
            <w:r>
              <w:rPr>
                <w:rFonts w:hint="eastAsia" w:ascii="宋体" w:hAnsi="宋体" w:eastAsia="宋体" w:cs="宋体"/>
                <w:sz w:val="24"/>
                <w:szCs w:val="24"/>
              </w:rPr>
              <w:t>大专</w:t>
            </w:r>
            <w:r>
              <w:rPr>
                <w:rFonts w:hint="eastAsia" w:ascii="宋体" w:hAnsi="宋体" w:eastAsia="宋体" w:cs="宋体"/>
                <w:sz w:val="24"/>
                <w:szCs w:val="24"/>
                <w:lang w:val="en-US" w:eastAsia="zh-CN"/>
              </w:rPr>
              <w:t>及</w:t>
            </w:r>
            <w:r>
              <w:rPr>
                <w:rFonts w:hint="eastAsia" w:ascii="宋体" w:hAnsi="宋体" w:eastAsia="宋体" w:cs="宋体"/>
                <w:sz w:val="24"/>
                <w:szCs w:val="24"/>
              </w:rPr>
              <w:t>以上学历；</w:t>
            </w:r>
          </w:p>
          <w:p>
            <w:pPr>
              <w:tabs>
                <w:tab w:val="left" w:pos="1080"/>
              </w:tabs>
              <w:adjustRightInd w:val="0"/>
              <w:snapToGrid w:val="0"/>
              <w:spacing w:line="360" w:lineRule="auto"/>
              <w:rPr>
                <w:rFonts w:hint="default" w:ascii="宋体" w:hAnsi="宋体" w:eastAsia="宋体" w:cs="宋体"/>
                <w:color w:val="000000"/>
                <w:sz w:val="24"/>
                <w:szCs w:val="24"/>
                <w:lang w:val="en-US" w:eastAsia="zh-CN"/>
              </w:rPr>
            </w:pPr>
            <w:r>
              <w:rPr>
                <w:rFonts w:hint="eastAsia" w:ascii="宋体" w:hAnsi="宋体" w:eastAsia="宋体" w:cs="宋体"/>
                <w:sz w:val="24"/>
                <w:szCs w:val="24"/>
                <w:lang w:val="en-US" w:eastAsia="zh-CN"/>
              </w:rPr>
              <w:t>2、管理岗位人员的比例按照1比10的比例配备。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队伍结构要求</w:t>
            </w:r>
          </w:p>
          <w:p>
            <w:pPr>
              <w:spacing w:line="360" w:lineRule="auto"/>
              <w:jc w:val="center"/>
              <w:rPr>
                <w:rFonts w:hint="eastAsia" w:ascii="宋体" w:hAnsi="宋体" w:eastAsia="宋体" w:cs="宋体"/>
                <w:color w:val="000000"/>
                <w:sz w:val="24"/>
                <w:szCs w:val="24"/>
              </w:rPr>
            </w:pP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人员结构合理；</w:t>
            </w:r>
            <w:r>
              <w:rPr>
                <w:rFonts w:hint="eastAsia" w:ascii="宋体" w:hAnsi="宋体" w:eastAsia="宋体" w:cs="宋体"/>
                <w:sz w:val="24"/>
                <w:szCs w:val="24"/>
                <w:lang w:val="en-US" w:eastAsia="zh-CN"/>
              </w:rPr>
              <w:t>1、</w:t>
            </w:r>
            <w:r>
              <w:rPr>
                <w:rFonts w:hint="eastAsia" w:ascii="宋体" w:hAnsi="宋体" w:eastAsia="宋体" w:cs="宋体"/>
                <w:sz w:val="24"/>
                <w:szCs w:val="24"/>
              </w:rPr>
              <w:t>人岗相适度高；</w:t>
            </w:r>
            <w:r>
              <w:rPr>
                <w:rFonts w:hint="eastAsia" w:ascii="宋体" w:hAnsi="宋体" w:eastAsia="宋体" w:cs="宋体"/>
                <w:sz w:val="24"/>
                <w:szCs w:val="24"/>
                <w:lang w:val="en-US" w:eastAsia="zh-CN"/>
              </w:rPr>
              <w:t>2、</w:t>
            </w:r>
            <w:r>
              <w:rPr>
                <w:rFonts w:hint="eastAsia" w:ascii="宋体" w:hAnsi="宋体" w:eastAsia="宋体" w:cs="宋体"/>
                <w:sz w:val="24"/>
                <w:szCs w:val="24"/>
              </w:rPr>
              <w:t>储备队员充足。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保安队员不得出现的现象</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受过刑事处罚、劳动教养、未成年管教及治安处罚的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本人或直系亲属有被判处死刑及正在服刑的，或者参与邪教组织活动的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有犯罪嫌疑尚未查清的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有寻衅滋事、偷窃、**等不良行为</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道德水平低下，有不良生活行为的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有明显纹身、疤痕等体表特征的</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有其余兼职工作或其它不适合从事巡防工作的。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装备要求</w:t>
            </w:r>
          </w:p>
        </w:tc>
        <w:tc>
          <w:tcPr>
            <w:tcW w:w="7823"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1、配备</w:t>
            </w:r>
            <w:r>
              <w:rPr>
                <w:rFonts w:hint="eastAsia" w:ascii="宋体" w:hAnsi="宋体" w:eastAsia="宋体" w:cs="宋体"/>
                <w:color w:val="000000"/>
                <w:sz w:val="24"/>
                <w:szCs w:val="24"/>
              </w:rPr>
              <w:t>对讲机、强光手电、甩棍、</w:t>
            </w:r>
            <w:r>
              <w:rPr>
                <w:rFonts w:hint="eastAsia" w:ascii="宋体" w:hAnsi="宋体" w:eastAsia="宋体" w:cs="宋体"/>
                <w:color w:val="000000"/>
                <w:sz w:val="24"/>
                <w:szCs w:val="24"/>
                <w:lang w:val="en-US" w:eastAsia="zh-CN"/>
              </w:rPr>
              <w:t>工作包、执法记录仪、</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特勤靴</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特勤服(春、夏)各2套/人</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警用肩灯</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雨衣</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反光背心</w:t>
            </w:r>
            <w:r>
              <w:rPr>
                <w:rFonts w:hint="eastAsia" w:ascii="宋体" w:hAnsi="宋体" w:eastAsia="宋体" w:cs="宋体"/>
                <w:color w:val="000000"/>
                <w:sz w:val="24"/>
                <w:szCs w:val="24"/>
                <w:lang w:eastAsia="zh-CN"/>
              </w:rPr>
              <w:t>；</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7、其他应该配备的适合工作要求的各类装备。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1312" w:type="dxa"/>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工作职责</w:t>
            </w:r>
          </w:p>
        </w:tc>
        <w:tc>
          <w:tcPr>
            <w:tcW w:w="7823" w:type="dxa"/>
            <w:noWrap w:val="0"/>
            <w:vAlign w:val="center"/>
          </w:tcPr>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1、对</w:t>
            </w:r>
            <w:r>
              <w:rPr>
                <w:rFonts w:hint="eastAsia" w:ascii="宋体" w:hAnsi="宋体"/>
                <w:bCs/>
                <w:color w:val="000000"/>
                <w:sz w:val="24"/>
                <w:szCs w:val="24"/>
                <w:lang w:eastAsia="zh-CN"/>
              </w:rPr>
              <w:t>仓前街道区委区政府、浙一医院等重点目标单位</w:t>
            </w:r>
            <w:r>
              <w:rPr>
                <w:rFonts w:hint="eastAsia" w:ascii="宋体" w:hAnsi="宋体" w:eastAsia="宋体" w:cs="宋体"/>
                <w:sz w:val="24"/>
                <w:szCs w:val="24"/>
                <w:lang w:val="en-US" w:eastAsia="zh-CN"/>
              </w:rPr>
              <w:t>及周边</w:t>
            </w:r>
            <w:r>
              <w:rPr>
                <w:rFonts w:hint="eastAsia" w:ascii="宋体" w:hAnsi="宋体" w:eastAsia="宋体" w:cs="宋体"/>
                <w:sz w:val="24"/>
                <w:szCs w:val="24"/>
              </w:rPr>
              <w:t>进行治安巡逻，</w:t>
            </w:r>
            <w:r>
              <w:rPr>
                <w:rFonts w:hint="eastAsia" w:ascii="宋体" w:hAnsi="宋体" w:eastAsia="宋体" w:cs="宋体"/>
                <w:sz w:val="24"/>
                <w:szCs w:val="24"/>
                <w:lang w:val="en-US" w:eastAsia="zh-CN"/>
              </w:rPr>
              <w:t>外来人口管理，突发事件处置，</w:t>
            </w:r>
            <w:r>
              <w:rPr>
                <w:rFonts w:hint="eastAsia" w:ascii="宋体" w:hAnsi="宋体" w:eastAsia="宋体" w:cs="宋体"/>
                <w:sz w:val="24"/>
                <w:szCs w:val="24"/>
              </w:rPr>
              <w:t>预防、制止各类违法犯罪活动，维护治安秩序，确保一方平安</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2、参与</w:t>
            </w:r>
            <w:r>
              <w:rPr>
                <w:rFonts w:hint="eastAsia" w:ascii="宋体" w:hAnsi="宋体" w:eastAsia="宋体" w:cs="宋体"/>
                <w:sz w:val="24"/>
                <w:szCs w:val="24"/>
                <w:lang w:eastAsia="zh-CN"/>
              </w:rPr>
              <w:t>街道工作需要的</w:t>
            </w:r>
            <w:r>
              <w:rPr>
                <w:rFonts w:hint="eastAsia" w:ascii="宋体" w:hAnsi="宋体" w:eastAsia="宋体" w:cs="宋体"/>
                <w:sz w:val="24"/>
                <w:szCs w:val="24"/>
              </w:rPr>
              <w:t>各类整治，配合职能部门做好环境整治、拆迁回迁、拆违控违等各项工作</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3、落实110应急联动，协助公安</w:t>
            </w:r>
            <w:r>
              <w:rPr>
                <w:rFonts w:hint="eastAsia" w:ascii="宋体" w:hAnsi="宋体" w:eastAsia="宋体" w:cs="宋体"/>
                <w:sz w:val="24"/>
                <w:szCs w:val="24"/>
                <w:lang w:eastAsia="zh-CN"/>
              </w:rPr>
              <w:t>等部门</w:t>
            </w:r>
            <w:r>
              <w:rPr>
                <w:rFonts w:hint="eastAsia" w:ascii="宋体" w:hAnsi="宋体" w:eastAsia="宋体" w:cs="宋体"/>
                <w:sz w:val="24"/>
                <w:szCs w:val="24"/>
              </w:rPr>
              <w:t>做好对辖区内各类矛盾纠纷的排查、调解和化解工作</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、完成上级交办的其他工作任务</w:t>
            </w:r>
            <w:r>
              <w:rPr>
                <w:rFonts w:hint="eastAsia" w:ascii="宋体" w:hAnsi="宋体" w:eastAsia="宋体" w:cs="宋体"/>
                <w:sz w:val="24"/>
                <w:szCs w:val="24"/>
                <w:lang w:eastAsia="zh-CN"/>
              </w:rPr>
              <w:t>；</w:t>
            </w:r>
          </w:p>
          <w:p>
            <w:pPr>
              <w:tabs>
                <w:tab w:val="left" w:pos="1080"/>
              </w:tabs>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人员</w:t>
            </w:r>
            <w:r>
              <w:rPr>
                <w:rFonts w:hint="eastAsia" w:ascii="宋体" w:hAnsi="宋体" w:eastAsia="宋体" w:cs="宋体"/>
                <w:sz w:val="24"/>
                <w:szCs w:val="24"/>
                <w:lang w:val="en-US" w:eastAsia="zh-CN"/>
              </w:rPr>
              <w:t>实行</w:t>
            </w:r>
            <w:r>
              <w:rPr>
                <w:rFonts w:hint="eastAsia" w:ascii="宋体" w:hAnsi="宋体" w:eastAsia="宋体" w:cs="宋体"/>
                <w:sz w:val="24"/>
                <w:szCs w:val="24"/>
              </w:rPr>
              <w:t>8小时工作制</w:t>
            </w:r>
            <w:r>
              <w:rPr>
                <w:rFonts w:hint="eastAsia" w:ascii="宋体" w:hAnsi="宋体" w:eastAsia="宋体" w:cs="宋体"/>
                <w:sz w:val="24"/>
                <w:szCs w:val="24"/>
                <w:lang w:eastAsia="zh-CN"/>
              </w:rPr>
              <w:t>。</w:t>
            </w:r>
          </w:p>
        </w:tc>
      </w:tr>
    </w:tbl>
    <w:p>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三、售后服务要求：</w:t>
      </w:r>
    </w:p>
    <w:p>
      <w:pPr>
        <w:adjustRightInd w:val="0"/>
        <w:snapToGrid w:val="0"/>
        <w:spacing w:line="360" w:lineRule="auto"/>
        <w:ind w:firstLine="352" w:firstLineChars="147"/>
        <w:rPr>
          <w:rFonts w:hint="eastAsia" w:ascii="宋体" w:hAnsi="宋体" w:eastAsia="宋体" w:cs="宋体"/>
          <w:bCs/>
          <w:color w:val="000000"/>
          <w:sz w:val="24"/>
          <w:szCs w:val="24"/>
        </w:rPr>
      </w:pPr>
      <w:r>
        <w:rPr>
          <w:rFonts w:hint="eastAsia" w:ascii="宋体" w:hAnsi="宋体" w:eastAsia="宋体" w:cs="宋体"/>
          <w:bCs/>
          <w:color w:val="000000"/>
          <w:sz w:val="24"/>
          <w:szCs w:val="24"/>
        </w:rPr>
        <w:t>1、质保期要求（或服务期限）：本项目招标的服务期为</w:t>
      </w:r>
      <w:r>
        <w:rPr>
          <w:rFonts w:hint="eastAsia" w:ascii="宋体" w:hAnsi="宋体" w:eastAsia="宋体" w:cs="宋体"/>
          <w:bCs/>
          <w:color w:val="000000"/>
          <w:sz w:val="24"/>
          <w:szCs w:val="24"/>
          <w:lang w:val="en-US" w:eastAsia="zh-CN"/>
        </w:rPr>
        <w:t>一年</w:t>
      </w:r>
      <w:r>
        <w:rPr>
          <w:rFonts w:hint="eastAsia" w:ascii="宋体" w:hAnsi="宋体" w:eastAsia="宋体" w:cs="宋体"/>
          <w:bCs/>
          <w:color w:val="000000"/>
          <w:sz w:val="24"/>
          <w:szCs w:val="24"/>
        </w:rPr>
        <w:t>整。本项目在合同期限内，供应商能严格履行合同</w:t>
      </w:r>
      <w:r>
        <w:rPr>
          <w:rFonts w:hint="eastAsia" w:ascii="宋体" w:hAnsi="宋体" w:eastAsia="宋体" w:cs="宋体"/>
          <w:bCs/>
          <w:color w:val="000000"/>
          <w:sz w:val="24"/>
          <w:szCs w:val="24"/>
          <w:lang w:eastAsia="zh-CN"/>
        </w:rPr>
        <w:t>。</w:t>
      </w:r>
    </w:p>
    <w:p>
      <w:pPr>
        <w:adjustRightInd w:val="0"/>
        <w:snapToGrid w:val="0"/>
        <w:spacing w:line="360" w:lineRule="auto"/>
        <w:ind w:firstLine="352" w:firstLineChars="147"/>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rPr>
        <w:t>2、人员配置要求：</w:t>
      </w:r>
      <w:r>
        <w:rPr>
          <w:rFonts w:hint="eastAsia" w:ascii="宋体" w:hAnsi="宋体" w:eastAsia="宋体" w:cs="宋体"/>
          <w:sz w:val="24"/>
          <w:szCs w:val="24"/>
          <w:highlight w:val="none"/>
          <w:lang w:val="en-US" w:eastAsia="zh-CN"/>
        </w:rPr>
        <w:t xml:space="preserve"> 根据项目</w:t>
      </w:r>
      <w:r>
        <w:rPr>
          <w:rFonts w:hint="eastAsia" w:ascii="宋体" w:hAnsi="宋体" w:cs="宋体"/>
          <w:sz w:val="24"/>
          <w:szCs w:val="24"/>
          <w:highlight w:val="none"/>
          <w:lang w:val="en-US" w:eastAsia="zh-CN"/>
        </w:rPr>
        <w:t>要求配置95个岗位</w:t>
      </w:r>
      <w:r>
        <w:rPr>
          <w:rFonts w:hint="eastAsia" w:ascii="宋体" w:hAnsi="宋体" w:eastAsia="宋体" w:cs="宋体"/>
          <w:sz w:val="24"/>
          <w:szCs w:val="24"/>
          <w:highlight w:val="none"/>
          <w:lang w:val="en-US" w:eastAsia="zh-CN"/>
        </w:rPr>
        <w:t>。</w:t>
      </w:r>
    </w:p>
    <w:p>
      <w:pPr>
        <w:pStyle w:val="59"/>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四、培训要求：</w:t>
      </w:r>
    </w:p>
    <w:p>
      <w:pPr>
        <w:pStyle w:val="59"/>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1、培训制度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1）队员在上岗前必须经过专业培训，并以公安民警的标准严格要求自己。</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（2）培训</w:t>
      </w:r>
      <w:r>
        <w:rPr>
          <w:rFonts w:hint="eastAsia" w:ascii="宋体" w:hAnsi="宋体" w:eastAsia="宋体" w:cs="宋体"/>
          <w:sz w:val="24"/>
          <w:szCs w:val="24"/>
          <w:lang w:eastAsia="zh-CN"/>
        </w:rPr>
        <w:t>内容</w:t>
      </w:r>
      <w:r>
        <w:rPr>
          <w:rFonts w:hint="eastAsia" w:ascii="宋体" w:hAnsi="宋体" w:eastAsia="宋体" w:cs="宋体"/>
          <w:sz w:val="24"/>
          <w:szCs w:val="24"/>
        </w:rPr>
        <w:t>包括政治思想、专业技能、理论知识等诸方面。</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（3）应根据特保队伍实际情况，制定出年度或阶段性培训计划。</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（4）特保队员应自觉接受专业培训，不得缺席，不迟到、不早退。</w:t>
      </w:r>
    </w:p>
    <w:p>
      <w:pPr>
        <w:pStyle w:val="59"/>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2、工作纪律</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（1）按时上下班，不得迟到、早退，严格执行请销假制度。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（2）工作期间不办私事，不发生脱岗、串岗、睡岗现象。</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（3）工作期间按规定着装，携带装备。</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（4）上班前不得酗酒，上班期间不得饮酒，严禁酒后驾车。</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（5）文明执勤，实事就是，不包庇不纵容；严禁吃拿卡要和徇私舞弊。</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（6）严禁公车私用，或挪作他人使用。</w:t>
      </w:r>
    </w:p>
    <w:p>
      <w:pPr>
        <w:keepNext w:val="0"/>
        <w:keepLines w:val="0"/>
        <w:pageBreakBefore w:val="0"/>
        <w:tabs>
          <w:tab w:val="left" w:pos="1080"/>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（7）严格遵守</w:t>
      </w:r>
      <w:r>
        <w:rPr>
          <w:rFonts w:hint="eastAsia" w:ascii="宋体" w:hAnsi="宋体" w:eastAsia="宋体" w:cs="宋体"/>
          <w:sz w:val="24"/>
          <w:szCs w:val="24"/>
          <w:lang w:eastAsia="zh-CN"/>
        </w:rPr>
        <w:t>仓前</w:t>
      </w:r>
      <w:r>
        <w:rPr>
          <w:rFonts w:hint="eastAsia" w:ascii="宋体" w:hAnsi="宋体" w:eastAsia="宋体" w:cs="宋体"/>
          <w:sz w:val="24"/>
          <w:szCs w:val="24"/>
        </w:rPr>
        <w:t>街道平安巡防队员行为规范和工作职责。</w:t>
      </w:r>
    </w:p>
    <w:p>
      <w:pPr>
        <w:tabs>
          <w:tab w:val="left" w:pos="1080"/>
        </w:tabs>
        <w:adjustRightInd w:val="0"/>
        <w:snapToGrid w:val="0"/>
        <w:spacing w:line="360" w:lineRule="auto"/>
        <w:ind w:firstLine="480" w:firstLineChars="200"/>
        <w:rPr>
          <w:rFonts w:hint="eastAsia" w:ascii="宋体" w:hAnsi="宋体" w:eastAsia="宋体" w:cs="宋体"/>
          <w:sz w:val="24"/>
          <w:szCs w:val="24"/>
        </w:rPr>
      </w:pPr>
    </w:p>
    <w:p>
      <w:pPr>
        <w:numPr>
          <w:ilvl w:val="0"/>
          <w:numId w:val="2"/>
        </w:numPr>
        <w:adjustRightInd w:val="0"/>
        <w:snapToGrid w:val="0"/>
        <w:spacing w:line="360" w:lineRule="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工期要求：</w:t>
      </w:r>
      <w:r>
        <w:rPr>
          <w:rFonts w:hint="eastAsia" w:ascii="宋体" w:hAnsi="宋体" w:eastAsia="宋体" w:cs="宋体"/>
          <w:bCs/>
          <w:color w:val="000000"/>
          <w:sz w:val="24"/>
          <w:szCs w:val="24"/>
        </w:rPr>
        <w:t>合同签订后</w:t>
      </w:r>
      <w:r>
        <w:rPr>
          <w:rFonts w:hint="eastAsia" w:ascii="宋体" w:hAnsi="宋体" w:eastAsia="宋体" w:cs="宋体"/>
          <w:bCs/>
          <w:color w:val="000000"/>
          <w:sz w:val="24"/>
          <w:szCs w:val="24"/>
          <w:lang w:val="en-US" w:eastAsia="zh-CN"/>
        </w:rPr>
        <w:t xml:space="preserve"> 一</w:t>
      </w:r>
      <w:r>
        <w:rPr>
          <w:rFonts w:hint="eastAsia" w:ascii="宋体" w:hAnsi="宋体" w:eastAsia="宋体" w:cs="宋体"/>
          <w:b/>
          <w:bCs/>
          <w:color w:val="000000"/>
          <w:sz w:val="24"/>
          <w:szCs w:val="24"/>
          <w:lang w:eastAsia="zh-CN"/>
        </w:rPr>
        <w:t>年</w:t>
      </w:r>
      <w:r>
        <w:rPr>
          <w:rFonts w:hint="eastAsia" w:ascii="宋体" w:hAnsi="宋体" w:eastAsia="宋体" w:cs="宋体"/>
          <w:bCs/>
          <w:color w:val="000000"/>
          <w:sz w:val="24"/>
          <w:szCs w:val="24"/>
        </w:rPr>
        <w:t>。</w:t>
      </w:r>
    </w:p>
    <w:p>
      <w:pPr>
        <w:numPr>
          <w:ilvl w:val="0"/>
          <w:numId w:val="0"/>
        </w:numPr>
        <w:adjustRightInd w:val="0"/>
        <w:snapToGrid w:val="0"/>
        <w:spacing w:line="360" w:lineRule="auto"/>
        <w:rPr>
          <w:rFonts w:hint="eastAsia" w:ascii="宋体" w:hAnsi="宋体" w:eastAsia="宋体" w:cs="宋体"/>
          <w:bCs/>
          <w:color w:val="000000"/>
          <w:sz w:val="24"/>
          <w:szCs w:val="24"/>
        </w:rPr>
      </w:pPr>
    </w:p>
    <w:p>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w:t>
      </w:r>
      <w:r>
        <w:rPr>
          <w:rFonts w:hint="eastAsia" w:ascii="宋体" w:hAnsi="宋体" w:eastAsia="宋体" w:cs="宋体"/>
          <w:b/>
          <w:bCs/>
          <w:color w:val="000000"/>
          <w:sz w:val="24"/>
          <w:szCs w:val="24"/>
          <w:lang w:eastAsia="zh-CN"/>
        </w:rPr>
        <w:t>考核</w:t>
      </w:r>
      <w:r>
        <w:rPr>
          <w:rFonts w:hint="eastAsia" w:ascii="宋体" w:hAnsi="宋体" w:eastAsia="宋体" w:cs="宋体"/>
          <w:b/>
          <w:bCs/>
          <w:color w:val="000000"/>
          <w:sz w:val="24"/>
          <w:szCs w:val="24"/>
        </w:rPr>
        <w:t>要求：</w:t>
      </w:r>
    </w:p>
    <w:p>
      <w:pPr>
        <w:adjustRightInd w:val="0"/>
        <w:snapToGrid w:val="0"/>
        <w:spacing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1、项目实施过程中，招标人有权对中标人的服务质量进行考核。考核频率为每月度一次，如达不到</w:t>
      </w:r>
      <w:r>
        <w:rPr>
          <w:rFonts w:hint="eastAsia" w:ascii="宋体" w:hAnsi="宋体" w:eastAsia="宋体" w:cs="宋体"/>
          <w:b w:val="0"/>
          <w:bCs w:val="0"/>
          <w:color w:val="000000"/>
          <w:sz w:val="24"/>
          <w:szCs w:val="24"/>
          <w:highlight w:val="none"/>
          <w:lang w:eastAsia="zh-CN"/>
        </w:rPr>
        <w:t>招标人要求的</w:t>
      </w:r>
      <w:r>
        <w:rPr>
          <w:rFonts w:hint="eastAsia" w:ascii="宋体" w:hAnsi="宋体" w:eastAsia="宋体" w:cs="宋体"/>
          <w:b w:val="0"/>
          <w:bCs w:val="0"/>
          <w:color w:val="000000"/>
          <w:sz w:val="24"/>
          <w:szCs w:val="24"/>
          <w:highlight w:val="none"/>
        </w:rPr>
        <w:t>服务质量水平的，招标人将发出书面整改通知要求中标人予以整改,</w:t>
      </w:r>
      <w:r>
        <w:rPr>
          <w:rFonts w:hint="eastAsia" w:ascii="宋体" w:hAnsi="宋体" w:eastAsia="宋体" w:cs="宋体"/>
          <w:b w:val="0"/>
          <w:bCs w:val="0"/>
          <w:color w:val="000000"/>
          <w:sz w:val="24"/>
          <w:szCs w:val="24"/>
          <w:highlight w:val="none"/>
          <w:lang w:eastAsia="zh-CN"/>
        </w:rPr>
        <w:t>中标人</w:t>
      </w:r>
      <w:r>
        <w:rPr>
          <w:rFonts w:hint="eastAsia" w:ascii="宋体" w:hAnsi="宋体" w:eastAsia="宋体" w:cs="宋体"/>
          <w:b w:val="0"/>
          <w:bCs w:val="0"/>
          <w:color w:val="000000"/>
          <w:sz w:val="24"/>
          <w:szCs w:val="24"/>
          <w:highlight w:val="none"/>
        </w:rPr>
        <w:t>未及时整改</w:t>
      </w:r>
      <w:r>
        <w:rPr>
          <w:rFonts w:hint="eastAsia" w:ascii="宋体" w:hAnsi="宋体" w:eastAsia="宋体" w:cs="宋体"/>
          <w:b w:val="0"/>
          <w:bCs w:val="0"/>
          <w:color w:val="000000"/>
          <w:sz w:val="24"/>
          <w:szCs w:val="24"/>
          <w:highlight w:val="none"/>
          <w:lang w:eastAsia="zh-CN"/>
        </w:rPr>
        <w:t>的</w:t>
      </w:r>
      <w:r>
        <w:rPr>
          <w:rFonts w:hint="eastAsia" w:ascii="宋体" w:hAnsi="宋体" w:eastAsia="宋体" w:cs="宋体"/>
          <w:b w:val="0"/>
          <w:bCs w:val="0"/>
          <w:color w:val="000000"/>
          <w:sz w:val="24"/>
          <w:szCs w:val="24"/>
          <w:highlight w:val="none"/>
        </w:rPr>
        <w:t>扣当月考核分，连续两月考核未达标且未进行整改的，招标人有权提前终止合同。</w:t>
      </w:r>
    </w:p>
    <w:p>
      <w:pPr>
        <w:adjustRightInd w:val="0"/>
        <w:snapToGrid w:val="0"/>
        <w:spacing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2、考虑到节假日或其他活动期间对</w:t>
      </w:r>
      <w:r>
        <w:rPr>
          <w:rFonts w:hint="eastAsia" w:ascii="宋体" w:hAnsi="宋体" w:eastAsia="宋体" w:cs="宋体"/>
          <w:b w:val="0"/>
          <w:bCs w:val="0"/>
          <w:color w:val="000000"/>
          <w:sz w:val="24"/>
          <w:szCs w:val="24"/>
          <w:highlight w:val="none"/>
          <w:lang w:eastAsia="zh-CN"/>
        </w:rPr>
        <w:t>安</w:t>
      </w:r>
      <w:r>
        <w:rPr>
          <w:rFonts w:hint="eastAsia" w:ascii="宋体" w:hAnsi="宋体" w:eastAsia="宋体" w:cs="宋体"/>
          <w:b w:val="0"/>
          <w:bCs w:val="0"/>
          <w:color w:val="000000"/>
          <w:sz w:val="24"/>
          <w:szCs w:val="24"/>
          <w:highlight w:val="none"/>
        </w:rPr>
        <w:t>保人员的数量及服务区域、服务密度的要求，本项目应确保人员及时到位。</w:t>
      </w:r>
    </w:p>
    <w:p>
      <w:pPr>
        <w:adjustRightInd w:val="0"/>
        <w:snapToGrid w:val="0"/>
        <w:spacing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3、所有人员均须持有合法有效身份证、健康证，无重大疾病史和传染病史，无残疾及其它生理缺陷。招标人对中标人派遣的服务人员进行考评，如素质不达标的，将予以劝退。同时，中标人有义务保证合格特保人员的稳定性（至少达到50%）。</w:t>
      </w:r>
    </w:p>
    <w:p>
      <w:pPr>
        <w:adjustRightInd w:val="0"/>
        <w:snapToGrid w:val="0"/>
        <w:spacing w:line="360" w:lineRule="auto"/>
        <w:rPr>
          <w:rFonts w:hint="eastAsia" w:ascii="宋体" w:hAnsi="宋体" w:eastAsia="宋体" w:cs="宋体"/>
          <w:b/>
          <w:bCs/>
          <w:color w:val="000000"/>
          <w:sz w:val="24"/>
          <w:szCs w:val="24"/>
        </w:rPr>
      </w:pP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七、履约保证金和</w:t>
      </w:r>
      <w:r>
        <w:rPr>
          <w:rFonts w:hint="eastAsia" w:ascii="宋体" w:hAnsi="宋体" w:eastAsia="宋体" w:cs="宋体"/>
          <w:b/>
          <w:bCs/>
          <w:color w:val="000000"/>
          <w:sz w:val="24"/>
          <w:szCs w:val="24"/>
        </w:rPr>
        <w:t>质量保证金：</w:t>
      </w:r>
    </w:p>
    <w:p>
      <w:pPr>
        <w:spacing w:line="360" w:lineRule="auto"/>
        <w:ind w:firstLine="480"/>
        <w:rPr>
          <w:rFonts w:hint="eastAsia" w:ascii="宋体" w:hAnsi="宋体" w:eastAsia="宋体" w:cs="宋体"/>
          <w:kern w:val="2"/>
          <w:sz w:val="24"/>
          <w:szCs w:val="24"/>
        </w:rPr>
      </w:pPr>
      <w:r>
        <w:rPr>
          <w:rFonts w:hint="eastAsia" w:ascii="宋体" w:hAnsi="宋体" w:eastAsia="宋体" w:cs="宋体"/>
          <w:kern w:val="2"/>
          <w:sz w:val="24"/>
          <w:szCs w:val="24"/>
          <w:rtl w:val="0"/>
          <w:lang w:val="en-US" w:eastAsia="zh-CN"/>
        </w:rPr>
        <w:t>7</w:t>
      </w:r>
      <w:r>
        <w:rPr>
          <w:rFonts w:hint="eastAsia" w:ascii="宋体" w:hAnsi="宋体" w:eastAsia="宋体" w:cs="宋体"/>
          <w:kern w:val="2"/>
          <w:sz w:val="24"/>
          <w:szCs w:val="24"/>
          <w:rtl w:val="0"/>
          <w:lang w:val="en-US"/>
        </w:rPr>
        <w:t>.1</w:t>
      </w:r>
      <w:r>
        <w:rPr>
          <w:rFonts w:hint="eastAsia" w:ascii="宋体" w:hAnsi="宋体" w:eastAsia="宋体" w:cs="宋体"/>
          <w:kern w:val="2"/>
          <w:sz w:val="24"/>
          <w:szCs w:val="24"/>
          <w:rtl w:val="0"/>
          <w:lang w:val="zh-TW" w:eastAsia="zh-TW"/>
        </w:rPr>
        <w:t>中标人在签订</w:t>
      </w:r>
      <w:r>
        <w:rPr>
          <w:rFonts w:hint="eastAsia" w:ascii="宋体" w:hAnsi="宋体" w:eastAsia="宋体" w:cs="宋体"/>
          <w:kern w:val="2"/>
          <w:sz w:val="24"/>
          <w:szCs w:val="24"/>
          <w:rtl w:val="0"/>
          <w:lang w:val="zh-TW" w:eastAsia="zh-CN"/>
        </w:rPr>
        <w:t>服务</w:t>
      </w:r>
      <w:r>
        <w:rPr>
          <w:rFonts w:hint="eastAsia" w:ascii="宋体" w:hAnsi="宋体" w:eastAsia="宋体" w:cs="宋体"/>
          <w:kern w:val="2"/>
          <w:sz w:val="24"/>
          <w:szCs w:val="24"/>
          <w:rtl w:val="0"/>
          <w:lang w:val="zh-TW" w:eastAsia="zh-TW"/>
        </w:rPr>
        <w:t>合同时需向招标人提交合同价金额</w:t>
      </w:r>
      <w:r>
        <w:rPr>
          <w:rFonts w:hint="eastAsia" w:ascii="宋体" w:hAnsi="宋体" w:eastAsia="宋体" w:cs="宋体"/>
          <w:kern w:val="2"/>
          <w:sz w:val="24"/>
          <w:szCs w:val="24"/>
          <w:rtl w:val="0"/>
          <w:lang w:val="en-US" w:eastAsia="zh-CN"/>
        </w:rPr>
        <w:t>2.5</w:t>
      </w:r>
      <w:r>
        <w:rPr>
          <w:rFonts w:hint="eastAsia" w:ascii="宋体" w:hAnsi="宋体" w:eastAsia="宋体" w:cs="宋体"/>
          <w:kern w:val="2"/>
          <w:sz w:val="24"/>
          <w:szCs w:val="24"/>
          <w:rtl w:val="0"/>
          <w:lang w:val="zh-TW" w:eastAsia="zh-TW"/>
        </w:rPr>
        <w:t>％的合同履约保证金；在</w:t>
      </w:r>
      <w:r>
        <w:rPr>
          <w:rFonts w:hint="eastAsia" w:ascii="宋体" w:hAnsi="宋体" w:eastAsia="宋体" w:cs="宋体"/>
          <w:kern w:val="2"/>
          <w:sz w:val="24"/>
          <w:szCs w:val="24"/>
          <w:rtl w:val="0"/>
          <w:lang w:val="zh-TW" w:eastAsia="zh-CN"/>
        </w:rPr>
        <w:t>项目服务</w:t>
      </w:r>
      <w:r>
        <w:rPr>
          <w:rFonts w:hint="eastAsia" w:ascii="宋体" w:hAnsi="宋体" w:eastAsia="宋体" w:cs="宋体"/>
          <w:kern w:val="2"/>
          <w:sz w:val="24"/>
          <w:szCs w:val="24"/>
          <w:rtl w:val="0"/>
          <w:lang w:val="zh-TW" w:eastAsia="zh-TW"/>
        </w:rPr>
        <w:t>期满后三十天内退还（无息）。如</w:t>
      </w:r>
      <w:r>
        <w:rPr>
          <w:rFonts w:hint="eastAsia" w:ascii="宋体" w:hAnsi="宋体" w:eastAsia="宋体" w:cs="宋体"/>
          <w:kern w:val="2"/>
          <w:sz w:val="24"/>
          <w:szCs w:val="24"/>
          <w:rtl w:val="0"/>
          <w:lang w:val="zh-TW" w:eastAsia="zh-CN"/>
        </w:rPr>
        <w:t>合同服务</w:t>
      </w:r>
      <w:r>
        <w:rPr>
          <w:rFonts w:hint="eastAsia" w:ascii="宋体" w:hAnsi="宋体" w:eastAsia="宋体" w:cs="宋体"/>
          <w:kern w:val="2"/>
          <w:sz w:val="24"/>
          <w:szCs w:val="24"/>
          <w:rtl w:val="0"/>
          <w:lang w:val="zh-TW" w:eastAsia="zh-TW"/>
        </w:rPr>
        <w:t>期内，中标人没按要求履行合同则保证金不予归还。</w:t>
      </w:r>
    </w:p>
    <w:p>
      <w:pPr>
        <w:spacing w:line="400" w:lineRule="exact"/>
        <w:ind w:firstLine="480" w:firstLineChars="200"/>
        <w:rPr>
          <w:rFonts w:hint="eastAsia" w:ascii="宋体" w:hAnsi="宋体" w:eastAsia="宋体" w:cs="宋体"/>
          <w:kern w:val="2"/>
          <w:sz w:val="24"/>
          <w:szCs w:val="24"/>
          <w:rtl w:val="0"/>
          <w:lang w:val="zh-TW" w:eastAsia="zh-TW"/>
        </w:rPr>
      </w:pPr>
      <w:r>
        <w:rPr>
          <w:rFonts w:hint="eastAsia" w:ascii="宋体" w:hAnsi="宋体" w:eastAsia="宋体" w:cs="宋体"/>
          <w:kern w:val="2"/>
          <w:sz w:val="24"/>
          <w:szCs w:val="24"/>
          <w:rtl w:val="0"/>
          <w:lang w:val="en-US" w:eastAsia="zh-CN"/>
        </w:rPr>
        <w:t>7</w:t>
      </w:r>
      <w:r>
        <w:rPr>
          <w:rFonts w:hint="eastAsia" w:ascii="宋体" w:hAnsi="宋体" w:eastAsia="宋体" w:cs="宋体"/>
          <w:kern w:val="2"/>
          <w:sz w:val="24"/>
          <w:szCs w:val="24"/>
          <w:rtl w:val="0"/>
          <w:lang w:val="en-US"/>
        </w:rPr>
        <w:t>.2</w:t>
      </w:r>
      <w:r>
        <w:rPr>
          <w:rFonts w:hint="eastAsia" w:ascii="宋体" w:hAnsi="宋体" w:eastAsia="宋体" w:cs="宋体"/>
          <w:kern w:val="2"/>
          <w:sz w:val="24"/>
          <w:szCs w:val="24"/>
          <w:rtl w:val="0"/>
          <w:lang w:val="zh-TW" w:eastAsia="zh-TW"/>
        </w:rPr>
        <w:t>在</w:t>
      </w:r>
      <w:r>
        <w:rPr>
          <w:rFonts w:hint="eastAsia" w:ascii="宋体" w:hAnsi="宋体" w:eastAsia="宋体" w:cs="宋体"/>
          <w:kern w:val="2"/>
          <w:sz w:val="24"/>
          <w:szCs w:val="24"/>
          <w:rtl w:val="0"/>
          <w:lang w:val="zh-TW" w:eastAsia="zh-CN"/>
        </w:rPr>
        <w:t>服务</w:t>
      </w:r>
      <w:r>
        <w:rPr>
          <w:rFonts w:hint="eastAsia" w:ascii="宋体" w:hAnsi="宋体" w:eastAsia="宋体" w:cs="宋体"/>
          <w:kern w:val="2"/>
          <w:sz w:val="24"/>
          <w:szCs w:val="24"/>
          <w:rtl w:val="0"/>
          <w:lang w:val="zh-TW" w:eastAsia="zh-TW"/>
        </w:rPr>
        <w:t>期内如因</w:t>
      </w:r>
      <w:r>
        <w:rPr>
          <w:rFonts w:hint="eastAsia" w:ascii="宋体" w:hAnsi="宋体" w:eastAsia="宋体" w:cs="宋体"/>
          <w:kern w:val="2"/>
          <w:sz w:val="24"/>
          <w:szCs w:val="24"/>
          <w:rtl w:val="0"/>
          <w:lang w:val="zh-TW" w:eastAsia="zh-CN"/>
        </w:rPr>
        <w:t>中标</w:t>
      </w:r>
      <w:r>
        <w:rPr>
          <w:rFonts w:hint="eastAsia" w:ascii="宋体" w:hAnsi="宋体" w:eastAsia="宋体" w:cs="宋体"/>
          <w:kern w:val="2"/>
          <w:sz w:val="24"/>
          <w:szCs w:val="24"/>
          <w:rtl w:val="0"/>
          <w:lang w:val="zh-TW" w:eastAsia="zh-TW"/>
        </w:rPr>
        <w:t>人原因造成</w:t>
      </w:r>
      <w:r>
        <w:rPr>
          <w:rFonts w:hint="eastAsia" w:ascii="宋体" w:hAnsi="宋体" w:eastAsia="宋体" w:cs="宋体"/>
          <w:kern w:val="2"/>
          <w:sz w:val="24"/>
          <w:szCs w:val="24"/>
          <w:rtl w:val="0"/>
          <w:lang w:val="zh-TW" w:eastAsia="zh-CN"/>
        </w:rPr>
        <w:t>采购</w:t>
      </w:r>
      <w:r>
        <w:rPr>
          <w:rFonts w:hint="eastAsia" w:ascii="宋体" w:hAnsi="宋体" w:eastAsia="宋体" w:cs="宋体"/>
          <w:kern w:val="2"/>
          <w:sz w:val="24"/>
          <w:szCs w:val="24"/>
          <w:rtl w:val="0"/>
          <w:lang w:val="zh-TW" w:eastAsia="zh-TW"/>
        </w:rPr>
        <w:t>人财产损失的，</w:t>
      </w:r>
      <w:r>
        <w:rPr>
          <w:rFonts w:hint="eastAsia" w:ascii="宋体" w:hAnsi="宋体" w:eastAsia="宋体" w:cs="宋体"/>
          <w:kern w:val="2"/>
          <w:sz w:val="24"/>
          <w:szCs w:val="24"/>
          <w:rtl w:val="0"/>
          <w:lang w:val="zh-TW" w:eastAsia="zh-CN"/>
        </w:rPr>
        <w:t>采购</w:t>
      </w:r>
      <w:r>
        <w:rPr>
          <w:rFonts w:hint="eastAsia" w:ascii="宋体" w:hAnsi="宋体" w:eastAsia="宋体" w:cs="宋体"/>
          <w:kern w:val="2"/>
          <w:sz w:val="24"/>
          <w:szCs w:val="24"/>
          <w:rtl w:val="0"/>
          <w:lang w:val="zh-TW" w:eastAsia="zh-TW"/>
        </w:rPr>
        <w:t>人有权酌情扣去履约保证金。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宋体" w:hAnsi="宋体" w:cs="宋体"/>
          <w:b w:val="0"/>
          <w:bCs/>
          <w:color w:val="auto"/>
          <w:sz w:val="24"/>
          <w:highlight w:val="none"/>
        </w:rPr>
      </w:pPr>
    </w:p>
    <w:p>
      <w:pPr>
        <w:snapToGrid w:val="0"/>
        <w:spacing w:line="360" w:lineRule="auto"/>
        <w:jc w:val="center"/>
        <w:rPr>
          <w:rFonts w:hint="eastAsia" w:ascii="仿宋" w:hAnsi="仿宋" w:eastAsia="仿宋" w:cs="仿宋"/>
          <w:b/>
          <w:color w:val="auto"/>
          <w:sz w:val="36"/>
          <w:szCs w:val="36"/>
        </w:rPr>
      </w:pPr>
      <w:r>
        <w:rPr>
          <w:rFonts w:ascii="仿宋" w:hAnsi="仿宋" w:eastAsia="仿宋" w:cs="仿宋_GB2312"/>
          <w:b/>
          <w:sz w:val="24"/>
        </w:rPr>
        <w:br w:type="page"/>
      </w:r>
      <w:r>
        <w:rPr>
          <w:rFonts w:hint="eastAsia" w:ascii="仿宋" w:hAnsi="仿宋" w:eastAsia="仿宋" w:cs="仿宋"/>
          <w:b/>
          <w:color w:val="auto"/>
          <w:sz w:val="36"/>
          <w:szCs w:val="36"/>
        </w:rPr>
        <w:t xml:space="preserve">四部分   </w:t>
      </w:r>
      <w:bookmarkStart w:id="27" w:name="_Toc184308066"/>
      <w:bookmarkEnd w:id="27"/>
      <w:bookmarkStart w:id="28" w:name="_Toc184308103"/>
      <w:bookmarkEnd w:id="28"/>
      <w:bookmarkStart w:id="29" w:name="_Toc184312108"/>
      <w:bookmarkEnd w:id="29"/>
      <w:bookmarkStart w:id="30" w:name="_Toc184308073"/>
      <w:bookmarkEnd w:id="30"/>
      <w:bookmarkStart w:id="31" w:name="_Toc184312072"/>
      <w:bookmarkEnd w:id="31"/>
      <w:bookmarkStart w:id="32" w:name="_Toc184314443"/>
      <w:bookmarkEnd w:id="32"/>
      <w:bookmarkStart w:id="33" w:name="_Toc184314433"/>
      <w:bookmarkEnd w:id="33"/>
      <w:bookmarkStart w:id="34" w:name="_Toc184313306"/>
      <w:bookmarkEnd w:id="34"/>
      <w:bookmarkStart w:id="35" w:name="_Toc184310287"/>
      <w:bookmarkEnd w:id="35"/>
      <w:bookmarkStart w:id="36" w:name="_Toc184312097"/>
      <w:bookmarkEnd w:id="36"/>
      <w:bookmarkStart w:id="37" w:name="_Toc184313240"/>
      <w:bookmarkEnd w:id="37"/>
      <w:bookmarkStart w:id="38" w:name="_Toc184312074"/>
      <w:bookmarkEnd w:id="38"/>
      <w:bookmarkStart w:id="39" w:name="_Toc184314465"/>
      <w:bookmarkEnd w:id="39"/>
      <w:bookmarkStart w:id="40" w:name="_Toc184308070"/>
      <w:bookmarkEnd w:id="40"/>
      <w:bookmarkStart w:id="41" w:name="_Toc184312134"/>
      <w:bookmarkEnd w:id="41"/>
      <w:bookmarkStart w:id="42" w:name="_Toc184308037"/>
      <w:bookmarkEnd w:id="42"/>
      <w:bookmarkStart w:id="43" w:name="_Toc184308049"/>
      <w:bookmarkEnd w:id="43"/>
      <w:bookmarkStart w:id="44" w:name="_Toc184313294"/>
      <w:bookmarkEnd w:id="44"/>
      <w:bookmarkStart w:id="45" w:name="_Toc184313255"/>
      <w:bookmarkEnd w:id="45"/>
      <w:bookmarkStart w:id="46" w:name="_Toc184312094"/>
      <w:bookmarkEnd w:id="46"/>
      <w:bookmarkStart w:id="47" w:name="_Toc184314429"/>
      <w:bookmarkEnd w:id="47"/>
      <w:bookmarkStart w:id="48" w:name="_Toc184313285"/>
      <w:bookmarkEnd w:id="48"/>
      <w:bookmarkStart w:id="49" w:name="_Toc184313300"/>
      <w:bookmarkEnd w:id="49"/>
      <w:bookmarkStart w:id="50" w:name="_Toc184310325"/>
      <w:bookmarkEnd w:id="50"/>
      <w:bookmarkStart w:id="51" w:name="_Toc184310335"/>
      <w:bookmarkEnd w:id="51"/>
      <w:bookmarkStart w:id="52" w:name="_Toc184310307"/>
      <w:bookmarkEnd w:id="52"/>
      <w:bookmarkStart w:id="53" w:name="_Toc184313257"/>
      <w:bookmarkEnd w:id="53"/>
      <w:bookmarkStart w:id="54" w:name="_Toc184310291"/>
      <w:bookmarkEnd w:id="54"/>
      <w:bookmarkStart w:id="55" w:name="_Toc184314415"/>
      <w:bookmarkEnd w:id="55"/>
      <w:bookmarkStart w:id="56" w:name="_Toc184312115"/>
      <w:bookmarkEnd w:id="56"/>
      <w:bookmarkStart w:id="57" w:name="_Toc184314416"/>
      <w:bookmarkEnd w:id="57"/>
      <w:bookmarkStart w:id="58" w:name="_Toc184312121"/>
      <w:bookmarkEnd w:id="58"/>
      <w:bookmarkStart w:id="59" w:name="_Toc184308067"/>
      <w:bookmarkEnd w:id="59"/>
      <w:bookmarkStart w:id="60" w:name="_Toc184308104"/>
      <w:bookmarkEnd w:id="60"/>
      <w:bookmarkStart w:id="61" w:name="_Toc184314414"/>
      <w:bookmarkEnd w:id="61"/>
      <w:bookmarkStart w:id="62" w:name="_Toc184312084"/>
      <w:bookmarkEnd w:id="62"/>
      <w:bookmarkStart w:id="63" w:name="_Toc184312091"/>
      <w:bookmarkEnd w:id="63"/>
      <w:bookmarkStart w:id="64" w:name="_Toc184314426"/>
      <w:bookmarkEnd w:id="64"/>
      <w:bookmarkStart w:id="65" w:name="_Toc184308086"/>
      <w:bookmarkEnd w:id="65"/>
      <w:bookmarkStart w:id="66" w:name="_Toc184314445"/>
      <w:bookmarkEnd w:id="66"/>
      <w:bookmarkStart w:id="67" w:name="_Toc184310315"/>
      <w:bookmarkEnd w:id="67"/>
      <w:bookmarkStart w:id="68" w:name="_Toc184313283"/>
      <w:bookmarkEnd w:id="68"/>
      <w:bookmarkStart w:id="69" w:name="_Toc184314421"/>
      <w:bookmarkEnd w:id="69"/>
      <w:bookmarkStart w:id="70" w:name="_Toc184314422"/>
      <w:bookmarkEnd w:id="70"/>
      <w:bookmarkStart w:id="71" w:name="_Toc184308059"/>
      <w:bookmarkEnd w:id="71"/>
      <w:bookmarkStart w:id="72" w:name="_Toc184313238"/>
      <w:bookmarkEnd w:id="72"/>
      <w:bookmarkStart w:id="73" w:name="_Toc184314418"/>
      <w:bookmarkEnd w:id="73"/>
      <w:bookmarkStart w:id="74" w:name="_Toc184308057"/>
      <w:bookmarkEnd w:id="74"/>
      <w:bookmarkStart w:id="75" w:name="_Toc184314480"/>
      <w:bookmarkEnd w:id="75"/>
      <w:bookmarkStart w:id="76" w:name="_Toc184310288"/>
      <w:bookmarkEnd w:id="76"/>
      <w:bookmarkStart w:id="77" w:name="_Toc184310323"/>
      <w:bookmarkEnd w:id="77"/>
      <w:bookmarkStart w:id="78" w:name="_Toc184314471"/>
      <w:bookmarkEnd w:id="78"/>
      <w:bookmarkStart w:id="79" w:name="_Toc184314419"/>
      <w:bookmarkEnd w:id="79"/>
      <w:bookmarkStart w:id="80" w:name="_Toc184313271"/>
      <w:bookmarkEnd w:id="80"/>
      <w:bookmarkStart w:id="81" w:name="_Toc184314455"/>
      <w:bookmarkEnd w:id="81"/>
      <w:bookmarkStart w:id="82" w:name="_Toc184310327"/>
      <w:bookmarkEnd w:id="82"/>
      <w:bookmarkStart w:id="83" w:name="_Toc184312071"/>
      <w:bookmarkEnd w:id="83"/>
      <w:bookmarkStart w:id="84" w:name="_Toc184308058"/>
      <w:bookmarkEnd w:id="84"/>
      <w:bookmarkStart w:id="85" w:name="_Toc184313262"/>
      <w:bookmarkEnd w:id="85"/>
      <w:bookmarkStart w:id="86" w:name="_Toc184314454"/>
      <w:bookmarkEnd w:id="86"/>
      <w:bookmarkStart w:id="87" w:name="_Toc184312118"/>
      <w:bookmarkEnd w:id="87"/>
      <w:bookmarkStart w:id="88" w:name="_Toc184308043"/>
      <w:bookmarkEnd w:id="88"/>
      <w:bookmarkStart w:id="89" w:name="_Toc184314423"/>
      <w:bookmarkEnd w:id="89"/>
      <w:bookmarkStart w:id="90" w:name="_Toc184312130"/>
      <w:bookmarkEnd w:id="90"/>
      <w:bookmarkStart w:id="91" w:name="_Toc184314463"/>
      <w:bookmarkEnd w:id="91"/>
      <w:bookmarkStart w:id="92" w:name="_Toc184313256"/>
      <w:bookmarkEnd w:id="92"/>
      <w:bookmarkStart w:id="93" w:name="_Toc184313304"/>
      <w:bookmarkEnd w:id="93"/>
      <w:bookmarkStart w:id="94" w:name="_Toc184313278"/>
      <w:bookmarkEnd w:id="94"/>
      <w:bookmarkStart w:id="95" w:name="_Toc184308105"/>
      <w:bookmarkEnd w:id="95"/>
      <w:bookmarkStart w:id="96" w:name="_Toc184312114"/>
      <w:bookmarkEnd w:id="96"/>
      <w:bookmarkStart w:id="97" w:name="_Toc184313307"/>
      <w:bookmarkEnd w:id="97"/>
      <w:bookmarkStart w:id="98" w:name="_Toc184308053"/>
      <w:bookmarkEnd w:id="98"/>
      <w:bookmarkStart w:id="99" w:name="_Toc184313295"/>
      <w:bookmarkEnd w:id="99"/>
      <w:bookmarkStart w:id="100" w:name="_Toc184310272"/>
      <w:bookmarkEnd w:id="100"/>
      <w:bookmarkStart w:id="101" w:name="_Toc184312070"/>
      <w:bookmarkEnd w:id="101"/>
      <w:bookmarkStart w:id="102" w:name="_Toc184310285"/>
      <w:bookmarkEnd w:id="102"/>
      <w:bookmarkStart w:id="103" w:name="_Toc184308038"/>
      <w:bookmarkEnd w:id="103"/>
      <w:bookmarkStart w:id="104" w:name="_Toc184314444"/>
      <w:bookmarkEnd w:id="104"/>
      <w:bookmarkStart w:id="105" w:name="_Toc184314442"/>
      <w:bookmarkEnd w:id="105"/>
      <w:bookmarkStart w:id="106" w:name="_Toc184314440"/>
      <w:bookmarkEnd w:id="106"/>
      <w:bookmarkStart w:id="107" w:name="_Toc184308055"/>
      <w:bookmarkEnd w:id="107"/>
      <w:bookmarkStart w:id="108" w:name="_Toc184308047"/>
      <w:bookmarkEnd w:id="108"/>
      <w:bookmarkStart w:id="109" w:name="_Toc184310316"/>
      <w:bookmarkEnd w:id="109"/>
      <w:bookmarkStart w:id="110" w:name="_Toc184314449"/>
      <w:bookmarkEnd w:id="110"/>
      <w:bookmarkStart w:id="111" w:name="_Toc184312079"/>
      <w:bookmarkEnd w:id="111"/>
      <w:bookmarkStart w:id="112" w:name="_Toc184312112"/>
      <w:bookmarkEnd w:id="112"/>
      <w:bookmarkStart w:id="113" w:name="_Toc184313301"/>
      <w:bookmarkEnd w:id="113"/>
      <w:bookmarkStart w:id="114" w:name="_Toc184312139"/>
      <w:bookmarkEnd w:id="114"/>
      <w:bookmarkStart w:id="115" w:name="_Toc184314420"/>
      <w:bookmarkEnd w:id="115"/>
      <w:bookmarkStart w:id="116" w:name="_Toc184312068"/>
      <w:bookmarkEnd w:id="116"/>
      <w:bookmarkStart w:id="117" w:name="_Toc184308106"/>
      <w:bookmarkEnd w:id="117"/>
      <w:bookmarkStart w:id="118" w:name="_Toc184312105"/>
      <w:bookmarkEnd w:id="118"/>
      <w:bookmarkStart w:id="119" w:name="_Toc184314468"/>
      <w:bookmarkEnd w:id="119"/>
      <w:bookmarkStart w:id="120" w:name="_Toc184312132"/>
      <w:bookmarkEnd w:id="120"/>
      <w:bookmarkStart w:id="121" w:name="_Toc184308046"/>
      <w:bookmarkEnd w:id="121"/>
      <w:bookmarkStart w:id="122" w:name="_Toc184312099"/>
      <w:bookmarkEnd w:id="122"/>
      <w:bookmarkStart w:id="123" w:name="_Toc184308082"/>
      <w:bookmarkEnd w:id="123"/>
      <w:bookmarkStart w:id="124" w:name="_Toc184314446"/>
      <w:bookmarkEnd w:id="124"/>
      <w:bookmarkStart w:id="125" w:name="_Toc184314436"/>
      <w:bookmarkEnd w:id="125"/>
      <w:bookmarkStart w:id="126" w:name="_Toc184310333"/>
      <w:bookmarkEnd w:id="126"/>
      <w:bookmarkStart w:id="127" w:name="_Toc184308036"/>
      <w:bookmarkEnd w:id="127"/>
      <w:bookmarkStart w:id="128" w:name="_Toc184313260"/>
      <w:bookmarkEnd w:id="128"/>
      <w:bookmarkStart w:id="129" w:name="_Toc184313258"/>
      <w:bookmarkEnd w:id="129"/>
      <w:bookmarkStart w:id="130" w:name="_Toc184313239"/>
      <w:bookmarkEnd w:id="130"/>
      <w:bookmarkStart w:id="131" w:name="_Toc184312138"/>
      <w:bookmarkEnd w:id="131"/>
      <w:bookmarkStart w:id="132" w:name="_Toc184312073"/>
      <w:bookmarkEnd w:id="132"/>
      <w:bookmarkStart w:id="133" w:name="_Toc184310278"/>
      <w:bookmarkEnd w:id="133"/>
      <w:bookmarkStart w:id="134" w:name="_Toc184313297"/>
      <w:bookmarkEnd w:id="134"/>
      <w:bookmarkStart w:id="135" w:name="_Toc184312080"/>
      <w:bookmarkEnd w:id="135"/>
      <w:bookmarkStart w:id="136" w:name="_Toc184313244"/>
      <w:bookmarkEnd w:id="136"/>
      <w:bookmarkStart w:id="137" w:name="_Toc184313249"/>
      <w:bookmarkEnd w:id="137"/>
      <w:bookmarkStart w:id="138" w:name="_Toc184313299"/>
      <w:bookmarkEnd w:id="138"/>
      <w:bookmarkStart w:id="139" w:name="_Toc184314466"/>
      <w:bookmarkEnd w:id="139"/>
      <w:bookmarkStart w:id="140" w:name="_Toc184314441"/>
      <w:bookmarkEnd w:id="140"/>
      <w:bookmarkStart w:id="141" w:name="_Toc184310338"/>
      <w:bookmarkEnd w:id="141"/>
      <w:bookmarkStart w:id="142" w:name="_Toc184313243"/>
      <w:bookmarkEnd w:id="142"/>
      <w:bookmarkStart w:id="143" w:name="_Toc184310286"/>
      <w:bookmarkEnd w:id="143"/>
      <w:bookmarkStart w:id="144" w:name="_Toc184312077"/>
      <w:bookmarkEnd w:id="144"/>
      <w:bookmarkStart w:id="145" w:name="_Toc184310314"/>
      <w:bookmarkEnd w:id="145"/>
      <w:bookmarkStart w:id="146" w:name="_Toc184314457"/>
      <w:bookmarkEnd w:id="146"/>
      <w:bookmarkStart w:id="147" w:name="_Toc184312125"/>
      <w:bookmarkEnd w:id="147"/>
      <w:bookmarkStart w:id="148" w:name="_Toc184308040"/>
      <w:bookmarkEnd w:id="148"/>
      <w:bookmarkStart w:id="149" w:name="_Toc184312096"/>
      <w:bookmarkEnd w:id="149"/>
      <w:bookmarkStart w:id="150" w:name="_Toc184313241"/>
      <w:bookmarkEnd w:id="150"/>
      <w:bookmarkStart w:id="151" w:name="_Toc184310309"/>
      <w:bookmarkEnd w:id="151"/>
      <w:bookmarkStart w:id="152" w:name="_Toc184313269"/>
      <w:bookmarkEnd w:id="152"/>
      <w:bookmarkStart w:id="153" w:name="_Toc184313279"/>
      <w:bookmarkEnd w:id="153"/>
      <w:bookmarkStart w:id="154" w:name="_Toc184313293"/>
      <w:bookmarkEnd w:id="154"/>
      <w:bookmarkStart w:id="155" w:name="_Toc184310283"/>
      <w:bookmarkEnd w:id="155"/>
      <w:bookmarkStart w:id="156" w:name="_Toc184314461"/>
      <w:bookmarkEnd w:id="156"/>
      <w:bookmarkStart w:id="157" w:name="_Toc184313290"/>
      <w:bookmarkEnd w:id="157"/>
      <w:bookmarkStart w:id="158" w:name="_Toc184308088"/>
      <w:bookmarkEnd w:id="158"/>
      <w:bookmarkStart w:id="159" w:name="_Toc184308085"/>
      <w:bookmarkEnd w:id="159"/>
      <w:bookmarkStart w:id="160" w:name="_Toc184314456"/>
      <w:bookmarkEnd w:id="160"/>
      <w:bookmarkStart w:id="161" w:name="_Toc184308107"/>
      <w:bookmarkEnd w:id="161"/>
      <w:bookmarkStart w:id="162" w:name="_Toc184308084"/>
      <w:bookmarkEnd w:id="162"/>
      <w:bookmarkStart w:id="163" w:name="_Toc184314451"/>
      <w:bookmarkEnd w:id="163"/>
      <w:bookmarkStart w:id="164" w:name="_Toc184313287"/>
      <w:bookmarkEnd w:id="164"/>
      <w:bookmarkStart w:id="165" w:name="_Toc184308071"/>
      <w:bookmarkEnd w:id="165"/>
      <w:bookmarkStart w:id="166" w:name="_Toc184308051"/>
      <w:bookmarkEnd w:id="166"/>
      <w:bookmarkStart w:id="167" w:name="_Toc184314439"/>
      <w:bookmarkEnd w:id="167"/>
      <w:bookmarkStart w:id="168" w:name="_Toc184312110"/>
      <w:bookmarkEnd w:id="168"/>
      <w:bookmarkStart w:id="169" w:name="_Toc184310320"/>
      <w:bookmarkEnd w:id="169"/>
      <w:bookmarkStart w:id="170" w:name="_Toc184313291"/>
      <w:bookmarkEnd w:id="170"/>
      <w:bookmarkStart w:id="171" w:name="_Toc184308068"/>
      <w:bookmarkEnd w:id="171"/>
      <w:bookmarkStart w:id="172" w:name="_Toc184314467"/>
      <w:bookmarkEnd w:id="172"/>
      <w:bookmarkStart w:id="173" w:name="_Toc184310297"/>
      <w:bookmarkEnd w:id="173"/>
      <w:bookmarkStart w:id="174" w:name="_Toc184308050"/>
      <w:bookmarkEnd w:id="174"/>
      <w:bookmarkStart w:id="175" w:name="_Toc184310330"/>
      <w:bookmarkEnd w:id="175"/>
      <w:bookmarkStart w:id="176" w:name="_Toc184310284"/>
      <w:bookmarkEnd w:id="176"/>
      <w:bookmarkStart w:id="177" w:name="_Toc184313289"/>
      <w:bookmarkEnd w:id="177"/>
      <w:bookmarkStart w:id="178" w:name="_Toc184308108"/>
      <w:bookmarkEnd w:id="178"/>
      <w:bookmarkStart w:id="179" w:name="_Toc184312093"/>
      <w:bookmarkEnd w:id="179"/>
      <w:bookmarkStart w:id="180" w:name="_Toc184310289"/>
      <w:bookmarkEnd w:id="180"/>
      <w:bookmarkStart w:id="181" w:name="_Toc184313309"/>
      <w:bookmarkEnd w:id="181"/>
      <w:bookmarkStart w:id="182" w:name="_Toc184312119"/>
      <w:bookmarkEnd w:id="182"/>
      <w:bookmarkStart w:id="183" w:name="_Toc184310339"/>
      <w:bookmarkEnd w:id="183"/>
      <w:bookmarkStart w:id="184" w:name="_Toc184313286"/>
      <w:bookmarkEnd w:id="184"/>
      <w:bookmarkStart w:id="185" w:name="_Toc184314477"/>
      <w:bookmarkEnd w:id="185"/>
      <w:bookmarkStart w:id="186" w:name="_Toc184310311"/>
      <w:bookmarkEnd w:id="186"/>
      <w:bookmarkStart w:id="187" w:name="_Toc184310313"/>
      <w:bookmarkEnd w:id="187"/>
      <w:bookmarkStart w:id="188" w:name="_Toc184312123"/>
      <w:bookmarkEnd w:id="188"/>
      <w:bookmarkStart w:id="189" w:name="_Toc184312101"/>
      <w:bookmarkEnd w:id="189"/>
      <w:bookmarkStart w:id="190" w:name="_Toc184312126"/>
      <w:bookmarkEnd w:id="190"/>
      <w:bookmarkStart w:id="191" w:name="_Toc184312103"/>
      <w:bookmarkEnd w:id="191"/>
      <w:bookmarkStart w:id="192" w:name="_Toc184314417"/>
      <w:bookmarkEnd w:id="192"/>
      <w:bookmarkStart w:id="193" w:name="_Toc184308093"/>
      <w:bookmarkEnd w:id="193"/>
      <w:bookmarkStart w:id="194" w:name="_Toc184313272"/>
      <w:bookmarkEnd w:id="194"/>
      <w:bookmarkStart w:id="195" w:name="_Toc184308078"/>
      <w:bookmarkEnd w:id="195"/>
      <w:bookmarkStart w:id="196" w:name="_Toc184314475"/>
      <w:bookmarkEnd w:id="196"/>
      <w:bookmarkStart w:id="197" w:name="_Toc184312135"/>
      <w:bookmarkEnd w:id="197"/>
      <w:bookmarkStart w:id="198" w:name="_Toc184308060"/>
      <w:bookmarkEnd w:id="198"/>
      <w:bookmarkStart w:id="199" w:name="_Toc184314431"/>
      <w:bookmarkEnd w:id="199"/>
      <w:bookmarkStart w:id="200" w:name="_Toc184313282"/>
      <w:bookmarkEnd w:id="200"/>
      <w:bookmarkStart w:id="201" w:name="_Toc184308076"/>
      <w:bookmarkEnd w:id="201"/>
      <w:bookmarkStart w:id="202" w:name="_Toc184313264"/>
      <w:bookmarkEnd w:id="202"/>
      <w:bookmarkStart w:id="203" w:name="_Toc184314413"/>
      <w:bookmarkEnd w:id="203"/>
      <w:bookmarkStart w:id="204" w:name="_Toc184314470"/>
      <w:bookmarkEnd w:id="204"/>
      <w:bookmarkStart w:id="205" w:name="_Toc184312098"/>
      <w:bookmarkEnd w:id="205"/>
      <w:bookmarkStart w:id="206" w:name="_Toc184313250"/>
      <w:bookmarkEnd w:id="206"/>
      <w:bookmarkStart w:id="207" w:name="_Toc184310281"/>
      <w:bookmarkEnd w:id="207"/>
      <w:bookmarkStart w:id="208" w:name="_Toc184314448"/>
      <w:bookmarkEnd w:id="208"/>
      <w:bookmarkStart w:id="209" w:name="_Toc184312104"/>
      <w:bookmarkEnd w:id="209"/>
      <w:bookmarkStart w:id="210" w:name="_Toc184314462"/>
      <w:bookmarkEnd w:id="210"/>
      <w:bookmarkStart w:id="211" w:name="_Toc184308083"/>
      <w:bookmarkEnd w:id="211"/>
      <w:bookmarkStart w:id="212" w:name="_Toc184308097"/>
      <w:bookmarkEnd w:id="212"/>
      <w:bookmarkStart w:id="213" w:name="_Toc184313276"/>
      <w:bookmarkEnd w:id="213"/>
      <w:bookmarkStart w:id="214" w:name="_Toc184314459"/>
      <w:bookmarkEnd w:id="214"/>
      <w:bookmarkStart w:id="215" w:name="_Toc184314481"/>
      <w:bookmarkEnd w:id="215"/>
      <w:bookmarkStart w:id="216" w:name="_Toc184312116"/>
      <w:bookmarkEnd w:id="216"/>
      <w:bookmarkStart w:id="217" w:name="_Toc184313288"/>
      <w:bookmarkEnd w:id="217"/>
      <w:bookmarkStart w:id="218" w:name="_Toc184313268"/>
      <w:bookmarkEnd w:id="218"/>
      <w:bookmarkStart w:id="219" w:name="_Toc184310336"/>
      <w:bookmarkEnd w:id="219"/>
      <w:bookmarkStart w:id="220" w:name="_Toc184308081"/>
      <w:bookmarkEnd w:id="220"/>
      <w:bookmarkStart w:id="221" w:name="_Toc184312089"/>
      <w:bookmarkEnd w:id="221"/>
      <w:bookmarkStart w:id="222" w:name="_Toc184313292"/>
      <w:bookmarkEnd w:id="222"/>
      <w:bookmarkStart w:id="223" w:name="_Toc184310332"/>
      <w:bookmarkEnd w:id="223"/>
      <w:bookmarkStart w:id="224" w:name="_Toc184308091"/>
      <w:bookmarkEnd w:id="224"/>
      <w:bookmarkStart w:id="225" w:name="_Toc184310340"/>
      <w:bookmarkEnd w:id="225"/>
      <w:bookmarkStart w:id="226" w:name="_Toc184314424"/>
      <w:bookmarkEnd w:id="226"/>
      <w:bookmarkStart w:id="227" w:name="_Toc184312127"/>
      <w:bookmarkEnd w:id="227"/>
      <w:bookmarkStart w:id="228" w:name="_Toc184314430"/>
      <w:bookmarkEnd w:id="228"/>
      <w:bookmarkStart w:id="229" w:name="_Toc184314478"/>
      <w:bookmarkEnd w:id="229"/>
      <w:bookmarkStart w:id="230" w:name="_Toc184313270"/>
      <w:bookmarkEnd w:id="230"/>
      <w:bookmarkStart w:id="231" w:name="_Toc184313252"/>
      <w:bookmarkEnd w:id="231"/>
      <w:bookmarkStart w:id="232" w:name="_Toc184310321"/>
      <w:bookmarkEnd w:id="232"/>
      <w:bookmarkStart w:id="233" w:name="_Toc184310277"/>
      <w:bookmarkEnd w:id="233"/>
      <w:bookmarkStart w:id="234" w:name="_Toc184312137"/>
      <w:bookmarkEnd w:id="234"/>
      <w:bookmarkStart w:id="235" w:name="_Toc184310319"/>
      <w:bookmarkEnd w:id="235"/>
      <w:bookmarkStart w:id="236" w:name="_Toc184310324"/>
      <w:bookmarkEnd w:id="236"/>
      <w:bookmarkStart w:id="237" w:name="_Toc184312069"/>
      <w:bookmarkEnd w:id="237"/>
      <w:bookmarkStart w:id="238" w:name="_Toc184313302"/>
      <w:bookmarkEnd w:id="238"/>
      <w:bookmarkStart w:id="239" w:name="_Toc184312102"/>
      <w:bookmarkEnd w:id="239"/>
      <w:bookmarkStart w:id="240" w:name="_Toc184308052"/>
      <w:bookmarkEnd w:id="240"/>
      <w:bookmarkStart w:id="241" w:name="_Toc184308063"/>
      <w:bookmarkEnd w:id="241"/>
      <w:bookmarkStart w:id="242" w:name="_Toc184308069"/>
      <w:bookmarkEnd w:id="242"/>
      <w:bookmarkStart w:id="243" w:name="_Toc184312095"/>
      <w:bookmarkEnd w:id="243"/>
      <w:bookmarkStart w:id="244" w:name="_Toc184308098"/>
      <w:bookmarkEnd w:id="244"/>
      <w:bookmarkStart w:id="245" w:name="_Toc184313261"/>
      <w:bookmarkEnd w:id="245"/>
      <w:bookmarkStart w:id="246" w:name="_Toc184313296"/>
      <w:bookmarkEnd w:id="246"/>
      <w:bookmarkStart w:id="247" w:name="_Toc184308100"/>
      <w:bookmarkEnd w:id="247"/>
      <w:bookmarkStart w:id="248" w:name="_Toc184310276"/>
      <w:bookmarkEnd w:id="248"/>
      <w:bookmarkStart w:id="249" w:name="_Toc184314453"/>
      <w:bookmarkEnd w:id="249"/>
      <w:bookmarkStart w:id="250" w:name="_Toc184308089"/>
      <w:bookmarkEnd w:id="250"/>
      <w:bookmarkStart w:id="251" w:name="_Toc184314469"/>
      <w:bookmarkEnd w:id="251"/>
      <w:bookmarkStart w:id="252" w:name="_Toc184314412"/>
      <w:bookmarkEnd w:id="252"/>
      <w:bookmarkStart w:id="253" w:name="_Toc184310290"/>
      <w:bookmarkEnd w:id="253"/>
      <w:bookmarkStart w:id="254" w:name="_Toc184314425"/>
      <w:bookmarkEnd w:id="254"/>
      <w:bookmarkStart w:id="255" w:name="_Toc184308072"/>
      <w:bookmarkEnd w:id="255"/>
      <w:bookmarkStart w:id="256" w:name="_Toc184313245"/>
      <w:bookmarkEnd w:id="256"/>
      <w:bookmarkStart w:id="257" w:name="_Toc184313277"/>
      <w:bookmarkEnd w:id="257"/>
      <w:bookmarkStart w:id="258" w:name="_Toc184313242"/>
      <w:bookmarkEnd w:id="258"/>
      <w:bookmarkStart w:id="259" w:name="_Toc184313267"/>
      <w:bookmarkEnd w:id="259"/>
      <w:bookmarkStart w:id="260" w:name="_Toc184313263"/>
      <w:bookmarkEnd w:id="260"/>
      <w:bookmarkStart w:id="261" w:name="_Toc184310341"/>
      <w:bookmarkEnd w:id="261"/>
      <w:bookmarkStart w:id="262" w:name="_Toc184310328"/>
      <w:bookmarkEnd w:id="262"/>
      <w:bookmarkStart w:id="263" w:name="_Toc184313303"/>
      <w:bookmarkEnd w:id="263"/>
      <w:bookmarkStart w:id="264" w:name="_Toc184310337"/>
      <w:bookmarkEnd w:id="264"/>
      <w:bookmarkStart w:id="265" w:name="_Toc184308039"/>
      <w:bookmarkEnd w:id="265"/>
      <w:bookmarkStart w:id="266" w:name="_Toc184310298"/>
      <w:bookmarkEnd w:id="266"/>
      <w:bookmarkStart w:id="267" w:name="_Toc184308102"/>
      <w:bookmarkEnd w:id="267"/>
      <w:bookmarkStart w:id="268" w:name="_Toc184313248"/>
      <w:bookmarkEnd w:id="268"/>
      <w:bookmarkStart w:id="269" w:name="_Toc184312088"/>
      <w:bookmarkEnd w:id="269"/>
      <w:bookmarkStart w:id="270" w:name="_Toc184310329"/>
      <w:bookmarkEnd w:id="270"/>
      <w:bookmarkStart w:id="271" w:name="_Toc184312082"/>
      <w:bookmarkEnd w:id="271"/>
      <w:bookmarkStart w:id="272" w:name="_Toc184314482"/>
      <w:bookmarkEnd w:id="272"/>
      <w:bookmarkStart w:id="273" w:name="_Toc184310273"/>
      <w:bookmarkEnd w:id="273"/>
      <w:bookmarkStart w:id="274" w:name="_Toc184313247"/>
      <w:bookmarkEnd w:id="274"/>
      <w:bookmarkStart w:id="275" w:name="_Toc184314479"/>
      <w:bookmarkEnd w:id="275"/>
      <w:bookmarkStart w:id="276" w:name="_Toc184308079"/>
      <w:bookmarkEnd w:id="276"/>
      <w:bookmarkStart w:id="277" w:name="_Toc184308099"/>
      <w:bookmarkEnd w:id="277"/>
      <w:bookmarkStart w:id="278" w:name="_Toc184308042"/>
      <w:bookmarkEnd w:id="278"/>
      <w:bookmarkStart w:id="279" w:name="_Toc184310299"/>
      <w:bookmarkEnd w:id="279"/>
      <w:bookmarkStart w:id="280" w:name="_Toc184313305"/>
      <w:bookmarkEnd w:id="280"/>
      <w:bookmarkStart w:id="281" w:name="_Toc184310322"/>
      <w:bookmarkEnd w:id="281"/>
      <w:bookmarkStart w:id="282" w:name="_Toc184308045"/>
      <w:bookmarkEnd w:id="282"/>
      <w:bookmarkStart w:id="283" w:name="_Toc184310304"/>
      <w:bookmarkEnd w:id="283"/>
      <w:bookmarkStart w:id="284" w:name="_Toc184310306"/>
      <w:bookmarkEnd w:id="284"/>
      <w:bookmarkStart w:id="285" w:name="_Toc184310280"/>
      <w:bookmarkEnd w:id="285"/>
      <w:bookmarkStart w:id="286" w:name="_Toc184314460"/>
      <w:bookmarkEnd w:id="286"/>
      <w:bookmarkStart w:id="287" w:name="_Toc184314438"/>
      <w:bookmarkEnd w:id="287"/>
      <w:bookmarkStart w:id="288" w:name="_Toc184310326"/>
      <w:bookmarkEnd w:id="288"/>
      <w:bookmarkStart w:id="289" w:name="_Toc184310293"/>
      <w:bookmarkEnd w:id="289"/>
      <w:bookmarkStart w:id="290" w:name="_Toc184308061"/>
      <w:bookmarkEnd w:id="290"/>
      <w:bookmarkStart w:id="291" w:name="_Toc184314447"/>
      <w:bookmarkEnd w:id="291"/>
      <w:bookmarkStart w:id="292" w:name="_Toc184313298"/>
      <w:bookmarkEnd w:id="292"/>
      <w:bookmarkStart w:id="293" w:name="_Toc184310303"/>
      <w:bookmarkEnd w:id="293"/>
      <w:bookmarkStart w:id="294" w:name="_Toc184313266"/>
      <w:bookmarkEnd w:id="294"/>
      <w:bookmarkStart w:id="295" w:name="_Toc184313310"/>
      <w:bookmarkEnd w:id="295"/>
      <w:bookmarkStart w:id="296" w:name="_Toc184308090"/>
      <w:bookmarkEnd w:id="296"/>
      <w:bookmarkStart w:id="297" w:name="_Toc184314411"/>
      <w:bookmarkEnd w:id="297"/>
      <w:bookmarkStart w:id="298" w:name="_Toc184310301"/>
      <w:bookmarkEnd w:id="298"/>
      <w:bookmarkStart w:id="299" w:name="_Toc184312092"/>
      <w:bookmarkEnd w:id="299"/>
      <w:bookmarkStart w:id="300" w:name="_Toc184308048"/>
      <w:bookmarkEnd w:id="300"/>
      <w:bookmarkStart w:id="301" w:name="_Toc184308041"/>
      <w:bookmarkEnd w:id="301"/>
      <w:bookmarkStart w:id="302" w:name="_Toc184310312"/>
      <w:bookmarkEnd w:id="302"/>
      <w:bookmarkStart w:id="303" w:name="_Toc184308077"/>
      <w:bookmarkEnd w:id="303"/>
      <w:bookmarkStart w:id="304" w:name="_Toc184310279"/>
      <w:bookmarkEnd w:id="304"/>
      <w:bookmarkStart w:id="305" w:name="_Toc184312111"/>
      <w:bookmarkEnd w:id="305"/>
      <w:bookmarkStart w:id="306" w:name="_Toc184310317"/>
      <w:bookmarkEnd w:id="306"/>
      <w:bookmarkStart w:id="307" w:name="_Toc184314452"/>
      <w:bookmarkEnd w:id="307"/>
      <w:bookmarkStart w:id="308" w:name="_Toc184312083"/>
      <w:bookmarkEnd w:id="308"/>
      <w:bookmarkStart w:id="309" w:name="_Toc184310302"/>
      <w:bookmarkEnd w:id="309"/>
      <w:bookmarkStart w:id="310" w:name="_Toc184308094"/>
      <w:bookmarkEnd w:id="310"/>
      <w:bookmarkStart w:id="311" w:name="_Toc184314432"/>
      <w:bookmarkEnd w:id="311"/>
      <w:bookmarkStart w:id="312" w:name="_Toc184314464"/>
      <w:bookmarkEnd w:id="312"/>
      <w:bookmarkStart w:id="313" w:name="_Toc184310331"/>
      <w:bookmarkEnd w:id="313"/>
      <w:bookmarkStart w:id="314" w:name="_Toc184310310"/>
      <w:bookmarkEnd w:id="314"/>
      <w:bookmarkStart w:id="315" w:name="_Toc184313259"/>
      <w:bookmarkEnd w:id="315"/>
      <w:bookmarkStart w:id="316" w:name="_Toc184312109"/>
      <w:bookmarkEnd w:id="316"/>
      <w:bookmarkStart w:id="317" w:name="_Toc184313275"/>
      <w:bookmarkEnd w:id="317"/>
      <w:bookmarkStart w:id="318" w:name="_Toc184312107"/>
      <w:bookmarkEnd w:id="318"/>
      <w:bookmarkStart w:id="319" w:name="_Toc184310296"/>
      <w:bookmarkEnd w:id="319"/>
      <w:bookmarkStart w:id="320" w:name="_Toc184312085"/>
      <w:bookmarkEnd w:id="320"/>
      <w:bookmarkStart w:id="321" w:name="_Toc184308092"/>
      <w:bookmarkEnd w:id="321"/>
      <w:bookmarkStart w:id="322" w:name="_Toc184312087"/>
      <w:bookmarkEnd w:id="322"/>
      <w:bookmarkStart w:id="323" w:name="_Toc184312122"/>
      <w:bookmarkEnd w:id="323"/>
      <w:bookmarkStart w:id="324" w:name="_Toc184310305"/>
      <w:bookmarkEnd w:id="324"/>
      <w:bookmarkStart w:id="325" w:name="_Toc184313308"/>
      <w:bookmarkEnd w:id="325"/>
      <w:bookmarkStart w:id="326" w:name="_Toc184310292"/>
      <w:bookmarkEnd w:id="326"/>
      <w:bookmarkStart w:id="327" w:name="_Toc184310300"/>
      <w:bookmarkEnd w:id="327"/>
      <w:bookmarkStart w:id="328" w:name="_Toc184308056"/>
      <w:bookmarkEnd w:id="328"/>
      <w:bookmarkStart w:id="329" w:name="_Toc184312067"/>
      <w:bookmarkEnd w:id="329"/>
      <w:bookmarkStart w:id="330" w:name="_Toc184314458"/>
      <w:bookmarkEnd w:id="330"/>
      <w:bookmarkStart w:id="331" w:name="_Toc184308087"/>
      <w:bookmarkEnd w:id="331"/>
      <w:bookmarkStart w:id="332" w:name="_Toc184308064"/>
      <w:bookmarkEnd w:id="332"/>
      <w:bookmarkStart w:id="333" w:name="_Toc184308054"/>
      <w:bookmarkEnd w:id="333"/>
      <w:bookmarkStart w:id="334" w:name="_Toc184312090"/>
      <w:bookmarkEnd w:id="334"/>
      <w:bookmarkStart w:id="335" w:name="_Toc184310342"/>
      <w:bookmarkEnd w:id="335"/>
      <w:bookmarkStart w:id="336" w:name="_Toc184312131"/>
      <w:bookmarkEnd w:id="336"/>
      <w:bookmarkStart w:id="337" w:name="_Toc184312081"/>
      <w:bookmarkEnd w:id="337"/>
      <w:bookmarkStart w:id="338" w:name="_Toc184313251"/>
      <w:bookmarkEnd w:id="338"/>
      <w:bookmarkStart w:id="339" w:name="_Toc184312100"/>
      <w:bookmarkEnd w:id="339"/>
      <w:bookmarkStart w:id="340" w:name="_Toc184312106"/>
      <w:bookmarkEnd w:id="340"/>
      <w:bookmarkStart w:id="341" w:name="_Toc184314476"/>
      <w:bookmarkEnd w:id="341"/>
      <w:bookmarkStart w:id="342" w:name="_Toc184314435"/>
      <w:bookmarkEnd w:id="342"/>
      <w:bookmarkStart w:id="343" w:name="_Toc184308065"/>
      <w:bookmarkEnd w:id="343"/>
      <w:bookmarkStart w:id="344" w:name="_Toc184314427"/>
      <w:bookmarkEnd w:id="344"/>
      <w:bookmarkStart w:id="345" w:name="_Toc184312075"/>
      <w:bookmarkEnd w:id="345"/>
      <w:bookmarkStart w:id="346" w:name="_Toc184314428"/>
      <w:bookmarkEnd w:id="346"/>
      <w:bookmarkStart w:id="347" w:name="_Toc184308075"/>
      <w:bookmarkEnd w:id="347"/>
      <w:bookmarkStart w:id="348" w:name="_Toc184308095"/>
      <w:bookmarkEnd w:id="348"/>
      <w:bookmarkStart w:id="349" w:name="_Toc184314410"/>
      <w:bookmarkEnd w:id="349"/>
      <w:bookmarkStart w:id="350" w:name="_Toc184312136"/>
      <w:bookmarkEnd w:id="350"/>
      <w:bookmarkStart w:id="351" w:name="_Toc184310343"/>
      <w:bookmarkEnd w:id="351"/>
      <w:bookmarkStart w:id="352" w:name="_Toc184314474"/>
      <w:bookmarkEnd w:id="352"/>
      <w:bookmarkStart w:id="353" w:name="_Toc184313281"/>
      <w:bookmarkEnd w:id="353"/>
      <w:bookmarkStart w:id="354" w:name="_Toc184313253"/>
      <w:bookmarkEnd w:id="354"/>
      <w:bookmarkStart w:id="355" w:name="_Toc184308096"/>
      <w:bookmarkEnd w:id="355"/>
      <w:bookmarkStart w:id="356" w:name="_Toc184313284"/>
      <w:bookmarkEnd w:id="356"/>
      <w:bookmarkStart w:id="357" w:name="_Toc184314434"/>
      <w:bookmarkEnd w:id="357"/>
      <w:bookmarkStart w:id="358" w:name="_Toc184312129"/>
      <w:bookmarkEnd w:id="358"/>
      <w:bookmarkStart w:id="359" w:name="_Toc184310274"/>
      <w:bookmarkEnd w:id="359"/>
      <w:bookmarkStart w:id="360" w:name="_Toc184310308"/>
      <w:bookmarkEnd w:id="360"/>
      <w:bookmarkStart w:id="361" w:name="_Toc184312078"/>
      <w:bookmarkEnd w:id="361"/>
      <w:bookmarkStart w:id="362" w:name="_Toc184313246"/>
      <w:bookmarkEnd w:id="362"/>
      <w:bookmarkStart w:id="363" w:name="_Toc184310344"/>
      <w:bookmarkEnd w:id="363"/>
      <w:bookmarkStart w:id="364" w:name="_Toc184314472"/>
      <w:bookmarkEnd w:id="364"/>
      <w:bookmarkStart w:id="365" w:name="_Toc184310295"/>
      <w:bookmarkEnd w:id="365"/>
      <w:bookmarkStart w:id="366" w:name="_Toc184313273"/>
      <w:bookmarkEnd w:id="366"/>
      <w:bookmarkStart w:id="367" w:name="_Toc184310275"/>
      <w:bookmarkEnd w:id="367"/>
      <w:bookmarkStart w:id="368" w:name="_Toc184313280"/>
      <w:bookmarkEnd w:id="368"/>
      <w:bookmarkStart w:id="369" w:name="_Toc184308044"/>
      <w:bookmarkEnd w:id="369"/>
      <w:bookmarkStart w:id="370" w:name="_Toc184312113"/>
      <w:bookmarkEnd w:id="370"/>
      <w:bookmarkStart w:id="371" w:name="_Toc184308080"/>
      <w:bookmarkEnd w:id="371"/>
      <w:bookmarkStart w:id="372" w:name="_Toc184312128"/>
      <w:bookmarkEnd w:id="372"/>
      <w:bookmarkStart w:id="373" w:name="_Toc184310318"/>
      <w:bookmarkEnd w:id="373"/>
      <w:bookmarkStart w:id="374" w:name="_Toc184308074"/>
      <w:bookmarkEnd w:id="374"/>
      <w:bookmarkStart w:id="375" w:name="_Toc184312117"/>
      <w:bookmarkEnd w:id="375"/>
      <w:bookmarkStart w:id="376" w:name="_Toc184312086"/>
      <w:bookmarkEnd w:id="376"/>
      <w:bookmarkStart w:id="377" w:name="_Toc184314450"/>
      <w:bookmarkEnd w:id="377"/>
      <w:bookmarkStart w:id="378" w:name="_Toc184310334"/>
      <w:bookmarkEnd w:id="378"/>
      <w:bookmarkStart w:id="379" w:name="_Toc184308101"/>
      <w:bookmarkEnd w:id="379"/>
      <w:bookmarkStart w:id="380" w:name="_Toc184310282"/>
      <w:bookmarkEnd w:id="380"/>
      <w:bookmarkStart w:id="381" w:name="_Toc184312076"/>
      <w:bookmarkEnd w:id="381"/>
      <w:bookmarkStart w:id="382" w:name="_Toc184314437"/>
      <w:bookmarkEnd w:id="382"/>
      <w:bookmarkStart w:id="383" w:name="_Toc184308062"/>
      <w:bookmarkEnd w:id="383"/>
      <w:bookmarkStart w:id="384" w:name="_Toc184314473"/>
      <w:bookmarkEnd w:id="384"/>
      <w:bookmarkStart w:id="385" w:name="_Toc184310294"/>
      <w:bookmarkEnd w:id="385"/>
      <w:bookmarkStart w:id="386" w:name="_Toc184312124"/>
      <w:bookmarkEnd w:id="386"/>
      <w:bookmarkStart w:id="387" w:name="_Toc184312133"/>
      <w:bookmarkEnd w:id="387"/>
      <w:bookmarkStart w:id="388" w:name="_Toc184313265"/>
      <w:bookmarkEnd w:id="388"/>
      <w:bookmarkStart w:id="389" w:name="_Toc184313274"/>
      <w:bookmarkEnd w:id="389"/>
      <w:bookmarkStart w:id="390" w:name="_Toc184313254"/>
      <w:bookmarkEnd w:id="390"/>
      <w:bookmarkStart w:id="391" w:name="_Toc184312120"/>
      <w:bookmarkEnd w:id="391"/>
      <w:r>
        <w:rPr>
          <w:rFonts w:hint="eastAsia" w:ascii="仿宋" w:hAnsi="仿宋" w:eastAsia="仿宋" w:cs="仿宋"/>
          <w:b/>
          <w:color w:val="auto"/>
          <w:sz w:val="36"/>
          <w:szCs w:val="36"/>
        </w:rPr>
        <w:t>评标办法</w:t>
      </w:r>
    </w:p>
    <w:p>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本次评标采用</w:t>
      </w:r>
      <w:bookmarkStart w:id="392" w:name="ruleMainCatName2"/>
      <w:r>
        <w:rPr>
          <w:rFonts w:hint="eastAsia" w:ascii="宋体" w:hAnsi="宋体" w:cs="宋体"/>
          <w:color w:val="auto"/>
          <w:sz w:val="24"/>
          <w:highlight w:val="none"/>
        </w:rPr>
        <w:t>综合评分法</w:t>
      </w:r>
      <w:bookmarkEnd w:id="392"/>
      <w:r>
        <w:rPr>
          <w:rFonts w:hint="eastAsia" w:ascii="宋体" w:hAnsi="宋体" w:cs="宋体"/>
          <w:color w:val="auto"/>
          <w:sz w:val="24"/>
          <w:highlight w:val="none"/>
        </w:rPr>
        <w:t>，总分为100分。合格投标人的评标得分为各项目汇总得分，中标候选资格按评标得分由高到低顺序排列</w:t>
      </w:r>
      <w:r>
        <w:rPr>
          <w:rFonts w:hint="eastAsia" w:ascii="宋体" w:hAnsi="宋体" w:cs="宋体"/>
          <w:color w:val="auto"/>
          <w:sz w:val="24"/>
          <w:highlight w:val="none"/>
          <w:lang w:eastAsia="zh-CN"/>
        </w:rPr>
        <w:t>，</w:t>
      </w:r>
      <w:r>
        <w:rPr>
          <w:rFonts w:hint="eastAsia" w:ascii="宋体" w:hAnsi="宋体" w:cs="宋体"/>
          <w:color w:val="auto"/>
          <w:sz w:val="24"/>
          <w:highlight w:val="none"/>
        </w:rPr>
        <w:t>得分相同的，按投标报价由低到高顺序排列；得分且投标报价相同的，按技术指标优劣顺序排列。排名第一的投标人为第一中标候选人。评分过程中采用四舍五入法，并保留小数2位</w:t>
      </w:r>
      <w:r>
        <w:rPr>
          <w:rFonts w:hint="eastAsia" w:ascii="宋体" w:hAnsi="宋体" w:cs="宋体"/>
          <w:color w:val="auto"/>
          <w:sz w:val="24"/>
          <w:highlight w:val="none"/>
          <w:lang w:eastAsia="zh-CN"/>
        </w:rPr>
        <w:t>。</w:t>
      </w:r>
    </w:p>
    <w:p>
      <w:pPr>
        <w:spacing w:line="6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投标人评标综合得分=价格分+（技术、商务分）</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、评标内容及标准</w:t>
      </w:r>
    </w:p>
    <w:p>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.1、价格分（1</w:t>
      </w:r>
      <w:r>
        <w:rPr>
          <w:rFonts w:ascii="宋体" w:hAnsi="宋体" w:cs="宋体"/>
          <w:b/>
          <w:bCs/>
          <w:color w:val="auto"/>
          <w:sz w:val="24"/>
          <w:highlight w:val="none"/>
        </w:rPr>
        <w:t>0</w:t>
      </w:r>
      <w:r>
        <w:rPr>
          <w:rFonts w:hint="eastAsia" w:ascii="宋体" w:hAnsi="宋体" w:cs="宋体"/>
          <w:b/>
          <w:bCs/>
          <w:color w:val="auto"/>
          <w:sz w:val="24"/>
          <w:highlight w:val="none"/>
        </w:rPr>
        <w:t>分）</w:t>
      </w:r>
      <w:r>
        <w:rPr>
          <w:rFonts w:hint="eastAsia" w:ascii="宋体" w:hAnsi="宋体" w:cs="宋体"/>
          <w:color w:val="auto"/>
          <w:sz w:val="24"/>
          <w:highlight w:val="none"/>
        </w:rPr>
        <w:t>采用低价优先法计算，即满足招标文件要求且投标价格最低的投标报价为评标基准价，其他投标人的价格分按照下列公式计算：</w:t>
      </w:r>
      <w:r>
        <w:rPr>
          <w:rFonts w:hint="eastAsia" w:ascii="宋体" w:hAnsi="宋体" w:cs="宋体"/>
          <w:b/>
          <w:bCs/>
          <w:color w:val="auto"/>
          <w:sz w:val="24"/>
          <w:highlight w:val="none"/>
        </w:rPr>
        <w:t>（精确到小数点后二位）</w:t>
      </w:r>
    </w:p>
    <w:p>
      <w:pPr>
        <w:snapToGrid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价格分=（评标基准价/投标报价）×1</w:t>
      </w:r>
      <w:r>
        <w:rPr>
          <w:rFonts w:ascii="宋体" w:hAnsi="宋体"/>
          <w:b/>
          <w:bCs/>
          <w:color w:val="auto"/>
          <w:sz w:val="24"/>
          <w:highlight w:val="none"/>
        </w:rPr>
        <w:t>0</w:t>
      </w:r>
      <w:r>
        <w:rPr>
          <w:rFonts w:hint="eastAsia" w:ascii="宋体" w:hAnsi="宋体"/>
          <w:b/>
          <w:bCs/>
          <w:color w:val="auto"/>
          <w:sz w:val="24"/>
          <w:highlight w:val="none"/>
        </w:rPr>
        <w:t>%×100；</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因落实政府采购政策进行价格调整的，以调整后的价格计算评标基准价和投标报价。</w:t>
      </w:r>
    </w:p>
    <w:p>
      <w:pPr>
        <w:spacing w:line="600" w:lineRule="exact"/>
        <w:ind w:firstLine="480" w:firstLineChars="200"/>
        <w:rPr>
          <w:rFonts w:hint="eastAsia" w:ascii="宋体" w:hAnsi="宋体" w:eastAsia="宋体" w:cs="宋体"/>
          <w:color w:val="auto"/>
          <w:sz w:val="24"/>
          <w:highlight w:val="none"/>
          <w:lang w:eastAsia="zh-CN"/>
        </w:rPr>
      </w:pP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.2、技术、商务分（</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分）</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1）技术、商务分的计算：</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技术、商务分按照评标委员会成员的独立评分结果汇总数的算术平均分计算，计算公式为：</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技术、商务分=评标委员会所有成员评分合计数/评标委员会组成人员数</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2）评分细则如下：</w:t>
      </w:r>
    </w:p>
    <w:p>
      <w:pPr>
        <w:snapToGrid w:val="0"/>
        <w:spacing w:line="360" w:lineRule="auto"/>
        <w:rPr>
          <w:rFonts w:ascii="宋体" w:hAnsi="宋体" w:cs="宋体"/>
          <w:color w:val="000000"/>
          <w:sz w:val="24"/>
        </w:rPr>
      </w:pPr>
      <w:r>
        <w:rPr>
          <w:rFonts w:hint="eastAsia" w:ascii="宋体" w:hAnsi="宋体" w:cs="宋体"/>
          <w:color w:val="000000"/>
          <w:sz w:val="24"/>
        </w:rPr>
        <w:t>技术评标细则</w:t>
      </w:r>
      <w:r>
        <w:rPr>
          <w:rFonts w:hint="eastAsia" w:ascii="宋体" w:hAnsi="宋体" w:cs="宋体"/>
          <w:b/>
          <w:color w:val="000000"/>
          <w:sz w:val="24"/>
        </w:rPr>
        <w:t>（</w:t>
      </w:r>
      <w:r>
        <w:rPr>
          <w:rFonts w:hint="eastAsia" w:ascii="宋体" w:hAnsi="宋体" w:cs="宋体"/>
          <w:b/>
          <w:color w:val="000000"/>
          <w:sz w:val="24"/>
          <w:lang w:val="en-US" w:eastAsia="zh-CN"/>
        </w:rPr>
        <w:t>68</w:t>
      </w:r>
      <w:r>
        <w:rPr>
          <w:rFonts w:hint="eastAsia" w:ascii="宋体" w:hAnsi="宋体" w:cs="宋体"/>
          <w:b/>
          <w:color w:val="000000"/>
          <w:sz w:val="24"/>
        </w:rPr>
        <w:t>分）</w:t>
      </w:r>
    </w:p>
    <w:tbl>
      <w:tblPr>
        <w:tblStyle w:val="63"/>
        <w:tblW w:w="0" w:type="auto"/>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
        <w:gridCol w:w="6656"/>
        <w:gridCol w:w="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9" w:type="dxa"/>
            <w:noWrap w:val="0"/>
            <w:vAlign w:val="center"/>
          </w:tcPr>
          <w:p>
            <w:pPr>
              <w:jc w:val="center"/>
              <w:rPr>
                <w:rFonts w:ascii="宋体" w:hAnsi="宋体" w:cs="宋体"/>
                <w:sz w:val="24"/>
              </w:rPr>
            </w:pPr>
            <w:r>
              <w:rPr>
                <w:rFonts w:hint="eastAsia" w:ascii="宋体" w:hAnsi="宋体" w:cs="宋体"/>
                <w:sz w:val="24"/>
              </w:rPr>
              <w:t>序号</w:t>
            </w:r>
          </w:p>
        </w:tc>
        <w:tc>
          <w:tcPr>
            <w:tcW w:w="6656" w:type="dxa"/>
            <w:noWrap w:val="0"/>
            <w:vAlign w:val="center"/>
          </w:tcPr>
          <w:p>
            <w:pPr>
              <w:jc w:val="center"/>
              <w:rPr>
                <w:rFonts w:ascii="宋体" w:hAnsi="宋体" w:cs="宋体"/>
                <w:sz w:val="24"/>
              </w:rPr>
            </w:pPr>
            <w:r>
              <w:rPr>
                <w:rFonts w:hint="eastAsia" w:ascii="宋体" w:hAnsi="宋体" w:cs="宋体"/>
                <w:sz w:val="24"/>
              </w:rPr>
              <w:t>评分内容</w:t>
            </w:r>
          </w:p>
        </w:tc>
        <w:tc>
          <w:tcPr>
            <w:tcW w:w="892" w:type="dxa"/>
            <w:noWrap w:val="0"/>
            <w:vAlign w:val="center"/>
          </w:tcPr>
          <w:p>
            <w:pPr>
              <w:jc w:val="center"/>
              <w:rPr>
                <w:rFonts w:ascii="宋体" w:hAnsi="宋体" w:cs="宋体"/>
                <w:sz w:val="24"/>
              </w:rPr>
            </w:pPr>
            <w:r>
              <w:rPr>
                <w:rFonts w:hint="eastAsia" w:ascii="宋体" w:hAnsi="宋体" w:cs="宋体"/>
                <w:sz w:val="24"/>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9" w:type="dxa"/>
            <w:noWrap w:val="0"/>
            <w:vAlign w:val="center"/>
          </w:tcPr>
          <w:p>
            <w:pPr>
              <w:jc w:val="center"/>
              <w:rPr>
                <w:rFonts w:ascii="宋体" w:hAnsi="宋体" w:cs="宋体"/>
                <w:sz w:val="24"/>
              </w:rPr>
            </w:pPr>
            <w:r>
              <w:rPr>
                <w:rFonts w:hint="eastAsia" w:ascii="宋体" w:hAnsi="宋体" w:cs="宋体"/>
                <w:sz w:val="24"/>
              </w:rPr>
              <w:t>1</w:t>
            </w:r>
          </w:p>
        </w:tc>
        <w:tc>
          <w:tcPr>
            <w:tcW w:w="6656" w:type="dxa"/>
            <w:noWrap w:val="0"/>
            <w:vAlign w:val="center"/>
          </w:tcPr>
          <w:p>
            <w:pPr>
              <w:spacing w:line="600" w:lineRule="exact"/>
              <w:jc w:val="left"/>
              <w:rPr>
                <w:rFonts w:ascii="宋体" w:hAnsi="宋体" w:cs="宋体"/>
                <w:sz w:val="24"/>
              </w:rPr>
            </w:pPr>
            <w:r>
              <w:rPr>
                <w:rFonts w:hint="eastAsia" w:ascii="宋体" w:hAnsi="宋体" w:cs="宋体"/>
                <w:sz w:val="24"/>
              </w:rPr>
              <w:t>针对本项目的服务理念、定位、目标：根据本项目服务特点提出合理的管理服务理念</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，提出服务定位、目标</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，投标人的管理模式能够切合实际且可行</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w:t>
            </w:r>
          </w:p>
        </w:tc>
        <w:tc>
          <w:tcPr>
            <w:tcW w:w="892" w:type="dxa"/>
            <w:noWrap w:val="0"/>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9" w:type="dxa"/>
            <w:noWrap w:val="0"/>
            <w:vAlign w:val="center"/>
          </w:tcPr>
          <w:p>
            <w:pPr>
              <w:jc w:val="center"/>
              <w:rPr>
                <w:rFonts w:ascii="宋体" w:hAnsi="宋体" w:cs="宋体"/>
                <w:sz w:val="24"/>
              </w:rPr>
            </w:pPr>
            <w:r>
              <w:rPr>
                <w:rFonts w:hint="eastAsia" w:ascii="宋体" w:hAnsi="宋体" w:cs="宋体"/>
                <w:sz w:val="24"/>
              </w:rPr>
              <w:t>2</w:t>
            </w:r>
          </w:p>
        </w:tc>
        <w:tc>
          <w:tcPr>
            <w:tcW w:w="6656" w:type="dxa"/>
            <w:noWrap w:val="0"/>
            <w:vAlign w:val="center"/>
          </w:tcPr>
          <w:p>
            <w:pPr>
              <w:spacing w:line="600" w:lineRule="exact"/>
              <w:jc w:val="left"/>
              <w:rPr>
                <w:rFonts w:ascii="宋体" w:hAnsi="宋体" w:cs="宋体"/>
                <w:sz w:val="24"/>
              </w:rPr>
            </w:pPr>
            <w:r>
              <w:rPr>
                <w:rFonts w:hint="eastAsia" w:ascii="宋体" w:hAnsi="宋体" w:cs="宋体"/>
                <w:sz w:val="24"/>
              </w:rPr>
              <w:t>针对本项目的组织架构、管理机制：有比较完善的组织架构</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，清晰简练地列出主要管理流程，包括对运作流程图、激励机制、监督机制、自我约束机制、信息反馈渠道及处理机制</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w:t>
            </w:r>
          </w:p>
        </w:tc>
        <w:tc>
          <w:tcPr>
            <w:tcW w:w="892" w:type="dxa"/>
            <w:noWrap w:val="0"/>
            <w:vAlign w:val="center"/>
          </w:tcPr>
          <w:p>
            <w:pPr>
              <w:spacing w:line="600" w:lineRule="exact"/>
              <w:jc w:val="center"/>
              <w:rPr>
                <w:rFonts w:hint="eastAsia" w:ascii="宋体" w:hAnsi="宋体" w:eastAsia="宋体" w:cs="宋体"/>
                <w:sz w:val="24"/>
                <w:lang w:eastAsia="zh-CN"/>
              </w:rPr>
            </w:pPr>
            <w:r>
              <w:rPr>
                <w:rFonts w:hint="eastAsia" w:ascii="宋体" w:hAnsi="宋体" w:cs="宋体"/>
                <w:sz w:val="24"/>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9" w:type="dxa"/>
            <w:noWrap w:val="0"/>
            <w:vAlign w:val="center"/>
          </w:tcPr>
          <w:p>
            <w:pPr>
              <w:jc w:val="center"/>
              <w:rPr>
                <w:rFonts w:ascii="宋体" w:hAnsi="宋体" w:cs="宋体"/>
                <w:sz w:val="24"/>
              </w:rPr>
            </w:pPr>
            <w:r>
              <w:rPr>
                <w:rFonts w:hint="eastAsia" w:ascii="宋体" w:hAnsi="宋体" w:cs="宋体"/>
                <w:sz w:val="24"/>
              </w:rPr>
              <w:t>3</w:t>
            </w:r>
          </w:p>
        </w:tc>
        <w:tc>
          <w:tcPr>
            <w:tcW w:w="6656" w:type="dxa"/>
            <w:noWrap w:val="0"/>
            <w:vAlign w:val="center"/>
          </w:tcPr>
          <w:p>
            <w:pPr>
              <w:spacing w:line="600" w:lineRule="exact"/>
              <w:jc w:val="left"/>
              <w:rPr>
                <w:rFonts w:ascii="宋体" w:hAnsi="宋体" w:cs="宋体"/>
                <w:sz w:val="24"/>
              </w:rPr>
            </w:pPr>
            <w:r>
              <w:rPr>
                <w:rFonts w:hint="eastAsia" w:ascii="宋体" w:hAnsi="宋体" w:cs="宋体"/>
                <w:sz w:val="24"/>
              </w:rPr>
              <w:t>针对本项目的管理机构设置：根据机构设置情况的合理性等比较打分</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w:t>
            </w:r>
          </w:p>
        </w:tc>
        <w:tc>
          <w:tcPr>
            <w:tcW w:w="892" w:type="dxa"/>
            <w:noWrap w:val="0"/>
            <w:vAlign w:val="center"/>
          </w:tcPr>
          <w:p>
            <w:pPr>
              <w:spacing w:line="600" w:lineRule="exact"/>
              <w:jc w:val="center"/>
              <w:rPr>
                <w:rFonts w:ascii="宋体" w:hAnsi="宋体" w:cs="宋体"/>
                <w:sz w:val="24"/>
              </w:rPr>
            </w:pPr>
            <w:r>
              <w:rPr>
                <w:rFonts w:hint="eastAsia" w:ascii="宋体" w:hAnsi="宋体" w:cs="宋体"/>
                <w:sz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2" w:hRule="atLeast"/>
        </w:trPr>
        <w:tc>
          <w:tcPr>
            <w:tcW w:w="749" w:type="dxa"/>
            <w:noWrap w:val="0"/>
            <w:vAlign w:val="center"/>
          </w:tcPr>
          <w:p>
            <w:pPr>
              <w:jc w:val="center"/>
              <w:rPr>
                <w:rFonts w:ascii="宋体" w:hAnsi="宋体" w:cs="宋体"/>
                <w:sz w:val="24"/>
              </w:rPr>
            </w:pPr>
            <w:r>
              <w:rPr>
                <w:rFonts w:hint="eastAsia" w:ascii="宋体" w:hAnsi="宋体" w:cs="宋体"/>
                <w:sz w:val="24"/>
              </w:rPr>
              <w:t>4</w:t>
            </w:r>
          </w:p>
        </w:tc>
        <w:tc>
          <w:tcPr>
            <w:tcW w:w="6656" w:type="dxa"/>
            <w:noWrap w:val="0"/>
            <w:vAlign w:val="center"/>
          </w:tcPr>
          <w:p>
            <w:pPr>
              <w:spacing w:line="600" w:lineRule="exact"/>
              <w:jc w:val="left"/>
              <w:rPr>
                <w:rFonts w:ascii="宋体" w:hAnsi="宋体" w:cs="宋体"/>
                <w:sz w:val="24"/>
              </w:rPr>
            </w:pPr>
            <w:r>
              <w:rPr>
                <w:rFonts w:hint="eastAsia" w:ascii="宋体" w:hAnsi="宋体" w:cs="宋体"/>
                <w:sz w:val="24"/>
              </w:rPr>
              <w:t>项目组人员情况：</w:t>
            </w:r>
          </w:p>
          <w:p>
            <w:pPr>
              <w:numPr>
                <w:ilvl w:val="0"/>
                <w:numId w:val="3"/>
              </w:numPr>
              <w:spacing w:line="600" w:lineRule="exact"/>
              <w:jc w:val="left"/>
              <w:rPr>
                <w:rFonts w:ascii="宋体" w:hAnsi="宋体" w:cs="宋体"/>
                <w:b/>
                <w:bCs/>
                <w:sz w:val="24"/>
              </w:rPr>
            </w:pPr>
            <w:r>
              <w:rPr>
                <w:rFonts w:hint="eastAsia" w:ascii="宋体" w:hAnsi="宋体" w:cs="宋体"/>
                <w:sz w:val="24"/>
              </w:rPr>
              <w:t>项目负责人：项目负责人年龄在45周岁以下的得3分；本科及以上文化程度的得4分；</w:t>
            </w:r>
            <w:r>
              <w:rPr>
                <w:rFonts w:hint="eastAsia" w:ascii="宋体" w:hAnsi="宋体" w:cs="宋体"/>
                <w:color w:val="000000" w:themeColor="text1"/>
                <w:sz w:val="24"/>
                <w:highlight w:val="none"/>
                <w14:textFill>
                  <w14:solidFill>
                    <w14:schemeClr w14:val="tx1"/>
                  </w14:solidFill>
                </w14:textFill>
              </w:rPr>
              <w:t>具有保安员壹级</w:t>
            </w:r>
            <w:r>
              <w:rPr>
                <w:rFonts w:hint="eastAsia" w:ascii="宋体" w:hAnsi="宋体" w:cs="宋体"/>
                <w:color w:val="000000" w:themeColor="text1"/>
                <w:sz w:val="24"/>
                <w:highlight w:val="none"/>
                <w:lang w:eastAsia="zh-CN"/>
                <w14:textFill>
                  <w14:solidFill>
                    <w14:schemeClr w14:val="tx1"/>
                  </w14:solidFill>
                </w14:textFill>
              </w:rPr>
              <w:t>及以上</w:t>
            </w:r>
            <w:r>
              <w:rPr>
                <w:rFonts w:hint="eastAsia" w:ascii="宋体" w:hAnsi="宋体" w:cs="宋体"/>
                <w:color w:val="000000" w:themeColor="text1"/>
                <w:sz w:val="24"/>
                <w:highlight w:val="none"/>
                <w14:textFill>
                  <w14:solidFill>
                    <w14:schemeClr w14:val="tx1"/>
                  </w14:solidFill>
                </w14:textFill>
              </w:rPr>
              <w:t>的得5分；具有保卫师的得5分，具有省保安协会颁发的省保安服务专家聘书的得5分，</w:t>
            </w:r>
            <w:r>
              <w:rPr>
                <w:rFonts w:hint="eastAsia" w:ascii="宋体" w:hAnsi="宋体" w:cs="宋体"/>
                <w:color w:val="000000" w:themeColor="text1"/>
                <w:sz w:val="24"/>
                <w:highlight w:val="none"/>
                <w:lang w:eastAsia="zh-CN"/>
                <w14:textFill>
                  <w14:solidFill>
                    <w14:schemeClr w14:val="tx1"/>
                  </w14:solidFill>
                </w14:textFill>
              </w:rPr>
              <w:t>否则不得分</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投标文</w:t>
            </w:r>
            <w:r>
              <w:rPr>
                <w:rFonts w:hint="eastAsia" w:ascii="宋体" w:hAnsi="宋体" w:cs="宋体"/>
                <w:b/>
                <w:bCs/>
                <w:sz w:val="24"/>
              </w:rPr>
              <w:t>件中同时提供身份证、毕业证书、保安员证书、保卫师证书、省保安服务专家聘书</w:t>
            </w:r>
            <w:r>
              <w:rPr>
                <w:rFonts w:hint="eastAsia" w:ascii="宋体" w:hAnsi="宋体" w:cs="宋体"/>
                <w:b/>
                <w:bCs/>
                <w:sz w:val="24"/>
                <w:lang w:eastAsia="zh-CN"/>
              </w:rPr>
              <w:t>、</w:t>
            </w:r>
            <w:r>
              <w:rPr>
                <w:rFonts w:hint="eastAsia" w:ascii="宋体" w:hAnsi="宋体" w:cs="宋体"/>
                <w:b/>
                <w:bCs/>
                <w:sz w:val="24"/>
              </w:rPr>
              <w:t>社保证明</w:t>
            </w:r>
            <w:r>
              <w:rPr>
                <w:rFonts w:hint="eastAsia" w:ascii="宋体" w:hAnsi="宋体" w:cs="宋体"/>
                <w:b/>
                <w:bCs/>
                <w:sz w:val="24"/>
                <w:lang w:eastAsia="zh-CN"/>
              </w:rPr>
              <w:t>材料的</w:t>
            </w:r>
            <w:r>
              <w:rPr>
                <w:rFonts w:hint="eastAsia" w:ascii="宋体" w:hAnsi="宋体" w:cs="宋体"/>
                <w:b/>
                <w:bCs/>
                <w:sz w:val="24"/>
              </w:rPr>
              <w:t>复印件</w:t>
            </w:r>
            <w:r>
              <w:rPr>
                <w:rFonts w:hint="eastAsia" w:ascii="宋体" w:hAnsi="宋体" w:cs="宋体"/>
                <w:b/>
                <w:bCs/>
                <w:sz w:val="24"/>
                <w:lang w:eastAsia="zh-CN"/>
              </w:rPr>
              <w:t>或扫描打印件</w:t>
            </w:r>
            <w:r>
              <w:rPr>
                <w:rFonts w:hint="eastAsia" w:ascii="宋体" w:hAnsi="宋体" w:cs="宋体"/>
                <w:b/>
                <w:bCs/>
                <w:sz w:val="24"/>
              </w:rPr>
              <w:t>，</w:t>
            </w:r>
            <w:r>
              <w:rPr>
                <w:rFonts w:hint="eastAsia" w:ascii="宋体" w:hAnsi="宋体" w:cs="宋体"/>
                <w:b/>
                <w:bCs/>
                <w:sz w:val="24"/>
                <w:lang w:eastAsia="zh-CN"/>
              </w:rPr>
              <w:t>否则不得分</w:t>
            </w:r>
            <w:r>
              <w:rPr>
                <w:rFonts w:hint="eastAsia" w:ascii="宋体" w:hAnsi="宋体" w:cs="宋体"/>
                <w:b/>
                <w:bCs/>
                <w:sz w:val="24"/>
              </w:rPr>
              <w:t>；（0-22分）</w:t>
            </w:r>
          </w:p>
          <w:p>
            <w:pPr>
              <w:pStyle w:val="26"/>
              <w:ind w:firstLine="0"/>
            </w:pPr>
            <w:r>
              <w:rPr>
                <w:rFonts w:hint="eastAsia" w:ascii="宋体" w:hAnsi="宋体" w:cs="宋体"/>
                <w:sz w:val="24"/>
              </w:rPr>
              <w:t>2）</w:t>
            </w:r>
            <w:r>
              <w:rPr>
                <w:rFonts w:hint="eastAsia" w:ascii="宋体" w:hAnsi="宋体" w:eastAsia="宋体" w:cs="宋体"/>
                <w:sz w:val="24"/>
                <w:szCs w:val="24"/>
              </w:rPr>
              <w:t>拟投入人员配置：拟投入人员要求35周岁及以下、大专（含）以上文化的满足</w:t>
            </w:r>
            <w:r>
              <w:rPr>
                <w:rFonts w:hint="eastAsia" w:cs="宋体"/>
                <w:sz w:val="24"/>
                <w:szCs w:val="24"/>
                <w:lang w:val="en-US" w:eastAsia="zh-CN"/>
              </w:rPr>
              <w:t>95</w:t>
            </w:r>
            <w:r>
              <w:rPr>
                <w:rFonts w:hint="eastAsia" w:ascii="宋体" w:hAnsi="宋体" w:eastAsia="宋体" w:cs="宋体"/>
                <w:sz w:val="24"/>
                <w:szCs w:val="24"/>
              </w:rPr>
              <w:t>人以上（含</w:t>
            </w:r>
            <w:r>
              <w:rPr>
                <w:rFonts w:hint="eastAsia" w:cs="宋体"/>
                <w:sz w:val="24"/>
                <w:szCs w:val="24"/>
                <w:lang w:val="en-US" w:eastAsia="zh-CN"/>
              </w:rPr>
              <w:t>95</w:t>
            </w:r>
            <w:r>
              <w:rPr>
                <w:rFonts w:hint="eastAsia" w:ascii="宋体" w:hAnsi="宋体" w:eastAsia="宋体" w:cs="宋体"/>
                <w:sz w:val="24"/>
                <w:szCs w:val="24"/>
              </w:rPr>
              <w:t>人）得基本分8分，其中退伍军人有4人</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7人</w:t>
            </w:r>
            <w:r>
              <w:rPr>
                <w:rFonts w:hint="eastAsia" w:ascii="宋体" w:hAnsi="宋体" w:eastAsia="宋体" w:cs="宋体"/>
                <w:sz w:val="24"/>
                <w:szCs w:val="24"/>
              </w:rPr>
              <w:t>的加1分、有8人</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11人</w:t>
            </w:r>
            <w:r>
              <w:rPr>
                <w:rFonts w:hint="eastAsia" w:ascii="宋体" w:hAnsi="宋体" w:eastAsia="宋体" w:cs="宋体"/>
                <w:sz w:val="24"/>
                <w:szCs w:val="24"/>
              </w:rPr>
              <w:t>的加2分、有12人</w:t>
            </w:r>
            <w:r>
              <w:rPr>
                <w:rFonts w:hint="eastAsia" w:ascii="宋体" w:hAnsi="宋体" w:eastAsia="宋体" w:cs="宋体"/>
                <w:sz w:val="24"/>
                <w:szCs w:val="24"/>
                <w:lang w:eastAsia="zh-CN"/>
              </w:rPr>
              <w:t>及以上</w:t>
            </w:r>
            <w:r>
              <w:rPr>
                <w:rFonts w:hint="eastAsia" w:ascii="宋体" w:hAnsi="宋体" w:eastAsia="宋体" w:cs="宋体"/>
                <w:sz w:val="24"/>
                <w:szCs w:val="24"/>
              </w:rPr>
              <w:t>的加4分，最多加4分；</w:t>
            </w:r>
            <w:r>
              <w:rPr>
                <w:rFonts w:hint="eastAsia" w:ascii="宋体" w:hAnsi="宋体" w:eastAsia="宋体" w:cs="宋体"/>
                <w:b/>
                <w:bCs/>
                <w:sz w:val="24"/>
                <w:szCs w:val="24"/>
              </w:rPr>
              <w:t>投标文件中同时提供身份证、毕业证书、退伍证、社保证明</w:t>
            </w:r>
            <w:r>
              <w:rPr>
                <w:rFonts w:hint="eastAsia" w:ascii="宋体" w:hAnsi="宋体" w:eastAsia="宋体" w:cs="宋体"/>
                <w:b/>
                <w:bCs/>
                <w:sz w:val="24"/>
                <w:szCs w:val="24"/>
                <w:lang w:eastAsia="zh-CN"/>
              </w:rPr>
              <w:t>材料的</w:t>
            </w:r>
            <w:r>
              <w:rPr>
                <w:rFonts w:hint="eastAsia" w:ascii="宋体" w:hAnsi="宋体" w:cs="宋体"/>
                <w:b/>
                <w:bCs/>
                <w:sz w:val="24"/>
              </w:rPr>
              <w:t>复印件</w:t>
            </w:r>
            <w:r>
              <w:rPr>
                <w:rFonts w:hint="eastAsia" w:ascii="宋体" w:hAnsi="宋体" w:cs="宋体"/>
                <w:b/>
                <w:bCs/>
                <w:sz w:val="24"/>
                <w:lang w:eastAsia="zh-CN"/>
              </w:rPr>
              <w:t>或扫描打印件</w:t>
            </w:r>
            <w:r>
              <w:rPr>
                <w:rFonts w:hint="eastAsia" w:ascii="宋体" w:hAnsi="宋体" w:cs="宋体"/>
                <w:b/>
                <w:bCs/>
                <w:sz w:val="24"/>
              </w:rPr>
              <w:t>，</w:t>
            </w:r>
            <w:r>
              <w:rPr>
                <w:rFonts w:hint="eastAsia" w:ascii="宋体" w:hAnsi="宋体" w:cs="宋体"/>
                <w:b/>
                <w:bCs/>
                <w:sz w:val="24"/>
                <w:lang w:eastAsia="zh-CN"/>
              </w:rPr>
              <w:t>否则不得分</w:t>
            </w:r>
            <w:r>
              <w:rPr>
                <w:rFonts w:hint="eastAsia" w:ascii="宋体" w:hAnsi="宋体" w:eastAsia="宋体" w:cs="宋体"/>
                <w:b/>
                <w:bCs/>
                <w:sz w:val="24"/>
                <w:szCs w:val="24"/>
              </w:rPr>
              <w:t>；（0-12分）</w:t>
            </w:r>
          </w:p>
          <w:p>
            <w:pPr>
              <w:spacing w:line="600" w:lineRule="exact"/>
              <w:jc w:val="left"/>
              <w:rPr>
                <w:rFonts w:ascii="宋体" w:hAnsi="宋体" w:cs="宋体"/>
                <w:sz w:val="24"/>
              </w:rPr>
            </w:pPr>
            <w:r>
              <w:rPr>
                <w:rFonts w:hint="eastAsia" w:ascii="宋体" w:hAnsi="宋体" w:cs="宋体"/>
                <w:sz w:val="24"/>
              </w:rPr>
              <w:t>3）</w:t>
            </w:r>
            <w:r>
              <w:rPr>
                <w:rFonts w:hint="eastAsia" w:ascii="宋体" w:hAnsi="宋体" w:cs="宋体"/>
                <w:bCs/>
                <w:sz w:val="24"/>
              </w:rPr>
              <w:t>具有国家公安部消防局颁发的建（构）筑物消防员证书，</w:t>
            </w:r>
            <w:r>
              <w:rPr>
                <w:rFonts w:hint="eastAsia" w:ascii="宋体" w:hAnsi="宋体" w:cs="宋体"/>
                <w:sz w:val="24"/>
              </w:rPr>
              <w:t>每有1人得1分，最多得5分；</w:t>
            </w:r>
            <w:r>
              <w:rPr>
                <w:rFonts w:hint="eastAsia" w:ascii="宋体" w:hAnsi="宋体" w:cs="宋体"/>
                <w:b/>
                <w:bCs/>
                <w:sz w:val="24"/>
              </w:rPr>
              <w:t>投标文件中提供证书</w:t>
            </w:r>
            <w:r>
              <w:rPr>
                <w:rFonts w:hint="eastAsia" w:ascii="宋体" w:hAnsi="宋体" w:cs="宋体"/>
                <w:b/>
                <w:bCs/>
                <w:sz w:val="24"/>
                <w:lang w:eastAsia="zh-CN"/>
              </w:rPr>
              <w:t>、</w:t>
            </w:r>
            <w:r>
              <w:rPr>
                <w:rFonts w:hint="eastAsia" w:ascii="宋体" w:hAnsi="宋体" w:cs="宋体"/>
                <w:b/>
                <w:bCs/>
                <w:sz w:val="24"/>
              </w:rPr>
              <w:t>社保证明</w:t>
            </w:r>
            <w:r>
              <w:rPr>
                <w:rFonts w:hint="eastAsia" w:ascii="宋体" w:hAnsi="宋体" w:cs="宋体"/>
                <w:b/>
                <w:bCs/>
                <w:sz w:val="24"/>
                <w:lang w:eastAsia="zh-CN"/>
              </w:rPr>
              <w:t>材料</w:t>
            </w:r>
            <w:r>
              <w:rPr>
                <w:rFonts w:hint="eastAsia" w:ascii="宋体" w:hAnsi="宋体" w:cs="宋体"/>
                <w:b/>
                <w:bCs/>
                <w:sz w:val="24"/>
              </w:rPr>
              <w:t>复印件</w:t>
            </w:r>
            <w:r>
              <w:rPr>
                <w:rFonts w:hint="eastAsia" w:ascii="宋体" w:hAnsi="宋体" w:cs="宋体"/>
                <w:b/>
                <w:bCs/>
                <w:sz w:val="24"/>
                <w:lang w:eastAsia="zh-CN"/>
              </w:rPr>
              <w:t>或扫描打印件</w:t>
            </w:r>
            <w:r>
              <w:rPr>
                <w:rFonts w:hint="eastAsia" w:ascii="宋体" w:hAnsi="宋体" w:cs="宋体"/>
                <w:b/>
                <w:bCs/>
                <w:sz w:val="24"/>
              </w:rPr>
              <w:t>；（0-5分）</w:t>
            </w:r>
          </w:p>
        </w:tc>
        <w:tc>
          <w:tcPr>
            <w:tcW w:w="892" w:type="dxa"/>
            <w:noWrap w:val="0"/>
            <w:vAlign w:val="center"/>
          </w:tcPr>
          <w:p>
            <w:pPr>
              <w:jc w:val="center"/>
              <w:rPr>
                <w:rFonts w:ascii="宋体" w:hAnsi="宋体" w:cs="宋体"/>
                <w:sz w:val="24"/>
              </w:rPr>
            </w:pPr>
            <w:r>
              <w:rPr>
                <w:rFonts w:hint="eastAsia" w:ascii="宋体" w:hAnsi="宋体" w:cs="宋体"/>
                <w:sz w:val="24"/>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9" w:type="dxa"/>
            <w:noWrap w:val="0"/>
            <w:vAlign w:val="center"/>
          </w:tcPr>
          <w:p>
            <w:pPr>
              <w:jc w:val="center"/>
              <w:rPr>
                <w:rFonts w:ascii="宋体" w:hAnsi="宋体" w:cs="宋体"/>
                <w:sz w:val="24"/>
              </w:rPr>
            </w:pPr>
            <w:r>
              <w:rPr>
                <w:rFonts w:hint="eastAsia" w:ascii="宋体" w:hAnsi="宋体" w:cs="宋体"/>
                <w:sz w:val="24"/>
              </w:rPr>
              <w:t>5</w:t>
            </w:r>
          </w:p>
        </w:tc>
        <w:tc>
          <w:tcPr>
            <w:tcW w:w="6656" w:type="dxa"/>
            <w:noWrap w:val="0"/>
            <w:vAlign w:val="center"/>
          </w:tcPr>
          <w:p>
            <w:pPr>
              <w:spacing w:line="600" w:lineRule="exact"/>
              <w:jc w:val="left"/>
              <w:rPr>
                <w:rFonts w:ascii="宋体" w:hAnsi="宋体" w:cs="宋体"/>
                <w:sz w:val="24"/>
              </w:rPr>
            </w:pPr>
            <w:r>
              <w:rPr>
                <w:rFonts w:hint="eastAsia" w:ascii="宋体" w:hAnsi="宋体" w:cs="宋体"/>
                <w:sz w:val="24"/>
              </w:rPr>
              <w:t>管理组织实施方案：</w:t>
            </w:r>
          </w:p>
          <w:p>
            <w:pPr>
              <w:spacing w:line="600" w:lineRule="exact"/>
              <w:jc w:val="left"/>
              <w:rPr>
                <w:rFonts w:ascii="宋体" w:hAnsi="宋体" w:cs="宋体"/>
                <w:sz w:val="24"/>
              </w:rPr>
            </w:pPr>
            <w:r>
              <w:rPr>
                <w:rFonts w:hint="eastAsia" w:ascii="宋体" w:hAnsi="宋体" w:cs="宋体"/>
                <w:sz w:val="24"/>
              </w:rPr>
              <w:t>1）员工招聘标准的合理性，员工培训计划的合理性</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w:t>
            </w:r>
          </w:p>
          <w:p>
            <w:pPr>
              <w:spacing w:line="600" w:lineRule="exact"/>
              <w:jc w:val="left"/>
              <w:rPr>
                <w:rFonts w:ascii="宋体" w:hAnsi="宋体" w:cs="宋体"/>
                <w:sz w:val="24"/>
              </w:rPr>
            </w:pPr>
            <w:r>
              <w:rPr>
                <w:rFonts w:hint="eastAsia" w:ascii="宋体" w:hAnsi="宋体" w:cs="宋体"/>
                <w:sz w:val="24"/>
              </w:rPr>
              <w:t>2）管理的制度的合理性、规范和标准的合理性</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w:t>
            </w:r>
          </w:p>
          <w:p>
            <w:pPr>
              <w:spacing w:line="600" w:lineRule="exact"/>
              <w:jc w:val="left"/>
              <w:rPr>
                <w:rFonts w:ascii="宋体" w:hAnsi="宋体" w:cs="宋体"/>
                <w:sz w:val="24"/>
              </w:rPr>
            </w:pPr>
            <w:r>
              <w:rPr>
                <w:rFonts w:hint="eastAsia" w:ascii="宋体" w:hAnsi="宋体" w:cs="宋体"/>
                <w:sz w:val="24"/>
              </w:rPr>
              <w:t>3）门岗、巡逻管理服务等具体实施方案的合理性、可行性</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w:t>
            </w:r>
          </w:p>
          <w:p>
            <w:pPr>
              <w:spacing w:line="600" w:lineRule="exact"/>
              <w:jc w:val="left"/>
              <w:rPr>
                <w:rFonts w:ascii="宋体" w:hAnsi="宋体" w:cs="宋体"/>
                <w:sz w:val="24"/>
              </w:rPr>
            </w:pPr>
            <w:r>
              <w:rPr>
                <w:rFonts w:hint="eastAsia" w:ascii="宋体" w:hAnsi="宋体" w:cs="宋体"/>
                <w:sz w:val="24"/>
              </w:rPr>
              <w:t>4）稳定员工队伍的措施的合理性、可行性</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w:t>
            </w:r>
          </w:p>
        </w:tc>
        <w:tc>
          <w:tcPr>
            <w:tcW w:w="892" w:type="dxa"/>
            <w:noWrap w:val="0"/>
            <w:vAlign w:val="center"/>
          </w:tcPr>
          <w:p>
            <w:pPr>
              <w:jc w:val="center"/>
              <w:rPr>
                <w:rFonts w:ascii="宋体" w:hAnsi="宋体" w:cs="宋体"/>
                <w:sz w:val="24"/>
              </w:rPr>
            </w:pPr>
            <w:r>
              <w:rPr>
                <w:rFonts w:hint="eastAsia" w:ascii="宋体" w:hAnsi="宋体" w:cs="宋体"/>
                <w:sz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9" w:type="dxa"/>
            <w:noWrap w:val="0"/>
            <w:vAlign w:val="center"/>
          </w:tcPr>
          <w:p>
            <w:pPr>
              <w:jc w:val="center"/>
              <w:rPr>
                <w:rFonts w:ascii="宋体" w:hAnsi="宋体" w:cs="宋体"/>
                <w:sz w:val="24"/>
              </w:rPr>
            </w:pPr>
            <w:r>
              <w:rPr>
                <w:rFonts w:hint="eastAsia" w:ascii="宋体" w:hAnsi="宋体" w:cs="宋体"/>
                <w:sz w:val="24"/>
              </w:rPr>
              <w:t>6</w:t>
            </w:r>
          </w:p>
        </w:tc>
        <w:tc>
          <w:tcPr>
            <w:tcW w:w="6656" w:type="dxa"/>
            <w:noWrap w:val="0"/>
            <w:vAlign w:val="center"/>
          </w:tcPr>
          <w:p>
            <w:pPr>
              <w:spacing w:line="600" w:lineRule="exact"/>
              <w:jc w:val="left"/>
              <w:rPr>
                <w:rFonts w:ascii="宋体" w:hAnsi="宋体" w:cs="宋体"/>
                <w:sz w:val="24"/>
              </w:rPr>
            </w:pPr>
            <w:r>
              <w:rPr>
                <w:rFonts w:hint="eastAsia" w:ascii="宋体" w:hAnsi="宋体" w:cs="宋体"/>
                <w:sz w:val="24"/>
              </w:rPr>
              <w:t>应急预案：提供处理突发事件的应急预案的合理性、可行性</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w:t>
            </w:r>
          </w:p>
        </w:tc>
        <w:tc>
          <w:tcPr>
            <w:tcW w:w="892"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9" w:type="dxa"/>
            <w:noWrap w:val="0"/>
            <w:vAlign w:val="center"/>
          </w:tcPr>
          <w:p>
            <w:pPr>
              <w:jc w:val="center"/>
              <w:rPr>
                <w:rFonts w:ascii="宋体" w:hAnsi="宋体" w:cs="宋体"/>
                <w:sz w:val="24"/>
                <w:highlight w:val="none"/>
              </w:rPr>
            </w:pPr>
            <w:r>
              <w:rPr>
                <w:rFonts w:hint="eastAsia" w:ascii="宋体" w:hAnsi="宋体" w:cs="宋体"/>
                <w:sz w:val="24"/>
                <w:highlight w:val="none"/>
              </w:rPr>
              <w:t>7</w:t>
            </w:r>
          </w:p>
        </w:tc>
        <w:tc>
          <w:tcPr>
            <w:tcW w:w="6656" w:type="dxa"/>
            <w:noWrap w:val="0"/>
            <w:vAlign w:val="center"/>
          </w:tcPr>
          <w:p>
            <w:pPr>
              <w:spacing w:line="600" w:lineRule="exact"/>
              <w:jc w:val="left"/>
              <w:rPr>
                <w:rFonts w:ascii="宋体" w:hAnsi="宋体" w:cs="宋体"/>
                <w:sz w:val="24"/>
                <w:highlight w:val="none"/>
              </w:rPr>
            </w:pPr>
            <w:r>
              <w:rPr>
                <w:rFonts w:hint="eastAsia" w:ascii="宋体" w:hAnsi="宋体" w:cs="宋体"/>
                <w:sz w:val="24"/>
                <w:highlight w:val="none"/>
                <w:lang w:eastAsia="zh-CN"/>
              </w:rPr>
              <w:t>投标人承诺中标后提供</w:t>
            </w:r>
            <w:bookmarkStart w:id="408" w:name="_GoBack"/>
            <w:bookmarkEnd w:id="408"/>
            <w:r>
              <w:rPr>
                <w:rFonts w:hint="eastAsia" w:ascii="宋体" w:hAnsi="宋体" w:cs="宋体"/>
                <w:sz w:val="24"/>
                <w:highlight w:val="none"/>
              </w:rPr>
              <w:t>服务网点；</w:t>
            </w:r>
            <w:r>
              <w:rPr>
                <w:rFonts w:hint="eastAsia" w:ascii="宋体" w:hAnsi="宋体" w:cs="宋体"/>
                <w:b/>
                <w:bCs/>
                <w:sz w:val="24"/>
                <w:highlight w:val="none"/>
                <w:lang w:eastAsia="zh-CN"/>
              </w:rPr>
              <w:t>投标文件中提供承诺书，承诺书格式自拟，否则不得分；</w:t>
            </w:r>
            <w:r>
              <w:rPr>
                <w:rFonts w:hint="eastAsia" w:ascii="宋体" w:hAnsi="宋体" w:cs="宋体"/>
                <w:b/>
                <w:bCs/>
                <w:sz w:val="24"/>
                <w:highlight w:val="none"/>
                <w:lang w:val="en-US" w:eastAsia="zh-CN"/>
              </w:rPr>
              <w:t>2分</w:t>
            </w:r>
          </w:p>
        </w:tc>
        <w:tc>
          <w:tcPr>
            <w:tcW w:w="892"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9" w:type="dxa"/>
            <w:noWrap w:val="0"/>
            <w:vAlign w:val="center"/>
          </w:tcPr>
          <w:p>
            <w:pPr>
              <w:jc w:val="center"/>
              <w:rPr>
                <w:rFonts w:ascii="宋体" w:hAnsi="宋体" w:cs="宋体"/>
                <w:sz w:val="24"/>
              </w:rPr>
            </w:pPr>
            <w:r>
              <w:rPr>
                <w:rFonts w:hint="eastAsia" w:ascii="宋体" w:hAnsi="宋体" w:cs="宋体"/>
                <w:sz w:val="24"/>
              </w:rPr>
              <w:t>8</w:t>
            </w:r>
          </w:p>
        </w:tc>
        <w:tc>
          <w:tcPr>
            <w:tcW w:w="6656" w:type="dxa"/>
            <w:noWrap w:val="0"/>
            <w:vAlign w:val="center"/>
          </w:tcPr>
          <w:p>
            <w:pPr>
              <w:spacing w:line="600" w:lineRule="exact"/>
              <w:jc w:val="left"/>
              <w:rPr>
                <w:rFonts w:ascii="宋体" w:hAnsi="宋体" w:cs="宋体"/>
                <w:sz w:val="24"/>
              </w:rPr>
            </w:pPr>
            <w:r>
              <w:rPr>
                <w:rFonts w:hint="eastAsia" w:ascii="宋体" w:hAnsi="宋体" w:cs="宋体"/>
                <w:sz w:val="24"/>
              </w:rPr>
              <w:t>针对本项目的合理化、优化建议：投标人针对本项目提出合理化、优化建议，合理性、可行性</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符合的得2分，部分符合的得1分，没有不得分</w:t>
            </w:r>
            <w:r>
              <w:rPr>
                <w:rFonts w:hint="eastAsia" w:ascii="宋体" w:hAnsi="宋体" w:cs="宋体"/>
                <w:sz w:val="24"/>
              </w:rPr>
              <w:t>；</w:t>
            </w:r>
          </w:p>
        </w:tc>
        <w:tc>
          <w:tcPr>
            <w:tcW w:w="892"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49" w:type="dxa"/>
            <w:noWrap w:val="0"/>
            <w:vAlign w:val="center"/>
          </w:tcPr>
          <w:p>
            <w:pPr>
              <w:jc w:val="center"/>
              <w:rPr>
                <w:rFonts w:ascii="宋体" w:hAnsi="宋体" w:cs="宋体"/>
                <w:sz w:val="24"/>
              </w:rPr>
            </w:pPr>
            <w:r>
              <w:rPr>
                <w:rFonts w:hint="eastAsia" w:ascii="宋体" w:hAnsi="宋体" w:cs="宋体"/>
                <w:sz w:val="24"/>
              </w:rPr>
              <w:t>9</w:t>
            </w:r>
          </w:p>
        </w:tc>
        <w:tc>
          <w:tcPr>
            <w:tcW w:w="6656" w:type="dxa"/>
            <w:noWrap w:val="0"/>
            <w:vAlign w:val="center"/>
          </w:tcPr>
          <w:p>
            <w:pPr>
              <w:spacing w:line="600" w:lineRule="exact"/>
              <w:jc w:val="left"/>
              <w:rPr>
                <w:rFonts w:ascii="宋体" w:hAnsi="宋体" w:cs="宋体"/>
                <w:sz w:val="24"/>
              </w:rPr>
            </w:pPr>
            <w:r>
              <w:rPr>
                <w:rFonts w:hint="eastAsia" w:ascii="宋体" w:hAnsi="宋体" w:cs="宋体"/>
                <w:sz w:val="24"/>
              </w:rPr>
              <w:t>服务承诺：包括服务内容及标准承诺、创建工作承诺等，合理性、可行性、可操作性</w:t>
            </w:r>
            <w:r>
              <w:rPr>
                <w:rFonts w:hint="eastAsia" w:ascii="宋体" w:hAnsi="宋体" w:cs="宋体"/>
                <w:sz w:val="24"/>
                <w:lang w:eastAsia="zh-CN"/>
              </w:rPr>
              <w:t>，</w:t>
            </w:r>
            <w:r>
              <w:rPr>
                <w:rFonts w:hint="eastAsia" w:ascii="仿宋" w:hAnsi="仿宋" w:eastAsia="仿宋" w:cs="仿宋_GB2312"/>
                <w:b/>
                <w:bCs/>
                <w:sz w:val="24"/>
                <w:lang w:val="en-US" w:eastAsia="zh-CN"/>
              </w:rPr>
              <w:t>比较打分；</w:t>
            </w:r>
            <w:r>
              <w:rPr>
                <w:rFonts w:hint="eastAsia" w:ascii="仿宋_GB2312" w:hAnsi="仿宋" w:eastAsia="仿宋_GB2312" w:cs="Arial"/>
                <w:b/>
                <w:bCs/>
                <w:kern w:val="0"/>
                <w:sz w:val="24"/>
                <w:szCs w:val="24"/>
                <w:lang w:val="en-US" w:eastAsia="zh-CN" w:bidi="ar-SA"/>
              </w:rPr>
              <w:t>符合的得3分，部分符合的得1.5分，没有不得分</w:t>
            </w:r>
            <w:r>
              <w:rPr>
                <w:rFonts w:hint="eastAsia" w:ascii="宋体" w:hAnsi="宋体" w:cs="宋体"/>
                <w:sz w:val="24"/>
              </w:rPr>
              <w:t>；</w:t>
            </w:r>
          </w:p>
        </w:tc>
        <w:tc>
          <w:tcPr>
            <w:tcW w:w="892"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r>
    </w:tbl>
    <w:p>
      <w:pPr>
        <w:pStyle w:val="26"/>
        <w:spacing w:line="600" w:lineRule="exact"/>
        <w:ind w:firstLine="0"/>
        <w:rPr>
          <w:rFonts w:ascii="宋体" w:hAnsi="宋体" w:eastAsia="宋体"/>
          <w:color w:val="000000"/>
          <w:sz w:val="24"/>
          <w:szCs w:val="24"/>
        </w:rPr>
      </w:pPr>
    </w:p>
    <w:p>
      <w:pPr>
        <w:pStyle w:val="26"/>
        <w:spacing w:line="600" w:lineRule="exact"/>
        <w:ind w:firstLine="0"/>
        <w:rPr>
          <w:rFonts w:ascii="宋体" w:hAnsi="宋体" w:eastAsia="宋体"/>
          <w:color w:val="000000"/>
          <w:sz w:val="24"/>
          <w:szCs w:val="24"/>
        </w:rPr>
      </w:pPr>
      <w:r>
        <w:rPr>
          <w:rFonts w:hint="eastAsia" w:ascii="宋体" w:hAnsi="宋体" w:eastAsia="宋体"/>
          <w:color w:val="000000"/>
          <w:sz w:val="24"/>
          <w:szCs w:val="24"/>
        </w:rPr>
        <w:t>商务分（</w:t>
      </w:r>
      <w:r>
        <w:rPr>
          <w:rFonts w:hint="eastAsia"/>
          <w:color w:val="000000"/>
          <w:sz w:val="24"/>
          <w:szCs w:val="24"/>
          <w:lang w:val="en-US" w:eastAsia="zh-CN"/>
        </w:rPr>
        <w:t>22</w:t>
      </w:r>
      <w:r>
        <w:rPr>
          <w:rFonts w:hint="eastAsia" w:ascii="宋体" w:hAnsi="宋体" w:eastAsia="宋体"/>
          <w:color w:val="000000"/>
          <w:sz w:val="24"/>
          <w:szCs w:val="24"/>
        </w:rPr>
        <w:t>分）：</w:t>
      </w:r>
    </w:p>
    <w:tbl>
      <w:tblPr>
        <w:tblStyle w:val="63"/>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6683"/>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722" w:type="dxa"/>
            <w:noWrap w:val="0"/>
            <w:vAlign w:val="center"/>
          </w:tcPr>
          <w:p>
            <w:pPr>
              <w:jc w:val="center"/>
              <w:rPr>
                <w:rFonts w:ascii="宋体" w:hAnsi="宋体" w:cs="宋体"/>
                <w:sz w:val="24"/>
              </w:rPr>
            </w:pPr>
            <w:r>
              <w:rPr>
                <w:rFonts w:hint="eastAsia" w:ascii="宋体" w:hAnsi="宋体" w:cs="宋体"/>
                <w:sz w:val="24"/>
              </w:rPr>
              <w:t>序号</w:t>
            </w:r>
          </w:p>
        </w:tc>
        <w:tc>
          <w:tcPr>
            <w:tcW w:w="6683" w:type="dxa"/>
            <w:noWrap w:val="0"/>
            <w:vAlign w:val="center"/>
          </w:tcPr>
          <w:p>
            <w:pPr>
              <w:jc w:val="center"/>
              <w:rPr>
                <w:rFonts w:ascii="宋体" w:hAnsi="宋体" w:cs="宋体"/>
                <w:sz w:val="24"/>
              </w:rPr>
            </w:pPr>
            <w:r>
              <w:rPr>
                <w:rFonts w:hint="eastAsia" w:ascii="宋体" w:hAnsi="宋体" w:cs="宋体"/>
                <w:sz w:val="24"/>
              </w:rPr>
              <w:t>评分细则内容</w:t>
            </w:r>
          </w:p>
        </w:tc>
        <w:tc>
          <w:tcPr>
            <w:tcW w:w="892" w:type="dxa"/>
            <w:noWrap w:val="0"/>
            <w:vAlign w:val="center"/>
          </w:tcPr>
          <w:p>
            <w:pPr>
              <w:jc w:val="center"/>
              <w:rPr>
                <w:rFonts w:ascii="宋体" w:hAnsi="宋体" w:cs="宋体"/>
                <w:sz w:val="24"/>
              </w:rPr>
            </w:pPr>
            <w:r>
              <w:rPr>
                <w:rFonts w:hint="eastAsia" w:ascii="宋体" w:hAnsi="宋体" w:cs="宋体"/>
                <w:sz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22" w:type="dxa"/>
            <w:noWrap w:val="0"/>
            <w:vAlign w:val="center"/>
          </w:tcPr>
          <w:p>
            <w:pPr>
              <w:jc w:val="center"/>
              <w:rPr>
                <w:rFonts w:ascii="宋体" w:hAnsi="宋体" w:cs="宋体"/>
                <w:sz w:val="24"/>
              </w:rPr>
            </w:pPr>
            <w:r>
              <w:rPr>
                <w:rFonts w:hint="eastAsia" w:ascii="宋体" w:hAnsi="宋体" w:cs="宋体"/>
                <w:sz w:val="24"/>
              </w:rPr>
              <w:t>1</w:t>
            </w:r>
          </w:p>
        </w:tc>
        <w:tc>
          <w:tcPr>
            <w:tcW w:w="6683" w:type="dxa"/>
            <w:noWrap w:val="0"/>
            <w:vAlign w:val="center"/>
          </w:tcPr>
          <w:p>
            <w:pPr>
              <w:spacing w:line="600" w:lineRule="exact"/>
              <w:jc w:val="left"/>
              <w:rPr>
                <w:sz w:val="24"/>
                <w:szCs w:val="24"/>
              </w:rPr>
            </w:pPr>
            <w:r>
              <w:rPr>
                <w:rFonts w:hint="eastAsia"/>
                <w:sz w:val="24"/>
                <w:szCs w:val="24"/>
              </w:rPr>
              <w:t>企业证书：</w:t>
            </w:r>
          </w:p>
          <w:p>
            <w:pPr>
              <w:numPr>
                <w:ilvl w:val="0"/>
                <w:numId w:val="4"/>
              </w:numPr>
              <w:spacing w:line="600" w:lineRule="exact"/>
              <w:jc w:val="left"/>
              <w:rPr>
                <w:sz w:val="24"/>
                <w:szCs w:val="24"/>
              </w:rPr>
            </w:pPr>
            <w:r>
              <w:rPr>
                <w:rFonts w:hint="eastAsia"/>
                <w:sz w:val="24"/>
                <w:szCs w:val="24"/>
              </w:rPr>
              <w:t>投标人具有职业健康安全管理体系认证证书得</w:t>
            </w:r>
            <w:r>
              <w:rPr>
                <w:rFonts w:hint="eastAsia"/>
                <w:sz w:val="24"/>
                <w:szCs w:val="24"/>
                <w:lang w:val="en-US" w:eastAsia="zh-CN"/>
              </w:rPr>
              <w:t>3</w:t>
            </w:r>
            <w:r>
              <w:rPr>
                <w:rFonts w:hint="eastAsia"/>
                <w:sz w:val="24"/>
                <w:szCs w:val="24"/>
              </w:rPr>
              <w:t>分；具有质量管理体系认证证书得</w:t>
            </w:r>
            <w:r>
              <w:rPr>
                <w:rFonts w:hint="eastAsia"/>
                <w:sz w:val="24"/>
                <w:szCs w:val="24"/>
                <w:lang w:val="en-US" w:eastAsia="zh-CN"/>
              </w:rPr>
              <w:t>3</w:t>
            </w:r>
            <w:r>
              <w:rPr>
                <w:rFonts w:hint="eastAsia"/>
                <w:sz w:val="24"/>
                <w:szCs w:val="24"/>
              </w:rPr>
              <w:t>分，具有环境管理体系认证证书得</w:t>
            </w:r>
            <w:r>
              <w:rPr>
                <w:rFonts w:hint="eastAsia"/>
                <w:sz w:val="24"/>
                <w:szCs w:val="24"/>
                <w:lang w:val="en-US" w:eastAsia="zh-CN"/>
              </w:rPr>
              <w:t>3</w:t>
            </w:r>
            <w:r>
              <w:rPr>
                <w:rFonts w:hint="eastAsia"/>
                <w:sz w:val="24"/>
                <w:szCs w:val="24"/>
              </w:rPr>
              <w:t>分；</w:t>
            </w:r>
            <w:r>
              <w:rPr>
                <w:rFonts w:hint="eastAsia"/>
                <w:sz w:val="24"/>
                <w:szCs w:val="24"/>
                <w:lang w:eastAsia="zh-CN"/>
              </w:rPr>
              <w:t>且</w:t>
            </w:r>
            <w:r>
              <w:rPr>
                <w:rFonts w:hint="eastAsia"/>
                <w:sz w:val="24"/>
                <w:szCs w:val="24"/>
              </w:rPr>
              <w:t>在有效期内</w:t>
            </w:r>
            <w:r>
              <w:rPr>
                <w:rFonts w:hint="eastAsia"/>
                <w:sz w:val="24"/>
                <w:szCs w:val="24"/>
                <w:lang w:eastAsia="zh-CN"/>
              </w:rPr>
              <w:t>，否则</w:t>
            </w:r>
            <w:r>
              <w:rPr>
                <w:rFonts w:hint="eastAsia"/>
                <w:sz w:val="24"/>
                <w:szCs w:val="24"/>
              </w:rPr>
              <w:t>不得分；</w:t>
            </w:r>
            <w:r>
              <w:rPr>
                <w:rFonts w:hint="eastAsia"/>
                <w:sz w:val="24"/>
                <w:szCs w:val="24"/>
                <w:lang w:eastAsia="zh-CN"/>
              </w:rPr>
              <w:t>（</w:t>
            </w:r>
            <w:r>
              <w:rPr>
                <w:rFonts w:hint="eastAsia"/>
                <w:sz w:val="24"/>
                <w:szCs w:val="24"/>
                <w:lang w:val="en-US" w:eastAsia="zh-CN"/>
              </w:rPr>
              <w:t>0-9分</w:t>
            </w:r>
            <w:r>
              <w:rPr>
                <w:rFonts w:hint="eastAsia"/>
                <w:sz w:val="24"/>
                <w:szCs w:val="24"/>
                <w:lang w:eastAsia="zh-CN"/>
              </w:rPr>
              <w:t>）</w:t>
            </w:r>
          </w:p>
          <w:p>
            <w:pPr>
              <w:numPr>
                <w:ilvl w:val="0"/>
                <w:numId w:val="4"/>
              </w:numPr>
              <w:spacing w:line="600" w:lineRule="exact"/>
              <w:jc w:val="left"/>
              <w:rPr>
                <w:sz w:val="24"/>
                <w:szCs w:val="24"/>
              </w:rPr>
            </w:pPr>
            <w:r>
              <w:rPr>
                <w:rFonts w:hint="eastAsia"/>
                <w:sz w:val="24"/>
                <w:szCs w:val="24"/>
              </w:rPr>
              <w:t>投标人具有合法有效的保安服务许可证的得</w:t>
            </w:r>
            <w:r>
              <w:rPr>
                <w:rFonts w:hint="eastAsia"/>
                <w:sz w:val="24"/>
                <w:szCs w:val="24"/>
                <w:lang w:val="en-US" w:eastAsia="zh-CN"/>
              </w:rPr>
              <w:t>3</w:t>
            </w:r>
            <w:r>
              <w:rPr>
                <w:rFonts w:hint="eastAsia"/>
                <w:sz w:val="24"/>
                <w:szCs w:val="24"/>
              </w:rPr>
              <w:t>分；</w:t>
            </w:r>
          </w:p>
          <w:p>
            <w:pPr>
              <w:numPr>
                <w:ilvl w:val="0"/>
                <w:numId w:val="4"/>
              </w:numPr>
              <w:spacing w:line="600" w:lineRule="exact"/>
              <w:jc w:val="left"/>
              <w:rPr>
                <w:sz w:val="24"/>
                <w:szCs w:val="24"/>
              </w:rPr>
            </w:pPr>
            <w:r>
              <w:rPr>
                <w:rFonts w:hint="eastAsia"/>
                <w:sz w:val="24"/>
                <w:szCs w:val="24"/>
              </w:rPr>
              <w:t>投标人具有</w:t>
            </w:r>
            <w:r>
              <w:rPr>
                <w:rFonts w:hint="eastAsia"/>
                <w:sz w:val="24"/>
                <w:szCs w:val="24"/>
                <w:lang w:val="en-US" w:eastAsia="zh-CN"/>
              </w:rPr>
              <w:t>保安服务认证五星级证书</w:t>
            </w:r>
            <w:r>
              <w:rPr>
                <w:rFonts w:hint="eastAsia"/>
                <w:sz w:val="24"/>
                <w:szCs w:val="24"/>
              </w:rPr>
              <w:t>的得3分；</w:t>
            </w:r>
          </w:p>
          <w:p>
            <w:pPr>
              <w:numPr>
                <w:ilvl w:val="0"/>
                <w:numId w:val="4"/>
              </w:numPr>
              <w:spacing w:line="600" w:lineRule="exact"/>
              <w:jc w:val="left"/>
              <w:rPr>
                <w:sz w:val="24"/>
                <w:szCs w:val="24"/>
              </w:rPr>
            </w:pPr>
            <w:r>
              <w:rPr>
                <w:rFonts w:hint="eastAsia"/>
                <w:sz w:val="24"/>
                <w:szCs w:val="24"/>
              </w:rPr>
              <w:t>投标人具有合法有效的“劳务派遣经营许可证”的得3分；</w:t>
            </w:r>
          </w:p>
          <w:p>
            <w:pPr>
              <w:numPr>
                <w:ilvl w:val="0"/>
                <w:numId w:val="4"/>
              </w:numPr>
              <w:spacing w:line="600" w:lineRule="exact"/>
              <w:jc w:val="left"/>
              <w:rPr>
                <w:rFonts w:hint="eastAsia"/>
                <w:sz w:val="24"/>
                <w:szCs w:val="24"/>
              </w:rPr>
            </w:pPr>
            <w:r>
              <w:rPr>
                <w:rFonts w:hint="eastAsia"/>
                <w:sz w:val="24"/>
                <w:szCs w:val="24"/>
              </w:rPr>
              <w:t>投标人具有省级荣誉证书的得3分,具有市级荣誉证书的得2分，具有区级荣誉证书的得1分，本项最高得3分；</w:t>
            </w:r>
          </w:p>
          <w:p>
            <w:pPr>
              <w:pStyle w:val="26"/>
              <w:numPr>
                <w:ilvl w:val="0"/>
                <w:numId w:val="0"/>
              </w:numPr>
            </w:pPr>
            <w:r>
              <w:rPr>
                <w:rFonts w:hint="eastAsia" w:ascii="宋体" w:hAnsi="宋体" w:cs="宋体"/>
                <w:b/>
                <w:bCs/>
                <w:sz w:val="24"/>
                <w:lang w:eastAsia="zh-CN"/>
              </w:rPr>
              <w:t>投标文件中</w:t>
            </w:r>
            <w:r>
              <w:rPr>
                <w:rFonts w:hint="eastAsia" w:ascii="宋体" w:hAnsi="宋体" w:cs="宋体"/>
                <w:b/>
                <w:bCs/>
                <w:sz w:val="24"/>
              </w:rPr>
              <w:t>提供</w:t>
            </w:r>
            <w:r>
              <w:rPr>
                <w:rFonts w:hint="eastAsia" w:ascii="宋体" w:hAnsi="宋体" w:eastAsia="宋体" w:cs="宋体"/>
                <w:b/>
                <w:bCs/>
                <w:sz w:val="24"/>
                <w:lang w:eastAsia="zh-CN"/>
              </w:rPr>
              <w:t>以上证书</w:t>
            </w:r>
            <w:r>
              <w:rPr>
                <w:rFonts w:hint="eastAsia" w:ascii="宋体" w:hAnsi="宋体" w:cs="宋体"/>
                <w:b/>
                <w:bCs/>
                <w:sz w:val="24"/>
                <w:lang w:eastAsia="zh-CN"/>
              </w:rPr>
              <w:t>的复印件或扫描打印件</w:t>
            </w:r>
            <w:r>
              <w:rPr>
                <w:rFonts w:hint="eastAsia" w:ascii="宋体" w:hAnsi="宋体" w:cs="宋体"/>
                <w:b/>
                <w:bCs/>
                <w:sz w:val="24"/>
              </w:rPr>
              <w:t>，</w:t>
            </w:r>
            <w:r>
              <w:rPr>
                <w:rFonts w:hint="eastAsia" w:ascii="宋体" w:hAnsi="宋体" w:cs="宋体"/>
                <w:b/>
                <w:bCs/>
                <w:sz w:val="24"/>
                <w:lang w:eastAsia="zh-CN"/>
              </w:rPr>
              <w:t>否则不得分。</w:t>
            </w:r>
          </w:p>
        </w:tc>
        <w:tc>
          <w:tcPr>
            <w:tcW w:w="892"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22" w:type="dxa"/>
            <w:noWrap w:val="0"/>
            <w:vAlign w:val="center"/>
          </w:tcPr>
          <w:p>
            <w:pPr>
              <w:jc w:val="center"/>
              <w:rPr>
                <w:rFonts w:ascii="宋体" w:hAnsi="宋体" w:cs="宋体"/>
                <w:sz w:val="24"/>
              </w:rPr>
            </w:pPr>
            <w:r>
              <w:rPr>
                <w:rFonts w:hint="eastAsia" w:ascii="宋体" w:hAnsi="宋体" w:cs="宋体"/>
                <w:sz w:val="24"/>
              </w:rPr>
              <w:t>2</w:t>
            </w:r>
          </w:p>
        </w:tc>
        <w:tc>
          <w:tcPr>
            <w:tcW w:w="6683" w:type="dxa"/>
            <w:noWrap w:val="0"/>
            <w:vAlign w:val="center"/>
          </w:tcPr>
          <w:p>
            <w:pPr>
              <w:spacing w:line="600" w:lineRule="exact"/>
              <w:jc w:val="left"/>
              <w:rPr>
                <w:rFonts w:ascii="宋体" w:hAnsi="宋体" w:cs="宋体"/>
                <w:sz w:val="24"/>
              </w:rPr>
            </w:pPr>
            <w:r>
              <w:rPr>
                <w:rFonts w:hint="eastAsia" w:ascii="宋体" w:hAnsi="宋体" w:cs="宋体"/>
                <w:sz w:val="24"/>
              </w:rPr>
              <w:t>项目实施业绩一览表：投标人自201</w:t>
            </w:r>
            <w:r>
              <w:rPr>
                <w:rFonts w:hint="eastAsia" w:ascii="宋体" w:hAnsi="宋体" w:cs="宋体"/>
                <w:sz w:val="24"/>
                <w:lang w:val="en-US" w:eastAsia="zh-CN"/>
              </w:rPr>
              <w:t>9</w:t>
            </w:r>
            <w:r>
              <w:rPr>
                <w:rFonts w:hint="eastAsia" w:ascii="宋体" w:hAnsi="宋体" w:cs="宋体"/>
                <w:sz w:val="24"/>
              </w:rPr>
              <w:t>年1月1日以来（时间以合同签订时间为准）</w:t>
            </w:r>
            <w:r>
              <w:rPr>
                <w:rFonts w:hint="eastAsia" w:ascii="宋体" w:hAnsi="宋体" w:cs="宋体"/>
                <w:sz w:val="24"/>
                <w:lang w:eastAsia="zh-CN"/>
              </w:rPr>
              <w:t>承担过类似</w:t>
            </w:r>
            <w:r>
              <w:rPr>
                <w:rFonts w:hint="eastAsia" w:ascii="宋体" w:hAnsi="宋体" w:cs="宋体"/>
                <w:sz w:val="24"/>
              </w:rPr>
              <w:t>保安服务项目的，</w:t>
            </w:r>
            <w:r>
              <w:rPr>
                <w:rFonts w:hint="eastAsia" w:ascii="宋体" w:hAnsi="宋体" w:cs="宋体"/>
                <w:sz w:val="24"/>
                <w:lang w:val="en-US" w:eastAsia="zh-CN"/>
              </w:rPr>
              <w:t>1</w:t>
            </w:r>
            <w:r>
              <w:rPr>
                <w:rFonts w:hint="eastAsia" w:ascii="宋体" w:hAnsi="宋体" w:cs="宋体"/>
                <w:sz w:val="24"/>
              </w:rPr>
              <w:t>个得</w:t>
            </w:r>
            <w:r>
              <w:rPr>
                <w:rFonts w:hint="eastAsia" w:ascii="宋体" w:hAnsi="宋体" w:cs="宋体"/>
                <w:sz w:val="24"/>
                <w:lang w:val="en-US" w:eastAsia="zh-CN"/>
              </w:rPr>
              <w:t>0.5</w:t>
            </w:r>
            <w:r>
              <w:rPr>
                <w:rFonts w:hint="eastAsia" w:ascii="宋体" w:hAnsi="宋体" w:cs="宋体"/>
                <w:sz w:val="24"/>
              </w:rPr>
              <w:t>分，最高</w:t>
            </w:r>
            <w:r>
              <w:rPr>
                <w:rFonts w:hint="eastAsia" w:ascii="宋体" w:hAnsi="宋体" w:cs="宋体"/>
                <w:sz w:val="24"/>
                <w:lang w:val="en-US" w:eastAsia="zh-CN"/>
              </w:rPr>
              <w:t>1</w:t>
            </w:r>
            <w:r>
              <w:rPr>
                <w:rFonts w:hint="eastAsia" w:ascii="宋体" w:hAnsi="宋体" w:cs="宋体"/>
                <w:sz w:val="24"/>
              </w:rPr>
              <w:t>分；</w:t>
            </w:r>
            <w:r>
              <w:rPr>
                <w:rFonts w:hint="eastAsia" w:ascii="宋体" w:hAnsi="宋体" w:cs="宋体"/>
                <w:b/>
                <w:bCs/>
                <w:sz w:val="24"/>
                <w:lang w:eastAsia="zh-CN"/>
              </w:rPr>
              <w:t>投标文件中</w:t>
            </w:r>
            <w:r>
              <w:rPr>
                <w:rFonts w:hint="eastAsia" w:ascii="宋体" w:hAnsi="宋体" w:cs="宋体"/>
                <w:b/>
                <w:bCs/>
                <w:sz w:val="24"/>
              </w:rPr>
              <w:t>提供合同或中标通知书</w:t>
            </w:r>
            <w:r>
              <w:rPr>
                <w:rFonts w:hint="eastAsia" w:ascii="宋体" w:hAnsi="宋体" w:cs="宋体"/>
                <w:b/>
                <w:bCs/>
                <w:sz w:val="24"/>
                <w:lang w:eastAsia="zh-CN"/>
              </w:rPr>
              <w:t>的复印件或扫描打印件</w:t>
            </w:r>
            <w:r>
              <w:rPr>
                <w:rFonts w:hint="eastAsia" w:ascii="宋体" w:hAnsi="宋体" w:cs="宋体"/>
                <w:b/>
                <w:bCs/>
                <w:sz w:val="24"/>
              </w:rPr>
              <w:t>，</w:t>
            </w:r>
            <w:r>
              <w:rPr>
                <w:rFonts w:hint="eastAsia" w:ascii="宋体" w:hAnsi="宋体" w:cs="宋体"/>
                <w:b/>
                <w:bCs/>
                <w:sz w:val="24"/>
                <w:lang w:eastAsia="zh-CN"/>
              </w:rPr>
              <w:t>否则不得分。</w:t>
            </w:r>
          </w:p>
        </w:tc>
        <w:tc>
          <w:tcPr>
            <w:tcW w:w="892"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1</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hint="eastAsia" w:ascii="仿宋" w:hAnsi="仿宋" w:eastAsia="仿宋" w:cs="仿宋_GB2312"/>
          <w:sz w:val="24"/>
          <w:lang w:val="en-US" w:eastAsia="zh-CN"/>
        </w:rPr>
        <w:t>所需提供的复印件必须加盖公章，否则不得分。</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6"/>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6"/>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6"/>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6"/>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6"/>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6"/>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6"/>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6"/>
        <w:spacing w:before="0"/>
        <w:ind w:firstLine="480"/>
        <w:rPr>
          <w:rFonts w:ascii="仿宋" w:hAnsi="仿宋" w:eastAsia="仿宋" w:cs="仿宋"/>
          <w:kern w:val="0"/>
          <w:szCs w:val="24"/>
        </w:rPr>
      </w:pPr>
      <w:r>
        <w:rPr>
          <w:rFonts w:ascii="仿宋" w:hAnsi="仿宋" w:eastAsia="仿宋" w:cs="仿宋"/>
          <w:kern w:val="0"/>
          <w:szCs w:val="24"/>
        </w:rPr>
        <w:t>3.4.</w:t>
      </w:r>
      <w:r>
        <w:rPr>
          <w:rFonts w:ascii="仿宋" w:hAnsi="仿宋" w:eastAsia="仿宋" w:cs="仿宋"/>
          <w:color w:val="000000"/>
          <w:kern w:val="0"/>
          <w:szCs w:val="24"/>
        </w:rPr>
        <w:t>5</w:t>
      </w:r>
      <w:r>
        <w:rPr>
          <w:rFonts w:hint="eastAsia" w:ascii="仿宋" w:hAnsi="仿宋" w:eastAsia="仿宋" w:cs="仿宋"/>
          <w:color w:val="000000"/>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kern w:val="0"/>
          <w:szCs w:val="24"/>
          <w:lang w:val="en-US" w:eastAsia="zh-CN"/>
        </w:rPr>
        <w:t>10</w:t>
      </w:r>
      <w:r>
        <w:rPr>
          <w:rFonts w:ascii="仿宋" w:hAnsi="仿宋" w:eastAsia="仿宋" w:cs="仿宋"/>
          <w:color w:val="000000"/>
          <w:kern w:val="0"/>
          <w:szCs w:val="24"/>
        </w:rPr>
        <w:t>%的扣除，用扣除后的价格参与评审。</w:t>
      </w:r>
      <w:r>
        <w:rPr>
          <w:rFonts w:ascii="仿宋" w:hAnsi="仿宋" w:eastAsia="仿宋" w:cs="仿宋"/>
          <w:kern w:val="0"/>
          <w:szCs w:val="24"/>
        </w:rPr>
        <w:t>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6"/>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3" w:name="第五部分"/>
      <w:bookmarkStart w:id="394"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outlineLvl w:val="0"/>
        <w:rPr>
          <w:rFonts w:hint="eastAsia" w:ascii="仿宋_GB2312" w:hAnsi="仿宋" w:eastAsia="仿宋_GB2312" w:cs="仿宋_GB2312"/>
          <w:b/>
          <w:sz w:val="36"/>
          <w:szCs w:val="36"/>
        </w:rPr>
      </w:pPr>
    </w:p>
    <w:p>
      <w:pPr>
        <w:pStyle w:val="2"/>
        <w:rPr>
          <w:rFonts w:hint="eastAsia"/>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rPr>
          <w:rFonts w:hint="eastAsia"/>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386"/>
        <w:ind w:left="0" w:leftChars="0" w:firstLine="0" w:firstLineChars="0"/>
        <w:rPr>
          <w:rFonts w:ascii="仿宋" w:hAnsi="仿宋" w:eastAsia="仿宋"/>
          <w:szCs w:val="24"/>
        </w:rPr>
      </w:pPr>
    </w:p>
    <w:p>
      <w:pPr>
        <w:pStyle w:val="386"/>
        <w:jc w:val="center"/>
        <w:rPr>
          <w:rFonts w:ascii="仿宋" w:hAnsi="仿宋" w:eastAsia="仿宋"/>
          <w:szCs w:val="24"/>
        </w:rPr>
      </w:pPr>
    </w:p>
    <w:p>
      <w:pPr>
        <w:pStyle w:val="386"/>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386"/>
        <w:rPr>
          <w:rFonts w:ascii="仿宋" w:hAnsi="仿宋" w:eastAsia="仿宋"/>
          <w:szCs w:val="24"/>
        </w:rPr>
      </w:pPr>
    </w:p>
    <w:p>
      <w:pPr>
        <w:pStyle w:val="386"/>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3"/>
        <w:spacing w:before="120" w:line="22" w:lineRule="atLeast"/>
        <w:rPr>
          <w:rFonts w:ascii="仿宋" w:hAnsi="仿宋" w:eastAsia="仿宋"/>
          <w:szCs w:val="24"/>
        </w:rPr>
      </w:pPr>
    </w:p>
    <w:p>
      <w:pPr>
        <w:pStyle w:val="28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ageBreakBefore/>
        <w:shd w:val="clear" w:color="auto" w:fill="FFFFFF"/>
        <w:snapToGrid w:val="0"/>
        <w:spacing w:line="360" w:lineRule="auto"/>
        <w:jc w:val="center"/>
        <w:outlineLvl w:val="0"/>
        <w:rPr>
          <w:rFonts w:hint="eastAsia" w:ascii="宋体" w:hAnsi="宋体" w:cs="宋体"/>
          <w:b/>
          <w:bCs/>
          <w:sz w:val="32"/>
          <w:szCs w:val="32"/>
        </w:rPr>
      </w:pPr>
      <w:r>
        <w:rPr>
          <w:rFonts w:hint="eastAsia" w:ascii="宋体" w:hAnsi="宋体" w:cs="宋体"/>
          <w:b/>
          <w:bCs/>
          <w:sz w:val="32"/>
          <w:szCs w:val="32"/>
        </w:rPr>
        <w:t>合同主要条款</w:t>
      </w:r>
    </w:p>
    <w:p>
      <w:pPr>
        <w:snapToGrid w:val="0"/>
        <w:spacing w:line="360" w:lineRule="auto"/>
        <w:ind w:firstLine="1108" w:firstLineChars="345"/>
        <w:rPr>
          <w:rFonts w:hint="eastAsia" w:ascii="宋体" w:hAnsi="宋体"/>
          <w:b/>
          <w:sz w:val="32"/>
          <w:szCs w:val="32"/>
        </w:rPr>
      </w:pPr>
      <w:r>
        <w:rPr>
          <w:rFonts w:hint="eastAsia" w:ascii="宋体" w:hAnsi="宋体"/>
          <w:b/>
          <w:sz w:val="32"/>
          <w:szCs w:val="32"/>
        </w:rPr>
        <w:t xml:space="preserve">           （以最终合同为准）</w:t>
      </w:r>
    </w:p>
    <w:p>
      <w:pPr>
        <w:spacing w:line="360" w:lineRule="auto"/>
        <w:rPr>
          <w:rFonts w:hint="eastAsia"/>
        </w:rPr>
      </w:pPr>
    </w:p>
    <w:p>
      <w:pPr>
        <w:autoSpaceDE w:val="0"/>
        <w:autoSpaceDN w:val="0"/>
        <w:snapToGrid w:val="0"/>
        <w:spacing w:line="360" w:lineRule="auto"/>
        <w:ind w:firstLine="480" w:firstLineChars="200"/>
        <w:rPr>
          <w:rFonts w:ascii="宋体" w:hAnsi="宋体"/>
          <w:sz w:val="24"/>
        </w:rPr>
      </w:pPr>
      <w:r>
        <w:rPr>
          <w:rFonts w:ascii="宋体" w:hAnsi="宋体"/>
          <w:sz w:val="24"/>
        </w:rPr>
        <w:t>项目名称：</w:t>
      </w:r>
      <w:r>
        <w:rPr>
          <w:rFonts w:hint="eastAsia" w:ascii="宋体" w:hAnsi="宋体"/>
          <w:sz w:val="24"/>
          <w:lang w:eastAsia="zh-CN"/>
        </w:rPr>
        <w:t>仓前街道区委区政府、浙一医院等重点目标单位及周边安保项目</w:t>
      </w:r>
      <w:r>
        <w:rPr>
          <w:rFonts w:hint="eastAsia" w:ascii="宋体" w:hAnsi="宋体"/>
          <w:sz w:val="24"/>
        </w:rPr>
        <w:t xml:space="preserve">  </w:t>
      </w:r>
    </w:p>
    <w:p>
      <w:pPr>
        <w:pStyle w:val="35"/>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招标编号</w:t>
      </w:r>
      <w:r>
        <w:rPr>
          <w:rFonts w:ascii="宋体" w:hAnsi="宋体" w:eastAsia="宋体"/>
          <w:sz w:val="24"/>
          <w:szCs w:val="24"/>
        </w:rPr>
        <w:t>：</w:t>
      </w:r>
      <w:r>
        <w:rPr>
          <w:rFonts w:hint="eastAsia" w:hAnsi="宋体"/>
          <w:sz w:val="24"/>
          <w:szCs w:val="24"/>
          <w:lang w:val="en-US" w:eastAsia="zh-CN"/>
        </w:rPr>
        <w:t xml:space="preserve"> </w:t>
      </w:r>
    </w:p>
    <w:p>
      <w:pPr>
        <w:pStyle w:val="35"/>
        <w:snapToGrid w:val="0"/>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甲方：</w:t>
      </w:r>
      <w:r>
        <w:rPr>
          <w:rFonts w:hint="eastAsia" w:ascii="宋体" w:hAnsi="宋体" w:eastAsia="宋体"/>
          <w:sz w:val="24"/>
          <w:szCs w:val="24"/>
        </w:rPr>
        <w:t xml:space="preserve"> </w:t>
      </w:r>
      <w:r>
        <w:rPr>
          <w:rFonts w:hint="eastAsia" w:hAnsi="宋体"/>
          <w:sz w:val="24"/>
          <w:szCs w:val="24"/>
          <w:lang w:eastAsia="zh-CN"/>
        </w:rPr>
        <w:t>杭州市余杭区人民政府仓前街道办事处</w:t>
      </w:r>
    </w:p>
    <w:p>
      <w:pPr>
        <w:adjustRightInd w:val="0"/>
        <w:snapToGrid w:val="0"/>
        <w:spacing w:line="360" w:lineRule="auto"/>
        <w:ind w:firstLine="480" w:firstLineChars="200"/>
        <w:rPr>
          <w:rFonts w:hint="eastAsia" w:ascii="宋体" w:hAnsi="宋体"/>
          <w:sz w:val="24"/>
        </w:rPr>
      </w:pPr>
      <w:r>
        <w:rPr>
          <w:rFonts w:hint="eastAsia" w:ascii="宋体" w:hAnsi="宋体"/>
          <w:sz w:val="24"/>
        </w:rPr>
        <w:t>乙方：</w:t>
      </w:r>
    </w:p>
    <w:p>
      <w:pPr>
        <w:spacing w:line="360" w:lineRule="auto"/>
        <w:ind w:firstLine="480" w:firstLineChars="200"/>
        <w:rPr>
          <w:rFonts w:hint="eastAsia" w:ascii="宋体" w:hAnsi="宋体" w:cs="宋体"/>
          <w:sz w:val="24"/>
        </w:rPr>
      </w:pPr>
      <w:r>
        <w:rPr>
          <w:rFonts w:hint="eastAsia" w:ascii="宋体" w:hAnsi="宋体" w:cs="宋体"/>
          <w:sz w:val="24"/>
        </w:rPr>
        <w:t>甲、乙双方根据</w:t>
      </w:r>
      <w:r>
        <w:rPr>
          <w:rFonts w:hint="eastAsia" w:ascii="宋体" w:hAnsi="宋体" w:cs="宋体"/>
          <w:sz w:val="24"/>
          <w:lang w:eastAsia="zh-CN"/>
        </w:rPr>
        <w:t>仓前街道区委区政府、浙一医院等重点目标单位及周边安保项目</w:t>
      </w:r>
      <w:r>
        <w:rPr>
          <w:rFonts w:hint="eastAsia" w:ascii="宋体" w:hAnsi="宋体" w:cs="宋体"/>
          <w:sz w:val="24"/>
        </w:rPr>
        <w:t xml:space="preserve"> （招标编号：</w:t>
      </w:r>
      <w:r>
        <w:rPr>
          <w:rFonts w:hint="eastAsia" w:ascii="宋体" w:hAnsi="宋体" w:cs="宋体"/>
          <w:sz w:val="24"/>
          <w:lang w:val="en-US" w:eastAsia="zh-CN"/>
        </w:rPr>
        <w:t xml:space="preserve">   </w:t>
      </w:r>
      <w:r>
        <w:rPr>
          <w:rFonts w:hint="eastAsia" w:ascii="宋体" w:hAnsi="宋体" w:cs="宋体"/>
          <w:sz w:val="24"/>
        </w:rPr>
        <w:t xml:space="preserve"> ）政府采购公开招标的结果，签署本合同。</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一、服务内容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eastAsia="zh-CN"/>
        </w:rPr>
        <w:t>仓前街道区委区政府、浙一医院等重点目标单位及周边安保项目</w:t>
      </w:r>
      <w:r>
        <w:rPr>
          <w:rFonts w:hint="eastAsia" w:ascii="宋体" w:hAnsi="宋体" w:cs="宋体"/>
          <w:sz w:val="24"/>
        </w:rPr>
        <w:t xml:space="preserve"> ，具体内容和相关要求详见招标文件“</w:t>
      </w:r>
      <w:r>
        <w:rPr>
          <w:rFonts w:hint="eastAsia" w:ascii="宋体" w:hAnsi="宋体" w:cs="宋体"/>
          <w:kern w:val="0"/>
          <w:sz w:val="24"/>
        </w:rPr>
        <w:t>第三部分——项目技术规范和服务要求”。</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二、</w:t>
      </w:r>
      <w:r>
        <w:rPr>
          <w:rFonts w:hint="eastAsia" w:ascii="宋体" w:hAnsi="宋体" w:eastAsia="宋体"/>
          <w:b/>
          <w:bCs/>
          <w:sz w:val="24"/>
          <w:lang w:eastAsia="zh-CN" w:bidi="en-US"/>
        </w:rPr>
        <w:t>服务时间要求</w:t>
      </w:r>
    </w:p>
    <w:p>
      <w:pPr>
        <w:pStyle w:val="167"/>
        <w:snapToGrid w:val="0"/>
        <w:spacing w:line="360" w:lineRule="auto"/>
        <w:ind w:firstLine="480" w:firstLineChars="200"/>
        <w:rPr>
          <w:rFonts w:hint="eastAsia" w:ascii="宋体" w:hAnsi="宋体" w:eastAsia="宋体"/>
          <w:bCs/>
          <w:sz w:val="24"/>
          <w:szCs w:val="24"/>
          <w:lang w:eastAsia="zh-CN"/>
        </w:rPr>
      </w:pPr>
      <w:r>
        <w:rPr>
          <w:rFonts w:hint="eastAsia" w:ascii="宋体" w:hAnsi="宋体" w:eastAsia="宋体"/>
          <w:bCs/>
          <w:sz w:val="24"/>
          <w:szCs w:val="24"/>
          <w:lang w:eastAsia="zh-CN"/>
        </w:rPr>
        <w:t>以招标文件约定。</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二、合同金额</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合同金额为（大写）</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元（￥</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元）人民币。</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三、技术资料</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1、乙方应按招标文件规定的时间向甲方提供有关技术资料。</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四、知识产权</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乙方应保证提供服务过程中不会侵犯任何第三方的知识产权。</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五、履约保证金、质量保证金</w:t>
      </w:r>
    </w:p>
    <w:p>
      <w:pPr>
        <w:pStyle w:val="167"/>
        <w:snapToGrid w:val="0"/>
        <w:spacing w:line="360" w:lineRule="auto"/>
        <w:ind w:firstLine="480" w:firstLineChars="200"/>
        <w:rPr>
          <w:rFonts w:hint="eastAsia" w:ascii="宋体" w:hAnsi="宋体" w:eastAsia="宋体"/>
          <w:bCs/>
          <w:sz w:val="24"/>
          <w:szCs w:val="24"/>
          <w:lang w:eastAsia="zh-CN"/>
        </w:rPr>
      </w:pPr>
      <w:r>
        <w:rPr>
          <w:rFonts w:hint="eastAsia" w:ascii="宋体" w:hAnsi="宋体" w:eastAsia="宋体"/>
          <w:bCs/>
          <w:sz w:val="24"/>
          <w:szCs w:val="24"/>
          <w:lang w:eastAsia="zh-CN"/>
        </w:rPr>
        <w:t>以招标文件约定。</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六、转包或分包</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1、本合同范围的服务，应由乙方直接供应，不得转让他人供应；</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2、除非得到甲方的书面同意，乙方不得将本合同范围的服务全部或部分分包给他人供应；</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3、如有转让和未经甲方同意的分包行为，甲方有权解除合同，没收履约保证金并追究乙方的违约责任。</w:t>
      </w:r>
    </w:p>
    <w:p>
      <w:pPr>
        <w:pStyle w:val="167"/>
        <w:snapToGrid w:val="0"/>
        <w:spacing w:line="360" w:lineRule="auto"/>
        <w:ind w:firstLine="482" w:firstLineChars="200"/>
        <w:rPr>
          <w:rFonts w:hint="eastAsia" w:ascii="宋体" w:hAnsi="宋体" w:eastAsia="宋体"/>
          <w:sz w:val="24"/>
          <w:szCs w:val="24"/>
          <w:lang w:eastAsia="zh-CN"/>
        </w:rPr>
      </w:pPr>
      <w:r>
        <w:rPr>
          <w:rFonts w:hint="eastAsia" w:ascii="宋体" w:hAnsi="宋体" w:eastAsia="宋体"/>
          <w:b/>
          <w:sz w:val="24"/>
          <w:szCs w:val="24"/>
          <w:lang w:eastAsia="zh-CN"/>
        </w:rPr>
        <w:t>七、合同履行时间、履行方式及履行地点</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1、履行时间：</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w:t>
      </w:r>
    </w:p>
    <w:p>
      <w:pPr>
        <w:pStyle w:val="167"/>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szCs w:val="24"/>
          <w:lang w:eastAsia="zh-CN"/>
        </w:rPr>
        <w:t>2、</w:t>
      </w:r>
      <w:r>
        <w:rPr>
          <w:rFonts w:hint="eastAsia" w:ascii="宋体" w:hAnsi="宋体" w:eastAsia="宋体"/>
          <w:sz w:val="24"/>
          <w:lang w:eastAsia="zh-CN"/>
        </w:rPr>
        <w:t>履行地点：</w:t>
      </w:r>
      <w:r>
        <w:rPr>
          <w:rFonts w:hint="eastAsia" w:ascii="宋体" w:hAnsi="宋体" w:eastAsia="宋体"/>
          <w:sz w:val="24"/>
          <w:u w:val="single"/>
          <w:lang w:eastAsia="zh-CN"/>
        </w:rPr>
        <w:t xml:space="preserve">             </w:t>
      </w:r>
      <w:r>
        <w:rPr>
          <w:rFonts w:hint="eastAsia" w:ascii="宋体" w:hAnsi="宋体" w:eastAsia="宋体"/>
          <w:sz w:val="24"/>
          <w:lang w:eastAsia="zh-CN"/>
        </w:rPr>
        <w:t>。</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八、款项支付</w:t>
      </w:r>
    </w:p>
    <w:p>
      <w:pPr>
        <w:pStyle w:val="167"/>
        <w:snapToGrid w:val="0"/>
        <w:spacing w:line="360" w:lineRule="auto"/>
        <w:ind w:firstLine="480" w:firstLineChars="200"/>
        <w:rPr>
          <w:rFonts w:hint="eastAsia" w:ascii="宋体" w:hAnsi="宋体" w:eastAsia="宋体"/>
          <w:bCs/>
          <w:sz w:val="24"/>
          <w:szCs w:val="24"/>
          <w:lang w:eastAsia="zh-CN"/>
        </w:rPr>
      </w:pPr>
      <w:r>
        <w:rPr>
          <w:rFonts w:hint="eastAsia" w:ascii="宋体" w:hAnsi="宋体" w:eastAsia="宋体"/>
          <w:bCs/>
          <w:sz w:val="24"/>
          <w:szCs w:val="24"/>
          <w:lang w:eastAsia="zh-CN"/>
        </w:rPr>
        <w:t>以招标文件约定。</w:t>
      </w:r>
    </w:p>
    <w:p>
      <w:pPr>
        <w:autoSpaceDE w:val="0"/>
        <w:autoSpaceDN w:val="0"/>
        <w:snapToGrid w:val="0"/>
        <w:spacing w:line="360" w:lineRule="auto"/>
        <w:ind w:firstLine="482" w:firstLineChars="200"/>
        <w:rPr>
          <w:rFonts w:hint="eastAsia" w:ascii="宋体" w:hAnsi="宋体" w:cs="宋体"/>
          <w:b/>
          <w:sz w:val="24"/>
        </w:rPr>
      </w:pPr>
      <w:r>
        <w:rPr>
          <w:rFonts w:hint="eastAsia" w:ascii="宋体" w:hAnsi="宋体" w:cs="宋体"/>
          <w:b/>
          <w:sz w:val="24"/>
        </w:rPr>
        <w:t>九、税费</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本合同执行中相关的一切税费均由乙方负担。</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十、质量保证及后续服务</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1、乙方应按招标文件规定向甲方提供服务。</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2、乙方提供的服务成果在服务质量保证期内发生故障，乙方应负责免费提供后续服务。对达不到要求者，根据实际情况，经双方协商，可按以下办法处理：</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（1）重做：由乙方承担所发生的全部费用。</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（2）解除合同。</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3、在服务质量保证期内，乙方应对出现的质量及安全问题负责处理解决并承担一切费用。</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十一、违约责任</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1、甲方无正当理由拒收接受服务的，甲方向乙方偿付合同款项百分之五作为违约金。</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2、甲方无故逾期验收和办理款项支付手续的，甲方应按逾期付款总额每日万分之五向乙方支付违约金。</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十二、不可抗力事件处理</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3、不可抗力事件延续120天以上，双方应通过友好协商，确定是否继续履行合同。</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十三、诉讼</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双方在执行合同中所发生的一切争议，应通过协商解决。如协商不成，可向甲方所在地法院起诉。</w:t>
      </w:r>
    </w:p>
    <w:p>
      <w:pPr>
        <w:pStyle w:val="167"/>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十四、合同生效及其它</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1、合同经双方法定代表人或授权代表签字并加盖单位公章后生效。</w:t>
      </w:r>
    </w:p>
    <w:p>
      <w:pPr>
        <w:pStyle w:val="167"/>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sz w:val="24"/>
        </w:rPr>
      </w:pPr>
      <w:r>
        <w:rPr>
          <w:rFonts w:hint="eastAsia" w:ascii="宋体" w:hAnsi="宋体" w:cs="宋体"/>
          <w:sz w:val="24"/>
        </w:rPr>
        <w:t>3、招标文件、投标文件及评标过程中形成的文字资料、询标纪要均作为本合同的组成部分，具有同等效力。本合同未尽事宜，遵照《合同法》有关条文执行。</w:t>
      </w:r>
    </w:p>
    <w:p>
      <w:pPr>
        <w:pStyle w:val="3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4、本合同一式肆份，具有同等法律效力，甲乙双方各执两份。</w:t>
      </w: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甲方（盖章）：                             乙方（盖章）：        </w:t>
      </w:r>
    </w:p>
    <w:p>
      <w:pPr>
        <w:snapToGrid w:val="0"/>
        <w:spacing w:line="360" w:lineRule="auto"/>
        <w:rPr>
          <w:rFonts w:hint="eastAsia"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法定代表人：                              法定代表人：    </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或受委托人（签字）：                       或受委托人（签字）：  </w:t>
      </w:r>
    </w:p>
    <w:p>
      <w:pPr>
        <w:snapToGrid w:val="0"/>
        <w:spacing w:line="360" w:lineRule="auto"/>
        <w:ind w:firstLine="480" w:firstLineChars="200"/>
        <w:rPr>
          <w:rFonts w:hint="eastAsia" w:ascii="宋体" w:hAnsi="宋体" w:cs="宋体"/>
          <w:sz w:val="24"/>
        </w:rPr>
      </w:pPr>
      <w:r>
        <w:rPr>
          <w:rFonts w:hint="eastAsia" w:ascii="宋体" w:hAnsi="宋体" w:cs="宋体"/>
          <w:sz w:val="24"/>
        </w:rPr>
        <w:t>联系人：                                  联系人：</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地址：                                    地址： </w:t>
      </w:r>
    </w:p>
    <w:p>
      <w:pPr>
        <w:snapToGrid w:val="0"/>
        <w:spacing w:line="360" w:lineRule="auto"/>
        <w:ind w:firstLine="480" w:firstLineChars="200"/>
        <w:rPr>
          <w:rFonts w:hint="eastAsia" w:ascii="宋体" w:hAnsi="宋体" w:cs="宋体"/>
          <w:sz w:val="24"/>
        </w:rPr>
      </w:pPr>
      <w:r>
        <w:rPr>
          <w:rFonts w:hint="eastAsia" w:ascii="宋体" w:hAnsi="宋体" w:cs="宋体"/>
          <w:sz w:val="24"/>
        </w:rPr>
        <w:t>电话：                                    电话：</w:t>
      </w:r>
    </w:p>
    <w:p>
      <w:pPr>
        <w:snapToGrid w:val="0"/>
        <w:spacing w:line="360" w:lineRule="auto"/>
        <w:ind w:firstLine="480" w:firstLineChars="200"/>
        <w:rPr>
          <w:rFonts w:hint="eastAsia" w:ascii="宋体" w:hAnsi="宋体" w:cs="宋体"/>
          <w:sz w:val="24"/>
        </w:rPr>
      </w:pPr>
      <w:r>
        <w:rPr>
          <w:rFonts w:hint="eastAsia" w:ascii="宋体" w:hAnsi="宋体" w:cs="宋体"/>
          <w:sz w:val="24"/>
        </w:rPr>
        <w:t>传真：                                    传真：</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开户银行：                                开户银行： </w:t>
      </w:r>
    </w:p>
    <w:p>
      <w:pPr>
        <w:snapToGrid w:val="0"/>
        <w:spacing w:line="360" w:lineRule="auto"/>
        <w:ind w:firstLine="480" w:firstLineChars="200"/>
        <w:rPr>
          <w:rFonts w:hint="eastAsia" w:ascii="宋体" w:hAnsi="宋体" w:cs="宋体"/>
          <w:sz w:val="24"/>
        </w:rPr>
      </w:pPr>
      <w:r>
        <w:rPr>
          <w:rFonts w:hint="eastAsia" w:ascii="宋体" w:hAnsi="宋体" w:cs="宋体"/>
          <w:sz w:val="24"/>
        </w:rPr>
        <w:t>帐号：                                    帐号：</w:t>
      </w:r>
    </w:p>
    <w:p>
      <w:pPr>
        <w:snapToGrid w:val="0"/>
        <w:spacing w:line="360" w:lineRule="auto"/>
        <w:ind w:firstLine="480" w:firstLineChars="200"/>
        <w:rPr>
          <w:rFonts w:hint="eastAsia" w:ascii="宋体" w:hAnsi="宋体" w:cs="宋体"/>
          <w:sz w:val="24"/>
        </w:rPr>
      </w:pPr>
      <w:r>
        <w:rPr>
          <w:rFonts w:hint="eastAsia" w:ascii="宋体" w:hAnsi="宋体" w:cs="宋体"/>
          <w:sz w:val="24"/>
        </w:rPr>
        <w:t>签订时间：                                签订时间：</w:t>
      </w:r>
    </w:p>
    <w:p>
      <w:pPr>
        <w:tabs>
          <w:tab w:val="left" w:pos="1042"/>
        </w:tabs>
        <w:jc w:val="left"/>
        <w:rPr>
          <w:rFonts w:hint="eastAsia"/>
        </w:rPr>
      </w:pPr>
      <w:bookmarkStart w:id="395" w:name="_Toc350327365"/>
      <w:bookmarkStart w:id="396" w:name="_Toc326765771"/>
      <w:bookmarkStart w:id="397" w:name="_Toc349721554"/>
      <w:bookmarkStart w:id="398" w:name="_Toc328381300"/>
      <w:bookmarkStart w:id="399" w:name="_Toc339872468"/>
      <w:r>
        <w:rPr>
          <w:rFonts w:hint="eastAsia" w:ascii="宋体" w:hAnsi="宋体" w:cs="宋体"/>
          <w:b/>
          <w:bCs/>
          <w:sz w:val="24"/>
        </w:rPr>
        <w:t>★ 此仅为合同书样本，中标单位需根据实际情况和采购人签订相应的合同！</w:t>
      </w:r>
      <w:bookmarkEnd w:id="395"/>
      <w:bookmarkEnd w:id="396"/>
      <w:bookmarkEnd w:id="397"/>
      <w:bookmarkEnd w:id="398"/>
      <w:bookmarkEnd w:id="399"/>
    </w:p>
    <w:p>
      <w:pPr>
        <w:autoSpaceDE w:val="0"/>
        <w:autoSpaceDN w:val="0"/>
        <w:spacing w:line="560" w:lineRule="exact"/>
        <w:rPr>
          <w:rFonts w:ascii="仿宋" w:hAnsi="仿宋" w:eastAsia="仿宋"/>
          <w:sz w:val="24"/>
        </w:rPr>
      </w:pPr>
    </w:p>
    <w:p>
      <w:pPr>
        <w:widowControl/>
        <w:spacing w:line="560" w:lineRule="exact"/>
        <w:jc w:val="left"/>
        <w:rPr>
          <w:rFonts w:ascii="仿宋" w:hAnsi="仿宋" w:eastAsia="仿宋"/>
          <w:b/>
          <w:sz w:val="24"/>
        </w:rPr>
      </w:pPr>
      <w:bookmarkStart w:id="400" w:name="_Toc331685783"/>
    </w:p>
    <w:bookmarkEnd w:id="400"/>
    <w:p>
      <w:pPr>
        <w:spacing w:line="360" w:lineRule="auto"/>
        <w:ind w:left="-420" w:leftChars="-200" w:right="-420" w:rightChars="-200"/>
        <w:rPr>
          <w:rFonts w:ascii="仿宋" w:hAnsi="仿宋" w:eastAsia="仿宋"/>
          <w:sz w:val="24"/>
        </w:rPr>
      </w:pPr>
      <w:r>
        <w:rPr>
          <w:rFonts w:ascii="仿宋" w:hAnsi="仿宋" w:eastAsia="仿宋" w:cs="黑体"/>
          <w:kern w:val="0"/>
          <w:szCs w:val="24"/>
        </w:rPr>
        <w:br w:type="page"/>
      </w: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3"/>
      <w:r>
        <w:rPr>
          <w:rFonts w:ascii="仿宋" w:hAnsi="仿宋" w:eastAsia="仿宋" w:cs="仿宋_GB2312"/>
          <w:b/>
          <w:sz w:val="36"/>
          <w:szCs w:val="20"/>
        </w:rPr>
        <w:t xml:space="preserve"> </w:t>
      </w:r>
      <w:bookmarkEnd w:id="39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（仓前街道区委区政府、浙一医院等重点目标单位及周边安保项目）（</w:t>
      </w:r>
      <w:r>
        <w:rPr>
          <w:rFonts w:hint="eastAsia" w:ascii="仿宋_GB2312" w:hAnsi="仿宋" w:eastAsia="仿宋_GB2312" w:cs="仿宋_GB2312"/>
          <w:sz w:val="24"/>
        </w:rPr>
        <w:t>招标编号：</w:t>
      </w:r>
      <w:r>
        <w:rPr>
          <w:rFonts w:hint="eastAsia" w:ascii="仿宋_GB2312" w:hAnsi="仿宋" w:eastAsia="仿宋_GB2312"/>
          <w:sz w:val="24"/>
          <w:lang w:eastAsia="zh-CN"/>
        </w:rPr>
        <w:t xml:space="preserve">HZZHCG2022-025  </w:t>
      </w:r>
      <w:r>
        <w:rPr>
          <w:rFonts w:hint="eastAsia" w:ascii="仿宋_GB2312" w:hAnsi="仿宋" w:eastAsia="仿宋_GB2312"/>
          <w:sz w:val="24"/>
        </w:rPr>
        <w:t>）</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仓前街道区委区政府、浙一医院等重点目标单位及周边安保项目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HZZHCG2022-025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仓前街道区委区政府、浙一医院等重点目标单位及周边安保项目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HZZHCG2022-025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仓前街道区委区政府、浙一医院等重点目标单位及周边安保项目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HZZHCG2022-025  </w:t>
      </w:r>
      <w:r>
        <w:rPr>
          <w:rFonts w:hint="eastAsia" w:ascii="仿宋_GB2312" w:hAnsi="仿宋" w:eastAsia="仿宋_GB2312"/>
          <w:sz w:val="24"/>
        </w:rPr>
        <w:t>）</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仓前街道区委区政府、浙一医院等重点目标单位及周边安保项目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HZZHCG2022-025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仓前街道区委区政府、浙一医院等重点目标单位及周边安保项目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HZZHCG2022-025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8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88"/>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仓前街道区委区政府、浙一医院等重点目标单位及周边安保项目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HZZHCG2022-025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仓前街道区委区政府、浙一医院等重点目标单位及周边安保项目</w:t>
      </w:r>
      <w:r>
        <w:rPr>
          <w:rFonts w:hint="eastAsia" w:ascii="仿宋_GB2312" w:hAnsi="仿宋" w:eastAsia="仿宋_GB2312" w:cs="仿宋_GB2312"/>
          <w:sz w:val="24"/>
        </w:rPr>
        <w:t>）【招标编号：</w:t>
      </w:r>
      <w:r>
        <w:rPr>
          <w:rFonts w:hint="eastAsia" w:ascii="仿宋_GB2312" w:hAnsi="仿宋" w:eastAsia="仿宋_GB2312"/>
          <w:sz w:val="24"/>
        </w:rPr>
        <w:t>（</w:t>
      </w:r>
      <w:r>
        <w:rPr>
          <w:rFonts w:hint="eastAsia" w:ascii="仿宋_GB2312" w:hAnsi="仿宋" w:eastAsia="仿宋_GB2312"/>
          <w:sz w:val="24"/>
          <w:lang w:eastAsia="zh-CN"/>
        </w:rPr>
        <w:t xml:space="preserve">HZZHCG2022-025  </w:t>
      </w:r>
      <w:r>
        <w:rPr>
          <w:rFonts w:hint="eastAsia" w:ascii="仿宋_GB2312" w:hAnsi="仿宋" w:eastAsia="仿宋_GB2312"/>
          <w:sz w:val="24"/>
        </w:rPr>
        <w:t>）</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vAlign w:val="top"/>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3"/>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shd w:val="clear" w:color="auto" w:fill="FFFFFF"/>
        <w:snapToGrid w:val="0"/>
        <w:spacing w:line="360" w:lineRule="auto"/>
        <w:jc w:val="center"/>
        <w:outlineLvl w:val="1"/>
        <w:rPr>
          <w:rFonts w:hint="eastAsia"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ageBreakBefore/>
        <w:shd w:val="clear" w:color="auto" w:fill="FFFFFF"/>
        <w:snapToGrid w:val="0"/>
        <w:spacing w:line="360" w:lineRule="auto"/>
        <w:jc w:val="center"/>
        <w:outlineLvl w:val="1"/>
        <w:rPr>
          <w:rFonts w:hint="eastAsia"/>
          <w:color w:val="auto"/>
          <w:highlight w:val="none"/>
        </w:rPr>
      </w:pPr>
      <w:r>
        <w:rPr>
          <w:rFonts w:hint="eastAsia" w:ascii="宋体" w:hAnsi="宋体" w:cs="宋体"/>
          <w:b/>
          <w:bCs/>
          <w:color w:val="auto"/>
          <w:sz w:val="24"/>
          <w:highlight w:val="none"/>
        </w:rPr>
        <w:t xml:space="preserve">开标一览表 </w:t>
      </w:r>
    </w:p>
    <w:p>
      <w:pPr>
        <w:shd w:val="clear" w:color="auto" w:fill="FFFFFF"/>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杭州正鸿工程咨询有限公司</w:t>
      </w:r>
      <w:r>
        <w:rPr>
          <w:rFonts w:hint="eastAsia" w:ascii="宋体" w:hAnsi="宋体" w:cs="宋体"/>
          <w:color w:val="auto"/>
          <w:sz w:val="24"/>
          <w:highlight w:val="none"/>
        </w:rPr>
        <w:t>：</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按你方招标文件要求，我们，本投标文件签字方，谨此向你方发出要约如下：如你方接受本投标文件，我方承诺按照如下开标一览表的价格完成（</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HZZHCG2022-025</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）的招标文件，项目名称：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w:t>
      </w:r>
    </w:p>
    <w:p>
      <w:pPr>
        <w:shd w:val="clear" w:color="auto" w:fill="FFFFFF"/>
        <w:snapToGrid w:val="0"/>
        <w:spacing w:line="240" w:lineRule="auto"/>
        <w:jc w:val="center"/>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开标一览表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2613"/>
        <w:gridCol w:w="1842"/>
        <w:gridCol w:w="38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1132" w:type="dxa"/>
            <w:tcBorders>
              <w:right w:val="single" w:color="auto" w:sz="4" w:space="0"/>
            </w:tcBorders>
            <w:noWrap w:val="0"/>
            <w:vAlign w:val="center"/>
          </w:tcPr>
          <w:p>
            <w:pPr>
              <w:spacing w:line="360" w:lineRule="auto"/>
              <w:jc w:val="center"/>
              <w:rPr>
                <w:rFonts w:hint="eastAsia" w:ascii="宋体" w:hAnsi="宋体"/>
                <w:b/>
                <w:bCs/>
                <w:color w:val="auto"/>
                <w:sz w:val="24"/>
                <w:highlight w:val="none"/>
                <w:lang w:val="en-GB"/>
              </w:rPr>
            </w:pPr>
            <w:r>
              <w:rPr>
                <w:rFonts w:hint="eastAsia" w:ascii="宋体" w:hAnsi="宋体"/>
                <w:b/>
                <w:bCs/>
                <w:color w:val="auto"/>
                <w:sz w:val="24"/>
                <w:highlight w:val="none"/>
                <w:lang w:val="en-GB"/>
              </w:rPr>
              <w:t>序号</w:t>
            </w:r>
          </w:p>
        </w:tc>
        <w:tc>
          <w:tcPr>
            <w:tcW w:w="2613" w:type="dxa"/>
            <w:tcBorders>
              <w:right w:val="single" w:color="auto" w:sz="4" w:space="0"/>
            </w:tcBorders>
            <w:noWrap w:val="0"/>
            <w:vAlign w:val="center"/>
          </w:tcPr>
          <w:p>
            <w:pPr>
              <w:spacing w:line="360" w:lineRule="auto"/>
              <w:jc w:val="center"/>
              <w:rPr>
                <w:rFonts w:hint="eastAsia" w:ascii="宋体" w:hAnsi="宋体"/>
                <w:b/>
                <w:bCs/>
                <w:color w:val="auto"/>
                <w:sz w:val="24"/>
                <w:highlight w:val="none"/>
                <w:lang w:val="en-GB"/>
              </w:rPr>
            </w:pPr>
            <w:r>
              <w:rPr>
                <w:rFonts w:hint="eastAsia" w:ascii="宋体" w:hAnsi="宋体"/>
                <w:b/>
                <w:bCs/>
                <w:color w:val="auto"/>
                <w:sz w:val="24"/>
                <w:highlight w:val="none"/>
                <w:lang w:val="en-GB"/>
              </w:rPr>
              <w:t>采购内容</w:t>
            </w:r>
          </w:p>
        </w:tc>
        <w:tc>
          <w:tcPr>
            <w:tcW w:w="1842" w:type="dxa"/>
            <w:tcBorders>
              <w:left w:val="single" w:color="auto" w:sz="4" w:space="0"/>
              <w:right w:val="single" w:color="auto" w:sz="4" w:space="0"/>
            </w:tcBorders>
            <w:noWrap w:val="0"/>
            <w:vAlign w:val="center"/>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服务期</w:t>
            </w:r>
          </w:p>
        </w:tc>
        <w:tc>
          <w:tcPr>
            <w:tcW w:w="3841" w:type="dxa"/>
            <w:tcBorders>
              <w:left w:val="single" w:color="auto" w:sz="4" w:space="0"/>
              <w:right w:val="single" w:color="auto" w:sz="4" w:space="0"/>
            </w:tcBorders>
            <w:noWrap w:val="0"/>
            <w:vAlign w:val="center"/>
          </w:tcPr>
          <w:p>
            <w:pPr>
              <w:spacing w:line="360" w:lineRule="auto"/>
              <w:jc w:val="center"/>
              <w:rPr>
                <w:rFonts w:hint="eastAsia" w:ascii="宋体" w:hAnsi="宋体"/>
                <w:b/>
                <w:bCs/>
                <w:color w:val="auto"/>
                <w:sz w:val="24"/>
                <w:highlight w:val="none"/>
                <w:lang w:val="en-GB"/>
              </w:rPr>
            </w:pPr>
            <w:r>
              <w:rPr>
                <w:rFonts w:hint="eastAsia" w:ascii="宋体" w:hAnsi="宋体"/>
                <w:b/>
                <w:bCs/>
                <w:color w:val="auto"/>
                <w:sz w:val="24"/>
                <w:highlight w:val="none"/>
                <w:lang w:val="en-GB"/>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1132" w:type="dxa"/>
            <w:vMerge w:val="restart"/>
            <w:tcBorders>
              <w:right w:val="single" w:color="auto" w:sz="4" w:space="0"/>
            </w:tcBorders>
            <w:noWrap w:val="0"/>
            <w:vAlign w:val="center"/>
          </w:tcPr>
          <w:p>
            <w:pPr>
              <w:adjustRightInd w:val="0"/>
              <w:snapToGrid w:val="0"/>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1</w:t>
            </w:r>
          </w:p>
        </w:tc>
        <w:tc>
          <w:tcPr>
            <w:tcW w:w="2613" w:type="dxa"/>
            <w:vMerge w:val="restart"/>
            <w:tcBorders>
              <w:right w:val="single" w:color="auto" w:sz="4" w:space="0"/>
            </w:tcBorders>
            <w:noWrap w:val="0"/>
            <w:vAlign w:val="center"/>
          </w:tcPr>
          <w:p>
            <w:pPr>
              <w:spacing w:line="360" w:lineRule="auto"/>
              <w:rPr>
                <w:rFonts w:hint="eastAsia" w:ascii="宋体" w:hAnsi="宋体"/>
                <w:color w:val="auto"/>
                <w:sz w:val="24"/>
                <w:highlight w:val="none"/>
                <w:lang w:val="en-GB"/>
              </w:rPr>
            </w:pPr>
            <w:r>
              <w:rPr>
                <w:rFonts w:hint="eastAsia" w:ascii="宋体" w:hAnsi="宋体"/>
                <w:color w:val="auto"/>
                <w:sz w:val="24"/>
                <w:highlight w:val="none"/>
                <w:lang w:val="en-GB" w:eastAsia="zh-CN"/>
              </w:rPr>
              <w:t>仓前街道区委区政府、浙一医院等重点目标单位及周边安保项目</w:t>
            </w:r>
            <w:r>
              <w:rPr>
                <w:rFonts w:hint="eastAsia" w:ascii="宋体" w:hAnsi="宋体"/>
                <w:color w:val="auto"/>
                <w:sz w:val="24"/>
                <w:highlight w:val="none"/>
                <w:lang w:val="en-GB"/>
              </w:rPr>
              <w:t>项目</w:t>
            </w:r>
          </w:p>
        </w:tc>
        <w:tc>
          <w:tcPr>
            <w:tcW w:w="1842" w:type="dxa"/>
            <w:vMerge w:val="restart"/>
            <w:tcBorders>
              <w:left w:val="single" w:color="auto" w:sz="4" w:space="0"/>
              <w:right w:val="single" w:color="auto" w:sz="4" w:space="0"/>
            </w:tcBorders>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1年；</w:t>
            </w:r>
          </w:p>
        </w:tc>
        <w:tc>
          <w:tcPr>
            <w:tcW w:w="3841" w:type="dxa"/>
            <w:tcBorders>
              <w:left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3" w:hRule="atLeast"/>
          <w:jc w:val="center"/>
        </w:trPr>
        <w:tc>
          <w:tcPr>
            <w:tcW w:w="1132" w:type="dxa"/>
            <w:vMerge w:val="continue"/>
            <w:tcBorders>
              <w:right w:val="single" w:color="auto" w:sz="4" w:space="0"/>
            </w:tcBorders>
            <w:noWrap w:val="0"/>
            <w:vAlign w:val="center"/>
          </w:tcPr>
          <w:p>
            <w:pPr>
              <w:adjustRightInd w:val="0"/>
              <w:snapToGrid w:val="0"/>
              <w:spacing w:line="360" w:lineRule="auto"/>
              <w:jc w:val="center"/>
              <w:rPr>
                <w:rFonts w:ascii="宋体" w:hAnsi="宋体" w:cs="宋体"/>
                <w:b/>
                <w:color w:val="auto"/>
                <w:kern w:val="0"/>
                <w:sz w:val="24"/>
                <w:highlight w:val="none"/>
              </w:rPr>
            </w:pPr>
          </w:p>
        </w:tc>
        <w:tc>
          <w:tcPr>
            <w:tcW w:w="2613" w:type="dxa"/>
            <w:vMerge w:val="continue"/>
            <w:tcBorders>
              <w:right w:val="single" w:color="auto" w:sz="4" w:space="0"/>
            </w:tcBorders>
            <w:noWrap w:val="0"/>
            <w:vAlign w:val="center"/>
          </w:tcPr>
          <w:p>
            <w:pPr>
              <w:adjustRightInd w:val="0"/>
              <w:snapToGrid w:val="0"/>
              <w:spacing w:line="360" w:lineRule="auto"/>
              <w:rPr>
                <w:rFonts w:hint="eastAsia" w:ascii="宋体" w:hAnsi="宋体"/>
                <w:color w:val="auto"/>
                <w:sz w:val="24"/>
                <w:highlight w:val="none"/>
                <w:lang w:val="en-GB"/>
              </w:rPr>
            </w:pPr>
          </w:p>
        </w:tc>
        <w:tc>
          <w:tcPr>
            <w:tcW w:w="1842"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color w:val="auto"/>
                <w:sz w:val="24"/>
                <w:highlight w:val="none"/>
              </w:rPr>
            </w:pPr>
          </w:p>
        </w:tc>
        <w:tc>
          <w:tcPr>
            <w:tcW w:w="3841" w:type="dxa"/>
            <w:tcBorders>
              <w:left w:val="single" w:color="auto" w:sz="4" w:space="0"/>
              <w:right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大</w:t>
            </w:r>
            <w:r>
              <w:rPr>
                <w:rFonts w:hint="eastAsia" w:ascii="宋体" w:hAnsi="宋体"/>
                <w:color w:val="auto"/>
                <w:sz w:val="24"/>
                <w:highlight w:val="none"/>
              </w:rPr>
              <w:t>写）</w:t>
            </w:r>
          </w:p>
        </w:tc>
      </w:tr>
    </w:tbl>
    <w:p>
      <w:pPr>
        <w:shd w:val="clear" w:color="auto" w:fill="FFFFFF"/>
        <w:snapToGrid w:val="0"/>
        <w:spacing w:line="360" w:lineRule="auto"/>
        <w:ind w:firstLine="480"/>
        <w:rPr>
          <w:rFonts w:hint="eastAsia" w:ascii="宋体" w:hAnsi="宋体" w:cs="宋体"/>
          <w:color w:val="auto"/>
          <w:kern w:val="0"/>
          <w:sz w:val="24"/>
          <w:highlight w:val="none"/>
        </w:rPr>
      </w:pP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注：</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1、投标人需按本表格式填写，不得自行更改。</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2、有关本项目实施所涉及的一切费用均计入报价。采购人将以合同形式有偿取得货物或服务，不接受投标人给予的赠品、回扣或者</w:t>
      </w:r>
    </w:p>
    <w:p>
      <w:pPr>
        <w:shd w:val="clear" w:color="auto" w:fill="FFFFFF"/>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与采购无关的其他商品、服务，不得出现“0 元”“免费赠送”等形式的无偿报价，否则视为投标文件含有采购人不能接受的附加条件的，</w:t>
      </w:r>
    </w:p>
    <w:p>
      <w:pPr>
        <w:shd w:val="clear" w:color="auto" w:fill="FFFFFF"/>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投标无效。</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3、特别提示：采购机构将对项目名称和项目编号，中标供应商名称、地址和中标金额，主要中标标的的名称、规格型号、数量、单</w:t>
      </w:r>
    </w:p>
    <w:p>
      <w:pPr>
        <w:shd w:val="clear" w:color="auto" w:fill="FFFFFF"/>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价、服务要求等予以公示。</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4、符合招标文件中列明的可享受中小企业扶持政策的投标人，请填写中小企业声明函。注：投标人提供的中小企业声明函内容不实</w:t>
      </w:r>
    </w:p>
    <w:p>
      <w:pPr>
        <w:shd w:val="clear" w:color="auto" w:fill="FFFFFF"/>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的，属于提供虚假材料谋取中标、成交，依照《中华人民共和国政府采购法》等国家有关规定追究相应责任。</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p>
    <w:p>
      <w:pPr>
        <w:shd w:val="clear" w:color="auto" w:fill="FFFFFF"/>
        <w:snapToGrid w:val="0"/>
        <w:spacing w:line="360" w:lineRule="auto"/>
        <w:ind w:firstLine="480" w:firstLineChars="200"/>
        <w:jc w:val="right"/>
        <w:rPr>
          <w:rFonts w:hint="eastAsia" w:ascii="宋体" w:hAnsi="宋体" w:cs="宋体"/>
          <w:color w:val="auto"/>
          <w:kern w:val="0"/>
          <w:sz w:val="24"/>
          <w:highlight w:val="none"/>
          <w:lang w:val="zh-CN"/>
        </w:rPr>
      </w:pPr>
    </w:p>
    <w:p>
      <w:pPr>
        <w:shd w:val="clear" w:color="auto" w:fill="FFFFFF"/>
        <w:snapToGrid w:val="0"/>
        <w:spacing w:line="360" w:lineRule="auto"/>
        <w:ind w:firstLine="480" w:firstLineChars="200"/>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pPr>
        <w:shd w:val="clear" w:color="auto" w:fill="FFFFFF"/>
        <w:snapToGrid w:val="0"/>
        <w:spacing w:line="360" w:lineRule="auto"/>
        <w:ind w:firstLine="480" w:firstLineChars="200"/>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hd w:val="clear" w:color="auto" w:fill="FFFFFF"/>
        <w:snapToGrid w:val="0"/>
        <w:spacing w:line="360" w:lineRule="auto"/>
        <w:ind w:firstLine="480" w:firstLineChars="200"/>
        <w:jc w:val="right"/>
        <w:rPr>
          <w:rFonts w:hint="eastAsia" w:ascii="宋体" w:hAnsi="宋体" w:cs="宋体"/>
          <w:color w:val="auto"/>
          <w:kern w:val="0"/>
          <w:sz w:val="24"/>
          <w:highlight w:val="none"/>
          <w:lang w:val="zh-CN"/>
        </w:rPr>
        <w:sectPr>
          <w:pgSz w:w="16838" w:h="11906" w:orient="landscape"/>
          <w:pgMar w:top="1418" w:right="1276" w:bottom="1418" w:left="1247" w:header="851" w:footer="992" w:gutter="0"/>
          <w:cols w:space="720" w:num="1"/>
          <w:titlePg/>
          <w:docGrid w:linePitch="312" w:charSpace="0"/>
        </w:sectPr>
      </w:pPr>
    </w:p>
    <w:p>
      <w:pPr>
        <w:pStyle w:val="377"/>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377"/>
        <w:tabs>
          <w:tab w:val="clear" w:pos="720"/>
        </w:tabs>
        <w:snapToGrid w:val="0"/>
        <w:spacing w:before="120" w:after="120"/>
        <w:ind w:firstLine="643"/>
        <w:outlineLvl w:val="9"/>
        <w:rPr>
          <w:rFonts w:ascii="仿宋_GB2312" w:hAnsi="宋体" w:eastAsia="仿宋_GB2312"/>
          <w:b w:val="0"/>
          <w:sz w:val="32"/>
          <w:szCs w:val="32"/>
        </w:rPr>
      </w:pPr>
    </w:p>
    <w:p>
      <w:pPr>
        <w:tabs>
          <w:tab w:val="left" w:pos="8085"/>
        </w:tabs>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3"/>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3"/>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401" w:name="_Toc465665161"/>
      <w:r>
        <w:rPr>
          <w:rFonts w:hint="eastAsia" w:ascii="仿宋_GB2312" w:hAnsi="仿宋" w:eastAsia="仿宋_GB2312"/>
        </w:rPr>
        <w:t>附件</w:t>
      </w:r>
      <w:bookmarkEnd w:id="40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2" w:name="OLE_LINK14"/>
      <w:bookmarkStart w:id="403" w:name="OLE_LINK13"/>
      <w:r>
        <w:rPr>
          <w:rFonts w:hint="eastAsia" w:ascii="仿宋_GB2312" w:hAnsi="仿宋" w:eastAsia="仿宋_GB2312"/>
          <w:b/>
          <w:spacing w:val="6"/>
          <w:sz w:val="32"/>
          <w:szCs w:val="32"/>
        </w:rPr>
        <w:t>残疾人福利性单位声明函</w:t>
      </w:r>
    </w:p>
    <w:bookmarkEnd w:id="402"/>
    <w:bookmarkEnd w:id="40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仓前街道区委区政府、浙一医院等重点目标单位及周边安保项目</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仓前街道区委区政府、浙一医院等重点目标单位及周边安保项目</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eastAsia="zh-CN"/>
        </w:rPr>
        <w:t xml:space="preserve">HZZHCG2022-025  </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idqol/IBAAAjBAAADgAAAGRycy9lMm9Eb2MueG1srVNN k9MwDL0zw3/w+E6Thm0XMk33QCkXBnZY9geojpN4xl9juU3775Gd0v1gDz2QgyPZ8pPek7y6OxrN DjKgcrbh81nJmbTCtcr2DX/8vf3wiTOMYFvQzsqGnyTyu/X7d6vR17Jyg9OtDIxALNajb/gQo6+L AsUgDeDMeWnpsHPBQCQ39EUbYCR0o4uqLJfF6ELrgxMSkXY30yE/I4ZrAF3XKSE3TuyNtHFCDVJD JEo4KI98navtOiniz65DGZluODGNeaUkZO/SWqxXUPcB/KDEuQS4poRXnAwoS0kvUBuIwPZB/QNl lAgOXRdnwpliIpIVIRbz8pU2DwN4mbmQ1OgvouP/gxU/DveBqZYmgTMLhhr+i0QD22vJ5rdJn9Fj TWEP/j6cPSQzkT12waQ/0WDHrOnpoqk8RiZos7otb26WC84EnVXV4uNyvkioxdN1HzB+k86wZDQ8 UP6sJRy+Y5xC/4akbOi0ardK6+yEfvdFB3YAavA2f2f0F2HasrHhnxdVKgRoajuaFjKNJ+Zo+5zv xQ18Dlzm7y3gVNgGcJgKyAgpDGqjogzZGiS0X23L4smTupYeFU/FGNlypiW9wWTlyAhKXxNJ2mlL EqbOTL1I1s61J+rl3gfVD6TjPNebTmh2suDnOU/D+dzP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cc/4wdgAAAAKAQAADwAAAAAAAAABACAAAAAiAAAAZHJzL2Rvd25yZXYueG1sUEsBAhQA FAAAAAgAh07iQInaqJfyAQAAIwQAAA4AAAAAAAAAAQAgAAAAJwEAAGRycy9lMm9Eb2MueG1sUEsF BgAAAAAGAAYAWQEAAIsFAAAAAA== ">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zbf0BfIBAAAjBAAADgAAAGRycy9lMm9Eb2MueG1srVNN k9MwDL0zw3/w+M6mDbSwmaZ7oJQLAzss/ADVVhLP+Gtst2n/PbLT7X7AoQdycCRbftJ7kld3R6PZ AUNUzrZ8fjPjDK1wUtm+5b9/bd994iwmsBK0s9jyE0Z+t377ZjX6Bms3OC0xMAKxsRl9y4eUfFNV UQxoIN44j5YOOxcMJHJDX8kAI6EbXdWz2bIaXZA+OIEx0u5mOuRnxHANoOs6JXDjxN6gTRNqQA2J KMVB+cjXpdquQ5F+dF3ExHTLiWkqKyUhe5fXar2Cpg/gByXOJcA1JbziZEBZSnqB2kACtg/qLyij RHDRdelGOFNNRIoixGI+e6XNwwAeCxeSOvqL6PH/wYrvh/vAlGx5zZkFQw3/SaKB7TWy+TLrM/rY UNiDvw9nL5KZyR67YPKfaLBj0fR00RSPiQnarJcfPt4uSG5BZ3W9eL+cLzJq9XTdh5i+ojMsGy0P lL9oCYdvMU2hjyE5W3Raya3Sujih333WgR2AGrwt3xn9RZi2bGz57aJeUCFAU9vRtJBpPDGPti/5 XtyIz4Fn5fsXcC5sA3GYCigIOQwaoxKGYg0I8ouVLJ08qWvpUfFcjEHJmUZ6g9kqkQmUviaStNOW JMydmXqRrZ2TJ+rl3gfVD6TjvNSbT2h2iuDnOc/D+dwv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ndOwWNgAAAAKAQAADwAAAAAAAAABACAAAAAiAAAAZHJzL2Rvd25yZXYueG1sUEsBAhQA FAAAAAgAh07iQM239AXyAQAAIwQAAA4AAAAAAAAAAQAgAAAAJwEAAGRycy9lMm9Eb2MueG1sUEsF BgAAAAAGAAYAWQEAAIsFAAAAAA== ">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仓前街道区委区政府、浙一医院等重点目标单位及周边安保项目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仓前街道区委区政府、浙一医院等重点目标单位及周边安保项目</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
    <w:altName w:val="微软雅黑"/>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_x0004_falt">
    <w:altName w:val="Microsoft JhengHei"/>
    <w:panose1 w:val="020106010000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4" w:name="_Toc131845147"/>
    <w:bookmarkStart w:id="405" w:name="_Toc36110187"/>
    <w:bookmarkStart w:id="406" w:name="_Toc164085800"/>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A671A"/>
    <w:multiLevelType w:val="singleLevel"/>
    <w:tmpl w:val="C2CA671A"/>
    <w:lvl w:ilvl="0" w:tentative="0">
      <w:start w:val="1"/>
      <w:numFmt w:val="decimal"/>
      <w:suff w:val="nothing"/>
      <w:lvlText w:val="%1）"/>
      <w:lvlJc w:val="left"/>
    </w:lvl>
  </w:abstractNum>
  <w:abstractNum w:abstractNumId="1">
    <w:nsid w:val="1F2556CB"/>
    <w:multiLevelType w:val="singleLevel"/>
    <w:tmpl w:val="1F2556CB"/>
    <w:lvl w:ilvl="0" w:tentative="0">
      <w:start w:val="2"/>
      <w:numFmt w:val="chineseCounting"/>
      <w:suff w:val="nothing"/>
      <w:lvlText w:val="%1、"/>
      <w:lvlJc w:val="left"/>
      <w:rPr>
        <w:rFonts w:hint="eastAsia"/>
      </w:rPr>
    </w:lvl>
  </w:abstractNum>
  <w:abstractNum w:abstractNumId="2">
    <w:nsid w:val="55F02271"/>
    <w:multiLevelType w:val="singleLevel"/>
    <w:tmpl w:val="55F02271"/>
    <w:lvl w:ilvl="0" w:tentative="0">
      <w:start w:val="1"/>
      <w:numFmt w:val="decimal"/>
      <w:suff w:val="nothing"/>
      <w:lvlText w:val="%1）"/>
      <w:lvlJc w:val="left"/>
    </w:lvl>
  </w:abstractNum>
  <w:abstractNum w:abstractNumId="3">
    <w:nsid w:val="5F6AEEE9"/>
    <w:multiLevelType w:val="singleLevel"/>
    <w:tmpl w:val="5F6AEEE9"/>
    <w:lvl w:ilvl="0" w:tentative="0">
      <w:start w:val="5"/>
      <w:numFmt w:val="chineseCounting"/>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OTYyZDQ2NzBmMTlhYjRmMmU3ZWEyNjgyMmY0O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91A6A"/>
    <w:rsid w:val="05543A24"/>
    <w:rsid w:val="05A16594"/>
    <w:rsid w:val="05A7762D"/>
    <w:rsid w:val="060E5941"/>
    <w:rsid w:val="06110FAF"/>
    <w:rsid w:val="06493CA7"/>
    <w:rsid w:val="065A6178"/>
    <w:rsid w:val="066F1CF3"/>
    <w:rsid w:val="06930BB8"/>
    <w:rsid w:val="071807CF"/>
    <w:rsid w:val="07245D42"/>
    <w:rsid w:val="07264C62"/>
    <w:rsid w:val="0779354C"/>
    <w:rsid w:val="0782718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91B02"/>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AE0077"/>
    <w:rsid w:val="16B33777"/>
    <w:rsid w:val="16BC70A7"/>
    <w:rsid w:val="16C6339E"/>
    <w:rsid w:val="172F2D79"/>
    <w:rsid w:val="17557BEF"/>
    <w:rsid w:val="17BF5F86"/>
    <w:rsid w:val="17D349C1"/>
    <w:rsid w:val="1827496A"/>
    <w:rsid w:val="1830729E"/>
    <w:rsid w:val="1870062C"/>
    <w:rsid w:val="18817102"/>
    <w:rsid w:val="18830A15"/>
    <w:rsid w:val="18852B28"/>
    <w:rsid w:val="188B5321"/>
    <w:rsid w:val="1962247E"/>
    <w:rsid w:val="19932372"/>
    <w:rsid w:val="19A20DD5"/>
    <w:rsid w:val="19AE03F1"/>
    <w:rsid w:val="1A071A03"/>
    <w:rsid w:val="1A1F16AE"/>
    <w:rsid w:val="1A3B5C77"/>
    <w:rsid w:val="1A984BAD"/>
    <w:rsid w:val="1AB8220E"/>
    <w:rsid w:val="1ABF0FF7"/>
    <w:rsid w:val="1ADE1BE9"/>
    <w:rsid w:val="1AE4166C"/>
    <w:rsid w:val="1AF06CFB"/>
    <w:rsid w:val="1AF11B8D"/>
    <w:rsid w:val="1B11359C"/>
    <w:rsid w:val="1B2A271F"/>
    <w:rsid w:val="1B530544"/>
    <w:rsid w:val="1B713184"/>
    <w:rsid w:val="1BA209CF"/>
    <w:rsid w:val="1BB4777D"/>
    <w:rsid w:val="1BD75AB8"/>
    <w:rsid w:val="1C0459C2"/>
    <w:rsid w:val="1C1B3B4A"/>
    <w:rsid w:val="1C88086E"/>
    <w:rsid w:val="1CA25CAC"/>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DE37F9"/>
    <w:rsid w:val="1F0A0FF3"/>
    <w:rsid w:val="1F101C7D"/>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A2A6D"/>
    <w:rsid w:val="258B00E2"/>
    <w:rsid w:val="25A917A6"/>
    <w:rsid w:val="25BE27CC"/>
    <w:rsid w:val="25F74A5C"/>
    <w:rsid w:val="2628662C"/>
    <w:rsid w:val="262D45DE"/>
    <w:rsid w:val="26A53EF9"/>
    <w:rsid w:val="26A94201"/>
    <w:rsid w:val="26AC274F"/>
    <w:rsid w:val="26E31442"/>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26812"/>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DE14E8"/>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D516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9834FB"/>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62C55"/>
    <w:rsid w:val="460E7DA5"/>
    <w:rsid w:val="46422483"/>
    <w:rsid w:val="4659254A"/>
    <w:rsid w:val="465B0637"/>
    <w:rsid w:val="465E3F0D"/>
    <w:rsid w:val="466A16E6"/>
    <w:rsid w:val="46893F2B"/>
    <w:rsid w:val="46C4686E"/>
    <w:rsid w:val="477B778F"/>
    <w:rsid w:val="478203EC"/>
    <w:rsid w:val="47B025FA"/>
    <w:rsid w:val="47DD5340"/>
    <w:rsid w:val="4809698F"/>
    <w:rsid w:val="4811697D"/>
    <w:rsid w:val="487A3E25"/>
    <w:rsid w:val="488B5503"/>
    <w:rsid w:val="48937E21"/>
    <w:rsid w:val="489A0361"/>
    <w:rsid w:val="489B5109"/>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CF3679"/>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DF362E"/>
    <w:rsid w:val="54013861"/>
    <w:rsid w:val="54487265"/>
    <w:rsid w:val="544D6070"/>
    <w:rsid w:val="54605E1E"/>
    <w:rsid w:val="54B3506A"/>
    <w:rsid w:val="54CA0AC3"/>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277D1"/>
    <w:rsid w:val="57E44D4E"/>
    <w:rsid w:val="58917D2F"/>
    <w:rsid w:val="5894085C"/>
    <w:rsid w:val="58AE4F0C"/>
    <w:rsid w:val="58B85899"/>
    <w:rsid w:val="58E363A9"/>
    <w:rsid w:val="595E1678"/>
    <w:rsid w:val="596D5BD4"/>
    <w:rsid w:val="597E3DD8"/>
    <w:rsid w:val="59F80043"/>
    <w:rsid w:val="5A09252F"/>
    <w:rsid w:val="5A0B2778"/>
    <w:rsid w:val="5A2A7C7B"/>
    <w:rsid w:val="5A3E2560"/>
    <w:rsid w:val="5A414A8A"/>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CB046B2"/>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51D99"/>
    <w:rsid w:val="5F8D0B82"/>
    <w:rsid w:val="5FCC5339"/>
    <w:rsid w:val="5FD82188"/>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42204B"/>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676D2D"/>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6230A"/>
    <w:rsid w:val="68876EFB"/>
    <w:rsid w:val="68884654"/>
    <w:rsid w:val="689F444F"/>
    <w:rsid w:val="68B96DBB"/>
    <w:rsid w:val="68CA2805"/>
    <w:rsid w:val="68E937A3"/>
    <w:rsid w:val="693E15D3"/>
    <w:rsid w:val="69627681"/>
    <w:rsid w:val="6977531D"/>
    <w:rsid w:val="69CC2BFF"/>
    <w:rsid w:val="69FD55B8"/>
    <w:rsid w:val="6A0B1C62"/>
    <w:rsid w:val="6A2406C8"/>
    <w:rsid w:val="6AC21CDD"/>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2E7303"/>
    <w:rsid w:val="707723D0"/>
    <w:rsid w:val="70F5661B"/>
    <w:rsid w:val="71360107"/>
    <w:rsid w:val="713B688E"/>
    <w:rsid w:val="71D43752"/>
    <w:rsid w:val="71F1796A"/>
    <w:rsid w:val="72154626"/>
    <w:rsid w:val="72262B5D"/>
    <w:rsid w:val="72283FF7"/>
    <w:rsid w:val="722E7212"/>
    <w:rsid w:val="723A0474"/>
    <w:rsid w:val="725923E4"/>
    <w:rsid w:val="725D6967"/>
    <w:rsid w:val="726C763B"/>
    <w:rsid w:val="72864BF7"/>
    <w:rsid w:val="729023FC"/>
    <w:rsid w:val="73496F9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238BE"/>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3"/>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2"/>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8"/>
    <w:qFormat/>
    <w:uiPriority w:val="0"/>
    <w:pPr>
      <w:ind w:left="100" w:leftChars="2500"/>
    </w:pPr>
    <w:rPr>
      <w:rFonts w:ascii="宋体"/>
      <w:sz w:val="24"/>
      <w:szCs w:val="21"/>
      <w:lang w:val="zh-CN"/>
    </w:rPr>
  </w:style>
  <w:style w:type="paragraph" w:styleId="39">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715"/>
    <w:qFormat/>
    <w:uiPriority w:val="0"/>
    <w:rPr>
      <w:sz w:val="18"/>
      <w:szCs w:val="18"/>
    </w:rPr>
  </w:style>
  <w:style w:type="paragraph" w:styleId="42">
    <w:name w:val="footer"/>
    <w:basedOn w:val="1"/>
    <w:link w:val="890"/>
    <w:qFormat/>
    <w:uiPriority w:val="99"/>
    <w:pPr>
      <w:tabs>
        <w:tab w:val="center" w:pos="4153"/>
        <w:tab w:val="right" w:pos="8306"/>
      </w:tabs>
      <w:snapToGrid w:val="0"/>
      <w:jc w:val="left"/>
    </w:pPr>
    <w:rPr>
      <w:sz w:val="18"/>
      <w:szCs w:val="18"/>
    </w:rPr>
  </w:style>
  <w:style w:type="paragraph" w:styleId="43">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1"/>
    <w:qFormat/>
    <w:uiPriority w:val="0"/>
    <w:rPr>
      <w:b/>
      <w:bCs/>
    </w:rPr>
  </w:style>
  <w:style w:type="paragraph" w:styleId="62">
    <w:name w:val="Body Text First Indent 2"/>
    <w:basedOn w:val="26"/>
    <w:link w:val="65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BodyText"/>
    <w:basedOn w:val="1"/>
    <w:qFormat/>
    <w:uiPriority w:val="0"/>
    <w:pPr>
      <w:jc w:val="both"/>
      <w:textAlignment w:val="baseline"/>
    </w:pPr>
    <w:rPr>
      <w:rFonts w:ascii="等线" w:hAnsi="等线" w:eastAsia="??"/>
      <w:kern w:val="2"/>
      <w:sz w:val="24"/>
      <w:szCs w:val="28"/>
      <w:lang w:val="en-US" w:eastAsia="zh-CN" w:bidi="ar-SA"/>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Normal]"/>
    <w:qFormat/>
    <w:uiPriority w:val="0"/>
    <w:rPr>
      <w:rFonts w:ascii="宋体" w:hAnsi="宋体" w:eastAsia="宋体" w:cs="Times New Roman"/>
      <w:sz w:val="24"/>
      <w:szCs w:val="22"/>
      <w:lang w:val="zh-CN" w:eastAsia="zh-CN" w:bidi="ar-SA"/>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2"/>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0"/>
    <w:qFormat/>
    <w:uiPriority w:val="0"/>
    <w:rPr>
      <w:rFonts w:ascii="Arial" w:hAnsi="Arial" w:eastAsia="黑体" w:cs="Arial"/>
      <w:snapToGrid w:val="0"/>
      <w:kern w:val="0"/>
      <w:szCs w:val="21"/>
    </w:rPr>
  </w:style>
  <w:style w:type="character" w:customStyle="1" w:styleId="65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9"/>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0"/>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2"/>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2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0"/>
    <w:rPr>
      <w:kern w:val="2"/>
      <w:sz w:val="21"/>
      <w:szCs w:val="24"/>
    </w:rPr>
  </w:style>
  <w:style w:type="character" w:customStyle="1" w:styleId="855">
    <w:name w:val="签名 Char"/>
    <w:link w:val="44"/>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2"/>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3"/>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0"/>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70"/>
    <w:qFormat/>
    <w:uiPriority w:val="0"/>
    <w:rPr>
      <w:rFonts w:ascii="Arial" w:hAnsi="Arial" w:eastAsia="黑体" w:cs="Arial"/>
      <w:snapToGrid w:val="0"/>
      <w:kern w:val="0"/>
      <w:szCs w:val="21"/>
    </w:rPr>
  </w:style>
  <w:style w:type="character" w:customStyle="1" w:styleId="933">
    <w:name w:val="hui"/>
    <w:basedOn w:val="70"/>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0"/>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首行缩进 21"/>
    <w:basedOn w:val="26"/>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965">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6">
    <w:name w:val="Body text|21"/>
    <w:basedOn w:val="1"/>
    <w:link w:val="968"/>
    <w:qFormat/>
    <w:uiPriority w:val="0"/>
    <w:pPr>
      <w:shd w:val="clear" w:color="auto" w:fill="FFFFFF"/>
      <w:spacing w:after="240" w:line="200" w:lineRule="exact"/>
      <w:jc w:val="distribute"/>
    </w:pPr>
    <w:rPr>
      <w:rFonts w:ascii="PMingLiU_x0004_falt" w:hAnsi="PMingLiU_x0004_falt" w:eastAsia="PMingLiU_x0004_falt" w:cs="Times New Roman"/>
      <w:b/>
      <w:kern w:val="0"/>
      <w:sz w:val="20"/>
      <w:szCs w:val="20"/>
    </w:rPr>
  </w:style>
  <w:style w:type="character" w:customStyle="1" w:styleId="967">
    <w:name w:val="Body text|2"/>
    <w:basedOn w:val="968"/>
    <w:qFormat/>
    <w:uiPriority w:val="0"/>
    <w:rPr>
      <w:rFonts w:ascii="Times New Roman" w:hAnsi="Times New Roman" w:eastAsia="宋体" w:cs="Times New Roman"/>
      <w:color w:val="000000"/>
      <w:spacing w:val="0"/>
      <w:w w:val="100"/>
      <w:position w:val="0"/>
      <w:lang w:val="zh-CN" w:eastAsia="zh-CN"/>
    </w:rPr>
  </w:style>
  <w:style w:type="character" w:customStyle="1" w:styleId="968">
    <w:name w:val="Body text|2_"/>
    <w:basedOn w:val="70"/>
    <w:link w:val="966"/>
    <w:qFormat/>
    <w:uiPriority w:val="0"/>
    <w:rPr>
      <w:rFonts w:ascii="PMingLiU_x0004_falt" w:hAnsi="PMingLiU_x0004_falt" w:eastAsia="PMingLiU_x0004_falt" w:cs="Times New Roman"/>
      <w:b/>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31258</Words>
  <Characters>32809</Characters>
  <Lines>287</Lines>
  <Paragraphs>81</Paragraphs>
  <TotalTime>25</TotalTime>
  <ScaleCrop>false</ScaleCrop>
  <LinksUpToDate>false</LinksUpToDate>
  <CharactersWithSpaces>38471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坑坑洼洼怪</cp:lastModifiedBy>
  <cp:lastPrinted>2021-12-27T03:06:00Z</cp:lastPrinted>
  <dcterms:modified xsi:type="dcterms:W3CDTF">2022-06-08T02:57:21Z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8CB6DF314AA440BA9991F76792C9E143</vt:lpwstr>
  </property>
</Properties>
</file>