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val="0"/>
          <w:color w:val="auto"/>
          <w:sz w:val="52"/>
          <w:szCs w:val="52"/>
          <w:highlight w:val="none"/>
        </w:rPr>
      </w:pPr>
    </w:p>
    <w:p>
      <w:pPr>
        <w:adjustRightInd/>
        <w:spacing w:line="360" w:lineRule="auto"/>
        <w:jc w:val="center"/>
        <w:rPr>
          <w:rFonts w:hint="eastAsia" w:ascii="宋体" w:hAnsi="宋体" w:eastAsia="宋体" w:cs="宋体"/>
          <w:b/>
          <w:bCs w:val="0"/>
          <w:color w:val="auto"/>
          <w:sz w:val="44"/>
          <w:szCs w:val="44"/>
          <w:highlight w:val="none"/>
          <w:lang w:eastAsia="zh-CN"/>
        </w:rPr>
      </w:pPr>
      <w:r>
        <w:rPr>
          <w:rFonts w:hint="eastAsia" w:ascii="宋体" w:hAnsi="宋体" w:cs="宋体"/>
          <w:b/>
          <w:bCs w:val="0"/>
          <w:color w:val="auto"/>
          <w:sz w:val="44"/>
          <w:szCs w:val="44"/>
          <w:highlight w:val="none"/>
          <w:lang w:eastAsia="zh-CN"/>
        </w:rPr>
        <w:t>杭州市临平区人民政府运河街道办事处2023年1月至2024年12月保洁项目</w:t>
      </w:r>
    </w:p>
    <w:p>
      <w:pPr>
        <w:adjustRightInd/>
        <w:spacing w:line="360" w:lineRule="auto"/>
        <w:jc w:val="center"/>
        <w:rPr>
          <w:rFonts w:hint="eastAsia" w:ascii="宋体" w:hAnsi="宋体" w:eastAsia="宋体" w:cs="宋体"/>
          <w:b/>
          <w:bCs w:val="0"/>
          <w:color w:val="auto"/>
          <w:sz w:val="52"/>
          <w:szCs w:val="52"/>
          <w:highlight w:val="none"/>
        </w:rPr>
      </w:pPr>
      <w:r>
        <w:rPr>
          <w:rFonts w:hint="eastAsia" w:ascii="宋体" w:hAnsi="宋体" w:eastAsia="宋体" w:cs="宋体"/>
          <w:b/>
          <w:bCs w:val="0"/>
          <w:color w:val="auto"/>
          <w:sz w:val="52"/>
          <w:szCs w:val="52"/>
          <w:highlight w:val="none"/>
        </w:rPr>
        <w:t>招标文件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widowControl/>
        <w:spacing w:line="360" w:lineRule="auto"/>
        <w:ind w:right="-2"/>
        <w:jc w:val="center"/>
        <w:rPr>
          <w:rFonts w:hint="eastAsia" w:ascii="宋体" w:hAnsi="宋体" w:eastAsia="宋体" w:cs="宋体"/>
          <w:b/>
          <w:bCs/>
          <w:color w:val="auto"/>
          <w:sz w:val="36"/>
          <w:szCs w:val="36"/>
          <w:highlight w:val="none"/>
          <w:lang w:eastAsia="zh-CN"/>
        </w:rPr>
      </w:pPr>
      <w:r>
        <w:rPr>
          <w:rFonts w:hint="eastAsia" w:ascii="宋体" w:hAnsi="宋体" w:cs="宋体"/>
          <w:b/>
          <w:bCs/>
          <w:color w:val="auto"/>
          <w:sz w:val="36"/>
          <w:szCs w:val="36"/>
          <w:highlight w:val="none"/>
        </w:rPr>
        <w:t>招标编号：</w:t>
      </w:r>
      <w:r>
        <w:rPr>
          <w:rFonts w:hint="eastAsia" w:ascii="宋体" w:hAnsi="宋体" w:cs="宋体"/>
          <w:b/>
          <w:bCs/>
          <w:color w:val="auto"/>
          <w:sz w:val="36"/>
          <w:szCs w:val="36"/>
          <w:highlight w:val="none"/>
          <w:lang w:eastAsia="zh-CN"/>
        </w:rPr>
        <w:t>HZZHCG2022-072</w:t>
      </w:r>
    </w:p>
    <w:p>
      <w:pPr>
        <w:snapToGrid w:val="0"/>
        <w:spacing w:line="360" w:lineRule="auto"/>
        <w:jc w:val="center"/>
        <w:rPr>
          <w:rFonts w:ascii="仿宋" w:hAnsi="仿宋" w:eastAsia="仿宋" w:cs="仿宋_GB2312"/>
          <w:color w:val="auto"/>
          <w:sz w:val="30"/>
          <w:szCs w:val="30"/>
          <w:highlight w:val="none"/>
        </w:rPr>
      </w:pPr>
      <w:r>
        <w:rPr>
          <w:rFonts w:hint="eastAsia" w:ascii="宋体" w:hAnsi="宋体" w:eastAsia="宋体" w:cs="宋体"/>
          <w:color w:val="auto"/>
          <w:sz w:val="30"/>
          <w:szCs w:val="30"/>
          <w:highlight w:val="none"/>
          <w:lang w:val="en-US" w:eastAsia="zh-CN"/>
        </w:rPr>
        <w:t xml:space="preserve"> </w:t>
      </w:r>
      <w:r>
        <w:rPr>
          <w:rFonts w:hint="eastAsia" w:ascii="仿宋" w:hAnsi="仿宋" w:eastAsia="仿宋" w:cs="仿宋_GB2312"/>
          <w:color w:val="auto"/>
          <w:sz w:val="30"/>
          <w:szCs w:val="30"/>
          <w:highlight w:val="none"/>
          <w:lang w:val="en-US" w:eastAsia="zh-CN"/>
        </w:rPr>
        <w:t xml:space="preserve"> </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pStyle w:val="2"/>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pStyle w:val="23"/>
        <w:rPr>
          <w:rFonts w:ascii="仿宋" w:hAnsi="仿宋" w:eastAsia="仿宋" w:cs="仿宋_GB2312"/>
          <w:color w:val="auto"/>
          <w:sz w:val="24"/>
          <w:highlight w:val="none"/>
        </w:rPr>
      </w:pPr>
    </w:p>
    <w:p>
      <w:pPr>
        <w:pStyle w:val="24"/>
        <w:rPr>
          <w:rFonts w:ascii="仿宋" w:hAnsi="仿宋" w:eastAsia="仿宋" w:cs="仿宋_GB2312"/>
          <w:color w:val="auto"/>
          <w:sz w:val="24"/>
          <w:highlight w:val="none"/>
        </w:rPr>
      </w:pPr>
    </w:p>
    <w:p>
      <w:pPr>
        <w:pStyle w:val="25"/>
        <w:rPr>
          <w:rFonts w:ascii="仿宋" w:hAnsi="仿宋" w:eastAsia="仿宋" w:cs="仿宋_GB2312"/>
          <w:color w:val="auto"/>
          <w:sz w:val="24"/>
          <w:highlight w:val="none"/>
        </w:rPr>
      </w:pPr>
    </w:p>
    <w:p>
      <w:pPr>
        <w:rPr>
          <w:color w:val="auto"/>
          <w:highlight w:val="none"/>
        </w:rPr>
      </w:pPr>
    </w:p>
    <w:p>
      <w:pPr>
        <w:rPr>
          <w:rFonts w:ascii="仿宋" w:hAnsi="仿宋" w:eastAsia="仿宋" w:cs="仿宋_GB2312"/>
          <w:color w:val="auto"/>
          <w:sz w:val="24"/>
          <w:highlight w:val="none"/>
        </w:rPr>
      </w:pPr>
    </w:p>
    <w:p>
      <w:pPr>
        <w:shd w:val="clear" w:color="auto" w:fill="FFFFFF"/>
        <w:snapToGrid w:val="0"/>
        <w:spacing w:line="360" w:lineRule="auto"/>
        <w:ind w:firstLine="425"/>
        <w:jc w:val="center"/>
        <w:textAlignment w:val="bottom"/>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 xml:space="preserve"> 招标人：</w:t>
      </w:r>
      <w:r>
        <w:rPr>
          <w:rFonts w:hint="eastAsia" w:ascii="宋体" w:hAnsi="宋体" w:cs="宋体"/>
          <w:b/>
          <w:bCs/>
          <w:color w:val="auto"/>
          <w:sz w:val="32"/>
          <w:szCs w:val="32"/>
          <w:highlight w:val="none"/>
          <w:lang w:eastAsia="zh-CN"/>
        </w:rPr>
        <w:t>杭州市临平区人民政府运河街道办事处</w:t>
      </w:r>
    </w:p>
    <w:p>
      <w:pPr>
        <w:shd w:val="clear" w:color="auto" w:fill="FFFFFF"/>
        <w:snapToGrid w:val="0"/>
        <w:spacing w:line="360" w:lineRule="auto"/>
        <w:ind w:firstLine="425"/>
        <w:jc w:val="center"/>
        <w:textAlignment w:val="bottom"/>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招标代理机构：</w:t>
      </w:r>
      <w:r>
        <w:rPr>
          <w:rFonts w:hint="eastAsia" w:ascii="宋体" w:hAnsi="宋体" w:cs="宋体"/>
          <w:b/>
          <w:bCs/>
          <w:color w:val="auto"/>
          <w:sz w:val="32"/>
          <w:szCs w:val="32"/>
          <w:highlight w:val="none"/>
          <w:lang w:eastAsia="zh-CN"/>
        </w:rPr>
        <w:t>杭州正鸿工程咨询有限公司</w:t>
      </w:r>
    </w:p>
    <w:p>
      <w:pPr>
        <w:snapToGrid w:val="0"/>
        <w:spacing w:line="360" w:lineRule="auto"/>
        <w:jc w:val="center"/>
        <w:rPr>
          <w:rFonts w:hint="eastAsia" w:ascii="宋体" w:hAnsi="宋体" w:cs="宋体"/>
          <w:b/>
          <w:bCs/>
          <w:color w:val="auto"/>
          <w:sz w:val="32"/>
          <w:szCs w:val="32"/>
          <w:highlight w:val="none"/>
        </w:rPr>
      </w:pPr>
    </w:p>
    <w:p>
      <w:pPr>
        <w:snapToGrid w:val="0"/>
        <w:spacing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二〇二</w:t>
      </w:r>
      <w:r>
        <w:rPr>
          <w:rFonts w:hint="eastAsia" w:ascii="宋体" w:hAnsi="宋体" w:cs="宋体"/>
          <w:b/>
          <w:bCs/>
          <w:color w:val="auto"/>
          <w:sz w:val="32"/>
          <w:szCs w:val="32"/>
          <w:highlight w:val="none"/>
          <w:lang w:val="en-US" w:eastAsia="zh-CN"/>
        </w:rPr>
        <w:t>二</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val="en-US" w:eastAsia="zh-CN"/>
        </w:rPr>
        <w:t>十二月</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杭州市临平区人民政府运河街道办事处2023年1月至2024年12月保洁项目</w:t>
      </w:r>
      <w:r>
        <w:rPr>
          <w:rFonts w:hint="eastAsia" w:ascii="仿宋" w:hAnsi="仿宋" w:eastAsia="仿宋" w:cs="仿宋"/>
          <w:color w:val="auto"/>
          <w:sz w:val="24"/>
          <w:szCs w:val="24"/>
          <w:highlight w:val="none"/>
        </w:rPr>
        <w:t>的潜在投标人应在政采云平台（</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"https://www.zcygov.cn/）获取（下载）招标文件，并于2021年" </w:instrText>
      </w:r>
      <w:r>
        <w:rPr>
          <w:rFonts w:hint="eastAsia" w:ascii="仿宋" w:hAnsi="仿宋" w:eastAsia="仿宋" w:cs="仿宋"/>
          <w:color w:val="auto"/>
          <w:sz w:val="24"/>
          <w:szCs w:val="24"/>
          <w:highlight w:val="none"/>
        </w:rPr>
        <w:fldChar w:fldCharType="separate"/>
      </w:r>
      <w:r>
        <w:rPr>
          <w:rStyle w:val="78"/>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szCs w:val="24"/>
          <w:highlight w:val="none"/>
          <w:u w:val="single"/>
        </w:rPr>
        <w:t>20</w:t>
      </w:r>
      <w:r>
        <w:rPr>
          <w:rFonts w:hint="eastAsia" w:ascii="仿宋" w:hAnsi="仿宋" w:eastAsia="仿宋" w:cs="仿宋"/>
          <w:color w:val="auto"/>
          <w:sz w:val="24"/>
          <w:szCs w:val="24"/>
          <w:highlight w:val="none"/>
          <w:u w:val="single"/>
          <w:lang w:val="en-US" w:eastAsia="zh-CN"/>
        </w:rPr>
        <w:t>22</w:t>
      </w:r>
      <w:r>
        <w:rPr>
          <w:rFonts w:hint="eastAsia" w:ascii="仿宋" w:hAnsi="仿宋" w:eastAsia="仿宋" w:cs="仿宋"/>
          <w:color w:val="auto"/>
          <w:sz w:val="24"/>
          <w:szCs w:val="24"/>
          <w:highlight w:val="none"/>
          <w:u w:val="single"/>
        </w:rPr>
        <w:t>年</w:t>
      </w:r>
      <w:r>
        <w:rPr>
          <w:rFonts w:hint="eastAsia" w:ascii="仿宋" w:hAnsi="仿宋" w:eastAsia="仿宋" w:cs="仿宋"/>
          <w:color w:val="auto"/>
          <w:sz w:val="24"/>
          <w:szCs w:val="24"/>
          <w:highlight w:val="none"/>
          <w:u w:val="single"/>
          <w:lang w:val="en-US" w:eastAsia="zh-CN"/>
        </w:rPr>
        <w:t>12</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28</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highlight w:val="none"/>
          <w:u w:val="single"/>
          <w:lang w:val="en-US" w:eastAsia="zh-CN"/>
        </w:rPr>
        <w:t>13</w:t>
      </w:r>
      <w:r>
        <w:rPr>
          <w:rFonts w:hint="eastAsia" w:ascii="仿宋" w:hAnsi="仿宋" w:eastAsia="仿宋" w:cs="仿宋"/>
          <w:color w:val="auto"/>
          <w:sz w:val="24"/>
          <w:szCs w:val="24"/>
          <w:highlight w:val="none"/>
          <w:u w:val="single"/>
        </w:rPr>
        <w:t>点</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u w:val="single"/>
        </w:rPr>
        <w:t>分</w:t>
      </w:r>
      <w:r>
        <w:rPr>
          <w:rFonts w:hint="eastAsia" w:ascii="仿宋" w:hAnsi="仿宋" w:eastAsia="仿宋" w:cs="仿宋"/>
          <w:bCs/>
          <w:color w:val="auto"/>
          <w:sz w:val="24"/>
          <w:szCs w:val="24"/>
          <w:highlight w:val="none"/>
          <w:u w:val="single"/>
        </w:rPr>
        <w:t>00秒</w:t>
      </w:r>
      <w:r>
        <w:rPr>
          <w:rFonts w:hint="eastAsia" w:ascii="仿宋" w:hAnsi="仿宋" w:eastAsia="仿宋" w:cs="仿宋"/>
          <w:bCs/>
          <w:color w:val="auto"/>
          <w:sz w:val="24"/>
          <w:szCs w:val="24"/>
          <w:highlight w:val="none"/>
          <w:u w:val="single"/>
        </w:rPr>
        <w:fldChar w:fldCharType="end"/>
      </w:r>
      <w:r>
        <w:rPr>
          <w:rFonts w:hint="eastAsia" w:ascii="仿宋" w:hAnsi="仿宋" w:eastAsia="仿宋" w:cs="仿宋"/>
          <w:bCs/>
          <w:color w:val="auto"/>
          <w:sz w:val="24"/>
          <w:szCs w:val="24"/>
          <w:highlight w:val="none"/>
        </w:rPr>
        <w:t>（北京时间）前</w:t>
      </w:r>
      <w:r>
        <w:rPr>
          <w:rFonts w:hint="eastAsia" w:ascii="仿宋" w:hAnsi="仿宋" w:eastAsia="仿宋" w:cs="仿宋"/>
          <w:color w:val="auto"/>
          <w:sz w:val="24"/>
          <w:szCs w:val="24"/>
          <w:highlight w:val="none"/>
        </w:rPr>
        <w:t>递交（上传）投标文件。</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一、项目基本情况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szCs w:val="24"/>
          <w:highlight w:val="none"/>
        </w:rPr>
        <w:t>项目编号：</w:t>
      </w:r>
      <w:r>
        <w:rPr>
          <w:rFonts w:hint="eastAsia" w:ascii="仿宋" w:hAnsi="仿宋" w:eastAsia="仿宋" w:cs="仿宋"/>
          <w:color w:val="auto"/>
          <w:sz w:val="24"/>
          <w:szCs w:val="24"/>
          <w:highlight w:val="none"/>
        </w:rPr>
        <w:t>（采购编号）</w:t>
      </w:r>
    </w:p>
    <w:p>
      <w:pPr>
        <w:spacing w:line="360" w:lineRule="auto"/>
        <w:ind w:firstLine="480"/>
        <w:rPr>
          <w:rFonts w:hint="eastAsia" w:ascii="仿宋" w:hAnsi="仿宋" w:eastAsia="仿宋" w:cs="仿宋"/>
          <w:i w:val="0"/>
          <w:iCs w:val="0"/>
          <w:caps w:val="0"/>
          <w:color w:val="auto"/>
          <w:spacing w:val="0"/>
          <w:sz w:val="27"/>
          <w:szCs w:val="27"/>
          <w:highlight w:val="none"/>
          <w:lang w:eastAsia="zh-CN"/>
        </w:rPr>
      </w:pPr>
      <w:r>
        <w:rPr>
          <w:rFonts w:hint="eastAsia" w:ascii="仿宋" w:hAnsi="仿宋" w:eastAsia="仿宋" w:cs="仿宋"/>
          <w:b/>
          <w:color w:val="auto"/>
          <w:sz w:val="24"/>
          <w:szCs w:val="24"/>
          <w:highlight w:val="none"/>
        </w:rPr>
        <w:t>项目名称：</w:t>
      </w:r>
      <w:r>
        <w:rPr>
          <w:rFonts w:hint="eastAsia" w:ascii="仿宋" w:hAnsi="仿宋" w:eastAsia="仿宋" w:cs="仿宋"/>
          <w:i w:val="0"/>
          <w:iCs w:val="0"/>
          <w:caps w:val="0"/>
          <w:color w:val="auto"/>
          <w:spacing w:val="0"/>
          <w:sz w:val="27"/>
          <w:szCs w:val="27"/>
          <w:highlight w:val="none"/>
          <w:lang w:eastAsia="zh-CN"/>
        </w:rPr>
        <w:t>杭州市临平区人民政府运河街道办事处2023年1月至2024年12月保洁项目</w:t>
      </w:r>
    </w:p>
    <w:p>
      <w:pPr>
        <w:spacing w:line="360" w:lineRule="auto"/>
        <w:ind w:firstLine="480"/>
        <w:rPr>
          <w:rFonts w:hint="eastAsia" w:ascii="仿宋" w:hAnsi="仿宋" w:eastAsia="仿宋" w:cs="仿宋"/>
          <w:i w:val="0"/>
          <w:iCs w:val="0"/>
          <w:caps w:val="0"/>
          <w:color w:val="auto"/>
          <w:spacing w:val="0"/>
          <w:sz w:val="27"/>
          <w:szCs w:val="27"/>
          <w:highlight w:val="none"/>
          <w:lang w:eastAsia="zh-CN"/>
        </w:rPr>
      </w:pPr>
      <w:r>
        <w:rPr>
          <w:rFonts w:hint="eastAsia" w:ascii="仿宋" w:hAnsi="仿宋" w:eastAsia="仿宋" w:cs="仿宋"/>
          <w:b/>
          <w:color w:val="auto"/>
          <w:sz w:val="24"/>
          <w:szCs w:val="24"/>
          <w:highlight w:val="none"/>
        </w:rPr>
        <w:t>预算金额（元）：</w:t>
      </w:r>
      <w:r>
        <w:rPr>
          <w:rFonts w:hint="eastAsia" w:ascii="仿宋" w:hAnsi="仿宋" w:eastAsia="仿宋" w:cs="仿宋"/>
          <w:b/>
          <w:color w:val="auto"/>
          <w:sz w:val="24"/>
          <w:szCs w:val="24"/>
          <w:highlight w:val="none"/>
          <w:lang w:val="en-US" w:eastAsia="zh-CN"/>
        </w:rPr>
        <w:t xml:space="preserve">31100000  </w:t>
      </w:r>
    </w:p>
    <w:p>
      <w:pPr>
        <w:spacing w:line="360" w:lineRule="auto"/>
        <w:ind w:firstLine="480"/>
        <w:rPr>
          <w:rFonts w:hint="default" w:ascii="仿宋" w:hAnsi="仿宋" w:eastAsia="仿宋" w:cs="仿宋"/>
          <w:color w:val="auto"/>
          <w:sz w:val="24"/>
          <w:szCs w:val="24"/>
          <w:highlight w:val="none"/>
          <w:lang w:val="en-US" w:eastAsia="zh-CN"/>
        </w:rPr>
      </w:pPr>
      <w:r>
        <w:rPr>
          <w:rFonts w:hint="eastAsia" w:ascii="仿宋" w:hAnsi="仿宋" w:eastAsia="仿宋" w:cs="仿宋"/>
          <w:b/>
          <w:color w:val="auto"/>
          <w:sz w:val="24"/>
          <w:szCs w:val="24"/>
          <w:highlight w:val="none"/>
        </w:rPr>
        <w:t>最高限价（元）：</w:t>
      </w:r>
      <w:r>
        <w:rPr>
          <w:rFonts w:hint="eastAsia" w:ascii="仿宋" w:hAnsi="仿宋" w:eastAsia="仿宋" w:cs="仿宋"/>
          <w:b/>
          <w:color w:val="auto"/>
          <w:sz w:val="24"/>
          <w:szCs w:val="24"/>
          <w:highlight w:val="none"/>
          <w:lang w:val="en-US" w:eastAsia="zh-CN"/>
        </w:rPr>
        <w:t>标项一：15766380、标项二：11166158</w:t>
      </w:r>
    </w:p>
    <w:p>
      <w:pPr>
        <w:pStyle w:val="5"/>
        <w:spacing w:line="360" w:lineRule="auto"/>
        <w:ind w:firstLine="480"/>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szCs w:val="24"/>
          <w:highlight w:val="none"/>
        </w:rPr>
        <w:t>采购需求：</w:t>
      </w:r>
      <w:r>
        <w:rPr>
          <w:rFonts w:hint="eastAsia" w:ascii="仿宋" w:hAnsi="仿宋" w:eastAsia="仿宋" w:cs="仿宋"/>
          <w:i w:val="0"/>
          <w:iCs w:val="0"/>
          <w:caps w:val="0"/>
          <w:color w:val="auto"/>
          <w:spacing w:val="0"/>
          <w:sz w:val="24"/>
          <w:szCs w:val="24"/>
          <w:highlight w:val="none"/>
          <w:lang w:eastAsia="zh-CN"/>
        </w:rPr>
        <w:t>杭州市临平区人民政府运河街道办事处2023年1月至2024年12月保洁项目</w:t>
      </w:r>
      <w:r>
        <w:rPr>
          <w:rFonts w:hint="eastAsia" w:ascii="仿宋" w:hAnsi="仿宋" w:eastAsia="仿宋" w:cs="仿宋"/>
          <w:bCs/>
          <w:color w:val="auto"/>
          <w:kern w:val="2"/>
          <w:sz w:val="24"/>
          <w:szCs w:val="24"/>
          <w:highlight w:val="none"/>
        </w:rPr>
        <w:t>主要内容：详见招标文件第三部分采购需求。</w:t>
      </w:r>
    </w:p>
    <w:p>
      <w:pPr>
        <w:pStyle w:val="87"/>
        <w:ind w:firstLine="482"/>
        <w:outlineLvl w:val="2"/>
        <w:rPr>
          <w:rFonts w:hint="eastAsia" w:ascii="仿宋_GB2312" w:hAnsi="仿宋" w:eastAsia="仿宋_GB2312"/>
          <w:b/>
          <w:highlight w:val="none"/>
        </w:rPr>
      </w:pPr>
      <w:r>
        <w:rPr>
          <w:rFonts w:hint="eastAsia" w:ascii="仿宋_GB2312" w:hAnsi="仿宋" w:eastAsia="仿宋_GB2312"/>
          <w:b/>
          <w:highlight w:val="none"/>
        </w:rPr>
        <w:t>标项一：</w:t>
      </w:r>
    </w:p>
    <w:p>
      <w:pPr>
        <w:pStyle w:val="87"/>
        <w:ind w:left="479" w:leftChars="228" w:firstLine="0" w:firstLineChars="0"/>
        <w:outlineLvl w:val="2"/>
        <w:rPr>
          <w:rFonts w:hint="default" w:ascii="仿宋_GB2312" w:hAnsi="仿宋" w:eastAsia="仿宋_GB2312"/>
          <w:b w:val="0"/>
          <w:bCs/>
          <w:highlight w:val="none"/>
          <w:lang w:val="en-US" w:eastAsia="zh-CN"/>
        </w:rPr>
      </w:pPr>
      <w:r>
        <w:rPr>
          <w:rFonts w:hint="eastAsia" w:ascii="仿宋_GB2312" w:hAnsi="仿宋" w:eastAsia="仿宋_GB2312"/>
          <w:b/>
          <w:highlight w:val="none"/>
        </w:rPr>
        <w:t>标项名称：</w:t>
      </w:r>
      <w:r>
        <w:rPr>
          <w:rFonts w:hint="eastAsia" w:ascii="仿宋_GB2312" w:hAnsi="仿宋" w:eastAsia="仿宋_GB2312"/>
          <w:b/>
          <w:highlight w:val="none"/>
          <w:lang w:eastAsia="zh-CN"/>
        </w:rPr>
        <w:t>杭州市临平区人民政府运河街道办事处2023年1月至2024年12月保洁项目</w:t>
      </w:r>
      <w:r>
        <w:rPr>
          <w:rFonts w:hint="eastAsia" w:ascii="仿宋_GB2312" w:hAnsi="仿宋" w:eastAsia="仿宋_GB2312"/>
          <w:b/>
          <w:highlight w:val="none"/>
          <w:lang w:val="en-US" w:eastAsia="zh-CN"/>
        </w:rPr>
        <w:t>一标段</w:t>
      </w:r>
    </w:p>
    <w:p>
      <w:pPr>
        <w:pStyle w:val="87"/>
        <w:ind w:left="479" w:leftChars="228" w:firstLine="0" w:firstLineChars="0"/>
        <w:outlineLvl w:val="2"/>
        <w:rPr>
          <w:rFonts w:hint="eastAsia" w:ascii="仿宋_GB2312" w:hAnsi="仿宋" w:eastAsia="仿宋_GB2312"/>
          <w:b w:val="0"/>
          <w:bCs/>
          <w:highlight w:val="none"/>
          <w:lang w:eastAsia="zh-CN"/>
        </w:rPr>
      </w:pPr>
      <w:r>
        <w:rPr>
          <w:rFonts w:hint="eastAsia" w:ascii="仿宋_GB2312" w:hAnsi="仿宋" w:eastAsia="仿宋_GB2312"/>
          <w:b/>
          <w:highlight w:val="none"/>
        </w:rPr>
        <w:t>数量：</w:t>
      </w:r>
      <w:r>
        <w:rPr>
          <w:rFonts w:hint="eastAsia" w:ascii="仿宋_GB2312" w:hAnsi="仿宋" w:eastAsia="仿宋_GB2312"/>
          <w:b w:val="0"/>
          <w:bCs/>
          <w:highlight w:val="none"/>
        </w:rPr>
        <w:t>1</w:t>
      </w:r>
      <w:r>
        <w:rPr>
          <w:rFonts w:hint="eastAsia" w:ascii="仿宋_GB2312" w:hAnsi="仿宋" w:eastAsia="仿宋_GB2312"/>
          <w:b w:val="0"/>
          <w:bCs/>
          <w:highlight w:val="none"/>
          <w:lang w:val="en-US" w:eastAsia="zh-CN"/>
        </w:rPr>
        <w:t>项</w:t>
      </w:r>
      <w:r>
        <w:rPr>
          <w:rFonts w:hint="eastAsia" w:ascii="仿宋_GB2312" w:hAnsi="仿宋" w:eastAsia="仿宋_GB2312"/>
          <w:b w:val="0"/>
          <w:bCs/>
          <w:highlight w:val="none"/>
        </w:rPr>
        <w:t> </w:t>
      </w:r>
    </w:p>
    <w:p>
      <w:pPr>
        <w:pStyle w:val="87"/>
        <w:ind w:left="479" w:leftChars="228" w:firstLine="0" w:firstLineChars="0"/>
        <w:outlineLvl w:val="2"/>
        <w:rPr>
          <w:rFonts w:hint="eastAsia" w:ascii="仿宋_GB2312" w:hAnsi="仿宋" w:eastAsia="仿宋_GB2312"/>
          <w:b/>
          <w:highlight w:val="none"/>
        </w:rPr>
      </w:pPr>
      <w:r>
        <w:rPr>
          <w:rFonts w:hint="eastAsia" w:ascii="仿宋_GB2312" w:hAnsi="仿宋" w:eastAsia="仿宋_GB2312"/>
          <w:b/>
          <w:highlight w:val="none"/>
        </w:rPr>
        <w:t>预算金额（元）：</w:t>
      </w:r>
      <w:r>
        <w:rPr>
          <w:rFonts w:hint="eastAsia" w:ascii="仿宋" w:hAnsi="仿宋" w:eastAsia="仿宋" w:cs="仿宋"/>
          <w:b/>
          <w:color w:val="auto"/>
          <w:sz w:val="24"/>
          <w:szCs w:val="24"/>
          <w:highlight w:val="none"/>
          <w:lang w:val="en-US" w:eastAsia="zh-CN"/>
        </w:rPr>
        <w:t>15766380</w:t>
      </w:r>
      <w:r>
        <w:rPr>
          <w:rFonts w:hint="eastAsia" w:ascii="仿宋_GB2312" w:hAnsi="仿宋" w:eastAsia="仿宋_GB2312"/>
          <w:b w:val="0"/>
          <w:bCs/>
          <w:highlight w:val="none"/>
        </w:rPr>
        <w:t>元</w:t>
      </w:r>
    </w:p>
    <w:p>
      <w:pPr>
        <w:pStyle w:val="5"/>
        <w:spacing w:line="360" w:lineRule="auto"/>
        <w:ind w:firstLine="480"/>
        <w:rPr>
          <w:rFonts w:hint="eastAsia" w:ascii="仿宋_GB2312" w:hAnsi="仿宋" w:eastAsia="仿宋_GB2312"/>
          <w:bCs/>
          <w:color w:val="auto"/>
          <w:kern w:val="2"/>
          <w:sz w:val="24"/>
          <w:szCs w:val="24"/>
          <w:highlight w:val="none"/>
        </w:rPr>
      </w:pPr>
      <w:r>
        <w:rPr>
          <w:rFonts w:hint="eastAsia" w:ascii="仿宋_GB2312" w:hAnsi="仿宋" w:eastAsia="仿宋_GB2312"/>
          <w:b/>
          <w:highlight w:val="none"/>
          <w:lang w:val="en-US" w:eastAsia="zh-CN"/>
        </w:rPr>
        <w:t>简要规格描述或项目基本概况介绍、用途：</w:t>
      </w:r>
      <w:r>
        <w:rPr>
          <w:rFonts w:hint="eastAsia" w:ascii="仿宋_GB2312" w:hAnsi="仿宋" w:eastAsia="仿宋_GB2312"/>
          <w:bCs/>
          <w:color w:val="auto"/>
          <w:kern w:val="2"/>
          <w:sz w:val="24"/>
          <w:szCs w:val="24"/>
          <w:highlight w:val="none"/>
        </w:rPr>
        <w:t>本次招标项目为</w:t>
      </w:r>
      <w:r>
        <w:rPr>
          <w:rFonts w:hint="eastAsia" w:ascii="仿宋_GB2312" w:hAnsi="仿宋" w:eastAsia="仿宋_GB2312"/>
          <w:bCs/>
          <w:color w:val="auto"/>
          <w:kern w:val="2"/>
          <w:sz w:val="24"/>
          <w:szCs w:val="24"/>
          <w:highlight w:val="none"/>
          <w:lang w:eastAsia="zh-CN"/>
        </w:rPr>
        <w:t>杭州市临平区人民政府运河街道办事处2023年1月至2024年12月保洁项目</w:t>
      </w:r>
      <w:r>
        <w:rPr>
          <w:rFonts w:hint="eastAsia" w:ascii="仿宋_GB2312" w:hAnsi="仿宋" w:eastAsia="仿宋_GB2312"/>
          <w:bCs/>
          <w:color w:val="auto"/>
          <w:kern w:val="2"/>
          <w:sz w:val="24"/>
          <w:szCs w:val="24"/>
          <w:highlight w:val="none"/>
          <w:lang w:val="en-US" w:eastAsia="zh-CN"/>
        </w:rPr>
        <w:t>一标段</w:t>
      </w:r>
      <w:r>
        <w:rPr>
          <w:rFonts w:hint="eastAsia" w:ascii="仿宋_GB2312" w:hAnsi="仿宋" w:eastAsia="仿宋_GB2312" w:cs="Times New Roman"/>
          <w:bCs/>
          <w:snapToGrid w:val="0"/>
          <w:color w:val="auto"/>
          <w:kern w:val="2"/>
          <w:sz w:val="24"/>
          <w:szCs w:val="24"/>
          <w:highlight w:val="none"/>
          <w:lang w:val="en-US" w:eastAsia="zh-CN" w:bidi="ar-SA"/>
        </w:rPr>
        <w:t>。</w:t>
      </w:r>
      <w:r>
        <w:rPr>
          <w:rFonts w:hint="eastAsia" w:ascii="仿宋_GB2312" w:hAnsi="仿宋" w:eastAsia="仿宋_GB2312"/>
          <w:bCs/>
          <w:color w:val="auto"/>
          <w:kern w:val="2"/>
          <w:sz w:val="24"/>
          <w:szCs w:val="24"/>
          <w:highlight w:val="none"/>
        </w:rPr>
        <w:t>详见招标文件第三部分采购需求。</w:t>
      </w:r>
    </w:p>
    <w:p>
      <w:pPr>
        <w:pStyle w:val="87"/>
        <w:ind w:firstLine="482"/>
        <w:outlineLvl w:val="2"/>
        <w:rPr>
          <w:rFonts w:hint="eastAsia" w:ascii="仿宋_GB2312" w:hAnsi="仿宋" w:eastAsia="仿宋_GB2312"/>
          <w:b/>
          <w:highlight w:val="none"/>
        </w:rPr>
      </w:pPr>
      <w:r>
        <w:rPr>
          <w:rFonts w:hint="eastAsia" w:ascii="仿宋_GB2312" w:hAnsi="仿宋" w:eastAsia="仿宋_GB2312"/>
          <w:b/>
          <w:highlight w:val="none"/>
        </w:rPr>
        <w:t>标项</w:t>
      </w:r>
      <w:r>
        <w:rPr>
          <w:rFonts w:hint="eastAsia" w:ascii="仿宋_GB2312" w:hAnsi="仿宋" w:eastAsia="仿宋_GB2312"/>
          <w:b/>
          <w:highlight w:val="none"/>
          <w:lang w:val="en-US" w:eastAsia="zh-CN"/>
        </w:rPr>
        <w:t>二</w:t>
      </w:r>
      <w:r>
        <w:rPr>
          <w:rFonts w:hint="eastAsia" w:ascii="仿宋_GB2312" w:hAnsi="仿宋" w:eastAsia="仿宋_GB2312"/>
          <w:b/>
          <w:highlight w:val="none"/>
        </w:rPr>
        <w:t>：</w:t>
      </w:r>
    </w:p>
    <w:p>
      <w:pPr>
        <w:pStyle w:val="87"/>
        <w:ind w:left="479" w:leftChars="228" w:firstLine="0" w:firstLineChars="0"/>
        <w:outlineLvl w:val="2"/>
        <w:rPr>
          <w:rFonts w:hint="eastAsia" w:ascii="仿宋_GB2312" w:hAnsi="仿宋" w:eastAsia="仿宋_GB2312"/>
          <w:b w:val="0"/>
          <w:bCs/>
          <w:highlight w:val="none"/>
          <w:lang w:val="en-US" w:eastAsia="zh-CN"/>
        </w:rPr>
      </w:pPr>
      <w:r>
        <w:rPr>
          <w:rFonts w:hint="eastAsia" w:ascii="仿宋_GB2312" w:hAnsi="仿宋" w:eastAsia="仿宋_GB2312"/>
          <w:b/>
          <w:highlight w:val="none"/>
        </w:rPr>
        <w:t>标项名称：</w:t>
      </w:r>
      <w:r>
        <w:rPr>
          <w:rFonts w:hint="eastAsia" w:ascii="仿宋_GB2312" w:hAnsi="仿宋" w:eastAsia="仿宋_GB2312"/>
          <w:b/>
          <w:highlight w:val="none"/>
          <w:lang w:eastAsia="zh-CN"/>
        </w:rPr>
        <w:t>杭州市临平区人民政府运河街道办事处2023年1月至2024年12月保洁项目</w:t>
      </w:r>
      <w:r>
        <w:rPr>
          <w:rFonts w:hint="eastAsia" w:ascii="仿宋_GB2312" w:hAnsi="仿宋" w:eastAsia="仿宋_GB2312"/>
          <w:b/>
          <w:highlight w:val="none"/>
          <w:lang w:val="en-US" w:eastAsia="zh-CN"/>
        </w:rPr>
        <w:t>二标段</w:t>
      </w:r>
    </w:p>
    <w:p>
      <w:pPr>
        <w:pStyle w:val="87"/>
        <w:ind w:left="479" w:leftChars="228" w:firstLine="0" w:firstLineChars="0"/>
        <w:outlineLvl w:val="2"/>
        <w:rPr>
          <w:rFonts w:hint="eastAsia" w:ascii="仿宋_GB2312" w:hAnsi="仿宋" w:eastAsia="仿宋_GB2312"/>
          <w:b w:val="0"/>
          <w:bCs/>
          <w:highlight w:val="none"/>
          <w:lang w:eastAsia="zh-CN"/>
        </w:rPr>
      </w:pPr>
      <w:r>
        <w:rPr>
          <w:rFonts w:hint="eastAsia" w:ascii="仿宋_GB2312" w:hAnsi="仿宋" w:eastAsia="仿宋_GB2312"/>
          <w:b/>
          <w:highlight w:val="none"/>
        </w:rPr>
        <w:t>数量：</w:t>
      </w:r>
      <w:r>
        <w:rPr>
          <w:rFonts w:hint="eastAsia" w:ascii="仿宋_GB2312" w:hAnsi="仿宋" w:eastAsia="仿宋_GB2312"/>
          <w:b w:val="0"/>
          <w:bCs/>
          <w:highlight w:val="none"/>
        </w:rPr>
        <w:t>1</w:t>
      </w:r>
      <w:r>
        <w:rPr>
          <w:rFonts w:hint="eastAsia" w:ascii="仿宋_GB2312" w:hAnsi="仿宋" w:eastAsia="仿宋_GB2312"/>
          <w:b w:val="0"/>
          <w:bCs/>
          <w:highlight w:val="none"/>
          <w:lang w:val="en-US" w:eastAsia="zh-CN"/>
        </w:rPr>
        <w:t>项</w:t>
      </w:r>
      <w:r>
        <w:rPr>
          <w:rFonts w:hint="eastAsia" w:ascii="仿宋_GB2312" w:hAnsi="仿宋" w:eastAsia="仿宋_GB2312"/>
          <w:b w:val="0"/>
          <w:bCs/>
          <w:highlight w:val="none"/>
        </w:rPr>
        <w:t> </w:t>
      </w:r>
    </w:p>
    <w:p>
      <w:pPr>
        <w:pStyle w:val="87"/>
        <w:ind w:left="479" w:leftChars="228" w:firstLine="0" w:firstLineChars="0"/>
        <w:outlineLvl w:val="2"/>
        <w:rPr>
          <w:rFonts w:hint="eastAsia" w:ascii="仿宋_GB2312" w:hAnsi="仿宋" w:eastAsia="仿宋_GB2312"/>
          <w:b/>
          <w:highlight w:val="none"/>
        </w:rPr>
      </w:pPr>
      <w:r>
        <w:rPr>
          <w:rFonts w:hint="eastAsia" w:ascii="仿宋_GB2312" w:hAnsi="仿宋" w:eastAsia="仿宋_GB2312"/>
          <w:b/>
          <w:highlight w:val="none"/>
        </w:rPr>
        <w:t>预算金额（元）：</w:t>
      </w:r>
      <w:r>
        <w:rPr>
          <w:rFonts w:hint="eastAsia" w:ascii="仿宋" w:hAnsi="仿宋" w:eastAsia="仿宋" w:cs="仿宋"/>
          <w:b/>
          <w:color w:val="auto"/>
          <w:sz w:val="24"/>
          <w:szCs w:val="24"/>
          <w:highlight w:val="none"/>
          <w:lang w:val="en-US" w:eastAsia="zh-CN"/>
        </w:rPr>
        <w:t>11166158</w:t>
      </w:r>
      <w:r>
        <w:rPr>
          <w:rFonts w:hint="eastAsia" w:ascii="仿宋_GB2312" w:hAnsi="仿宋" w:eastAsia="仿宋_GB2312"/>
          <w:b w:val="0"/>
          <w:bCs/>
          <w:highlight w:val="none"/>
        </w:rPr>
        <w:t>元</w:t>
      </w:r>
    </w:p>
    <w:p>
      <w:pPr>
        <w:pStyle w:val="5"/>
        <w:spacing w:line="360" w:lineRule="auto"/>
        <w:ind w:firstLine="480"/>
        <w:rPr>
          <w:rFonts w:hint="eastAsia" w:ascii="仿宋_GB2312" w:hAnsi="仿宋" w:eastAsia="仿宋_GB2312"/>
          <w:bCs/>
          <w:color w:val="auto"/>
          <w:kern w:val="2"/>
          <w:sz w:val="24"/>
          <w:szCs w:val="24"/>
          <w:highlight w:val="none"/>
        </w:rPr>
      </w:pPr>
      <w:r>
        <w:rPr>
          <w:rFonts w:hint="eastAsia" w:ascii="仿宋_GB2312" w:hAnsi="仿宋" w:eastAsia="仿宋_GB2312"/>
          <w:b/>
          <w:highlight w:val="none"/>
          <w:lang w:val="en-US" w:eastAsia="zh-CN"/>
        </w:rPr>
        <w:t>简要规格描述或项目基本概况介绍、用途：</w:t>
      </w:r>
      <w:r>
        <w:rPr>
          <w:rFonts w:hint="eastAsia" w:ascii="仿宋_GB2312" w:hAnsi="仿宋" w:eastAsia="仿宋_GB2312"/>
          <w:bCs/>
          <w:color w:val="auto"/>
          <w:kern w:val="2"/>
          <w:sz w:val="24"/>
          <w:szCs w:val="24"/>
          <w:highlight w:val="none"/>
        </w:rPr>
        <w:t>本次招标项目为</w:t>
      </w:r>
      <w:r>
        <w:rPr>
          <w:rFonts w:hint="eastAsia" w:ascii="仿宋_GB2312" w:hAnsi="仿宋" w:eastAsia="仿宋_GB2312"/>
          <w:bCs/>
          <w:color w:val="auto"/>
          <w:kern w:val="2"/>
          <w:sz w:val="24"/>
          <w:szCs w:val="24"/>
          <w:highlight w:val="none"/>
          <w:lang w:eastAsia="zh-CN"/>
        </w:rPr>
        <w:t>杭州市临平区人民政府运河街道办事处2023年1月至2024年12月保洁项目</w:t>
      </w:r>
      <w:r>
        <w:rPr>
          <w:rFonts w:hint="eastAsia" w:ascii="仿宋_GB2312" w:hAnsi="仿宋" w:eastAsia="仿宋_GB2312"/>
          <w:bCs/>
          <w:color w:val="auto"/>
          <w:kern w:val="2"/>
          <w:sz w:val="24"/>
          <w:szCs w:val="24"/>
          <w:highlight w:val="none"/>
          <w:lang w:val="en-US" w:eastAsia="zh-CN"/>
        </w:rPr>
        <w:t>二标段</w:t>
      </w:r>
      <w:r>
        <w:rPr>
          <w:rFonts w:hint="eastAsia" w:ascii="仿宋_GB2312" w:hAnsi="仿宋" w:eastAsia="仿宋_GB2312" w:cs="Times New Roman"/>
          <w:bCs/>
          <w:snapToGrid w:val="0"/>
          <w:color w:val="auto"/>
          <w:kern w:val="2"/>
          <w:sz w:val="24"/>
          <w:szCs w:val="24"/>
          <w:highlight w:val="none"/>
          <w:lang w:val="en-US" w:eastAsia="zh-CN" w:bidi="ar-SA"/>
        </w:rPr>
        <w:t>。</w:t>
      </w:r>
      <w:r>
        <w:rPr>
          <w:rFonts w:hint="eastAsia" w:ascii="仿宋_GB2312" w:hAnsi="仿宋" w:eastAsia="仿宋_GB2312"/>
          <w:bCs/>
          <w:color w:val="auto"/>
          <w:kern w:val="2"/>
          <w:sz w:val="24"/>
          <w:szCs w:val="24"/>
          <w:highlight w:val="none"/>
        </w:rPr>
        <w:t>详见招标文件第三部分采购需求。</w:t>
      </w:r>
    </w:p>
    <w:p>
      <w:pPr>
        <w:pStyle w:val="5"/>
        <w:spacing w:line="360" w:lineRule="auto"/>
        <w:ind w:firstLine="480"/>
        <w:rPr>
          <w:rFonts w:hint="eastAsia" w:ascii="仿宋_GB2312" w:hAnsi="仿宋" w:eastAsia="仿宋_GB2312"/>
          <w:bCs/>
          <w:color w:val="auto"/>
          <w:kern w:val="2"/>
          <w:sz w:val="24"/>
          <w:szCs w:val="24"/>
          <w:highlight w:val="none"/>
        </w:rPr>
      </w:pPr>
      <w:r>
        <w:rPr>
          <w:rFonts w:hint="eastAsia" w:ascii="仿宋_GB2312" w:hAnsi="仿宋" w:eastAsia="仿宋_GB2312"/>
          <w:bCs/>
          <w:color w:val="auto"/>
          <w:kern w:val="2"/>
          <w:sz w:val="24"/>
          <w:szCs w:val="24"/>
          <w:highlight w:val="none"/>
        </w:rPr>
        <w:t>务</w:t>
      </w:r>
      <w:r>
        <w:rPr>
          <w:rFonts w:hint="eastAsia" w:ascii="仿宋_GB2312" w:hAnsi="仿宋" w:eastAsia="仿宋_GB2312" w:cs="Times New Roman"/>
          <w:bCs/>
          <w:snapToGrid w:val="0"/>
          <w:color w:val="auto"/>
          <w:kern w:val="2"/>
          <w:sz w:val="24"/>
          <w:szCs w:val="24"/>
          <w:highlight w:val="none"/>
          <w:lang w:val="en-US" w:eastAsia="zh-CN" w:bidi="ar-SA"/>
        </w:rPr>
        <w:t>。</w:t>
      </w:r>
      <w:r>
        <w:rPr>
          <w:rFonts w:hint="eastAsia" w:ascii="仿宋_GB2312" w:hAnsi="仿宋" w:eastAsia="仿宋_GB2312"/>
          <w:bCs/>
          <w:color w:val="auto"/>
          <w:kern w:val="2"/>
          <w:sz w:val="24"/>
          <w:szCs w:val="24"/>
          <w:highlight w:val="none"/>
        </w:rPr>
        <w:t>详见招标文件第三部分采购需求。</w:t>
      </w:r>
    </w:p>
    <w:p>
      <w:pPr>
        <w:pStyle w:val="87"/>
        <w:ind w:firstLine="482"/>
        <w:outlineLvl w:val="2"/>
        <w:rPr>
          <w:rFonts w:hint="default" w:ascii="仿宋" w:hAnsi="仿宋" w:eastAsia="仿宋" w:cs="仿宋"/>
          <w:color w:val="auto"/>
          <w:highlight w:val="none"/>
          <w:lang w:val="en-US" w:eastAsia="zh-CN"/>
        </w:rPr>
      </w:pPr>
      <w:r>
        <w:rPr>
          <w:rFonts w:hint="eastAsia" w:ascii="仿宋" w:hAnsi="仿宋" w:eastAsia="仿宋" w:cs="仿宋"/>
          <w:b/>
          <w:color w:val="auto"/>
          <w:highlight w:val="none"/>
        </w:rPr>
        <w:t>合同履约期限：</w:t>
      </w:r>
      <w:r>
        <w:rPr>
          <w:rFonts w:hint="eastAsia" w:ascii="仿宋" w:hAnsi="仿宋" w:eastAsia="仿宋" w:cs="仿宋"/>
          <w:b/>
          <w:color w:val="auto"/>
          <w:highlight w:val="none"/>
          <w:lang w:val="en-US" w:eastAsia="zh-CN"/>
        </w:rPr>
        <w:t>2年，具体以合同签订日期为准。</w:t>
      </w:r>
    </w:p>
    <w:p>
      <w:pPr>
        <w:pStyle w:val="5"/>
        <w:spacing w:line="360" w:lineRule="auto"/>
        <w:ind w:firstLine="480"/>
        <w:rPr>
          <w:rFonts w:ascii="仿宋_GB2312" w:hAnsi="仿宋" w:eastAsia="仿宋_GB2312" w:cs="Times New Roman"/>
          <w:b/>
          <w:bCs/>
          <w:color w:val="auto"/>
          <w:sz w:val="24"/>
          <w:szCs w:val="24"/>
          <w:highlight w:val="none"/>
        </w:rPr>
      </w:pPr>
      <w:r>
        <w:rPr>
          <w:rFonts w:hint="eastAsia" w:ascii="仿宋_GB2312" w:hAnsi="仿宋" w:eastAsia="仿宋_GB2312" w:cs="仿宋_GB2312"/>
          <w:b/>
          <w:bCs/>
          <w:color w:val="auto"/>
          <w:sz w:val="24"/>
          <w:szCs w:val="24"/>
          <w:highlight w:val="none"/>
        </w:rPr>
        <w:t>本项目接受联合体投标：</w:t>
      </w:r>
      <w:r>
        <w:rPr>
          <w:rFonts w:hint="eastAsia" w:ascii="MS Gothic" w:hAnsi="Wingdings" w:eastAsia="MS Gothic" w:cs="Times New Roman"/>
          <w:color w:val="auto"/>
          <w:kern w:val="0"/>
          <w:sz w:val="24"/>
          <w:szCs w:val="24"/>
          <w:highlight w:val="none"/>
        </w:rPr>
        <w:sym w:font="Wingdings" w:char="00FE"/>
      </w:r>
      <w:r>
        <w:rPr>
          <w:rFonts w:hint="eastAsia" w:ascii="仿宋_GB2312" w:hAnsi="仿宋" w:eastAsia="仿宋_GB2312" w:cs="仿宋_GB2312"/>
          <w:b/>
          <w:bCs/>
          <w:color w:val="auto"/>
          <w:sz w:val="24"/>
          <w:szCs w:val="24"/>
          <w:highlight w:val="none"/>
        </w:rPr>
        <w:t>是，</w:t>
      </w:r>
      <w:r>
        <w:rPr>
          <w:rFonts w:hint="eastAsia" w:ascii="MS Gothic" w:hAnsi="Wingdings" w:eastAsia="MS Gothic" w:cs="Times New Roman"/>
          <w:color w:val="auto"/>
          <w:kern w:val="0"/>
          <w:sz w:val="24"/>
          <w:szCs w:val="24"/>
          <w:highlight w:val="none"/>
        </w:rPr>
        <w:sym w:font="Wingdings" w:char="00A8"/>
      </w:r>
      <w:r>
        <w:rPr>
          <w:rFonts w:hint="eastAsia" w:ascii="仿宋_GB2312" w:hAnsi="仿宋" w:eastAsia="仿宋_GB2312" w:cs="仿宋_GB2312"/>
          <w:b/>
          <w:bCs/>
          <w:color w:val="auto"/>
          <w:sz w:val="24"/>
          <w:szCs w:val="24"/>
          <w:highlight w:val="none"/>
        </w:rPr>
        <w:t>否</w:t>
      </w:r>
      <w:r>
        <w:rPr>
          <w:rFonts w:hint="eastAsia" w:hAnsi="宋体"/>
          <w:color w:val="auto"/>
          <w:kern w:val="0"/>
          <w:sz w:val="24"/>
          <w:szCs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w:t>
      </w:r>
      <w:r>
        <w:rPr>
          <w:rFonts w:hint="eastAsia" w:ascii="仿宋" w:hAnsi="仿宋" w:eastAsia="仿宋" w:cs="仿宋"/>
          <w:snapToGrid w:val="0"/>
          <w:color w:val="auto"/>
          <w:kern w:val="28"/>
          <w:sz w:val="24"/>
          <w:szCs w:val="20"/>
          <w:highlight w:val="none"/>
          <w:lang w:val="en-US" w:eastAsia="zh-CN"/>
        </w:rPr>
        <w:tab/>
      </w:r>
      <w:r>
        <w:rPr>
          <w:rFonts w:hint="eastAsia" w:ascii="仿宋" w:hAnsi="仿宋" w:eastAsia="仿宋" w:cs="仿宋"/>
          <w:snapToGrid w:val="0"/>
          <w:color w:val="auto"/>
          <w:kern w:val="28"/>
          <w:sz w:val="24"/>
          <w:szCs w:val="20"/>
          <w:highlight w:val="none"/>
        </w:rPr>
        <w:t>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ascii="仿宋_GB2312" w:hAnsi="仿宋" w:eastAsia="仿宋_GB2312"/>
          <w:color w:val="auto"/>
          <w:sz w:val="24"/>
          <w:szCs w:val="24"/>
          <w:highlight w:val="none"/>
        </w:rPr>
      </w:pPr>
      <w:r>
        <w:rPr>
          <w:rFonts w:hint="eastAsia" w:ascii="MS Gothic" w:hAnsi="Wingdings" w:eastAsia="MS Gothic"/>
          <w:color w:val="auto"/>
          <w:kern w:val="0"/>
          <w:sz w:val="24"/>
          <w:szCs w:val="24"/>
          <w:highlight w:val="none"/>
        </w:rPr>
        <w:sym w:font="Wingdings" w:char="00A8"/>
      </w:r>
      <w:r>
        <w:rPr>
          <w:rFonts w:hint="eastAsia" w:ascii="仿宋_GB2312" w:hAnsi="仿宋" w:eastAsia="仿宋_GB2312" w:cs="仿宋_GB2312"/>
          <w:color w:val="auto"/>
          <w:sz w:val="24"/>
          <w:szCs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MS Gothic" w:hAnsi="Wingdings" w:eastAsia="MS Gothic"/>
          <w:color w:val="auto"/>
          <w:kern w:val="0"/>
          <w:sz w:val="24"/>
          <w:szCs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szCs w:val="24"/>
          <w:highlight w:val="none"/>
          <w:lang w:val="en-US" w:eastAsia="zh-CN" w:bidi="ar-SA"/>
        </w:rPr>
        <w:t>☐</w:t>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MS Gothic" w:hAnsi="Wingdings" w:eastAsia="MS Gothic"/>
          <w:color w:val="auto"/>
          <w:kern w:val="0"/>
          <w:sz w:val="24"/>
          <w:szCs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MS Gothic" w:hAnsi="Wingdings" w:eastAsia="MS Gothic"/>
          <w:color w:val="auto"/>
          <w:kern w:val="0"/>
          <w:sz w:val="24"/>
          <w:szCs w:val="24"/>
          <w:highlight w:val="none"/>
        </w:rPr>
        <w:sym w:font="Wingdings" w:char="00FE"/>
      </w:r>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28</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szCs w:val="24"/>
          <w:highlight w:val="none"/>
          <w:u w:val="single"/>
        </w:rPr>
        <w:t>20</w:t>
      </w:r>
      <w:r>
        <w:rPr>
          <w:rFonts w:hint="eastAsia" w:ascii="仿宋" w:hAnsi="仿宋" w:eastAsia="仿宋" w:cs="仿宋"/>
          <w:color w:val="auto"/>
          <w:sz w:val="24"/>
          <w:szCs w:val="24"/>
          <w:highlight w:val="none"/>
          <w:u w:val="single"/>
          <w:lang w:val="en-US" w:eastAsia="zh-CN"/>
        </w:rPr>
        <w:t>22</w:t>
      </w:r>
      <w:r>
        <w:rPr>
          <w:rFonts w:hint="eastAsia" w:ascii="仿宋" w:hAnsi="仿宋" w:eastAsia="仿宋" w:cs="仿宋"/>
          <w:color w:val="auto"/>
          <w:sz w:val="24"/>
          <w:szCs w:val="24"/>
          <w:highlight w:val="none"/>
          <w:u w:val="single"/>
        </w:rPr>
        <w:t>年</w:t>
      </w:r>
      <w:r>
        <w:rPr>
          <w:rFonts w:hint="eastAsia" w:ascii="仿宋" w:hAnsi="仿宋" w:eastAsia="仿宋" w:cs="仿宋"/>
          <w:color w:val="auto"/>
          <w:sz w:val="24"/>
          <w:szCs w:val="24"/>
          <w:highlight w:val="none"/>
          <w:u w:val="single"/>
          <w:lang w:val="en-US" w:eastAsia="zh-CN"/>
        </w:rPr>
        <w:t>12</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28</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highlight w:val="none"/>
          <w:u w:val="single"/>
          <w:lang w:val="en-US" w:eastAsia="zh-CN"/>
        </w:rPr>
        <w:t>13</w:t>
      </w:r>
      <w:r>
        <w:rPr>
          <w:rFonts w:hint="eastAsia" w:ascii="仿宋" w:hAnsi="仿宋" w:eastAsia="仿宋" w:cs="仿宋"/>
          <w:color w:val="auto"/>
          <w:sz w:val="24"/>
          <w:szCs w:val="24"/>
          <w:highlight w:val="none"/>
          <w:u w:val="single"/>
        </w:rPr>
        <w:t>点</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u w:val="single"/>
        </w:rPr>
        <w:t>分</w:t>
      </w:r>
      <w:r>
        <w:rPr>
          <w:rFonts w:hint="eastAsia" w:ascii="仿宋" w:hAnsi="仿宋" w:eastAsia="仿宋" w:cs="仿宋"/>
          <w:bCs/>
          <w:color w:val="auto"/>
          <w:sz w:val="24"/>
          <w:szCs w:val="24"/>
          <w:highlight w:val="none"/>
          <w:u w:val="single"/>
        </w:rPr>
        <w:t>00秒</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szCs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szCs w:val="24"/>
          <w:highlight w:val="none"/>
          <w:u w:val="single"/>
        </w:rPr>
        <w:t>20</w:t>
      </w:r>
      <w:r>
        <w:rPr>
          <w:rFonts w:hint="eastAsia" w:ascii="仿宋" w:hAnsi="仿宋" w:eastAsia="仿宋" w:cs="仿宋"/>
          <w:color w:val="auto"/>
          <w:sz w:val="24"/>
          <w:szCs w:val="24"/>
          <w:highlight w:val="none"/>
          <w:u w:val="single"/>
          <w:lang w:val="en-US" w:eastAsia="zh-CN"/>
        </w:rPr>
        <w:t>22</w:t>
      </w:r>
      <w:r>
        <w:rPr>
          <w:rFonts w:hint="eastAsia" w:ascii="仿宋" w:hAnsi="仿宋" w:eastAsia="仿宋" w:cs="仿宋"/>
          <w:color w:val="auto"/>
          <w:sz w:val="24"/>
          <w:szCs w:val="24"/>
          <w:highlight w:val="none"/>
          <w:u w:val="single"/>
        </w:rPr>
        <w:t>年</w:t>
      </w:r>
      <w:r>
        <w:rPr>
          <w:rFonts w:hint="eastAsia" w:ascii="仿宋" w:hAnsi="仿宋" w:eastAsia="仿宋" w:cs="仿宋"/>
          <w:color w:val="auto"/>
          <w:sz w:val="24"/>
          <w:szCs w:val="24"/>
          <w:highlight w:val="none"/>
          <w:u w:val="single"/>
          <w:lang w:val="en-US" w:eastAsia="zh-CN"/>
        </w:rPr>
        <w:t>12</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28</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highlight w:val="none"/>
          <w:u w:val="single"/>
          <w:lang w:val="en-US" w:eastAsia="zh-CN"/>
        </w:rPr>
        <w:t>13</w:t>
      </w:r>
      <w:r>
        <w:rPr>
          <w:rFonts w:hint="eastAsia" w:ascii="仿宋" w:hAnsi="仿宋" w:eastAsia="仿宋" w:cs="仿宋"/>
          <w:color w:val="auto"/>
          <w:sz w:val="24"/>
          <w:szCs w:val="24"/>
          <w:highlight w:val="none"/>
          <w:u w:val="single"/>
        </w:rPr>
        <w:t>点</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u w:val="single"/>
        </w:rPr>
        <w:t>分</w:t>
      </w:r>
      <w:r>
        <w:rPr>
          <w:rFonts w:hint="eastAsia" w:ascii="仿宋" w:hAnsi="仿宋" w:eastAsia="仿宋" w:cs="仿宋"/>
          <w:bCs/>
          <w:color w:val="auto"/>
          <w:sz w:val="24"/>
          <w:szCs w:val="24"/>
          <w:highlight w:val="none"/>
          <w:u w:val="single"/>
        </w:rPr>
        <w:t>00秒</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rPr>
      </w:pPr>
      <w:r>
        <w:rPr>
          <w:rFonts w:hint="eastAsia" w:ascii="仿宋_GB2312" w:hAnsi="仿宋" w:eastAsia="仿宋_GB2312"/>
          <w:color w:val="auto"/>
          <w:sz w:val="24"/>
        </w:rPr>
        <w:t>4.其他事项：（1）需要落实的政府采购政策：包括节约资源、保护环境、支持创新、促进中小企业发展等。详见招标文件的第二部分总则。（2）</w:t>
      </w:r>
      <w:r>
        <w:rPr>
          <w:rFonts w:ascii="仿宋_GB2312" w:hAnsi="仿宋" w:eastAsia="仿宋_GB2312"/>
          <w:color w:val="auto"/>
          <w:sz w:val="24"/>
        </w:rPr>
        <w:t>电子招投标的说明：</w:t>
      </w:r>
      <w:r>
        <w:rPr>
          <w:rFonts w:hint="eastAsia" w:ascii="仿宋_GB2312" w:hAnsi="仿宋" w:eastAsia="仿宋_GB2312" w:cs="仿宋_GB2312"/>
          <w:color w:val="auto"/>
          <w:sz w:val="24"/>
        </w:rPr>
        <w:t>①</w:t>
      </w:r>
      <w:r>
        <w:rPr>
          <w:rFonts w:ascii="仿宋_GB2312" w:hAnsi="仿宋" w:eastAsia="仿宋_GB2312" w:cs="仿宋_GB2312"/>
          <w:color w:val="auto"/>
          <w:sz w:val="24"/>
        </w:rPr>
        <w:t>电子招投标：本项目以数据电文形式，依托“政府采购云平台（www.zcygov.cn）”进行招投标活动，不接受纸质投标文件</w:t>
      </w:r>
      <w:r>
        <w:rPr>
          <w:rFonts w:hint="eastAsia" w:ascii="仿宋_GB2312" w:hAnsi="仿宋" w:eastAsia="仿宋_GB2312" w:cs="仿宋_GB2312"/>
          <w:color w:val="auto"/>
          <w:sz w:val="24"/>
        </w:rPr>
        <w:t>；②</w:t>
      </w:r>
      <w:r>
        <w:rPr>
          <w:rFonts w:ascii="仿宋_GB2312" w:hAnsi="仿宋" w:eastAsia="仿宋_GB2312"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rPr>
        <w:t>采云电子交易客户端”</w:t>
      </w:r>
      <w:r>
        <w:rPr>
          <w:rFonts w:ascii="仿宋_GB2312" w:hAnsi="仿宋" w:eastAsia="仿宋_GB2312" w:cs="仿宋_GB2312"/>
          <w:color w:val="auto"/>
          <w:sz w:val="24"/>
        </w:rPr>
        <w:t>----前往“浙江政府采购网-下载专区-电子交易客户端”进行下载并安装</w:t>
      </w:r>
      <w:r>
        <w:rPr>
          <w:rFonts w:hint="eastAsia" w:ascii="仿宋_GB2312" w:hAnsi="仿宋" w:eastAsia="仿宋_GB2312" w:cs="仿宋_GB2312"/>
          <w:color w:val="auto"/>
          <w:sz w:val="24"/>
        </w:rPr>
        <w:t>；③</w:t>
      </w:r>
      <w:r>
        <w:rPr>
          <w:rFonts w:ascii="仿宋_GB2312" w:hAnsi="仿宋" w:eastAsia="仿宋_GB2312" w:cs="仿宋_GB2312"/>
          <w:color w:val="auto"/>
          <w:sz w:val="24"/>
        </w:rPr>
        <w:t>招标文件的获取：使用账号登录或者使用CA登录政</w:t>
      </w:r>
      <w:r>
        <w:rPr>
          <w:rFonts w:hint="eastAsia" w:ascii="仿宋_GB2312" w:hAnsi="仿宋" w:eastAsia="仿宋_GB2312" w:cs="仿宋_GB2312"/>
          <w:color w:val="auto"/>
          <w:sz w:val="24"/>
        </w:rPr>
        <w:t>采云平台；进入“项目采购”应用，在获取采购文件菜单中选择项目，获取招标文件；④</w:t>
      </w:r>
      <w:r>
        <w:rPr>
          <w:rFonts w:ascii="仿宋_GB2312" w:hAnsi="仿宋" w:eastAsia="仿宋_GB2312" w:cs="仿宋_GB2312"/>
          <w:color w:val="auto"/>
          <w:sz w:val="24"/>
        </w:rPr>
        <w:t>投标文件的制作：在“政</w:t>
      </w:r>
      <w:r>
        <w:rPr>
          <w:rFonts w:hint="eastAsia" w:ascii="仿宋_GB2312" w:hAnsi="仿宋" w:eastAsia="仿宋_GB2312" w:cs="仿宋_GB2312"/>
          <w:color w:val="auto"/>
          <w:sz w:val="24"/>
        </w:rPr>
        <w:t>采云电子交易客户端”中完成“填写基本信息”、“导入投标文件”、“标书关联”、“标书检查”、“电子签名”、“生成电子标书”等操作；</w:t>
      </w:r>
      <w:r>
        <w:rPr>
          <w:rFonts w:hint="eastAsia" w:ascii="仿宋_GB2312" w:hAnsi="仿宋" w:eastAsia="仿宋_GB2312"/>
          <w:color w:val="auto"/>
          <w:sz w:val="24"/>
        </w:rPr>
        <w:t>⑤</w:t>
      </w:r>
      <w:r>
        <w:rPr>
          <w:rFonts w:ascii="仿宋_GB2312" w:hAnsi="仿宋" w:eastAsia="仿宋_GB2312"/>
          <w:color w:val="auto"/>
          <w:sz w:val="24"/>
        </w:rPr>
        <w:t>采购人、采购机构将依托政</w:t>
      </w:r>
      <w:r>
        <w:rPr>
          <w:rFonts w:hint="eastAsia" w:ascii="仿宋_GB2312" w:hAnsi="仿宋" w:eastAsia="仿宋_GB2312"/>
          <w:color w:val="auto"/>
          <w:sz w:val="24"/>
        </w:rPr>
        <w:t>采云平台完成本项目的电子交易活动，平台不接受未按上述方式获取招标文件的供应商进行投标活动；⑥</w:t>
      </w:r>
      <w:r>
        <w:rPr>
          <w:rFonts w:ascii="仿宋_GB2312" w:hAnsi="仿宋" w:eastAsia="仿宋_GB2312"/>
          <w:color w:val="auto"/>
          <w:sz w:val="24"/>
        </w:rPr>
        <w:t>对未按上述方式获取招标文件的供应商对该文件提出的质疑，采购人或采购代理机构将</w:t>
      </w:r>
      <w:r>
        <w:rPr>
          <w:rFonts w:hint="eastAsia" w:ascii="仿宋_GB2312" w:hAnsi="仿宋" w:eastAsia="仿宋_GB2312"/>
          <w:color w:val="auto"/>
          <w:sz w:val="24"/>
        </w:rPr>
        <w:t>不予处理；⑦</w:t>
      </w:r>
      <w:r>
        <w:rPr>
          <w:rFonts w:ascii="仿宋_GB2312" w:hAnsi="仿宋" w:eastAsia="仿宋_GB2312"/>
          <w:color w:val="auto"/>
          <w:sz w:val="24"/>
        </w:rPr>
        <w:t>不提供招标文件纸质版</w:t>
      </w:r>
      <w:r>
        <w:rPr>
          <w:rFonts w:hint="eastAsia" w:ascii="仿宋_GB2312" w:hAnsi="仿宋" w:eastAsia="仿宋_GB2312"/>
          <w:color w:val="auto"/>
          <w:sz w:val="24"/>
        </w:rPr>
        <w:t>；</w:t>
      </w:r>
      <w:r>
        <w:rPr>
          <w:rFonts w:hint="eastAsia" w:ascii="仿宋_GB2312" w:hAnsi="仿宋" w:eastAsia="仿宋_GB2312" w:cs="仿宋_GB2312"/>
          <w:color w:val="auto"/>
          <w:sz w:val="24"/>
        </w:rPr>
        <w:t>⑧</w:t>
      </w:r>
      <w:r>
        <w:rPr>
          <w:rFonts w:ascii="仿宋_GB2312" w:hAnsi="仿宋" w:eastAsia="仿宋_GB2312" w:cs="仿宋_GB2312"/>
          <w:color w:val="auto"/>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rPr>
        <w:t>；</w:t>
      </w:r>
      <w:r>
        <w:rPr>
          <w:rFonts w:hint="eastAsia" w:ascii="仿宋_GB2312" w:hAnsi="仿宋" w:eastAsia="仿宋_GB2312"/>
          <w:color w:val="auto"/>
          <w:sz w:val="24"/>
        </w:rPr>
        <w:t>⑨</w:t>
      </w:r>
      <w:r>
        <w:rPr>
          <w:rFonts w:hint="eastAsia" w:ascii="仿宋_GB2312" w:hAnsi="仿宋" w:eastAsia="仿宋_GB2312" w:cs="仿宋_GB2312"/>
          <w:color w:val="auto"/>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rPr>
        <w:t>具体操作指南：详见政</w:t>
      </w:r>
      <w:r>
        <w:rPr>
          <w:rFonts w:hint="eastAsia" w:ascii="仿宋_GB2312" w:hAnsi="仿宋" w:eastAsia="仿宋_GB2312" w:cs="仿宋_GB2312"/>
          <w:color w:val="auto"/>
          <w:sz w:val="24"/>
        </w:rPr>
        <w:t>采云平台“服务中心</w:t>
      </w:r>
      <w:r>
        <w:rPr>
          <w:rFonts w:ascii="仿宋_GB2312" w:hAnsi="仿宋" w:eastAsia="仿宋_GB2312" w:cs="仿宋_GB2312"/>
          <w:color w:val="auto"/>
          <w:sz w:val="24"/>
        </w:rPr>
        <w:t>-帮助文档-项目采购-操作流程-电子招投标-政府采购项目电子交易管理操作指南-供应商”。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杭州市临平区人民政府运河街道办事处</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w:t>
      </w:r>
      <w:r>
        <w:rPr>
          <w:rFonts w:hint="eastAsia" w:ascii="仿宋" w:hAnsi="仿宋" w:eastAsia="仿宋" w:cs="仿宋"/>
          <w:color w:val="auto"/>
          <w:sz w:val="24"/>
          <w:highlight w:val="none"/>
          <w:lang w:val="en-US" w:eastAsia="zh-CN"/>
        </w:rPr>
        <w:t>运河街道兴旺大道1号</w:t>
      </w:r>
      <w:r>
        <w:rPr>
          <w:rFonts w:hint="eastAsia" w:ascii="仿宋" w:hAnsi="仿宋" w:eastAsia="仿宋" w:cs="仿宋"/>
          <w:color w:val="auto"/>
          <w:sz w:val="24"/>
          <w:highlight w:val="none"/>
          <w:lang w:eastAsia="zh-CN"/>
        </w:rPr>
        <w:t> </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项目联系人（询问）：陈航</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项目联系方式（询问）：0571-86212286</w:t>
      </w:r>
      <w:r>
        <w:rPr>
          <w:rFonts w:hint="eastAsia" w:ascii="仿宋" w:hAnsi="仿宋" w:eastAsia="仿宋" w:cs="仿宋"/>
          <w:color w:val="auto"/>
          <w:sz w:val="24"/>
          <w:highlight w:val="none"/>
          <w:lang w:val="en-US" w:eastAsia="zh-CN"/>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质疑联质疑联系人：范跃平</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w:t>
      </w:r>
    </w:p>
    <w:p>
      <w:pPr>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系方式：0571-86187391</w:t>
      </w:r>
      <w:r>
        <w:rPr>
          <w:rFonts w:hint="eastAsia" w:ascii="仿宋" w:hAnsi="仿宋" w:eastAsia="仿宋" w:cs="仿宋"/>
          <w:color w:val="auto"/>
          <w:sz w:val="24"/>
          <w:highlight w:val="none"/>
          <w:lang w:val="en-US" w:eastAsia="zh-CN"/>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val="en-US" w:eastAsia="zh-CN"/>
        </w:rPr>
        <w:t>杭州正鸿工程咨询有限公司</w:t>
      </w:r>
    </w:p>
    <w:p>
      <w:pPr>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地    址：杭州市临平区星桥街道远展街1号联融大厦505室</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传    真：/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项目联系人（询问）：贺胜杰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项目联系方式（询问）：13738009078</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质疑联系人：俞方华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质疑联系方式：18757186930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 杭州市</w:t>
      </w:r>
      <w:r>
        <w:rPr>
          <w:rFonts w:hint="eastAsia" w:ascii="仿宋" w:hAnsi="仿宋" w:eastAsia="仿宋" w:cs="仿宋"/>
          <w:b w:val="0"/>
          <w:bCs/>
          <w:color w:val="auto"/>
          <w:kern w:val="0"/>
          <w:sz w:val="24"/>
          <w:highlight w:val="none"/>
          <w:lang w:val="en-US" w:eastAsia="zh-CN"/>
        </w:rPr>
        <w:t>临平区政府采购办公室</w:t>
      </w:r>
      <w:r>
        <w:rPr>
          <w:rFonts w:hint="eastAsia" w:ascii="仿宋" w:hAnsi="仿宋" w:eastAsia="仿宋" w:cs="仿宋"/>
          <w:color w:val="auto"/>
          <w:sz w:val="24"/>
          <w:highlight w:val="none"/>
        </w:rPr>
        <w:t>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w:t>
      </w:r>
      <w:r>
        <w:rPr>
          <w:rFonts w:hint="eastAsia" w:ascii="仿宋" w:hAnsi="仿宋" w:eastAsia="仿宋" w:cs="仿宋"/>
          <w:color w:val="auto"/>
          <w:sz w:val="24"/>
          <w:highlight w:val="none"/>
          <w:lang w:val="en-US" w:eastAsia="zh-CN"/>
        </w:rPr>
        <w:t>临平</w:t>
      </w:r>
      <w:r>
        <w:rPr>
          <w:rFonts w:hint="eastAsia" w:ascii="仿宋" w:hAnsi="仿宋" w:eastAsia="仿宋" w:cs="仿宋"/>
          <w:color w:val="auto"/>
          <w:sz w:val="24"/>
          <w:highlight w:val="none"/>
          <w:lang w:eastAsia="zh-CN"/>
        </w:rPr>
        <w:t>区</w:t>
      </w:r>
      <w:r>
        <w:rPr>
          <w:rFonts w:hint="eastAsia" w:ascii="仿宋" w:hAnsi="仿宋" w:eastAsia="仿宋" w:cs="仿宋"/>
          <w:color w:val="auto"/>
          <w:sz w:val="24"/>
          <w:highlight w:val="none"/>
        </w:rPr>
        <w:t xml:space="preserve">临平东湖中路236号余杭财税大楼 </w:t>
      </w:r>
    </w:p>
    <w:p>
      <w:pPr>
        <w:spacing w:line="36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传    真： </w:t>
      </w:r>
      <w:r>
        <w:rPr>
          <w:rFonts w:hint="eastAsia" w:ascii="仿宋" w:hAnsi="仿宋" w:eastAsia="仿宋" w:cs="仿宋"/>
          <w:color w:val="auto"/>
          <w:sz w:val="24"/>
          <w:highlight w:val="none"/>
          <w:lang w:val="en-US" w:eastAsia="zh-CN"/>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 </w:t>
      </w:r>
      <w:r>
        <w:rPr>
          <w:rFonts w:hint="eastAsia" w:ascii="仿宋" w:hAnsi="仿宋" w:eastAsia="仿宋" w:cs="仿宋"/>
          <w:color w:val="auto"/>
          <w:sz w:val="24"/>
          <w:highlight w:val="none"/>
          <w:lang w:val="en-US" w:eastAsia="zh-CN"/>
        </w:rPr>
        <w:t>俞征</w:t>
      </w:r>
      <w:r>
        <w:rPr>
          <w:rFonts w:hint="eastAsia" w:ascii="仿宋" w:hAnsi="仿宋" w:eastAsia="仿宋" w:cs="仿宋"/>
          <w:color w:val="auto"/>
          <w:sz w:val="24"/>
          <w:highlight w:val="none"/>
        </w:rPr>
        <w:t xml:space="preserve">   </w:t>
      </w:r>
    </w:p>
    <w:p>
      <w:pPr>
        <w:widowControl w:val="0"/>
        <w:wordWrap/>
        <w:adjustRightInd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监督投诉电话：0571-89185312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6"/>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4"/>
        <w:tblpPr w:leftFromText="180" w:rightFromText="180" w:vertAnchor="text" w:tblpX="108" w:tblpY="1"/>
        <w:tblOverlap w:val="never"/>
        <w:tblW w:w="91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9"/>
        <w:gridCol w:w="1962"/>
        <w:gridCol w:w="64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69"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4697" w:hRule="atLeast"/>
        </w:trPr>
        <w:tc>
          <w:tcPr>
            <w:tcW w:w="669"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widowControl w:val="0"/>
              <w:wordWrap/>
              <w:adjustRightInd w:val="0"/>
              <w:snapToGrid w:val="0"/>
              <w:spacing w:line="400" w:lineRule="exact"/>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widowControl w:val="0"/>
              <w:wordWrap/>
              <w:adjustRightInd w:val="0"/>
              <w:snapToGrid w:val="0"/>
              <w:spacing w:line="400" w:lineRule="exact"/>
              <w:ind w:firstLine="241" w:firstLineChars="100"/>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widowControl w:val="0"/>
              <w:wordWrap/>
              <w:adjustRightInd w:val="0"/>
              <w:snapToGrid w:val="0"/>
              <w:spacing w:line="400" w:lineRule="exact"/>
              <w:ind w:firstLine="241" w:firstLineChars="1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widowControl w:val="0"/>
              <w:wordWrap/>
              <w:adjustRightInd w:val="0"/>
              <w:spacing w:line="400" w:lineRule="exact"/>
              <w:ind w:firstLine="241" w:firstLineChars="100"/>
              <w:textAlignment w:val="auto"/>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tabs>
                <w:tab w:val="left" w:pos="851"/>
                <w:tab w:val="left" w:pos="993"/>
              </w:tabs>
              <w:spacing w:line="360" w:lineRule="auto"/>
              <w:jc w:val="left"/>
              <w:rPr>
                <w:rFonts w:ascii="华文仿宋" w:hAnsi="华文仿宋" w:eastAsia="华文仿宋" w:cs="宋体"/>
                <w:color w:val="auto"/>
                <w:sz w:val="24"/>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r>
              <w:rPr>
                <w:rFonts w:hint="eastAsia" w:ascii="华文仿宋" w:hAnsi="华文仿宋" w:eastAsia="华文仿宋" w:cs="宋体"/>
                <w:color w:val="auto"/>
                <w:sz w:val="24"/>
              </w:rPr>
              <w:t>1、投标报价上限：报价不得高于项目总预算且不得高于各标项预算。</w:t>
            </w:r>
          </w:p>
          <w:p>
            <w:pPr>
              <w:tabs>
                <w:tab w:val="left" w:pos="851"/>
                <w:tab w:val="left" w:pos="993"/>
              </w:tabs>
              <w:spacing w:line="360" w:lineRule="auto"/>
              <w:jc w:val="left"/>
              <w:rPr>
                <w:color w:val="auto"/>
              </w:rPr>
            </w:pPr>
            <w:r>
              <w:rPr>
                <w:rFonts w:hint="eastAsia" w:ascii="华文仿宋" w:hAnsi="华文仿宋" w:eastAsia="华文仿宋" w:cs="宋体"/>
                <w:b/>
                <w:color w:val="auto"/>
                <w:sz w:val="24"/>
              </w:rPr>
              <w:t>▲</w:t>
            </w:r>
            <w:r>
              <w:rPr>
                <w:rFonts w:hint="eastAsia" w:ascii="华文仿宋" w:hAnsi="华文仿宋" w:eastAsia="华文仿宋" w:cs="宋体"/>
                <w:color w:val="auto"/>
                <w:sz w:val="24"/>
              </w:rPr>
              <w:t>2、</w:t>
            </w:r>
            <w:r>
              <w:rPr>
                <w:rFonts w:hint="eastAsia" w:ascii="华文仿宋" w:hAnsi="华文仿宋" w:eastAsia="华文仿宋" w:cs="仿宋_GB2312"/>
                <w:b/>
                <w:color w:val="auto"/>
                <w:kern w:val="0"/>
                <w:sz w:val="24"/>
              </w:rPr>
              <w:t>最低人员工资：</w:t>
            </w:r>
            <w:r>
              <w:rPr>
                <w:rFonts w:hint="eastAsia" w:ascii="华文仿宋" w:hAnsi="华文仿宋" w:eastAsia="华文仿宋" w:cs="仿宋_GB2312"/>
                <w:color w:val="auto"/>
                <w:kern w:val="0"/>
                <w:sz w:val="24"/>
              </w:rPr>
              <w:t>根据杭政办〔2008〕14号、浙政办发〔2009〕190号、</w:t>
            </w:r>
            <w:r>
              <w:rPr>
                <w:rFonts w:hint="eastAsia" w:ascii="华文仿宋" w:hAnsi="华文仿宋" w:eastAsia="华文仿宋" w:cs="仿宋_GB2312"/>
                <w:color w:val="auto"/>
                <w:kern w:val="0"/>
                <w:sz w:val="24"/>
                <w:lang w:val="zh-CN"/>
              </w:rPr>
              <w:t>《浙江省人民政府关于调整全省最低工资标准的通知》（浙政发[2021]22号）、</w:t>
            </w:r>
            <w:r>
              <w:rPr>
                <w:rFonts w:hint="eastAsia" w:ascii="华文仿宋" w:hAnsi="华文仿宋" w:eastAsia="华文仿宋" w:cs="仿宋_GB2312"/>
                <w:color w:val="auto"/>
                <w:kern w:val="0"/>
                <w:sz w:val="24"/>
              </w:rPr>
              <w:t>《杭州市人民政府关于调整市区最低工资标准的通知》（杭政函[2021]69号），项目保洁人员工资不得低于杭州市最低工资标准的110%和定额内人员相关工资要求，日常加班工资按劳动法相关要求另行计算。必须为本项目人员缴纳五险、住房公积金及杭政办〔2008〕14号和浙政办发〔2009〕190号文件规定的其它经费，须在杭州本地缴纳“五险一金”。</w:t>
            </w:r>
            <w:r>
              <w:rPr>
                <w:rFonts w:hint="eastAsia" w:ascii="华文仿宋" w:hAnsi="华文仿宋" w:eastAsia="华文仿宋" w:cs="仿宋_GB2312"/>
                <w:b/>
                <w:color w:val="auto"/>
                <w:kern w:val="0"/>
                <w:sz w:val="24"/>
              </w:rPr>
              <w:t>投标单位根据道路保洁作业定额，结合作业难易程度，确定投标合理报价。</w:t>
            </w:r>
          </w:p>
          <w:p>
            <w:pPr>
              <w:tabs>
                <w:tab w:val="left" w:pos="851"/>
                <w:tab w:val="left" w:pos="993"/>
              </w:tabs>
              <w:spacing w:line="360" w:lineRule="auto"/>
              <w:jc w:val="left"/>
              <w:rPr>
                <w:rFonts w:ascii="华文仿宋" w:hAnsi="华文仿宋" w:eastAsia="华文仿宋" w:cs="宋体"/>
                <w:color w:val="auto"/>
                <w:sz w:val="24"/>
              </w:rPr>
            </w:pPr>
            <w:r>
              <w:rPr>
                <w:rFonts w:hint="eastAsia" w:ascii="华文仿宋" w:hAnsi="华文仿宋" w:eastAsia="华文仿宋" w:cs="宋体"/>
                <w:color w:val="auto"/>
                <w:sz w:val="24"/>
              </w:rPr>
              <w:t>3、设施设备费报价：拟投入本项目中的设施设备的备品备件、车辆设备保险、日常维修保养，燃油、应急物资、日常服务易耗品，如扫把（含机扫车扫把）等，以及服务过程中所产生的水费、电费、开户安装等相关费用，结合企业成本列报。</w:t>
            </w:r>
          </w:p>
          <w:p>
            <w:pPr>
              <w:widowControl w:val="0"/>
              <w:wordWrap/>
              <w:adjustRightInd w:val="0"/>
              <w:spacing w:line="400" w:lineRule="exact"/>
              <w:ind w:firstLine="210" w:firstLineChars="100"/>
              <w:textAlignment w:val="auto"/>
              <w:rPr>
                <w:rFonts w:hint="eastAsia" w:ascii="仿宋" w:hAnsi="仿宋" w:eastAsia="仿宋" w:cs="仿宋"/>
                <w:color w:val="auto"/>
                <w:sz w:val="24"/>
                <w:highlight w:val="none"/>
              </w:rPr>
            </w:pPr>
            <w:r>
              <w:rPr>
                <w:rFonts w:hint="eastAsia" w:ascii="华文仿宋" w:hAnsi="华文仿宋" w:eastAsia="华文仿宋" w:cs="宋体"/>
                <w:color w:val="auto"/>
                <w:szCs w:val="24"/>
              </w:rPr>
              <w:t>4、如评标委员会认为供应商的上述报价明显低于其他通过符合性审查供应商的报价，有可能影响产品质量或者不能诚信履约的，应当要求其在合理的时间内提供书面说明，必要时提交相关证明材料。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057"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ind w:firstLine="482" w:firstLineChars="200"/>
              <w:textAlignment w:val="auto"/>
              <w:rPr>
                <w:rFonts w:hint="eastAsia" w:ascii="仿宋" w:hAnsi="仿宋" w:eastAsia="仿宋" w:cs="仿宋"/>
                <w:b/>
                <w:color w:val="auto"/>
                <w:sz w:val="24"/>
                <w:highlight w:val="none"/>
              </w:rPr>
            </w:pPr>
          </w:p>
        </w:tc>
        <w:tc>
          <w:tcPr>
            <w:tcW w:w="6491" w:type="dxa"/>
            <w:tcBorders>
              <w:top w:val="single" w:color="000000" w:sz="8" w:space="0"/>
              <w:left w:val="single" w:color="000000" w:sz="2" w:space="0"/>
              <w:bottom w:val="single" w:color="000000" w:sz="8" w:space="0"/>
              <w:right w:val="single" w:color="000000" w:sz="8" w:space="0"/>
            </w:tcBorders>
            <w:vAlign w:val="center"/>
          </w:tcPr>
          <w:tbl>
            <w:tblPr>
              <w:tblStyle w:val="64"/>
              <w:tblpPr w:leftFromText="180" w:rightFromText="180" w:vertAnchor="text" w:tblpXSpec="left" w:tblpY="1"/>
              <w:tblOverlap w:val="never"/>
              <w:tblW w:w="6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1748"/>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8" w:hRule="atLeast"/>
              </w:trPr>
              <w:tc>
                <w:tcPr>
                  <w:tcW w:w="1391"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基本工资</w:t>
                  </w:r>
                </w:p>
              </w:tc>
              <w:tc>
                <w:tcPr>
                  <w:tcW w:w="1748"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2280元/月，即27360元/年</w:t>
                  </w:r>
                </w:p>
              </w:tc>
              <w:tc>
                <w:tcPr>
                  <w:tcW w:w="3286"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杭政函[2021]69号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391"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上浮10%</w:t>
                  </w:r>
                </w:p>
              </w:tc>
              <w:tc>
                <w:tcPr>
                  <w:tcW w:w="1748"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228元/月，即2736元/年</w:t>
                  </w:r>
                </w:p>
              </w:tc>
              <w:tc>
                <w:tcPr>
                  <w:tcW w:w="3286"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391"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特殊岗位津贴</w:t>
                  </w:r>
                </w:p>
              </w:tc>
              <w:tc>
                <w:tcPr>
                  <w:tcW w:w="1748"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300元/月，即3600元/年</w:t>
                  </w:r>
                </w:p>
              </w:tc>
              <w:tc>
                <w:tcPr>
                  <w:tcW w:w="3286"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浙政办发〔2009〕190号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391"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夏季高温津贴</w:t>
                  </w:r>
                </w:p>
              </w:tc>
              <w:tc>
                <w:tcPr>
                  <w:tcW w:w="1748"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1200元/年</w:t>
                  </w:r>
                </w:p>
              </w:tc>
              <w:tc>
                <w:tcPr>
                  <w:tcW w:w="3286"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浙人社发〔2018〕65号300元/月，按4个月计算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391"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住房公积金</w:t>
                  </w:r>
                </w:p>
              </w:tc>
              <w:tc>
                <w:tcPr>
                  <w:tcW w:w="1748"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125.4元/月，即1504.8元/年</w:t>
                  </w:r>
                </w:p>
              </w:tc>
              <w:tc>
                <w:tcPr>
                  <w:tcW w:w="3286"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1391"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ascii="华文仿宋" w:hAnsi="华文仿宋" w:eastAsia="华文仿宋" w:cs="仿宋_GB2312"/>
                      <w:color w:val="auto"/>
                      <w:kern w:val="0"/>
                      <w:sz w:val="24"/>
                    </w:rPr>
                    <w:t>企业职工基本养老保险</w:t>
                  </w:r>
                </w:p>
                <w:p>
                  <w:pPr>
                    <w:tabs>
                      <w:tab w:val="left" w:pos="851"/>
                      <w:tab w:val="left" w:pos="993"/>
                    </w:tabs>
                    <w:spacing w:line="360" w:lineRule="auto"/>
                    <w:jc w:val="left"/>
                    <w:rPr>
                      <w:rFonts w:ascii="华文仿宋" w:hAnsi="华文仿宋" w:eastAsia="华文仿宋" w:cs="仿宋_GB2312"/>
                      <w:b/>
                      <w:color w:val="auto"/>
                      <w:kern w:val="0"/>
                      <w:sz w:val="24"/>
                    </w:rPr>
                  </w:pPr>
                  <w:r>
                    <w:rPr>
                      <w:rFonts w:ascii="华文仿宋" w:hAnsi="华文仿宋" w:eastAsia="华文仿宋" w:cs="仿宋_GB2312"/>
                      <w:color w:val="auto"/>
                      <w:kern w:val="0"/>
                      <w:sz w:val="24"/>
                    </w:rPr>
                    <w:t>（</w:t>
                  </w:r>
                  <w:r>
                    <w:rPr>
                      <w:rFonts w:hint="eastAsia" w:ascii="华文仿宋" w:hAnsi="华文仿宋" w:eastAsia="华文仿宋" w:cs="仿宋_GB2312"/>
                      <w:color w:val="auto"/>
                      <w:kern w:val="0"/>
                      <w:sz w:val="24"/>
                    </w:rPr>
                    <w:t>单位</w:t>
                  </w:r>
                  <w:r>
                    <w:rPr>
                      <w:rFonts w:ascii="华文仿宋" w:hAnsi="华文仿宋" w:eastAsia="华文仿宋" w:cs="仿宋_GB2312"/>
                      <w:color w:val="auto"/>
                      <w:kern w:val="0"/>
                      <w:sz w:val="24"/>
                    </w:rPr>
                    <w:t>缴纳比例按</w:t>
                  </w:r>
                  <w:r>
                    <w:rPr>
                      <w:rFonts w:hint="eastAsia" w:ascii="华文仿宋" w:hAnsi="华文仿宋" w:eastAsia="华文仿宋" w:cs="仿宋_GB2312"/>
                      <w:color w:val="auto"/>
                      <w:kern w:val="0"/>
                      <w:sz w:val="24"/>
                    </w:rPr>
                    <w:t>14%</w:t>
                  </w:r>
                  <w:r>
                    <w:rPr>
                      <w:rFonts w:ascii="华文仿宋" w:hAnsi="华文仿宋" w:eastAsia="华文仿宋" w:cs="仿宋_GB2312"/>
                      <w:color w:val="auto"/>
                      <w:kern w:val="0"/>
                      <w:sz w:val="24"/>
                    </w:rPr>
                    <w:t>）</w:t>
                  </w:r>
                </w:p>
              </w:tc>
              <w:tc>
                <w:tcPr>
                  <w:tcW w:w="1748" w:type="dxa"/>
                  <w:vAlign w:val="top"/>
                </w:tcPr>
                <w:p>
                  <w:pPr>
                    <w:tabs>
                      <w:tab w:val="left" w:pos="851"/>
                      <w:tab w:val="left" w:pos="993"/>
                    </w:tabs>
                    <w:spacing w:line="360" w:lineRule="auto"/>
                    <w:jc w:val="left"/>
                    <w:rPr>
                      <w:rFonts w:ascii="华文仿宋" w:hAnsi="华文仿宋" w:eastAsia="华文仿宋" w:cs="仿宋_GB2312"/>
                      <w:b/>
                      <w:color w:val="auto"/>
                      <w:kern w:val="0"/>
                      <w:sz w:val="24"/>
                    </w:rPr>
                  </w:pPr>
                  <w:r>
                    <w:rPr>
                      <w:rFonts w:hint="eastAsia" w:ascii="华文仿宋" w:hAnsi="华文仿宋" w:eastAsia="华文仿宋" w:cs="仿宋_GB2312"/>
                      <w:color w:val="auto"/>
                      <w:kern w:val="0"/>
                      <w:sz w:val="24"/>
                    </w:rPr>
                    <w:t>553.98元/月，即6647.76元/年</w:t>
                  </w:r>
                </w:p>
              </w:tc>
              <w:tc>
                <w:tcPr>
                  <w:tcW w:w="3286" w:type="dxa"/>
                  <w:vMerge w:val="restart"/>
                  <w:vAlign w:val="top"/>
                </w:tcPr>
                <w:p>
                  <w:pPr>
                    <w:tabs>
                      <w:tab w:val="left" w:pos="851"/>
                      <w:tab w:val="left" w:pos="993"/>
                    </w:tabs>
                    <w:spacing w:line="360" w:lineRule="auto"/>
                    <w:jc w:val="left"/>
                    <w:rPr>
                      <w:rFonts w:ascii="华文仿宋" w:hAnsi="华文仿宋" w:eastAsia="华文仿宋" w:cs="仿宋_GB2312"/>
                      <w:b/>
                      <w:color w:val="auto"/>
                      <w:kern w:val="0"/>
                      <w:sz w:val="24"/>
                    </w:rPr>
                  </w:pPr>
                  <w:r>
                    <w:rPr>
                      <w:rFonts w:ascii="华文仿宋" w:hAnsi="华文仿宋" w:eastAsia="华文仿宋" w:cs="仿宋_GB2312"/>
                      <w:color w:val="auto"/>
                      <w:kern w:val="0"/>
                      <w:sz w:val="24"/>
                    </w:rPr>
                    <w:t>关于启动</w:t>
                  </w:r>
                  <w:r>
                    <w:rPr>
                      <w:rFonts w:hint="eastAsia" w:ascii="华文仿宋" w:hAnsi="华文仿宋" w:eastAsia="华文仿宋" w:cs="仿宋_GB2312"/>
                      <w:color w:val="auto"/>
                      <w:kern w:val="0"/>
                      <w:sz w:val="24"/>
                    </w:rPr>
                    <w:t>2021年度社会保险缴费基数的通知、浙人社发[2021]54号，基数保底值按3957元计算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391"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ascii="华文仿宋" w:hAnsi="华文仿宋" w:eastAsia="华文仿宋" w:cs="仿宋_GB2312"/>
                      <w:color w:val="auto"/>
                      <w:kern w:val="0"/>
                      <w:sz w:val="24"/>
                    </w:rPr>
                    <w:t>失业保险</w:t>
                  </w:r>
                </w:p>
                <w:p>
                  <w:pPr>
                    <w:tabs>
                      <w:tab w:val="left" w:pos="851"/>
                      <w:tab w:val="left" w:pos="993"/>
                    </w:tabs>
                    <w:spacing w:line="360" w:lineRule="auto"/>
                    <w:jc w:val="left"/>
                    <w:rPr>
                      <w:rFonts w:ascii="华文仿宋" w:hAnsi="华文仿宋" w:eastAsia="华文仿宋" w:cs="仿宋_GB2312"/>
                      <w:color w:val="auto"/>
                      <w:kern w:val="0"/>
                      <w:sz w:val="24"/>
                    </w:rPr>
                  </w:pPr>
                  <w:r>
                    <w:rPr>
                      <w:rFonts w:ascii="华文仿宋" w:hAnsi="华文仿宋" w:eastAsia="华文仿宋" w:cs="仿宋_GB2312"/>
                      <w:color w:val="auto"/>
                      <w:kern w:val="0"/>
                      <w:sz w:val="24"/>
                    </w:rPr>
                    <w:t>（按</w:t>
                  </w:r>
                  <w:r>
                    <w:rPr>
                      <w:rFonts w:hint="eastAsia" w:ascii="华文仿宋" w:hAnsi="华文仿宋" w:eastAsia="华文仿宋" w:cs="仿宋_GB2312"/>
                      <w:color w:val="auto"/>
                      <w:kern w:val="0"/>
                      <w:sz w:val="24"/>
                    </w:rPr>
                    <w:t>0.</w:t>
                  </w:r>
                  <w:r>
                    <w:rPr>
                      <w:rFonts w:hint="eastAsia" w:ascii="华文仿宋" w:hAnsi="华文仿宋" w:eastAsia="华文仿宋" w:cs="仿宋_GB2312"/>
                      <w:color w:val="auto"/>
                      <w:kern w:val="0"/>
                      <w:sz w:val="24"/>
                      <w:lang w:eastAsia="zh-CN"/>
                    </w:rPr>
                    <w:t>1%</w:t>
                  </w:r>
                  <w:r>
                    <w:rPr>
                      <w:rFonts w:hint="eastAsia" w:ascii="华文仿宋" w:hAnsi="华文仿宋" w:eastAsia="华文仿宋" w:cs="仿宋_GB2312"/>
                      <w:color w:val="auto"/>
                      <w:kern w:val="0"/>
                      <w:sz w:val="24"/>
                    </w:rPr>
                    <w:t>计取</w:t>
                  </w:r>
                  <w:r>
                    <w:rPr>
                      <w:rFonts w:ascii="华文仿宋" w:hAnsi="华文仿宋" w:eastAsia="华文仿宋" w:cs="仿宋_GB2312"/>
                      <w:color w:val="auto"/>
                      <w:kern w:val="0"/>
                      <w:sz w:val="24"/>
                    </w:rPr>
                    <w:t>）</w:t>
                  </w:r>
                </w:p>
              </w:tc>
              <w:tc>
                <w:tcPr>
                  <w:tcW w:w="1748"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19.79元/月，即237.48元/年</w:t>
                  </w:r>
                </w:p>
              </w:tc>
              <w:tc>
                <w:tcPr>
                  <w:tcW w:w="3286" w:type="dxa"/>
                  <w:vMerge w:val="continue"/>
                  <w:vAlign w:val="top"/>
                </w:tcPr>
                <w:p>
                  <w:pPr>
                    <w:tabs>
                      <w:tab w:val="left" w:pos="851"/>
                      <w:tab w:val="left" w:pos="993"/>
                    </w:tabs>
                    <w:spacing w:line="360" w:lineRule="auto"/>
                    <w:jc w:val="left"/>
                    <w:rPr>
                      <w:rFonts w:ascii="华文仿宋" w:hAnsi="华文仿宋" w:eastAsia="华文仿宋" w:cs="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391"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医疗保险</w:t>
                  </w:r>
                </w:p>
                <w:p>
                  <w:pPr>
                    <w:tabs>
                      <w:tab w:val="left" w:pos="851"/>
                      <w:tab w:val="left" w:pos="993"/>
                    </w:tabs>
                    <w:spacing w:line="360" w:lineRule="auto"/>
                    <w:jc w:val="left"/>
                    <w:rPr>
                      <w:rFonts w:ascii="华文仿宋" w:hAnsi="华文仿宋" w:eastAsia="华文仿宋" w:cs="仿宋_GB2312"/>
                      <w:color w:val="auto"/>
                      <w:kern w:val="0"/>
                      <w:sz w:val="24"/>
                    </w:rPr>
                  </w:pPr>
                  <w:r>
                    <w:rPr>
                      <w:rFonts w:ascii="华文仿宋" w:hAnsi="华文仿宋" w:eastAsia="华文仿宋" w:cs="仿宋_GB2312"/>
                      <w:color w:val="auto"/>
                      <w:kern w:val="0"/>
                      <w:sz w:val="24"/>
                    </w:rPr>
                    <w:t>（</w:t>
                  </w:r>
                  <w:r>
                    <w:rPr>
                      <w:rFonts w:hint="eastAsia" w:ascii="华文仿宋" w:hAnsi="华文仿宋" w:eastAsia="华文仿宋" w:cs="仿宋_GB2312"/>
                      <w:color w:val="auto"/>
                      <w:kern w:val="0"/>
                      <w:sz w:val="24"/>
                    </w:rPr>
                    <w:t>单位</w:t>
                  </w:r>
                  <w:r>
                    <w:rPr>
                      <w:rFonts w:ascii="华文仿宋" w:hAnsi="华文仿宋" w:eastAsia="华文仿宋" w:cs="仿宋_GB2312"/>
                      <w:color w:val="auto"/>
                      <w:kern w:val="0"/>
                      <w:sz w:val="24"/>
                    </w:rPr>
                    <w:t>缴纳比例按</w:t>
                  </w:r>
                  <w:r>
                    <w:rPr>
                      <w:rFonts w:hint="eastAsia" w:ascii="华文仿宋" w:hAnsi="华文仿宋" w:eastAsia="华文仿宋" w:cs="仿宋_GB2312"/>
                      <w:color w:val="auto"/>
                      <w:kern w:val="0"/>
                      <w:sz w:val="24"/>
                    </w:rPr>
                    <w:t>9.9%</w:t>
                  </w:r>
                  <w:r>
                    <w:rPr>
                      <w:rFonts w:ascii="华文仿宋" w:hAnsi="华文仿宋" w:eastAsia="华文仿宋" w:cs="仿宋_GB2312"/>
                      <w:color w:val="auto"/>
                      <w:kern w:val="0"/>
                      <w:sz w:val="24"/>
                    </w:rPr>
                    <w:t>）</w:t>
                  </w:r>
                </w:p>
              </w:tc>
              <w:tc>
                <w:tcPr>
                  <w:tcW w:w="1748" w:type="dxa"/>
                  <w:vAlign w:val="top"/>
                </w:tcPr>
                <w:p>
                  <w:pPr>
                    <w:tabs>
                      <w:tab w:val="left" w:pos="851"/>
                      <w:tab w:val="left" w:pos="993"/>
                    </w:tabs>
                    <w:spacing w:line="360" w:lineRule="auto"/>
                    <w:jc w:val="left"/>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391.74元/月，即4700.88元/年</w:t>
                  </w:r>
                </w:p>
              </w:tc>
              <w:tc>
                <w:tcPr>
                  <w:tcW w:w="3286" w:type="dxa"/>
                  <w:vMerge w:val="continue"/>
                  <w:vAlign w:val="top"/>
                </w:tcPr>
                <w:p>
                  <w:pPr>
                    <w:tabs>
                      <w:tab w:val="left" w:pos="851"/>
                      <w:tab w:val="left" w:pos="993"/>
                    </w:tabs>
                    <w:spacing w:line="360" w:lineRule="auto"/>
                    <w:jc w:val="left"/>
                    <w:rPr>
                      <w:rFonts w:ascii="华文仿宋" w:hAnsi="华文仿宋" w:eastAsia="华文仿宋" w:cs="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1391" w:type="dxa"/>
                  <w:vAlign w:val="top"/>
                </w:tcPr>
                <w:p>
                  <w:pPr>
                    <w:tabs>
                      <w:tab w:val="left" w:pos="851"/>
                      <w:tab w:val="left" w:pos="993"/>
                    </w:tabs>
                    <w:spacing w:line="360" w:lineRule="auto"/>
                    <w:jc w:val="left"/>
                    <w:rPr>
                      <w:rFonts w:ascii="华文仿宋" w:hAnsi="华文仿宋" w:eastAsia="华文仿宋" w:cs="仿宋_GB2312"/>
                      <w:b/>
                      <w:color w:val="auto"/>
                      <w:kern w:val="0"/>
                      <w:sz w:val="24"/>
                    </w:rPr>
                  </w:pPr>
                  <w:r>
                    <w:rPr>
                      <w:rFonts w:hint="eastAsia" w:ascii="华文仿宋" w:hAnsi="华文仿宋" w:eastAsia="华文仿宋" w:cs="宋体"/>
                      <w:b/>
                      <w:color w:val="auto"/>
                      <w:sz w:val="24"/>
                    </w:rPr>
                    <w:t>▲</w:t>
                  </w:r>
                  <w:r>
                    <w:rPr>
                      <w:rFonts w:hint="eastAsia" w:ascii="华文仿宋" w:hAnsi="华文仿宋" w:eastAsia="华文仿宋" w:cs="仿宋_GB2312"/>
                      <w:b/>
                      <w:color w:val="auto"/>
                      <w:kern w:val="0"/>
                      <w:sz w:val="24"/>
                    </w:rPr>
                    <w:t>本次招标最低人员工资</w:t>
                  </w:r>
                </w:p>
              </w:tc>
              <w:tc>
                <w:tcPr>
                  <w:tcW w:w="1748" w:type="dxa"/>
                  <w:vAlign w:val="top"/>
                </w:tcPr>
                <w:p>
                  <w:pPr>
                    <w:tabs>
                      <w:tab w:val="left" w:pos="851"/>
                      <w:tab w:val="left" w:pos="993"/>
                    </w:tabs>
                    <w:spacing w:line="360" w:lineRule="auto"/>
                    <w:jc w:val="left"/>
                    <w:rPr>
                      <w:rFonts w:ascii="华文仿宋" w:hAnsi="华文仿宋" w:eastAsia="华文仿宋" w:cs="仿宋_GB2312"/>
                      <w:b/>
                      <w:color w:val="auto"/>
                      <w:kern w:val="0"/>
                      <w:sz w:val="24"/>
                    </w:rPr>
                  </w:pPr>
                  <w:r>
                    <w:rPr>
                      <w:rFonts w:hint="eastAsia" w:ascii="华文仿宋" w:hAnsi="华文仿宋" w:eastAsia="华文仿宋" w:cs="仿宋_GB2312"/>
                      <w:b/>
                      <w:color w:val="auto"/>
                      <w:kern w:val="0"/>
                      <w:sz w:val="24"/>
                    </w:rPr>
                    <w:t>47986.92元/年•人</w:t>
                  </w:r>
                </w:p>
              </w:tc>
              <w:tc>
                <w:tcPr>
                  <w:tcW w:w="3286" w:type="dxa"/>
                  <w:vAlign w:val="top"/>
                </w:tcPr>
                <w:p>
                  <w:pPr>
                    <w:tabs>
                      <w:tab w:val="left" w:pos="851"/>
                      <w:tab w:val="left" w:pos="993"/>
                    </w:tabs>
                    <w:spacing w:line="360" w:lineRule="auto"/>
                    <w:jc w:val="left"/>
                    <w:rPr>
                      <w:rFonts w:ascii="华文仿宋" w:hAnsi="华文仿宋" w:eastAsia="华文仿宋" w:cs="仿宋_GB2312"/>
                      <w:b/>
                      <w:color w:val="auto"/>
                      <w:kern w:val="0"/>
                      <w:sz w:val="24"/>
                    </w:rPr>
                  </w:pPr>
                </w:p>
              </w:tc>
            </w:tr>
          </w:tbl>
          <w:p>
            <w:pPr>
              <w:widowControl w:val="0"/>
              <w:wordWrap/>
              <w:adjustRightInd w:val="0"/>
              <w:spacing w:line="400" w:lineRule="exact"/>
              <w:textAlignment w:val="auto"/>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057"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1710" w:hRule="atLeast"/>
        </w:trPr>
        <w:tc>
          <w:tcPr>
            <w:tcW w:w="669" w:type="dxa"/>
            <w:vMerge w:val="restart"/>
            <w:tcBorders>
              <w:top w:val="single" w:color="auto" w:sz="4" w:space="0"/>
              <w:left w:val="single" w:color="auto" w:sz="4" w:space="0"/>
              <w:right w:val="single" w:color="auto" w:sz="4"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962" w:type="dxa"/>
            <w:vMerge w:val="restart"/>
            <w:tcBorders>
              <w:top w:val="single" w:color="000000" w:sz="8" w:space="0"/>
              <w:left w:val="single" w:color="auto" w:sz="4"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491" w:type="dxa"/>
            <w:tcBorders>
              <w:top w:val="single" w:color="000000" w:sz="8" w:space="0"/>
              <w:left w:val="single" w:color="000000" w:sz="2" w:space="0"/>
              <w:bottom w:val="single" w:color="auto" w:sz="4"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widowControl w:val="0"/>
              <w:wordWrap/>
              <w:adjustRightInd w:val="0"/>
              <w:spacing w:line="400" w:lineRule="exact"/>
              <w:textAlignment w:val="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0" w:hRule="atLeast"/>
        </w:trPr>
        <w:tc>
          <w:tcPr>
            <w:tcW w:w="669" w:type="dxa"/>
            <w:vMerge w:val="continue"/>
            <w:tcBorders>
              <w:left w:val="single" w:color="auto" w:sz="4" w:space="0"/>
              <w:bottom w:val="single" w:color="auto" w:sz="4" w:space="0"/>
              <w:right w:val="single" w:color="auto" w:sz="4"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tc>
        <w:tc>
          <w:tcPr>
            <w:tcW w:w="1962" w:type="dxa"/>
            <w:vMerge w:val="continue"/>
            <w:tcBorders>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p>
        </w:tc>
        <w:tc>
          <w:tcPr>
            <w:tcW w:w="6491" w:type="dxa"/>
            <w:tcBorders>
              <w:top w:val="single" w:color="auto" w:sz="4"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845"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widowControl w:val="0"/>
              <w:wordWrap/>
              <w:adjustRightInd w:val="0"/>
              <w:spacing w:line="400" w:lineRule="exact"/>
              <w:textAlignment w:val="auto"/>
              <w:rPr>
                <w:rFonts w:hint="eastAsia" w:ascii="仿宋" w:hAnsi="仿宋" w:eastAsia="仿宋" w:cs="仿宋"/>
                <w:color w:val="auto"/>
                <w:sz w:val="24"/>
                <w:szCs w:val="20"/>
                <w:highlight w:val="none"/>
              </w:rPr>
            </w:pP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510"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MS Gothic" w:hAnsi="Wingdings" w:eastAsia="MS Gothic"/>
                <w:color w:val="auto"/>
                <w:kern w:val="0"/>
                <w:sz w:val="24"/>
                <w:szCs w:val="24"/>
                <w:highlight w:val="none"/>
              </w:rPr>
              <w:sym w:font="Wingdings" w:char="00FE"/>
            </w:r>
            <w:r>
              <w:rPr>
                <w:rFonts w:ascii="仿宋_GB2312" w:hAnsi="仿宋" w:eastAsia="仿宋_GB2312" w:cs="仿宋_GB2312"/>
                <w:color w:val="auto"/>
                <w:kern w:val="0"/>
                <w:sz w:val="24"/>
                <w:szCs w:val="24"/>
                <w:highlight w:val="none"/>
              </w:rPr>
              <w:t>A</w:t>
            </w:r>
            <w:r>
              <w:rPr>
                <w:rFonts w:hint="eastAsia" w:ascii="仿宋_GB2312" w:hAnsi="仿宋" w:eastAsia="仿宋_GB2312" w:cs="仿宋_GB2312"/>
                <w:color w:val="auto"/>
                <w:sz w:val="24"/>
                <w:szCs w:val="24"/>
                <w:highlight w:val="none"/>
              </w:rPr>
              <w:t>不要求提供。</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szCs w:val="24"/>
                <w:highlight w:val="none"/>
                <w:lang w:val="en-US" w:eastAsia="zh-CN" w:bidi="ar-SA"/>
              </w:rPr>
              <w:t>☐</w:t>
            </w:r>
            <w:r>
              <w:rPr>
                <w:rFonts w:hint="eastAsia" w:ascii="仿宋" w:hAnsi="仿宋" w:eastAsia="仿宋" w:cs="仿宋"/>
                <w:color w:val="auto"/>
                <w:kern w:val="0"/>
                <w:sz w:val="24"/>
                <w:highlight w:val="none"/>
              </w:rPr>
              <w:t>B要求提供，</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否；☐是，检测机构的要求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widowControl w:val="0"/>
              <w:wordWrap/>
              <w:adjustRightInd w:val="0"/>
              <w:spacing w:line="400" w:lineRule="exact"/>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☐B组织。</w:t>
            </w:r>
          </w:p>
          <w:p>
            <w:pPr>
              <w:widowControl w:val="0"/>
              <w:wordWrap/>
              <w:adjustRightInd w:val="0"/>
              <w:snapToGri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widowControl w:val="0"/>
              <w:wordWrap/>
              <w:adjustRightInd w:val="0"/>
              <w:snapToGri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widowControl w:val="0"/>
              <w:wordWrap/>
              <w:adjustRightInd w:val="0"/>
              <w:snapToGri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widowControl w:val="0"/>
              <w:wordWrap/>
              <w:adjustRightInd w:val="0"/>
              <w:snapToGri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方式二：交易中心现场讲解演示。现场讲解地点为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widowControl w:val="0"/>
              <w:wordWrap/>
              <w:adjustRightInd w:val="0"/>
              <w:snapToGrid w:val="0"/>
              <w:spacing w:line="400" w:lineRule="exact"/>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本项目不允许采购进口产品。</w:t>
            </w:r>
          </w:p>
          <w:p>
            <w:pPr>
              <w:widowControl w:val="0"/>
              <w:wordWrap/>
              <w:adjustRightInd w:val="0"/>
              <w:spacing w:line="400" w:lineRule="exact"/>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68"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szCs w:val="24"/>
                <w:highlight w:val="none"/>
                <w:lang w:val="en-US" w:eastAsia="zh-CN" w:bidi="ar-SA"/>
              </w:rPr>
              <w:t>☐</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Wingdings" w:hAnsi="Wingdings" w:eastAsia="仿宋" w:cs="仿宋"/>
                <w:color w:val="auto"/>
                <w:kern w:val="0"/>
                <w:sz w:val="24"/>
                <w:szCs w:val="24"/>
                <w:highlight w:val="none"/>
                <w:lang w:val="en-US" w:eastAsia="zh-CN" w:bidi="ar-SA"/>
              </w:rPr>
              <w:t>þ</w:t>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textAlignment w:val="auto"/>
              <w:rPr>
                <w:rFonts w:hint="eastAsia" w:ascii="仿宋" w:hAnsi="仿宋" w:eastAsia="仿宋" w:cs="仿宋"/>
                <w:color w:val="auto"/>
                <w:highlight w:val="none"/>
                <w:lang w:val="en-US" w:eastAsia="zh-CN"/>
              </w:rPr>
            </w:pPr>
            <w:r>
              <w:rPr>
                <w:rFonts w:hint="eastAsia" w:ascii="仿宋" w:hAnsi="仿宋" w:eastAsia="仿宋" w:cs="仿宋"/>
                <w:color w:val="auto"/>
                <w:kern w:val="0"/>
                <w:sz w:val="24"/>
                <w:highlight w:val="none"/>
              </w:rPr>
              <w:t>（1）标的：</w:t>
            </w:r>
            <w:r>
              <w:rPr>
                <w:rFonts w:hint="eastAsia" w:ascii="仿宋" w:hAnsi="仿宋" w:eastAsia="仿宋" w:cs="仿宋"/>
                <w:color w:val="auto"/>
                <w:kern w:val="0"/>
                <w:sz w:val="24"/>
                <w:highlight w:val="none"/>
                <w:u w:val="single"/>
                <w:lang w:val="en-US" w:eastAsia="zh-CN"/>
              </w:rPr>
              <w:t>保洁服务</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，属于</w:t>
            </w:r>
            <w:r>
              <w:rPr>
                <w:rFonts w:hint="eastAsia" w:ascii="仿宋" w:hAnsi="仿宋" w:eastAsia="仿宋" w:cs="仿宋"/>
                <w:b w:val="0"/>
                <w:bCs/>
                <w:color w:val="auto"/>
                <w:sz w:val="24"/>
                <w:szCs w:val="24"/>
                <w:highlight w:val="none"/>
                <w:u w:val="single"/>
              </w:rPr>
              <w:t>其他未列明行业</w:t>
            </w:r>
            <w:r>
              <w:rPr>
                <w:rFonts w:hint="eastAsia" w:ascii="仿宋" w:hAnsi="仿宋" w:eastAsia="仿宋" w:cs="仿宋"/>
                <w:b w:val="0"/>
                <w:bCs/>
                <w:color w:val="auto"/>
                <w:sz w:val="24"/>
                <w:szCs w:val="24"/>
                <w:highlight w:val="none"/>
                <w:u w:val="singl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44" w:hRule="atLeast"/>
        </w:trPr>
        <w:tc>
          <w:tcPr>
            <w:tcW w:w="669" w:type="dxa"/>
            <w:vMerge w:val="restart"/>
            <w:tcBorders>
              <w:top w:val="single" w:color="auto" w:sz="4" w:space="0"/>
              <w:left w:val="single" w:color="000000" w:sz="8"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962" w:type="dxa"/>
            <w:vMerge w:val="restart"/>
            <w:tcBorders>
              <w:top w:val="single" w:color="000000" w:sz="8" w:space="0"/>
              <w:left w:val="single" w:color="000000" w:sz="2"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44" w:hRule="atLeast"/>
        </w:trPr>
        <w:tc>
          <w:tcPr>
            <w:tcW w:w="669" w:type="dxa"/>
            <w:vMerge w:val="continue"/>
            <w:tcBorders>
              <w:left w:val="single" w:color="000000" w:sz="8" w:space="0"/>
              <w:right w:val="single" w:color="000000" w:sz="2" w:space="0"/>
            </w:tcBorders>
            <w:vAlign w:val="center"/>
          </w:tcPr>
          <w:p>
            <w:pPr>
              <w:widowControl w:val="0"/>
              <w:wordWrap/>
              <w:adjustRightInd w:val="0"/>
              <w:spacing w:line="400" w:lineRule="exact"/>
              <w:ind w:firstLine="420" w:firstLineChars="200"/>
              <w:jc w:val="center"/>
              <w:textAlignment w:val="auto"/>
              <w:rPr>
                <w:rFonts w:hint="eastAsia" w:ascii="仿宋" w:hAnsi="仿宋" w:eastAsia="仿宋" w:cs="仿宋"/>
                <w:color w:val="auto"/>
                <w:highlight w:val="none"/>
              </w:rPr>
            </w:pPr>
          </w:p>
        </w:tc>
        <w:tc>
          <w:tcPr>
            <w:tcW w:w="1962" w:type="dxa"/>
            <w:vMerge w:val="continue"/>
            <w:tcBorders>
              <w:left w:val="single" w:color="000000" w:sz="2" w:space="0"/>
              <w:right w:val="single" w:color="000000" w:sz="8" w:space="0"/>
            </w:tcBorders>
            <w:vAlign w:val="center"/>
          </w:tcPr>
          <w:p>
            <w:pPr>
              <w:widowControl w:val="0"/>
              <w:wordWrap/>
              <w:adjustRightInd w:val="0"/>
              <w:spacing w:line="400" w:lineRule="exact"/>
              <w:ind w:firstLine="420" w:firstLineChars="200"/>
              <w:textAlignment w:val="auto"/>
              <w:rPr>
                <w:rFonts w:hint="eastAsia" w:ascii="仿宋" w:hAnsi="仿宋" w:eastAsia="仿宋" w:cs="仿宋"/>
                <w:color w:val="auto"/>
                <w:highlight w:val="none"/>
              </w:rPr>
            </w:pP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ind w:firstLine="480" w:firstLineChars="200"/>
              <w:textAlignment w:val="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87"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491" w:type="dxa"/>
            <w:tcBorders>
              <w:top w:val="single" w:color="000000" w:sz="8" w:space="0"/>
              <w:left w:val="single" w:color="000000" w:sz="2" w:space="0"/>
              <w:bottom w:val="single" w:color="000000" w:sz="8" w:space="0"/>
              <w:right w:val="single" w:color="000000" w:sz="8" w:space="0"/>
            </w:tcBorders>
            <w:vAlign w:val="center"/>
          </w:tcPr>
          <w:p>
            <w:pPr>
              <w:pStyle w:val="36"/>
              <w:widowControl w:val="0"/>
              <w:wordWrap/>
              <w:adjustRightInd w:val="0"/>
              <w:spacing w:line="400" w:lineRule="exact"/>
              <w:textAlignment w:val="auto"/>
              <w:rPr>
                <w:rFonts w:hint="eastAsia"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lang w:val="en-US" w:eastAsia="zh-CN"/>
              </w:rPr>
              <w:t>杭州市临平区星桥街道远展街1号联融大厦505室</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28"/>
                <w:sz w:val="24"/>
                <w:szCs w:val="24"/>
                <w:highlight w:val="none"/>
              </w:rPr>
              <w:t>；备份投标文件签收人员</w:t>
            </w:r>
            <w:r>
              <w:rPr>
                <w:rFonts w:hint="eastAsia" w:ascii="仿宋" w:hAnsi="仿宋" w:eastAsia="仿宋" w:cs="仿宋"/>
                <w:color w:val="auto"/>
                <w:kern w:val="28"/>
                <w:sz w:val="24"/>
                <w:szCs w:val="24"/>
                <w:highlight w:val="none"/>
                <w:lang w:eastAsia="zh-CN"/>
              </w:rPr>
              <w:t>：</w:t>
            </w:r>
            <w:r>
              <w:rPr>
                <w:rFonts w:hint="eastAsia" w:ascii="仿宋" w:hAnsi="仿宋" w:eastAsia="仿宋" w:cs="仿宋"/>
                <w:color w:val="auto"/>
                <w:kern w:val="28"/>
                <w:sz w:val="24"/>
                <w:szCs w:val="24"/>
                <w:highlight w:val="none"/>
                <w:u w:val="single"/>
                <w:lang w:val="en-US" w:eastAsia="zh-CN"/>
              </w:rPr>
              <w:t>贺胜杰，</w:t>
            </w:r>
            <w:r>
              <w:rPr>
                <w:rFonts w:hint="eastAsia" w:ascii="仿宋" w:hAnsi="仿宋" w:eastAsia="仿宋" w:cs="仿宋"/>
                <w:color w:val="auto"/>
                <w:kern w:val="28"/>
                <w:sz w:val="24"/>
                <w:szCs w:val="24"/>
                <w:highlight w:val="none"/>
                <w:u w:val="single"/>
              </w:rPr>
              <w:t>联系电话：13738009078</w:t>
            </w:r>
            <w:r>
              <w:rPr>
                <w:rFonts w:hint="eastAsia" w:ascii="仿宋" w:hAnsi="仿宋" w:eastAsia="仿宋" w:cs="仿宋"/>
                <w:color w:val="auto"/>
                <w:sz w:val="24"/>
                <w:szCs w:val="24"/>
                <w:highlight w:val="none"/>
                <w:u w:val="single"/>
              </w:rPr>
              <w:t>。</w:t>
            </w: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vMerge w:val="restart"/>
            <w:tcBorders>
              <w:top w:val="single" w:color="auto" w:sz="4" w:space="0"/>
              <w:left w:val="single" w:color="000000" w:sz="8"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962" w:type="dxa"/>
            <w:vMerge w:val="restart"/>
            <w:tcBorders>
              <w:top w:val="single" w:color="000000" w:sz="8" w:space="0"/>
              <w:left w:val="single" w:color="000000" w:sz="2"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400" w:lineRule="exact"/>
              <w:textAlignment w:val="auto"/>
              <w:rPr>
                <w:rFonts w:hint="eastAsia" w:ascii="仿宋" w:hAnsi="仿宋" w:eastAsia="仿宋" w:cs="仿宋"/>
                <w:color w:val="auto"/>
                <w:sz w:val="24"/>
                <w:highlight w:val="none"/>
              </w:rPr>
            </w:pPr>
            <w:r>
              <w:rPr>
                <w:rFonts w:hint="eastAsia" w:ascii="仿宋" w:hAnsi="仿宋" w:eastAsia="仿宋" w:cs="仿宋"/>
                <w:b/>
                <w:bCs/>
                <w:color w:val="auto"/>
                <w:highlight w:val="none"/>
              </w:rPr>
              <w:t>招标服务费：</w:t>
            </w:r>
            <w:r>
              <w:rPr>
                <w:rFonts w:hint="eastAsia" w:ascii="仿宋" w:hAnsi="仿宋" w:eastAsia="仿宋" w:cs="仿宋"/>
                <w:color w:val="auto"/>
                <w:sz w:val="24"/>
                <w:highlight w:val="none"/>
              </w:rPr>
              <w:t>本次招标代理服务费由中标人支付，招标代理服务费按照国家计委印发的《招标代理服务收费管理暂行办法》计价格[2002]1980号、发改办价</w:t>
            </w:r>
            <w:bookmarkStart w:id="402" w:name="_GoBack"/>
            <w:bookmarkEnd w:id="402"/>
            <w:r>
              <w:rPr>
                <w:rFonts w:hint="eastAsia" w:ascii="仿宋" w:hAnsi="仿宋" w:eastAsia="仿宋" w:cs="仿宋"/>
                <w:color w:val="auto"/>
                <w:sz w:val="24"/>
                <w:highlight w:val="none"/>
              </w:rPr>
              <w:t>格[2003]857号规定收费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招标代理服务费由中标人在领取中标通知书前支付给招标代理机构，各投标人应在投标报价中予以考虑。</w:t>
            </w:r>
          </w:p>
          <w:p>
            <w:pPr>
              <w:widowControl w:val="0"/>
              <w:wordWrap/>
              <w:adjustRightInd w:val="0"/>
              <w:snapToGrid/>
              <w:spacing w:line="400" w:lineRule="exact"/>
              <w:textAlignment w:val="auto"/>
              <w:rPr>
                <w:rFonts w:hint="eastAsia" w:ascii="仿宋" w:hAnsi="仿宋" w:eastAsia="仿宋" w:cs="仿宋"/>
                <w:snapToGrid w:val="0"/>
                <w:color w:val="auto"/>
                <w:kern w:val="28"/>
                <w:sz w:val="24"/>
                <w:highlight w:val="none"/>
              </w:rPr>
            </w:pPr>
            <w:r>
              <w:rPr>
                <w:rFonts w:hint="eastAsia" w:ascii="宋体" w:hAnsi="宋体" w:cs="宋体"/>
                <w:b/>
                <w:bCs/>
                <w:color w:val="auto"/>
                <w:highlight w:val="none"/>
              </w:rPr>
              <w:t>中标服务费的交纳方式：以转帐或支票的形式支付</w:t>
            </w:r>
            <w:r>
              <w:rPr>
                <w:rFonts w:hint="eastAsia" w:ascii="宋体" w:hAnsi="宋体" w:cs="宋体"/>
                <w:b/>
                <w:bCs/>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vMerge w:val="continue"/>
            <w:tcBorders>
              <w:left w:val="single" w:color="000000" w:sz="8" w:space="0"/>
              <w:right w:val="single" w:color="000000" w:sz="2"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tc>
        <w:tc>
          <w:tcPr>
            <w:tcW w:w="1962" w:type="dxa"/>
            <w:vMerge w:val="continue"/>
            <w:tcBorders>
              <w:left w:val="single" w:color="000000" w:sz="2"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中标单位需在领取中标通知书时，提供本项目纸质投标文件（资格文件”、“报价文件”和“商务技术文件”）</w:t>
            </w:r>
            <w:r>
              <w:rPr>
                <w:rFonts w:hint="eastAsia" w:ascii="仿宋" w:hAnsi="仿宋" w:eastAsia="仿宋" w:cs="仿宋"/>
                <w:color w:val="auto"/>
                <w:sz w:val="24"/>
                <w:highlight w:val="none"/>
                <w:lang w:val="en-US" w:eastAsia="zh-CN"/>
              </w:rPr>
              <w:t>四</w:t>
            </w:r>
            <w:r>
              <w:rPr>
                <w:rFonts w:hint="eastAsia" w:ascii="仿宋" w:hAnsi="仿宋" w:eastAsia="仿宋" w:cs="仿宋"/>
                <w:color w:val="auto"/>
                <w:sz w:val="24"/>
                <w:highlight w:val="none"/>
              </w:rPr>
              <w:t>份（正本一份，副本</w:t>
            </w:r>
            <w:r>
              <w:rPr>
                <w:rFonts w:hint="eastAsia" w:ascii="仿宋" w:hAnsi="仿宋" w:eastAsia="仿宋" w:cs="仿宋"/>
                <w:color w:val="auto"/>
                <w:sz w:val="24"/>
                <w:highlight w:val="none"/>
                <w:lang w:val="en-US" w:eastAsia="zh-CN"/>
              </w:rPr>
              <w:t>三</w:t>
            </w:r>
            <w:r>
              <w:rPr>
                <w:rFonts w:hint="eastAsia" w:ascii="仿宋" w:hAnsi="仿宋" w:eastAsia="仿宋" w:cs="仿宋"/>
                <w:color w:val="auto"/>
                <w:sz w:val="24"/>
                <w:highlight w:val="none"/>
              </w:rPr>
              <w:t>份）并提供电子投标文件与纸质投标文件内容一致承诺书四份（格式详见采购文件）。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tcBorders>
              <w:left w:val="single" w:color="000000" w:sz="8" w:space="0"/>
              <w:bottom w:val="single" w:color="000000" w:sz="8" w:space="0"/>
              <w:right w:val="single" w:color="000000" w:sz="2"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tc>
        <w:tc>
          <w:tcPr>
            <w:tcW w:w="1962" w:type="dxa"/>
            <w:tcBorders>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400" w:lineRule="exact"/>
              <w:textAlignment w:val="auto"/>
              <w:rPr>
                <w:rFonts w:hint="eastAsia" w:ascii="仿宋" w:hAnsi="仿宋" w:eastAsia="仿宋" w:cs="仿宋"/>
                <w:color w:val="auto"/>
                <w:sz w:val="24"/>
                <w:highlight w:val="none"/>
              </w:rPr>
            </w:pPr>
            <w:r>
              <w:rPr>
                <w:rFonts w:hint="eastAsia" w:ascii="宋体" w:hAnsi="宋体" w:cs="宋体"/>
                <w:b/>
                <w:bCs/>
                <w:color w:val="auto"/>
                <w:kern w:val="0"/>
                <w:sz w:val="24"/>
                <w:highlight w:val="none"/>
                <w:shd w:val="clear" w:color="auto" w:fill="auto"/>
              </w:rPr>
              <w:t>投标人可同时</w:t>
            </w:r>
            <w:r>
              <w:rPr>
                <w:rFonts w:hint="eastAsia" w:ascii="宋体" w:hAnsi="宋体" w:cs="宋体"/>
                <w:b/>
                <w:bCs/>
                <w:color w:val="auto"/>
                <w:kern w:val="0"/>
                <w:sz w:val="24"/>
                <w:highlight w:val="none"/>
                <w:shd w:val="clear" w:color="auto" w:fill="auto"/>
                <w:lang w:val="en-US" w:eastAsia="zh-CN"/>
              </w:rPr>
              <w:t>参与2</w:t>
            </w:r>
            <w:r>
              <w:rPr>
                <w:rFonts w:hint="eastAsia" w:ascii="宋体" w:hAnsi="宋体" w:cs="宋体"/>
                <w:b/>
                <w:bCs/>
                <w:color w:val="auto"/>
                <w:kern w:val="0"/>
                <w:sz w:val="24"/>
                <w:highlight w:val="none"/>
                <w:shd w:val="clear" w:color="auto" w:fill="auto"/>
              </w:rPr>
              <w:t>个标</w:t>
            </w:r>
            <w:r>
              <w:rPr>
                <w:rFonts w:hint="eastAsia" w:ascii="宋体" w:hAnsi="宋体" w:cs="宋体"/>
                <w:b/>
                <w:bCs/>
                <w:color w:val="auto"/>
                <w:kern w:val="0"/>
                <w:sz w:val="24"/>
                <w:highlight w:val="none"/>
                <w:shd w:val="clear" w:color="auto" w:fill="auto"/>
                <w:lang w:val="en-US" w:eastAsia="zh-CN"/>
              </w:rPr>
              <w:t>段的</w:t>
            </w:r>
            <w:r>
              <w:rPr>
                <w:rFonts w:hint="eastAsia" w:ascii="宋体" w:hAnsi="宋体" w:cs="宋体"/>
                <w:b/>
                <w:bCs/>
                <w:color w:val="auto"/>
                <w:kern w:val="0"/>
                <w:sz w:val="24"/>
                <w:highlight w:val="none"/>
                <w:shd w:val="clear" w:color="auto" w:fill="auto"/>
              </w:rPr>
              <w:t>投标，但一个投标人只能中其中1个标</w:t>
            </w:r>
            <w:r>
              <w:rPr>
                <w:rFonts w:hint="eastAsia" w:ascii="宋体" w:hAnsi="宋体" w:cs="宋体"/>
                <w:b/>
                <w:bCs/>
                <w:color w:val="auto"/>
                <w:kern w:val="0"/>
                <w:sz w:val="24"/>
                <w:highlight w:val="none"/>
                <w:shd w:val="clear" w:color="auto" w:fill="auto"/>
                <w:lang w:val="en-US" w:eastAsia="zh-CN"/>
              </w:rPr>
              <w:t>段</w:t>
            </w:r>
            <w:r>
              <w:rPr>
                <w:rFonts w:hint="eastAsia" w:ascii="宋体" w:hAnsi="宋体" w:cs="宋体"/>
                <w:b/>
                <w:bCs/>
                <w:color w:val="auto"/>
                <w:kern w:val="0"/>
                <w:sz w:val="24"/>
                <w:highlight w:val="none"/>
                <w:shd w:val="clear" w:color="auto" w:fill="auto"/>
              </w:rPr>
              <w:t>。如果投标人在前1个标</w:t>
            </w:r>
            <w:r>
              <w:rPr>
                <w:rFonts w:hint="eastAsia" w:ascii="宋体" w:hAnsi="宋体" w:cs="宋体"/>
                <w:b/>
                <w:bCs/>
                <w:color w:val="auto"/>
                <w:kern w:val="0"/>
                <w:sz w:val="24"/>
                <w:highlight w:val="none"/>
                <w:shd w:val="clear" w:color="auto" w:fill="auto"/>
                <w:lang w:val="en-US" w:eastAsia="zh-CN"/>
              </w:rPr>
              <w:t>段</w:t>
            </w:r>
            <w:r>
              <w:rPr>
                <w:rFonts w:hint="eastAsia" w:ascii="宋体" w:hAnsi="宋体" w:cs="宋体"/>
                <w:b/>
                <w:bCs/>
                <w:color w:val="auto"/>
                <w:kern w:val="0"/>
                <w:sz w:val="24"/>
                <w:highlight w:val="none"/>
                <w:shd w:val="clear" w:color="auto" w:fill="auto"/>
              </w:rPr>
              <w:t>中被推荐为中标候选人，</w:t>
            </w:r>
            <w:r>
              <w:rPr>
                <w:rFonts w:hint="eastAsia" w:ascii="宋体" w:hAnsi="宋体" w:cs="宋体"/>
                <w:b/>
                <w:bCs/>
                <w:color w:val="auto"/>
                <w:kern w:val="0"/>
                <w:sz w:val="24"/>
                <w:highlight w:val="none"/>
                <w:shd w:val="clear" w:color="auto" w:fill="auto"/>
                <w:lang w:val="en-US" w:eastAsia="zh-CN"/>
              </w:rPr>
              <w:t>后面标段将不作为第一候选人进行推选。</w:t>
            </w:r>
          </w:p>
        </w:tc>
      </w:tr>
    </w:tbl>
    <w:p>
      <w:pPr>
        <w:snapToGrid w:val="0"/>
        <w:spacing w:line="360" w:lineRule="auto"/>
        <w:jc w:val="center"/>
        <w:rPr>
          <w:rFonts w:ascii="仿宋" w:hAnsi="仿宋" w:eastAsia="仿宋" w:cs="仿宋_GB2312"/>
          <w:b/>
          <w:color w:val="auto"/>
          <w:sz w:val="32"/>
          <w:szCs w:val="20"/>
          <w:highlight w:val="none"/>
        </w:rPr>
      </w:pPr>
    </w:p>
    <w:p>
      <w:pPr>
        <w:pStyle w:val="3"/>
        <w:rPr>
          <w:rFonts w:ascii="仿宋" w:hAnsi="仿宋" w:eastAsia="仿宋" w:cs="仿宋_GB2312"/>
          <w:b/>
          <w:color w:val="auto"/>
          <w:sz w:val="32"/>
          <w:szCs w:val="20"/>
          <w:highlight w:val="none"/>
        </w:rPr>
      </w:pPr>
    </w:p>
    <w:p>
      <w:pPr>
        <w:rPr>
          <w:rFonts w:ascii="仿宋" w:hAnsi="仿宋" w:eastAsia="仿宋" w:cs="仿宋_GB2312"/>
          <w:b/>
          <w:color w:val="auto"/>
          <w:sz w:val="32"/>
          <w:szCs w:val="20"/>
          <w:highlight w:val="none"/>
        </w:rPr>
      </w:pPr>
    </w:p>
    <w:p>
      <w:pPr>
        <w:pStyle w:val="3"/>
        <w:rPr>
          <w:color w:val="auto"/>
        </w:rPr>
      </w:pPr>
    </w:p>
    <w:bookmarkEnd w:id="10"/>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bookmarkStart w:id="11" w:name="第三部分"/>
      <w:bookmarkStart w:id="12" w:name="_Toc164416483"/>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r>
        <w:rPr>
          <w:rFonts w:ascii="Wingdings" w:hAnsi="Wingdings" w:eastAsia="仿宋_GB2312"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highlight w:val="none"/>
          <w:lang w:val="en-US" w:eastAsia="zh-CN"/>
        </w:rPr>
        <w:t>2</w:t>
      </w:r>
      <w:r>
        <w:rPr>
          <w:rFonts w:ascii="仿宋_GB2312" w:hAnsi="仿宋" w:eastAsia="仿宋_GB2312"/>
          <w:color w:val="auto"/>
          <w:sz w:val="24"/>
          <w:highlight w:val="none"/>
        </w:rPr>
        <w:t>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6"/>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36"/>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6"/>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6"/>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6"/>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6"/>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6"/>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6"/>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6"/>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6"/>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573"/>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573"/>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573"/>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573"/>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573"/>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87"/>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6"/>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6"/>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6"/>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6"/>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6"/>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6"/>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6"/>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6"/>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6"/>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87"/>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6"/>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6"/>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6"/>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6"/>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5"/>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6"/>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6"/>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11.2.7商务技术偏离表；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hint="eastAsia" w:ascii="仿宋_GB2312" w:hAnsi="仿宋" w:eastAsia="仿宋"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11.3.2</w:t>
      </w:r>
      <w:r>
        <w:rPr>
          <w:rFonts w:hint="eastAsia" w:ascii="仿宋" w:hAnsi="仿宋" w:eastAsia="仿宋" w:cs="仿宋"/>
          <w:color w:val="auto"/>
          <w:kern w:val="0"/>
          <w:sz w:val="24"/>
          <w:highlight w:val="none"/>
        </w:rPr>
        <w:t>报价明细清单</w:t>
      </w:r>
      <w:r>
        <w:rPr>
          <w:rFonts w:hint="eastAsia" w:ascii="仿宋" w:hAnsi="仿宋" w:eastAsia="仿宋" w:cs="仿宋"/>
          <w:color w:val="auto"/>
          <w:kern w:val="0"/>
          <w:sz w:val="24"/>
          <w:highlight w:val="none"/>
          <w:lang w:eastAsia="zh-CN"/>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w:t>
      </w:r>
      <w:r>
        <w:rPr>
          <w:rFonts w:hint="eastAsia" w:ascii="仿宋_GB2312" w:hAnsi="仿宋" w:eastAsia="仿宋_GB2312" w:cs="仿宋_GB2312"/>
          <w:color w:val="auto"/>
          <w:sz w:val="24"/>
          <w:highlight w:val="none"/>
          <w:lang w:val="en-US" w:eastAsia="zh-CN"/>
        </w:rPr>
        <w:t>3</w:t>
      </w:r>
      <w:r>
        <w:rPr>
          <w:rFonts w:ascii="仿宋_GB2312" w:hAnsi="仿宋" w:eastAsia="仿宋_GB2312" w:cs="仿宋_GB2312"/>
          <w:color w:val="auto"/>
          <w:sz w:val="24"/>
          <w:highlight w:val="none"/>
        </w:rPr>
        <w:t>中小企业声明函。</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87"/>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87"/>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8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87"/>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6"/>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6"/>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6"/>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highlight w:val="none"/>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8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6"/>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ascii="仿宋_GB2312" w:hAnsi="仿宋" w:eastAsia="仿宋_GB2312"/>
          <w:color w:val="auto"/>
          <w:highlight w:val="none"/>
        </w:rPr>
        <w:t>13项规定</w:t>
      </w:r>
      <w:r>
        <w:rPr>
          <w:rFonts w:hint="eastAsia" w:ascii="仿宋_GB2312" w:hAnsi="仿宋" w:eastAsia="仿宋_GB2312" w:cs="仿宋_GB2312"/>
          <w:color w:val="auto"/>
          <w:szCs w:val="21"/>
          <w:highlight w:val="none"/>
        </w:rPr>
        <w:t>的情形之一的，投标无效：</w:t>
      </w:r>
    </w:p>
    <w:p>
      <w:pPr>
        <w:pStyle w:val="8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87"/>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87"/>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643"/>
        <w:rPr>
          <w:rFonts w:ascii="仿宋_GB2312" w:hAnsi="仿宋" w:eastAsia="仿宋_GB2312" w:cs="仿宋_GB2312"/>
          <w:b/>
          <w:color w:val="auto"/>
          <w:sz w:val="32"/>
          <w:highlight w:val="none"/>
        </w:rPr>
      </w:pPr>
    </w:p>
    <w:p>
      <w:pPr>
        <w:pStyle w:val="87"/>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242"/>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242"/>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242"/>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242"/>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87"/>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8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8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8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87"/>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87"/>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7"/>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87"/>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87"/>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87"/>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87"/>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87"/>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tabs>
          <w:tab w:val="left" w:pos="0"/>
        </w:tabs>
        <w:spacing w:line="360" w:lineRule="auto"/>
        <w:ind w:firstLine="482"/>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%；评价总分在90分以下或者暂无评分的，收取履约保证金不得高于合同金额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w:t>
      </w:r>
    </w:p>
    <w:p>
      <w:pPr>
        <w:pStyle w:val="3"/>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87"/>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87"/>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87"/>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6"/>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68072990"/>
      <w:bookmarkEnd w:id="14"/>
      <w:bookmarkStart w:id="15" w:name="_Hlt68057669"/>
      <w:bookmarkEnd w:id="15"/>
      <w:bookmarkStart w:id="16" w:name="_Hlt68072998"/>
      <w:bookmarkEnd w:id="16"/>
      <w:bookmarkStart w:id="17" w:name="_Hlt74730295"/>
      <w:bookmarkEnd w:id="17"/>
      <w:bookmarkStart w:id="18" w:name="_Hlt74714665"/>
      <w:bookmarkEnd w:id="18"/>
      <w:bookmarkStart w:id="19" w:name="_Hlt75236290"/>
      <w:bookmarkEnd w:id="19"/>
      <w:bookmarkStart w:id="20" w:name="_Hlt74707468"/>
      <w:bookmarkEnd w:id="20"/>
      <w:bookmarkStart w:id="21" w:name="_Hlt68073093"/>
      <w:bookmarkEnd w:id="21"/>
      <w:bookmarkStart w:id="22" w:name="_Hlt68403820"/>
      <w:bookmarkEnd w:id="22"/>
      <w:bookmarkStart w:id="23" w:name="_Hlt74729768"/>
      <w:bookmarkEnd w:id="23"/>
      <w:bookmarkStart w:id="24" w:name="_Hlt75236101"/>
      <w:bookmarkEnd w:id="24"/>
      <w:bookmarkStart w:id="25" w:name="_Hlt75236011"/>
      <w:bookmarkEnd w:id="25"/>
    </w:p>
    <w:bookmarkEnd w:id="11"/>
    <w:bookmarkEnd w:id="12"/>
    <w:p>
      <w:pPr>
        <w:spacing w:line="360" w:lineRule="auto"/>
        <w:jc w:val="center"/>
        <w:outlineLvl w:val="0"/>
        <w:rPr>
          <w:rFonts w:ascii="仿宋" w:hAnsi="仿宋" w:eastAsia="仿宋" w:cs="仿宋_GB2312"/>
          <w:b/>
          <w:color w:val="auto"/>
          <w:sz w:val="36"/>
          <w:szCs w:val="36"/>
          <w:highlight w:val="none"/>
        </w:rPr>
      </w:pPr>
      <w:bookmarkStart w:id="26" w:name="第四部分"/>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widowControl w:val="0"/>
        <w:wordWrap/>
        <w:adjustRightInd/>
        <w:snapToGrid/>
        <w:spacing w:line="360" w:lineRule="auto"/>
        <w:ind w:left="0" w:leftChars="0" w:right="0"/>
        <w:jc w:val="left"/>
        <w:outlineLvl w:val="9"/>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标项一：杭州市临平区人民政府运河街道办事处2023年1月至2024年12月保洁项目一标段</w:t>
      </w:r>
    </w:p>
    <w:p>
      <w:pPr>
        <w:widowControl w:val="0"/>
        <w:wordWrap/>
        <w:adjustRightInd/>
        <w:snapToGrid/>
        <w:spacing w:line="360" w:lineRule="auto"/>
        <w:ind w:left="0" w:leftChars="0" w:right="0"/>
        <w:jc w:val="left"/>
        <w:outlineLvl w:val="9"/>
        <w:rPr>
          <w:rFonts w:hint="eastAsia"/>
          <w:color w:val="auto"/>
          <w:highlight w:val="none"/>
          <w:lang w:eastAsia="zh-CN"/>
        </w:rPr>
      </w:pPr>
      <w:r>
        <w:rPr>
          <w:rFonts w:hint="eastAsia" w:ascii="仿宋" w:hAnsi="仿宋" w:eastAsia="仿宋" w:cs="仿宋"/>
          <w:b/>
          <w:bCs/>
          <w:color w:val="auto"/>
          <w:sz w:val="24"/>
          <w:highlight w:val="none"/>
          <w:lang w:val="en-US" w:eastAsia="zh-CN"/>
        </w:rPr>
        <w:t>一、</w:t>
      </w:r>
      <w:r>
        <w:rPr>
          <w:rFonts w:hint="eastAsia" w:ascii="宋体" w:hAnsi="宋体" w:eastAsia="宋体" w:cs="宋体"/>
          <w:b/>
          <w:color w:val="auto"/>
          <w:sz w:val="24"/>
          <w:highlight w:val="none"/>
        </w:rPr>
        <w:t>服务招标实施范围</w:t>
      </w:r>
      <w:r>
        <w:rPr>
          <w:rFonts w:hint="eastAsia" w:ascii="宋体" w:hAnsi="宋体" w:eastAsia="宋体" w:cs="宋体"/>
          <w:b/>
          <w:color w:val="auto"/>
          <w:sz w:val="24"/>
          <w:highlight w:val="none"/>
          <w:lang w:eastAsia="zh-CN"/>
        </w:rPr>
        <w:t>：</w:t>
      </w:r>
      <w:r>
        <w:rPr>
          <w:rFonts w:hint="eastAsia" w:ascii="宋体" w:hAnsi="宋体" w:cs="宋体"/>
          <w:b/>
          <w:color w:val="auto"/>
          <w:sz w:val="24"/>
          <w:highlight w:val="none"/>
          <w:lang w:eastAsia="zh-CN"/>
        </w:rPr>
        <w:t>杭州市临平区人民政府运河街道办事处2023年1月至2024年12月保洁项目，核心区域（一类道路）149640.52</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eastAsia="zh-CN"/>
        </w:rPr>
        <w:t>；非核心区域（二类道路）185993.1</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eastAsia="zh-CN"/>
        </w:rPr>
        <w:t>；非城市化管理区域（三类道路）</w:t>
      </w:r>
      <w:r>
        <w:rPr>
          <w:rFonts w:hint="eastAsia" w:ascii="宋体" w:hAnsi="宋体" w:cs="宋体"/>
          <w:color w:val="auto"/>
          <w:kern w:val="0"/>
          <w:sz w:val="24"/>
          <w:szCs w:val="24"/>
          <w:highlight w:val="none"/>
          <w:lang w:val="en-US" w:eastAsia="zh-CN"/>
        </w:rPr>
        <w:t>82232.98</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eastAsia="zh-CN"/>
        </w:rPr>
        <w:t>；农贸市场</w:t>
      </w:r>
      <w:r>
        <w:rPr>
          <w:rFonts w:hint="eastAsia" w:ascii="宋体" w:hAnsi="宋体" w:cs="宋体"/>
          <w:color w:val="auto"/>
          <w:kern w:val="0"/>
          <w:sz w:val="24"/>
          <w:szCs w:val="24"/>
          <w:highlight w:val="none"/>
          <w:lang w:val="en-US" w:eastAsia="zh-CN"/>
        </w:rPr>
        <w:t>16820</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eastAsia="zh-CN"/>
        </w:rPr>
        <w:t>；公厕</w:t>
      </w:r>
      <w:r>
        <w:rPr>
          <w:rFonts w:hint="eastAsia" w:ascii="宋体" w:hAnsi="宋体" w:cs="宋体"/>
          <w:color w:val="auto"/>
          <w:kern w:val="0"/>
          <w:sz w:val="24"/>
          <w:szCs w:val="24"/>
          <w:highlight w:val="none"/>
          <w:lang w:val="en-US" w:eastAsia="zh-CN"/>
        </w:rPr>
        <w:t>10</w:t>
      </w:r>
      <w:r>
        <w:rPr>
          <w:rFonts w:hint="eastAsia" w:ascii="宋体" w:hAnsi="宋体" w:cs="宋体"/>
          <w:color w:val="auto"/>
          <w:kern w:val="0"/>
          <w:sz w:val="24"/>
          <w:szCs w:val="24"/>
          <w:highlight w:val="none"/>
          <w:lang w:eastAsia="zh-CN"/>
        </w:rPr>
        <w:t>个公厕（</w:t>
      </w:r>
      <w:r>
        <w:rPr>
          <w:rFonts w:hint="eastAsia" w:ascii="宋体" w:hAnsi="宋体" w:cs="宋体"/>
          <w:color w:val="auto"/>
          <w:kern w:val="0"/>
          <w:sz w:val="24"/>
          <w:szCs w:val="24"/>
          <w:highlight w:val="none"/>
          <w:lang w:val="en-US" w:eastAsia="zh-CN"/>
        </w:rPr>
        <w:t>8</w:t>
      </w:r>
      <w:r>
        <w:rPr>
          <w:rFonts w:hint="eastAsia" w:ascii="宋体" w:hAnsi="宋体" w:cs="宋体"/>
          <w:color w:val="auto"/>
          <w:kern w:val="0"/>
          <w:sz w:val="24"/>
          <w:szCs w:val="24"/>
          <w:highlight w:val="none"/>
          <w:lang w:eastAsia="zh-CN"/>
        </w:rPr>
        <w:t>个标准公厕，</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lang w:eastAsia="zh-CN"/>
        </w:rPr>
        <w:t>个公厕高标准），道路全长</w:t>
      </w:r>
      <w:r>
        <w:rPr>
          <w:rFonts w:hint="eastAsia" w:ascii="宋体" w:hAnsi="宋体" w:cs="宋体"/>
          <w:color w:val="auto"/>
          <w:kern w:val="0"/>
          <w:sz w:val="24"/>
          <w:szCs w:val="24"/>
          <w:highlight w:val="none"/>
          <w:lang w:val="en-US" w:eastAsia="zh-CN"/>
        </w:rPr>
        <w:t>20.965</w:t>
      </w:r>
      <w:r>
        <w:rPr>
          <w:rFonts w:hint="eastAsia" w:ascii="宋体" w:hAnsi="宋体" w:cs="宋体"/>
          <w:color w:val="auto"/>
          <w:kern w:val="0"/>
          <w:sz w:val="24"/>
          <w:szCs w:val="24"/>
          <w:highlight w:val="none"/>
          <w:lang w:eastAsia="zh-CN"/>
        </w:rPr>
        <w:t>公里</w:t>
      </w:r>
      <w:r>
        <w:rPr>
          <w:rFonts w:hint="eastAsia" w:ascii="宋体" w:hAnsi="宋体" w:eastAsia="宋体" w:cs="宋体"/>
          <w:b/>
          <w:color w:val="auto"/>
          <w:sz w:val="24"/>
          <w:highlight w:val="none"/>
          <w:lang w:eastAsia="zh-CN"/>
        </w:rPr>
        <w:t>。</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博陆、五杭集镇、运河街道办事处周边范围2条音乐线收集以及全范围内牛皮鲜清理</w:t>
      </w:r>
      <w:r>
        <w:rPr>
          <w:rFonts w:hint="eastAsia" w:ascii="宋体" w:hAnsi="宋体" w:cs="宋体"/>
          <w:b/>
          <w:color w:val="auto"/>
          <w:sz w:val="24"/>
          <w:highlight w:val="none"/>
          <w:lang w:eastAsia="zh-CN"/>
        </w:rPr>
        <w:t>）</w:t>
      </w:r>
    </w:p>
    <w:p>
      <w:pPr>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rPr>
        <w:t>、保洁</w:t>
      </w:r>
      <w:r>
        <w:rPr>
          <w:rFonts w:hint="eastAsia" w:ascii="宋体" w:hAnsi="宋体" w:cs="宋体"/>
          <w:b/>
          <w:bCs/>
          <w:color w:val="auto"/>
          <w:sz w:val="24"/>
          <w:highlight w:val="none"/>
          <w:lang w:val="en-US" w:eastAsia="zh-CN"/>
        </w:rPr>
        <w:t>范围</w:t>
      </w:r>
      <w:r>
        <w:rPr>
          <w:rFonts w:hint="eastAsia" w:ascii="宋体" w:hAnsi="宋体" w:cs="宋体"/>
          <w:b/>
          <w:bCs/>
          <w:color w:val="auto"/>
          <w:sz w:val="24"/>
          <w:highlight w:val="none"/>
        </w:rPr>
        <w:t>：</w:t>
      </w:r>
    </w:p>
    <w:p>
      <w:pPr>
        <w:widowControl w:val="0"/>
        <w:wordWrap/>
        <w:adjustRightInd/>
        <w:snapToGrid/>
        <w:spacing w:line="240" w:lineRule="auto"/>
        <w:jc w:val="both"/>
        <w:textAlignment w:val="auto"/>
        <w:rPr>
          <w:rFonts w:hint="eastAsia"/>
          <w:color w:val="auto"/>
          <w:highlight w:val="none"/>
        </w:rPr>
      </w:pPr>
      <w:r>
        <w:rPr>
          <w:rFonts w:hint="eastAsia" w:ascii="仿宋" w:hAnsi="仿宋" w:eastAsia="仿宋" w:cs="仿宋"/>
          <w:b/>
          <w:bCs/>
          <w:color w:val="auto"/>
          <w:sz w:val="24"/>
          <w:szCs w:val="24"/>
          <w:highlight w:val="none"/>
        </w:rPr>
        <w:t>①</w:t>
      </w:r>
      <w:r>
        <w:rPr>
          <w:rFonts w:hint="eastAsia" w:ascii="仿宋" w:hAnsi="仿宋" w:eastAsia="仿宋" w:cs="仿宋"/>
          <w:b/>
          <w:bCs/>
          <w:color w:val="auto"/>
          <w:sz w:val="24"/>
          <w:szCs w:val="24"/>
          <w:highlight w:val="none"/>
          <w:lang w:eastAsia="zh-CN"/>
        </w:rPr>
        <w:t>核心区域</w:t>
      </w:r>
      <w:r>
        <w:rPr>
          <w:rFonts w:hint="eastAsia" w:ascii="仿宋" w:hAnsi="仿宋" w:eastAsia="仿宋" w:cs="仿宋"/>
          <w:b/>
          <w:bCs/>
          <w:color w:val="auto"/>
          <w:sz w:val="24"/>
          <w:szCs w:val="24"/>
          <w:highlight w:val="none"/>
          <w:lang w:val="en-US" w:eastAsia="zh-CN"/>
        </w:rPr>
        <w:t>保洁</w:t>
      </w:r>
      <w:r>
        <w:rPr>
          <w:rFonts w:hint="eastAsia" w:ascii="仿宋" w:hAnsi="仿宋" w:eastAsia="仿宋" w:cs="仿宋"/>
          <w:b/>
          <w:bCs/>
          <w:color w:val="auto"/>
          <w:sz w:val="24"/>
          <w:szCs w:val="24"/>
          <w:highlight w:val="none"/>
        </w:rPr>
        <w:t>面积表</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一类道路）</w:t>
      </w:r>
      <w:r>
        <w:rPr>
          <w:rFonts w:hint="eastAsia" w:ascii="仿宋" w:hAnsi="仿宋" w:eastAsia="仿宋" w:cs="仿宋"/>
          <w:b/>
          <w:bCs/>
          <w:color w:val="auto"/>
          <w:sz w:val="24"/>
          <w:szCs w:val="24"/>
          <w:highlight w:val="none"/>
        </w:rPr>
        <w:t>：</w:t>
      </w:r>
    </w:p>
    <w:tbl>
      <w:tblPr>
        <w:tblStyle w:val="64"/>
        <w:tblpPr w:leftFromText="180" w:rightFromText="180" w:vertAnchor="text" w:horzAnchor="page" w:tblpX="1430" w:tblpY="231"/>
        <w:tblOverlap w:val="never"/>
        <w:tblW w:w="911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1"/>
        <w:gridCol w:w="3630"/>
        <w:gridCol w:w="1725"/>
        <w:gridCol w:w="1643"/>
        <w:gridCol w:w="13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trPr>
        <w:tc>
          <w:tcPr>
            <w:tcW w:w="751"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3630"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道路名称</w:t>
            </w:r>
          </w:p>
        </w:tc>
        <w:tc>
          <w:tcPr>
            <w:tcW w:w="1725"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道路</w:t>
            </w:r>
            <w:r>
              <w:rPr>
                <w:rFonts w:hint="eastAsia" w:ascii="宋体" w:hAnsi="宋体" w:eastAsia="宋体" w:cs="宋体"/>
                <w:color w:val="auto"/>
                <w:kern w:val="0"/>
                <w:sz w:val="24"/>
                <w:szCs w:val="24"/>
                <w:highlight w:val="none"/>
              </w:rPr>
              <w:t>面积㎡</w:t>
            </w:r>
          </w:p>
        </w:tc>
        <w:tc>
          <w:tcPr>
            <w:tcW w:w="1643"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道路等级</w:t>
            </w:r>
          </w:p>
        </w:tc>
        <w:tc>
          <w:tcPr>
            <w:tcW w:w="1365" w:type="dxa"/>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丰林路(含两侧人行道、停车场、景观带、公园）</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0"/>
                <w:szCs w:val="20"/>
                <w:u w:val="none"/>
                <w:lang w:val="en-US" w:eastAsia="zh-CN" w:bidi="ar"/>
              </w:rPr>
              <w:t>13300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丰林路南延(含停车场、河岸）</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6000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万丰东路（大运河—庙前港）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4810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万丰西路（大运河—庙前港）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4376</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繁荣路（五杭小学—宝光路）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5600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宝光路（繁荣路—泾洋路）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1740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万寿路生态停车场</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3162</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政民路（东湖北路—北田头）</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6000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运溪路（东湖北路—老临博公路）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14790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兴旺大道（东湖北路以东）含人行道及慢车道</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40756</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政民路（东湖北路——支一路）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4792.5</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12</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北田街、长林路（东湖北路——兴旺大道）</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7395.2</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13</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运河丽园外围（政民路——兴元路）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4112.4</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14</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解放路（万丰西路—西桥）</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2464</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15</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玉露路（解放路—杭南路）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1855</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16</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万寿路（解放路—东明路）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3185</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17</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东泗路北（五杭大桥西路）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693</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18</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荷花池塘</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9300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19</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丰捻路（含丰捻桥）</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9450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20</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泾洋路小公园</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507.66</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东一路（兴元路—政民路）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2820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22</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中学学校附近公园</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2531.76</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auto"/>
                <w:kern w:val="0"/>
                <w:sz w:val="24"/>
                <w:szCs w:val="24"/>
                <w:highlight w:val="none"/>
                <w:lang w:val="en-US" w:eastAsia="zh-CN"/>
              </w:rPr>
            </w:pPr>
          </w:p>
        </w:tc>
        <w:tc>
          <w:tcPr>
            <w:tcW w:w="363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b/>
                <w:bCs/>
                <w:i w:val="0"/>
                <w:iCs w:val="0"/>
                <w:color w:val="auto"/>
                <w:kern w:val="0"/>
                <w:sz w:val="20"/>
                <w:szCs w:val="20"/>
                <w:u w:val="none"/>
                <w:lang w:val="en-US" w:eastAsia="zh-CN"/>
              </w:rPr>
              <w:t>合计</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149640.52</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bl>
    <w:p>
      <w:pPr>
        <w:widowControl/>
        <w:jc w:val="center"/>
        <w:textAlignment w:val="center"/>
        <w:rPr>
          <w:rFonts w:hint="eastAsia" w:ascii="宋体" w:hAnsi="宋体" w:eastAsia="宋体" w:cs="宋体"/>
          <w:i w:val="0"/>
          <w:iCs w:val="0"/>
          <w:color w:val="auto"/>
          <w:kern w:val="0"/>
          <w:sz w:val="20"/>
          <w:szCs w:val="20"/>
          <w:u w:val="none"/>
          <w:lang w:val="en-US" w:eastAsia="zh-CN"/>
        </w:rPr>
      </w:pPr>
    </w:p>
    <w:p>
      <w:pPr>
        <w:widowControl w:val="0"/>
        <w:wordWrap/>
        <w:adjustRightInd/>
        <w:snapToGrid/>
        <w:spacing w:line="240" w:lineRule="auto"/>
        <w:jc w:val="both"/>
        <w:textAlignment w:val="auto"/>
        <w:rPr>
          <w:rFonts w:hint="eastAsia" w:ascii="宋体" w:hAnsi="宋体" w:eastAsia="仿宋" w:cs="宋体"/>
          <w:color w:val="auto"/>
          <w:sz w:val="24"/>
          <w:highlight w:val="none"/>
          <w:lang w:val="en-US" w:eastAsia="zh-CN"/>
        </w:rPr>
      </w:pPr>
      <w:r>
        <w:rPr>
          <w:rFonts w:hint="eastAsia" w:ascii="仿宋" w:hAnsi="仿宋" w:eastAsia="仿宋" w:cs="仿宋"/>
          <w:b/>
          <w:bCs/>
          <w:color w:val="auto"/>
          <w:sz w:val="24"/>
          <w:szCs w:val="24"/>
          <w:highlight w:val="none"/>
        </w:rPr>
        <w:t>②非核心区域（二类道路）</w:t>
      </w:r>
      <w:r>
        <w:rPr>
          <w:rFonts w:hint="eastAsia" w:ascii="仿宋" w:hAnsi="仿宋" w:eastAsia="仿宋" w:cs="仿宋"/>
          <w:b/>
          <w:bCs/>
          <w:color w:val="auto"/>
          <w:sz w:val="24"/>
          <w:szCs w:val="24"/>
          <w:highlight w:val="none"/>
          <w:lang w:val="en-US" w:eastAsia="zh-CN"/>
        </w:rPr>
        <w:t>保洁</w:t>
      </w:r>
      <w:r>
        <w:rPr>
          <w:rFonts w:hint="eastAsia" w:ascii="仿宋" w:hAnsi="仿宋" w:eastAsia="仿宋" w:cs="仿宋"/>
          <w:b/>
          <w:bCs/>
          <w:color w:val="auto"/>
          <w:sz w:val="24"/>
          <w:szCs w:val="24"/>
          <w:highlight w:val="none"/>
        </w:rPr>
        <w:t>面积表</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二类道路）</w:t>
      </w:r>
      <w:r>
        <w:rPr>
          <w:rFonts w:hint="eastAsia" w:ascii="仿宋" w:hAnsi="仿宋" w:eastAsia="仿宋" w:cs="仿宋"/>
          <w:b/>
          <w:bCs/>
          <w:color w:val="auto"/>
          <w:sz w:val="24"/>
          <w:szCs w:val="24"/>
          <w:highlight w:val="none"/>
        </w:rPr>
        <w:t>：</w:t>
      </w:r>
    </w:p>
    <w:tbl>
      <w:tblPr>
        <w:tblStyle w:val="64"/>
        <w:tblpPr w:leftFromText="180" w:rightFromText="180" w:vertAnchor="text" w:horzAnchor="page" w:tblpX="1430" w:tblpY="231"/>
        <w:tblOverlap w:val="never"/>
        <w:tblW w:w="91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1"/>
        <w:gridCol w:w="3630"/>
        <w:gridCol w:w="1740"/>
        <w:gridCol w:w="1590"/>
        <w:gridCol w:w="14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3630"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道路名称</w:t>
            </w:r>
          </w:p>
        </w:tc>
        <w:tc>
          <w:tcPr>
            <w:tcW w:w="1740"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道路</w:t>
            </w:r>
            <w:r>
              <w:rPr>
                <w:rFonts w:hint="eastAsia" w:ascii="宋体" w:hAnsi="宋体" w:eastAsia="宋体" w:cs="宋体"/>
                <w:color w:val="auto"/>
                <w:kern w:val="0"/>
                <w:sz w:val="24"/>
                <w:szCs w:val="24"/>
                <w:highlight w:val="none"/>
              </w:rPr>
              <w:t>面积㎡</w:t>
            </w:r>
          </w:p>
        </w:tc>
        <w:tc>
          <w:tcPr>
            <w:tcW w:w="1590"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道路等级</w:t>
            </w:r>
          </w:p>
        </w:tc>
        <w:tc>
          <w:tcPr>
            <w:tcW w:w="1410" w:type="dxa"/>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东泗路南（五杭大桥—运溪路）</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15961</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鹿溪路（亭五线—东湖北路）</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11414</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金锁路西（博陆十字路口—金锁桥）</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2720</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天顺路（博陆十字路口—搪瓷厂）</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3500</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创新公园</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2000</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解放路游步道</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2095</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东湖北路（兴旺大道——京杭大运河）</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114194.9</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博陆小公园</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1000</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搪瓷厂东侧弄堂+水管桥</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644</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双桥路（长寿桥—市场）含文化阳台</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9975</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东明路（东明桥—万寿路）含东明路停车场（羊肉节）</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5431</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12</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泾洋路（五杭大桥—荷禹大桥）含泾洋路停车场</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8251.5</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13</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五杭大桥底面积</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4333</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14</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五杭农贸市场游步道</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611.9</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15</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双桥路小公园</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894.43</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16</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长寿路（停车场）</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2967.38</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i w:val="0"/>
                <w:iCs w:val="0"/>
                <w:color w:val="auto"/>
                <w:kern w:val="0"/>
                <w:sz w:val="24"/>
                <w:szCs w:val="24"/>
                <w:u w:val="none"/>
                <w:lang w:val="en-US" w:eastAsia="zh-CN"/>
              </w:rPr>
            </w:pPr>
          </w:p>
        </w:tc>
        <w:tc>
          <w:tcPr>
            <w:tcW w:w="363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b/>
                <w:bCs/>
                <w:i w:val="0"/>
                <w:iCs w:val="0"/>
                <w:color w:val="auto"/>
                <w:kern w:val="0"/>
                <w:sz w:val="20"/>
                <w:szCs w:val="20"/>
                <w:u w:val="none"/>
                <w:lang w:val="en-US" w:eastAsia="zh-CN"/>
              </w:rPr>
              <w:t>合计</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185993.11</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i w:val="0"/>
                <w:iCs w:val="0"/>
                <w:color w:val="auto"/>
                <w:kern w:val="0"/>
                <w:sz w:val="21"/>
                <w:szCs w:val="21"/>
                <w:highlight w:val="none"/>
                <w:u w:val="none"/>
                <w:lang w:val="en-US" w:eastAsia="zh-CN"/>
              </w:rPr>
            </w:pP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p>
        </w:tc>
      </w:tr>
    </w:tbl>
    <w:p>
      <w:pPr>
        <w:adjustRightInd/>
        <w:spacing w:line="360" w:lineRule="auto"/>
        <w:jc w:val="both"/>
        <w:rPr>
          <w:rFonts w:hint="eastAsia" w:ascii="仿宋" w:hAnsi="仿宋" w:eastAsia="仿宋" w:cs="仿宋"/>
          <w:b/>
          <w:color w:val="auto"/>
          <w:kern w:val="0"/>
          <w:sz w:val="24"/>
          <w:szCs w:val="24"/>
          <w:highlight w:val="none"/>
        </w:rPr>
      </w:pPr>
    </w:p>
    <w:p>
      <w:pPr>
        <w:widowControl w:val="0"/>
        <w:wordWrap/>
        <w:adjustRightInd/>
        <w:snapToGrid/>
        <w:spacing w:line="240" w:lineRule="auto"/>
        <w:jc w:val="both"/>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③非城市化管理区域（三类道路）</w:t>
      </w:r>
      <w:r>
        <w:rPr>
          <w:rFonts w:hint="eastAsia" w:ascii="仿宋" w:hAnsi="仿宋" w:eastAsia="仿宋" w:cs="仿宋"/>
          <w:b/>
          <w:bCs/>
          <w:color w:val="auto"/>
          <w:sz w:val="24"/>
          <w:szCs w:val="24"/>
          <w:highlight w:val="none"/>
          <w:lang w:val="en-US" w:eastAsia="zh-CN"/>
        </w:rPr>
        <w:t>保洁</w:t>
      </w:r>
      <w:r>
        <w:rPr>
          <w:rFonts w:hint="eastAsia" w:ascii="仿宋" w:hAnsi="仿宋" w:eastAsia="仿宋" w:cs="仿宋"/>
          <w:b/>
          <w:bCs/>
          <w:color w:val="auto"/>
          <w:sz w:val="24"/>
          <w:szCs w:val="24"/>
          <w:highlight w:val="none"/>
        </w:rPr>
        <w:t>面积表</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三类道路）</w:t>
      </w:r>
      <w:r>
        <w:rPr>
          <w:rFonts w:hint="eastAsia" w:ascii="仿宋" w:hAnsi="仿宋" w:eastAsia="仿宋" w:cs="仿宋"/>
          <w:b/>
          <w:bCs/>
          <w:color w:val="auto"/>
          <w:sz w:val="24"/>
          <w:szCs w:val="24"/>
          <w:highlight w:val="none"/>
        </w:rPr>
        <w:t>：</w:t>
      </w:r>
    </w:p>
    <w:tbl>
      <w:tblPr>
        <w:tblStyle w:val="64"/>
        <w:tblpPr w:leftFromText="180" w:rightFromText="180" w:vertAnchor="text" w:horzAnchor="page" w:tblpX="1430" w:tblpY="231"/>
        <w:tblOverlap w:val="never"/>
        <w:tblW w:w="911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1"/>
        <w:gridCol w:w="3630"/>
        <w:gridCol w:w="1725"/>
        <w:gridCol w:w="1643"/>
        <w:gridCol w:w="13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trPr>
        <w:tc>
          <w:tcPr>
            <w:tcW w:w="751"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3630"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道路名称</w:t>
            </w:r>
          </w:p>
        </w:tc>
        <w:tc>
          <w:tcPr>
            <w:tcW w:w="1725"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道路</w:t>
            </w:r>
            <w:r>
              <w:rPr>
                <w:rFonts w:hint="eastAsia" w:ascii="宋体" w:hAnsi="宋体" w:eastAsia="宋体" w:cs="宋体"/>
                <w:color w:val="auto"/>
                <w:kern w:val="0"/>
                <w:sz w:val="24"/>
                <w:szCs w:val="24"/>
                <w:highlight w:val="none"/>
              </w:rPr>
              <w:t>面积㎡</w:t>
            </w:r>
          </w:p>
        </w:tc>
        <w:tc>
          <w:tcPr>
            <w:tcW w:w="1643"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道路等级</w:t>
            </w:r>
          </w:p>
        </w:tc>
        <w:tc>
          <w:tcPr>
            <w:tcW w:w="1365" w:type="dxa"/>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育土路弄堂</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0"/>
                <w:szCs w:val="20"/>
                <w:u w:val="none"/>
                <w:lang w:val="en-US" w:eastAsia="zh-CN" w:bidi="ar"/>
              </w:rPr>
              <w:t>3806.374</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成校停车场</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3930.303</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金锁路东（金锁桥东—农村分界线）</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3612</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育士路西侧停车场</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1872</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长寿路（鹿溪路—长征路，包含长寿桥）</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6850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五杭大桥面积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4717</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育士路（博陆十字路口—小学门口）</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7150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五杭大桥面积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4717</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长征路（博陆长寿桥以西—双桥村界）</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1599</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永宁路停车场（明智村）</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3106.8</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永宁路（兴旺大道-博陆小学）</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14962.5</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12</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鹿溪路西段（博陆-五杭东门桥）</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15270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13</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临杭线K9开始-杭北</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10640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auto"/>
                <w:kern w:val="0"/>
                <w:sz w:val="24"/>
                <w:szCs w:val="24"/>
                <w:highlight w:val="none"/>
                <w:lang w:val="en-US" w:eastAsia="zh-CN"/>
              </w:rPr>
            </w:pPr>
          </w:p>
        </w:tc>
        <w:tc>
          <w:tcPr>
            <w:tcW w:w="363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b/>
                <w:bCs/>
                <w:i w:val="0"/>
                <w:iCs w:val="0"/>
                <w:color w:val="auto"/>
                <w:kern w:val="0"/>
                <w:sz w:val="20"/>
                <w:szCs w:val="20"/>
                <w:u w:val="none"/>
                <w:lang w:val="en-US" w:eastAsia="zh-CN"/>
              </w:rPr>
              <w:t>合计</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 xml:space="preserve">82232.98 </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bl>
    <w:p>
      <w:pPr>
        <w:widowControl w:val="0"/>
        <w:wordWrap/>
        <w:adjustRightInd/>
        <w:snapToGrid/>
        <w:spacing w:line="240" w:lineRule="auto"/>
        <w:jc w:val="both"/>
        <w:textAlignment w:val="auto"/>
        <w:rPr>
          <w:rFonts w:hint="eastAsia" w:ascii="仿宋" w:hAnsi="仿宋" w:eastAsia="仿宋" w:cs="仿宋"/>
          <w:b/>
          <w:color w:val="auto"/>
          <w:kern w:val="0"/>
          <w:sz w:val="24"/>
          <w:szCs w:val="24"/>
          <w:highlight w:val="none"/>
        </w:rPr>
      </w:pPr>
    </w:p>
    <w:p>
      <w:pPr>
        <w:widowControl w:val="0"/>
        <w:wordWrap/>
        <w:adjustRightInd/>
        <w:snapToGrid/>
        <w:spacing w:line="240" w:lineRule="auto"/>
        <w:jc w:val="both"/>
        <w:textAlignment w:val="auto"/>
        <w:rPr>
          <w:rFonts w:hint="eastAsia" w:ascii="仿宋" w:hAnsi="仿宋" w:eastAsia="仿宋" w:cs="仿宋"/>
          <w:b/>
          <w:color w:val="auto"/>
          <w:kern w:val="0"/>
          <w:sz w:val="24"/>
          <w:szCs w:val="24"/>
          <w:highlight w:val="none"/>
        </w:rPr>
      </w:pPr>
    </w:p>
    <w:p>
      <w:pPr>
        <w:widowControl w:val="0"/>
        <w:wordWrap/>
        <w:adjustRightInd/>
        <w:snapToGrid/>
        <w:spacing w:line="240" w:lineRule="auto"/>
        <w:jc w:val="both"/>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④农贸市场保洁</w:t>
      </w:r>
      <w:r>
        <w:rPr>
          <w:rFonts w:hint="eastAsia" w:ascii="仿宋" w:hAnsi="仿宋" w:eastAsia="仿宋" w:cs="仿宋"/>
          <w:b/>
          <w:bCs/>
          <w:color w:val="auto"/>
          <w:sz w:val="24"/>
          <w:szCs w:val="24"/>
          <w:highlight w:val="none"/>
        </w:rPr>
        <w:t>面积表：</w:t>
      </w:r>
    </w:p>
    <w:tbl>
      <w:tblPr>
        <w:tblStyle w:val="64"/>
        <w:tblpPr w:leftFromText="180" w:rightFromText="180" w:vertAnchor="text" w:horzAnchor="page" w:tblpX="1430" w:tblpY="231"/>
        <w:tblOverlap w:val="never"/>
        <w:tblW w:w="911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1"/>
        <w:gridCol w:w="3630"/>
        <w:gridCol w:w="1725"/>
        <w:gridCol w:w="1643"/>
        <w:gridCol w:w="13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trPr>
        <w:tc>
          <w:tcPr>
            <w:tcW w:w="751"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3630"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道路名称</w:t>
            </w:r>
          </w:p>
        </w:tc>
        <w:tc>
          <w:tcPr>
            <w:tcW w:w="1725"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面积㎡</w:t>
            </w:r>
          </w:p>
        </w:tc>
        <w:tc>
          <w:tcPr>
            <w:tcW w:w="1643"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等级</w:t>
            </w:r>
          </w:p>
        </w:tc>
        <w:tc>
          <w:tcPr>
            <w:tcW w:w="1365" w:type="dxa"/>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2"/>
                <w:szCs w:val="22"/>
                <w:u w:val="none"/>
                <w:lang w:val="en-US" w:eastAsia="zh-CN" w:bidi="ar"/>
              </w:rPr>
              <w:t>五杭、博陆农贸市场</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2"/>
                <w:szCs w:val="22"/>
                <w:u w:val="none"/>
                <w:lang w:val="en-US" w:eastAsia="zh-CN" w:bidi="ar"/>
              </w:rPr>
              <w:t>16820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bl>
    <w:p>
      <w:pPr>
        <w:widowControl w:val="0"/>
        <w:wordWrap/>
        <w:adjustRightInd/>
        <w:snapToGrid/>
        <w:spacing w:line="240" w:lineRule="auto"/>
        <w:jc w:val="both"/>
        <w:textAlignment w:val="auto"/>
        <w:rPr>
          <w:rFonts w:hint="eastAsia" w:ascii="仿宋" w:hAnsi="仿宋" w:eastAsia="仿宋" w:cs="仿宋"/>
          <w:b/>
          <w:bCs/>
          <w:color w:val="auto"/>
          <w:sz w:val="24"/>
          <w:szCs w:val="24"/>
          <w:highlight w:val="none"/>
          <w:lang w:val="en-US" w:eastAsia="zh-CN"/>
        </w:rPr>
      </w:pPr>
    </w:p>
    <w:p>
      <w:pPr>
        <w:widowControl w:val="0"/>
        <w:wordWrap/>
        <w:adjustRightInd/>
        <w:snapToGrid/>
        <w:spacing w:line="240" w:lineRule="auto"/>
        <w:jc w:val="both"/>
        <w:textAlignment w:val="auto"/>
        <w:rPr>
          <w:rFonts w:hint="eastAsia" w:ascii="仿宋" w:hAnsi="仿宋" w:eastAsia="仿宋" w:cs="仿宋"/>
          <w:b/>
          <w:bCs/>
          <w:color w:val="auto"/>
          <w:sz w:val="24"/>
          <w:szCs w:val="24"/>
          <w:highlight w:val="none"/>
          <w:lang w:val="en-US" w:eastAsia="zh-CN"/>
        </w:rPr>
      </w:pPr>
    </w:p>
    <w:p>
      <w:pPr>
        <w:widowControl w:val="0"/>
        <w:wordWrap/>
        <w:adjustRightInd/>
        <w:snapToGrid/>
        <w:spacing w:line="240" w:lineRule="auto"/>
        <w:jc w:val="both"/>
        <w:textAlignment w:val="auto"/>
        <w:rPr>
          <w:rFonts w:hint="eastAsia" w:eastAsia="仿宋"/>
          <w:color w:val="auto"/>
          <w:highlight w:val="none"/>
          <w:lang w:val="en-US" w:eastAsia="zh-CN"/>
        </w:rPr>
      </w:pPr>
      <w:r>
        <w:rPr>
          <w:rFonts w:hint="eastAsia" w:ascii="仿宋" w:hAnsi="仿宋" w:eastAsia="仿宋" w:cs="仿宋"/>
          <w:b/>
          <w:bCs/>
          <w:color w:val="auto"/>
          <w:sz w:val="24"/>
          <w:szCs w:val="24"/>
          <w:highlight w:val="none"/>
          <w:lang w:val="en-US" w:eastAsia="zh-CN"/>
        </w:rPr>
        <w:t>⑤</w:t>
      </w:r>
      <w:r>
        <w:rPr>
          <w:rFonts w:hint="eastAsia" w:ascii="仿宋" w:hAnsi="仿宋" w:eastAsia="仿宋" w:cs="仿宋"/>
          <w:b/>
          <w:bCs/>
          <w:color w:val="auto"/>
          <w:sz w:val="24"/>
          <w:szCs w:val="24"/>
          <w:highlight w:val="none"/>
        </w:rPr>
        <w:t>公厕统计表</w:t>
      </w:r>
      <w:r>
        <w:rPr>
          <w:rFonts w:hint="eastAsia" w:ascii="仿宋" w:hAnsi="仿宋" w:eastAsia="仿宋" w:cs="仿宋"/>
          <w:b/>
          <w:bCs/>
          <w:color w:val="auto"/>
          <w:sz w:val="24"/>
          <w:szCs w:val="24"/>
          <w:highlight w:val="none"/>
          <w:lang w:eastAsia="zh-CN"/>
        </w:rPr>
        <w:t>：</w:t>
      </w:r>
    </w:p>
    <w:tbl>
      <w:tblPr>
        <w:tblStyle w:val="64"/>
        <w:tblpPr w:leftFromText="180" w:rightFromText="180" w:vertAnchor="text" w:horzAnchor="page" w:tblpX="1430" w:tblpY="231"/>
        <w:tblOverlap w:val="never"/>
        <w:tblW w:w="90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1"/>
        <w:gridCol w:w="3653"/>
        <w:gridCol w:w="1687"/>
        <w:gridCol w:w="1598"/>
        <w:gridCol w:w="13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3653" w:type="dxa"/>
            <w:vAlign w:val="center"/>
          </w:tcPr>
          <w:p>
            <w:pPr>
              <w:widowControl/>
              <w:spacing w:line="360" w:lineRule="auto"/>
              <w:ind w:firstLine="1200" w:firstLineChars="500"/>
              <w:jc w:val="both"/>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厕所名称</w:t>
            </w:r>
          </w:p>
        </w:tc>
        <w:tc>
          <w:tcPr>
            <w:tcW w:w="1687" w:type="dxa"/>
            <w:vAlign w:val="center"/>
          </w:tcPr>
          <w:p>
            <w:pPr>
              <w:widowControl/>
              <w:spacing w:line="360" w:lineRule="auto"/>
              <w:jc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面积</w:t>
            </w:r>
          </w:p>
        </w:tc>
        <w:tc>
          <w:tcPr>
            <w:tcW w:w="1598" w:type="dxa"/>
            <w:vAlign w:val="center"/>
          </w:tcPr>
          <w:p>
            <w:pPr>
              <w:widowControl/>
              <w:spacing w:line="360" w:lineRule="auto"/>
              <w:jc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标准</w:t>
            </w:r>
          </w:p>
        </w:tc>
        <w:tc>
          <w:tcPr>
            <w:tcW w:w="1395" w:type="dxa"/>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仿宋" w:hAnsi="仿宋" w:eastAsia="仿宋" w:cs="仿宋"/>
                <w:i w:val="0"/>
                <w:iCs w:val="0"/>
                <w:color w:val="auto"/>
                <w:kern w:val="0"/>
                <w:sz w:val="32"/>
                <w:szCs w:val="32"/>
                <w:u w:val="none"/>
                <w:lang w:val="en-US" w:eastAsia="zh-CN" w:bidi="ar"/>
              </w:rPr>
              <w:t>天顺路公厕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46</w:t>
            </w:r>
          </w:p>
        </w:tc>
        <w:tc>
          <w:tcPr>
            <w:tcW w:w="159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rPr>
            </w:pPr>
            <w:r>
              <w:rPr>
                <w:rFonts w:hint="eastAsia" w:ascii="仿宋" w:hAnsi="仿宋" w:eastAsia="仿宋" w:cs="仿宋"/>
                <w:i w:val="0"/>
                <w:iCs w:val="0"/>
                <w:color w:val="auto"/>
                <w:kern w:val="0"/>
                <w:sz w:val="32"/>
                <w:szCs w:val="32"/>
                <w:u w:val="none"/>
                <w:lang w:val="en-US" w:eastAsia="zh-CN" w:bidi="ar"/>
              </w:rPr>
              <w:t>五杭车站公厕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45</w:t>
            </w:r>
          </w:p>
        </w:tc>
        <w:tc>
          <w:tcPr>
            <w:tcW w:w="159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马家湾公厕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50</w:t>
            </w:r>
          </w:p>
        </w:tc>
        <w:tc>
          <w:tcPr>
            <w:tcW w:w="159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宝光路公厕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180</w:t>
            </w:r>
          </w:p>
        </w:tc>
        <w:tc>
          <w:tcPr>
            <w:tcW w:w="159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rPr>
              <w:t>高标准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千亩荷塘公厕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92</w:t>
            </w:r>
          </w:p>
        </w:tc>
        <w:tc>
          <w:tcPr>
            <w:tcW w:w="159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博陆文化阳台公厕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160</w:t>
            </w:r>
          </w:p>
        </w:tc>
        <w:tc>
          <w:tcPr>
            <w:tcW w:w="159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rPr>
              <w:t>高标准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鹿溪路公厕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35</w:t>
            </w:r>
          </w:p>
        </w:tc>
        <w:tc>
          <w:tcPr>
            <w:tcW w:w="159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博陆农贸市场公厕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40</w:t>
            </w:r>
          </w:p>
        </w:tc>
        <w:tc>
          <w:tcPr>
            <w:tcW w:w="159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博陆公交车站公厕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50</w:t>
            </w:r>
          </w:p>
        </w:tc>
        <w:tc>
          <w:tcPr>
            <w:tcW w:w="159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五杭农贸市场</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50</w:t>
            </w:r>
          </w:p>
        </w:tc>
        <w:tc>
          <w:tcPr>
            <w:tcW w:w="1598"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auto"/>
                <w:kern w:val="0"/>
                <w:sz w:val="24"/>
                <w:szCs w:val="24"/>
                <w:highlight w:val="none"/>
                <w:lang w:val="en-US" w:eastAsia="zh-CN"/>
              </w:rPr>
            </w:pPr>
          </w:p>
        </w:tc>
        <w:tc>
          <w:tcPr>
            <w:tcW w:w="365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合计</w:t>
            </w:r>
          </w:p>
        </w:tc>
        <w:tc>
          <w:tcPr>
            <w:tcW w:w="4680" w:type="dxa"/>
            <w:gridSpan w:val="3"/>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10座（8个标准公厕，2个公厕高标准）</w:t>
            </w:r>
          </w:p>
        </w:tc>
      </w:tr>
    </w:tbl>
    <w:p>
      <w:pPr>
        <w:rPr>
          <w:rFonts w:hint="eastAsia"/>
          <w:color w:val="auto"/>
          <w:highlight w:val="none"/>
          <w:lang w:val="en-US" w:eastAsia="zh-CN"/>
        </w:rPr>
      </w:pPr>
    </w:p>
    <w:p>
      <w:pPr>
        <w:pStyle w:val="3"/>
        <w:numPr>
          <w:ilvl w:val="0"/>
          <w:numId w:val="1"/>
        </w:numPr>
        <w:tabs>
          <w:tab w:val="left" w:pos="706"/>
          <w:tab w:val="clear" w:pos="432"/>
        </w:tabs>
        <w:ind w:leftChars="0"/>
        <w:jc w:val="both"/>
        <w:rPr>
          <w:rFonts w:hint="eastAsia" w:ascii="宋体" w:hAnsi="宋体" w:eastAsia="仿宋" w:cs="宋体"/>
          <w:color w:val="auto"/>
          <w:sz w:val="24"/>
          <w:highlight w:val="none"/>
          <w:lang w:val="en-US" w:eastAsia="zh-CN"/>
        </w:rPr>
      </w:pPr>
      <w:r>
        <w:rPr>
          <w:rFonts w:hint="eastAsia" w:ascii="宋体" w:hAnsi="宋体" w:eastAsia="宋体" w:cs="宋体"/>
          <w:color w:val="auto"/>
          <w:sz w:val="24"/>
          <w:szCs w:val="24"/>
          <w:highlight w:val="none"/>
        </w:rPr>
        <w:t>人员配备要求：项目负责人（管理人员）1人，安全员</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人，保洁人员</w:t>
      </w:r>
      <w:r>
        <w:rPr>
          <w:rFonts w:hint="eastAsia" w:ascii="宋体" w:hAnsi="宋体" w:eastAsia="宋体" w:cs="宋体"/>
          <w:color w:val="auto"/>
          <w:sz w:val="24"/>
          <w:szCs w:val="24"/>
          <w:highlight w:val="none"/>
          <w:lang w:val="en-US" w:eastAsia="zh-CN"/>
        </w:rPr>
        <w:t>107</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厕</w:t>
      </w:r>
    </w:p>
    <w:p>
      <w:pPr>
        <w:pStyle w:val="3"/>
        <w:numPr>
          <w:ilvl w:val="0"/>
          <w:numId w:val="0"/>
        </w:numPr>
        <w:tabs>
          <w:tab w:val="left" w:pos="706"/>
          <w:tab w:val="clear" w:pos="432"/>
        </w:tabs>
        <w:ind w:left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所维护人员不少于12人，</w:t>
      </w:r>
      <w:r>
        <w:rPr>
          <w:rFonts w:hint="eastAsia" w:ascii="宋体" w:hAnsi="宋体" w:eastAsia="宋体" w:cs="宋体"/>
          <w:color w:val="auto"/>
          <w:sz w:val="24"/>
          <w:szCs w:val="24"/>
          <w:highlight w:val="none"/>
        </w:rPr>
        <w:t>其他人员自行酌情考虑。</w:t>
      </w:r>
    </w:p>
    <w:p>
      <w:pPr>
        <w:rPr>
          <w:rFonts w:hint="eastAsia" w:ascii="宋体" w:hAnsi="宋体" w:eastAsia="宋体" w:cs="宋体"/>
          <w:color w:val="auto"/>
          <w:sz w:val="24"/>
          <w:szCs w:val="24"/>
          <w:highlight w:val="none"/>
        </w:rPr>
      </w:pPr>
    </w:p>
    <w:p>
      <w:pPr>
        <w:pStyle w:val="2"/>
        <w:rPr>
          <w:rFonts w:hint="eastAsia" w:ascii="宋体" w:hAnsi="宋体" w:cs="宋体"/>
          <w:color w:val="auto"/>
          <w:sz w:val="24"/>
          <w:szCs w:val="24"/>
          <w:highlight w:val="none"/>
          <w:lang w:val="en-US" w:eastAsia="zh-CN"/>
        </w:rPr>
      </w:pPr>
    </w:p>
    <w:p>
      <w:pPr>
        <w:pStyle w:val="2"/>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标项二：杭州市临平区人民政府运河街道办事处2023年1月至2024年12月保洁项目二标段</w:t>
      </w:r>
    </w:p>
    <w:p>
      <w:pPr>
        <w:widowControl w:val="0"/>
        <w:wordWrap/>
        <w:adjustRightInd/>
        <w:snapToGrid/>
        <w:spacing w:line="360" w:lineRule="auto"/>
        <w:ind w:left="0" w:leftChars="0" w:right="0"/>
        <w:jc w:val="left"/>
        <w:outlineLvl w:val="9"/>
        <w:rPr>
          <w:rFonts w:hint="eastAsia"/>
          <w:color w:val="auto"/>
          <w:highlight w:val="none"/>
          <w:lang w:eastAsia="zh-CN"/>
        </w:rPr>
      </w:pPr>
      <w:r>
        <w:rPr>
          <w:rFonts w:hint="eastAsia" w:ascii="仿宋" w:hAnsi="仿宋" w:eastAsia="仿宋" w:cs="仿宋"/>
          <w:b/>
          <w:bCs/>
          <w:color w:val="auto"/>
          <w:sz w:val="24"/>
          <w:highlight w:val="none"/>
          <w:lang w:val="en-US" w:eastAsia="zh-CN"/>
        </w:rPr>
        <w:t>一、</w:t>
      </w:r>
      <w:r>
        <w:rPr>
          <w:rFonts w:hint="eastAsia" w:ascii="宋体" w:hAnsi="宋体" w:eastAsia="宋体" w:cs="宋体"/>
          <w:b/>
          <w:color w:val="auto"/>
          <w:sz w:val="24"/>
          <w:highlight w:val="none"/>
        </w:rPr>
        <w:t>服务招标实施范围</w:t>
      </w:r>
      <w:r>
        <w:rPr>
          <w:rFonts w:hint="eastAsia" w:ascii="宋体" w:hAnsi="宋体" w:eastAsia="宋体" w:cs="宋体"/>
          <w:b/>
          <w:color w:val="auto"/>
          <w:sz w:val="24"/>
          <w:highlight w:val="none"/>
          <w:lang w:eastAsia="zh-CN"/>
        </w:rPr>
        <w:t>：</w:t>
      </w:r>
      <w:r>
        <w:rPr>
          <w:rFonts w:hint="eastAsia" w:ascii="宋体" w:hAnsi="宋体" w:cs="宋体"/>
          <w:b/>
          <w:color w:val="auto"/>
          <w:sz w:val="24"/>
          <w:highlight w:val="none"/>
          <w:lang w:eastAsia="zh-CN"/>
        </w:rPr>
        <w:t>杭州市临平区人民政府运河街道办事处2023年1月至2024年12月保洁项目二标段，核心区域（一类道路）84751.4</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eastAsia="zh-CN"/>
        </w:rPr>
        <w:t>；非核心区域（二类道路）119523.6</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eastAsia="zh-CN"/>
        </w:rPr>
        <w:t>；非城市化管理区域（三类道路）</w:t>
      </w:r>
      <w:r>
        <w:rPr>
          <w:rFonts w:hint="eastAsia" w:ascii="宋体" w:hAnsi="宋体" w:cs="宋体"/>
          <w:color w:val="auto"/>
          <w:kern w:val="0"/>
          <w:sz w:val="24"/>
          <w:szCs w:val="24"/>
          <w:highlight w:val="none"/>
          <w:lang w:val="en-US" w:eastAsia="zh-CN"/>
        </w:rPr>
        <w:t>128978.5</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eastAsia="zh-CN"/>
        </w:rPr>
        <w:t>；农贸市场</w:t>
      </w:r>
      <w:r>
        <w:rPr>
          <w:rFonts w:hint="eastAsia" w:ascii="宋体" w:hAnsi="宋体" w:cs="宋体"/>
          <w:color w:val="auto"/>
          <w:kern w:val="0"/>
          <w:sz w:val="24"/>
          <w:szCs w:val="24"/>
          <w:highlight w:val="none"/>
          <w:lang w:val="en-US" w:eastAsia="zh-CN"/>
        </w:rPr>
        <w:t>8000</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eastAsia="zh-CN"/>
        </w:rPr>
        <w:t>；公厕</w:t>
      </w:r>
      <w:r>
        <w:rPr>
          <w:rFonts w:hint="eastAsia" w:ascii="宋体" w:hAnsi="宋体" w:cs="宋体"/>
          <w:color w:val="auto"/>
          <w:kern w:val="0"/>
          <w:sz w:val="24"/>
          <w:szCs w:val="24"/>
          <w:highlight w:val="none"/>
          <w:lang w:val="en-US" w:eastAsia="zh-CN"/>
        </w:rPr>
        <w:t>8</w:t>
      </w:r>
      <w:r>
        <w:rPr>
          <w:rFonts w:hint="eastAsia" w:ascii="宋体" w:hAnsi="宋体" w:cs="宋体"/>
          <w:color w:val="auto"/>
          <w:kern w:val="0"/>
          <w:sz w:val="24"/>
          <w:szCs w:val="24"/>
          <w:highlight w:val="none"/>
          <w:lang w:eastAsia="zh-CN"/>
        </w:rPr>
        <w:t>个公厕（</w:t>
      </w:r>
      <w:r>
        <w:rPr>
          <w:rFonts w:hint="eastAsia" w:ascii="宋体" w:hAnsi="宋体" w:cs="宋体"/>
          <w:color w:val="auto"/>
          <w:kern w:val="0"/>
          <w:sz w:val="24"/>
          <w:szCs w:val="24"/>
          <w:highlight w:val="none"/>
          <w:lang w:val="en-US" w:eastAsia="zh-CN"/>
        </w:rPr>
        <w:t>7</w:t>
      </w:r>
      <w:r>
        <w:rPr>
          <w:rFonts w:hint="eastAsia" w:ascii="宋体" w:hAnsi="宋体" w:cs="宋体"/>
          <w:color w:val="auto"/>
          <w:kern w:val="0"/>
          <w:sz w:val="24"/>
          <w:szCs w:val="24"/>
          <w:highlight w:val="none"/>
          <w:lang w:eastAsia="zh-CN"/>
        </w:rPr>
        <w:t>个标准公厕，</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lang w:eastAsia="zh-CN"/>
        </w:rPr>
        <w:t>个公厕高标准），道路全长</w:t>
      </w:r>
      <w:r>
        <w:rPr>
          <w:rFonts w:hint="eastAsia" w:ascii="宋体" w:hAnsi="宋体" w:cs="宋体"/>
          <w:color w:val="auto"/>
          <w:kern w:val="0"/>
          <w:sz w:val="24"/>
          <w:szCs w:val="24"/>
          <w:highlight w:val="none"/>
          <w:lang w:val="en-US" w:eastAsia="zh-CN"/>
        </w:rPr>
        <w:t>12.694</w:t>
      </w:r>
      <w:r>
        <w:rPr>
          <w:rFonts w:hint="eastAsia" w:ascii="宋体" w:hAnsi="宋体" w:cs="宋体"/>
          <w:color w:val="auto"/>
          <w:kern w:val="0"/>
          <w:sz w:val="24"/>
          <w:szCs w:val="24"/>
          <w:highlight w:val="none"/>
          <w:lang w:eastAsia="zh-CN"/>
        </w:rPr>
        <w:t>公里</w:t>
      </w:r>
      <w:r>
        <w:rPr>
          <w:rFonts w:hint="eastAsia" w:ascii="宋体" w:hAnsi="宋体" w:eastAsia="宋体" w:cs="宋体"/>
          <w:b/>
          <w:color w:val="auto"/>
          <w:sz w:val="24"/>
          <w:highlight w:val="none"/>
          <w:lang w:eastAsia="zh-CN"/>
        </w:rPr>
        <w:t>。</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2条音乐线收集以及全范围内牛皮鲜清理</w:t>
      </w:r>
      <w:r>
        <w:rPr>
          <w:rFonts w:hint="eastAsia" w:ascii="宋体" w:hAnsi="宋体" w:cs="宋体"/>
          <w:b/>
          <w:color w:val="auto"/>
          <w:sz w:val="24"/>
          <w:highlight w:val="none"/>
          <w:lang w:eastAsia="zh-CN"/>
        </w:rPr>
        <w:t>）</w:t>
      </w:r>
    </w:p>
    <w:p>
      <w:pPr>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rPr>
        <w:t>、保洁</w:t>
      </w:r>
      <w:r>
        <w:rPr>
          <w:rFonts w:hint="eastAsia" w:ascii="宋体" w:hAnsi="宋体" w:cs="宋体"/>
          <w:b/>
          <w:bCs/>
          <w:color w:val="auto"/>
          <w:sz w:val="24"/>
          <w:highlight w:val="none"/>
          <w:lang w:val="en-US" w:eastAsia="zh-CN"/>
        </w:rPr>
        <w:t>范围</w:t>
      </w:r>
      <w:r>
        <w:rPr>
          <w:rFonts w:hint="eastAsia" w:ascii="宋体" w:hAnsi="宋体" w:cs="宋体"/>
          <w:b/>
          <w:bCs/>
          <w:color w:val="auto"/>
          <w:sz w:val="24"/>
          <w:highlight w:val="none"/>
        </w:rPr>
        <w:t>：</w:t>
      </w:r>
    </w:p>
    <w:p>
      <w:pPr>
        <w:widowControl w:val="0"/>
        <w:wordWrap/>
        <w:adjustRightInd/>
        <w:snapToGrid/>
        <w:spacing w:line="240" w:lineRule="auto"/>
        <w:jc w:val="both"/>
        <w:textAlignment w:val="auto"/>
        <w:rPr>
          <w:rFonts w:hint="eastAsia"/>
          <w:color w:val="auto"/>
          <w:highlight w:val="none"/>
        </w:rPr>
      </w:pPr>
      <w:r>
        <w:rPr>
          <w:rFonts w:hint="eastAsia" w:ascii="仿宋" w:hAnsi="仿宋" w:eastAsia="仿宋" w:cs="仿宋"/>
          <w:b/>
          <w:bCs/>
          <w:color w:val="auto"/>
          <w:sz w:val="24"/>
          <w:szCs w:val="24"/>
          <w:highlight w:val="none"/>
        </w:rPr>
        <w:t>①</w:t>
      </w:r>
      <w:r>
        <w:rPr>
          <w:rFonts w:hint="eastAsia" w:ascii="仿宋" w:hAnsi="仿宋" w:eastAsia="仿宋" w:cs="仿宋"/>
          <w:b/>
          <w:bCs/>
          <w:color w:val="auto"/>
          <w:sz w:val="24"/>
          <w:szCs w:val="24"/>
          <w:highlight w:val="none"/>
          <w:lang w:eastAsia="zh-CN"/>
        </w:rPr>
        <w:t>核心区域</w:t>
      </w:r>
      <w:r>
        <w:rPr>
          <w:rFonts w:hint="eastAsia" w:ascii="仿宋" w:hAnsi="仿宋" w:eastAsia="仿宋" w:cs="仿宋"/>
          <w:b/>
          <w:bCs/>
          <w:color w:val="auto"/>
          <w:sz w:val="24"/>
          <w:szCs w:val="24"/>
          <w:highlight w:val="none"/>
          <w:lang w:val="en-US" w:eastAsia="zh-CN"/>
        </w:rPr>
        <w:t>保洁</w:t>
      </w:r>
      <w:r>
        <w:rPr>
          <w:rFonts w:hint="eastAsia" w:ascii="仿宋" w:hAnsi="仿宋" w:eastAsia="仿宋" w:cs="仿宋"/>
          <w:b/>
          <w:bCs/>
          <w:color w:val="auto"/>
          <w:sz w:val="24"/>
          <w:szCs w:val="24"/>
          <w:highlight w:val="none"/>
        </w:rPr>
        <w:t>面积表</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一类道路）</w:t>
      </w:r>
      <w:r>
        <w:rPr>
          <w:rFonts w:hint="eastAsia" w:ascii="仿宋" w:hAnsi="仿宋" w:eastAsia="仿宋" w:cs="仿宋"/>
          <w:b/>
          <w:bCs/>
          <w:color w:val="auto"/>
          <w:sz w:val="24"/>
          <w:szCs w:val="24"/>
          <w:highlight w:val="none"/>
        </w:rPr>
        <w:t>：</w:t>
      </w:r>
    </w:p>
    <w:tbl>
      <w:tblPr>
        <w:tblStyle w:val="64"/>
        <w:tblpPr w:leftFromText="180" w:rightFromText="180" w:vertAnchor="text" w:horzAnchor="page" w:tblpX="1430" w:tblpY="231"/>
        <w:tblOverlap w:val="never"/>
        <w:tblW w:w="911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1"/>
        <w:gridCol w:w="3630"/>
        <w:gridCol w:w="1725"/>
        <w:gridCol w:w="1643"/>
        <w:gridCol w:w="13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trPr>
        <w:tc>
          <w:tcPr>
            <w:tcW w:w="751"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3630"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道路名称</w:t>
            </w:r>
          </w:p>
        </w:tc>
        <w:tc>
          <w:tcPr>
            <w:tcW w:w="1725"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道路</w:t>
            </w:r>
            <w:r>
              <w:rPr>
                <w:rFonts w:hint="eastAsia" w:ascii="宋体" w:hAnsi="宋体" w:eastAsia="宋体" w:cs="宋体"/>
                <w:color w:val="auto"/>
                <w:kern w:val="0"/>
                <w:sz w:val="24"/>
                <w:szCs w:val="24"/>
                <w:highlight w:val="none"/>
              </w:rPr>
              <w:t>面积㎡</w:t>
            </w:r>
          </w:p>
        </w:tc>
        <w:tc>
          <w:tcPr>
            <w:tcW w:w="1643"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道路等级</w:t>
            </w:r>
          </w:p>
        </w:tc>
        <w:tc>
          <w:tcPr>
            <w:tcW w:w="1365" w:type="dxa"/>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湖潭路（东湖北路-南桥）</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0"/>
                <w:szCs w:val="20"/>
                <w:u w:val="none"/>
                <w:lang w:val="en-US" w:eastAsia="zh-CN" w:bidi="ar"/>
              </w:rPr>
              <w:t>36410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褚家坝市场西门口（湖谭路路口-宁桥大道路口）</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2011.5</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杭机路（宏达路—五洲路）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11328</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泰极路（杭机路—东湖北路）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1758</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宏达路（杭机路—东湖北路）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996</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兴旺广场周边人行道</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4799.4</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润达广场人行道</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423</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玲珑香榭人行道</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4025.3</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运潭公寓人行道</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3901.4</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旺盛路（东湖路—工厂东侧围墙）</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11847.4</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湖潭路先生桥停车位</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660.4</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12</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蝶变创业街区公园</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5257.8</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13</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幼儿园停车场</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1333.2</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auto"/>
                <w:kern w:val="0"/>
                <w:sz w:val="24"/>
                <w:szCs w:val="24"/>
                <w:highlight w:val="none"/>
                <w:lang w:val="en-US" w:eastAsia="zh-CN"/>
              </w:rPr>
            </w:pPr>
          </w:p>
        </w:tc>
        <w:tc>
          <w:tcPr>
            <w:tcW w:w="363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b/>
                <w:bCs/>
                <w:i w:val="0"/>
                <w:iCs w:val="0"/>
                <w:color w:val="auto"/>
                <w:kern w:val="0"/>
                <w:sz w:val="20"/>
                <w:szCs w:val="20"/>
                <w:u w:val="none"/>
                <w:lang w:val="en-US" w:eastAsia="zh-CN"/>
              </w:rPr>
              <w:t>合计</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cs="宋体"/>
                <w:b/>
                <w:color w:val="auto"/>
                <w:sz w:val="24"/>
                <w:highlight w:val="none"/>
                <w:lang w:eastAsia="zh-CN"/>
              </w:rPr>
              <w:t>84751.4</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bl>
    <w:p>
      <w:pPr>
        <w:widowControl/>
        <w:jc w:val="center"/>
        <w:textAlignment w:val="center"/>
        <w:rPr>
          <w:rFonts w:hint="eastAsia" w:ascii="宋体" w:hAnsi="宋体" w:eastAsia="宋体" w:cs="宋体"/>
          <w:i w:val="0"/>
          <w:iCs w:val="0"/>
          <w:color w:val="auto"/>
          <w:kern w:val="0"/>
          <w:sz w:val="20"/>
          <w:szCs w:val="20"/>
          <w:u w:val="none"/>
          <w:lang w:val="en-US" w:eastAsia="zh-CN"/>
        </w:rPr>
      </w:pPr>
    </w:p>
    <w:p>
      <w:pPr>
        <w:pStyle w:val="3"/>
        <w:tabs>
          <w:tab w:val="left" w:pos="882"/>
          <w:tab w:val="clear" w:pos="432"/>
        </w:tabs>
        <w:ind w:left="0" w:leftChars="0" w:firstLine="0" w:firstLineChars="0"/>
        <w:rPr>
          <w:rFonts w:hint="eastAsia"/>
          <w:color w:val="auto"/>
          <w:lang w:val="en-US" w:eastAsia="zh-CN"/>
        </w:rPr>
      </w:pPr>
    </w:p>
    <w:p>
      <w:pPr>
        <w:rPr>
          <w:rFonts w:hint="eastAsia"/>
          <w:color w:val="auto"/>
          <w:lang w:val="en-US" w:eastAsia="zh-CN"/>
        </w:rPr>
      </w:pPr>
    </w:p>
    <w:p>
      <w:pPr>
        <w:widowControl w:val="0"/>
        <w:wordWrap/>
        <w:adjustRightInd/>
        <w:snapToGrid/>
        <w:spacing w:line="240" w:lineRule="auto"/>
        <w:jc w:val="both"/>
        <w:textAlignment w:val="auto"/>
        <w:rPr>
          <w:rFonts w:hint="eastAsia" w:ascii="宋体" w:hAnsi="宋体" w:eastAsia="仿宋" w:cs="宋体"/>
          <w:color w:val="auto"/>
          <w:sz w:val="24"/>
          <w:highlight w:val="none"/>
          <w:lang w:val="en-US" w:eastAsia="zh-CN"/>
        </w:rPr>
      </w:pPr>
      <w:r>
        <w:rPr>
          <w:rFonts w:hint="eastAsia" w:ascii="仿宋" w:hAnsi="仿宋" w:eastAsia="仿宋" w:cs="仿宋"/>
          <w:b/>
          <w:bCs/>
          <w:color w:val="auto"/>
          <w:sz w:val="24"/>
          <w:szCs w:val="24"/>
          <w:highlight w:val="none"/>
        </w:rPr>
        <w:t>②非核心区域（二类道路）</w:t>
      </w:r>
      <w:r>
        <w:rPr>
          <w:rFonts w:hint="eastAsia" w:ascii="仿宋" w:hAnsi="仿宋" w:eastAsia="仿宋" w:cs="仿宋"/>
          <w:b/>
          <w:bCs/>
          <w:color w:val="auto"/>
          <w:sz w:val="24"/>
          <w:szCs w:val="24"/>
          <w:highlight w:val="none"/>
          <w:lang w:val="en-US" w:eastAsia="zh-CN"/>
        </w:rPr>
        <w:t>保洁</w:t>
      </w:r>
      <w:r>
        <w:rPr>
          <w:rFonts w:hint="eastAsia" w:ascii="仿宋" w:hAnsi="仿宋" w:eastAsia="仿宋" w:cs="仿宋"/>
          <w:b/>
          <w:bCs/>
          <w:color w:val="auto"/>
          <w:sz w:val="24"/>
          <w:szCs w:val="24"/>
          <w:highlight w:val="none"/>
        </w:rPr>
        <w:t>面积表</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二类道路）</w:t>
      </w:r>
      <w:r>
        <w:rPr>
          <w:rFonts w:hint="eastAsia" w:ascii="仿宋" w:hAnsi="仿宋" w:eastAsia="仿宋" w:cs="仿宋"/>
          <w:b/>
          <w:bCs/>
          <w:color w:val="auto"/>
          <w:sz w:val="24"/>
          <w:szCs w:val="24"/>
          <w:highlight w:val="none"/>
        </w:rPr>
        <w:t>：</w:t>
      </w:r>
    </w:p>
    <w:tbl>
      <w:tblPr>
        <w:tblStyle w:val="64"/>
        <w:tblpPr w:leftFromText="180" w:rightFromText="180" w:vertAnchor="text" w:horzAnchor="page" w:tblpX="1430" w:tblpY="231"/>
        <w:tblOverlap w:val="never"/>
        <w:tblW w:w="91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1"/>
        <w:gridCol w:w="3630"/>
        <w:gridCol w:w="1740"/>
        <w:gridCol w:w="1590"/>
        <w:gridCol w:w="14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3630"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道路名称</w:t>
            </w:r>
          </w:p>
        </w:tc>
        <w:tc>
          <w:tcPr>
            <w:tcW w:w="1740"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道路</w:t>
            </w:r>
            <w:r>
              <w:rPr>
                <w:rFonts w:hint="eastAsia" w:ascii="宋体" w:hAnsi="宋体" w:eastAsia="宋体" w:cs="宋体"/>
                <w:color w:val="auto"/>
                <w:kern w:val="0"/>
                <w:sz w:val="24"/>
                <w:szCs w:val="24"/>
                <w:highlight w:val="none"/>
              </w:rPr>
              <w:t>面积㎡</w:t>
            </w:r>
          </w:p>
        </w:tc>
        <w:tc>
          <w:tcPr>
            <w:tcW w:w="1590"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道路等级</w:t>
            </w:r>
          </w:p>
        </w:tc>
        <w:tc>
          <w:tcPr>
            <w:tcW w:w="1410" w:type="dxa"/>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余庆桥游步道</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2000</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亭趾港游步道</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8448</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东湖北路（陆水湾桥——兴旺大道）</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70916.5</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永宁路（南桥—观音桥）</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4025</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日辉路南（湖潭路—奥赛德布艺桥）含亭趾社区停车场</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10509</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银桥路（日辉路—老临博公路）</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4285</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刘家道地路（原邮电所—景亭路）</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960</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日辉路北（奥赛德布艺桥—兴旺大道）</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4590</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联新路（兴旺村杨家墩小区）</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4521</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双慈医院附近开发空间</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2802.02</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花园路（东湖北路—日辉路）</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7067</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1"/>
                <w:szCs w:val="21"/>
                <w:highlight w:val="none"/>
                <w:u w:val="none"/>
                <w:lang w:val="en-US" w:eastAsia="zh-CN"/>
              </w:rPr>
              <w:t>二类</w:t>
            </w: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i w:val="0"/>
                <w:iCs w:val="0"/>
                <w:color w:val="auto"/>
                <w:kern w:val="0"/>
                <w:sz w:val="24"/>
                <w:szCs w:val="24"/>
                <w:u w:val="none"/>
                <w:lang w:val="en-US" w:eastAsia="zh-CN"/>
              </w:rPr>
            </w:pPr>
          </w:p>
        </w:tc>
        <w:tc>
          <w:tcPr>
            <w:tcW w:w="363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b/>
                <w:bCs/>
                <w:i w:val="0"/>
                <w:iCs w:val="0"/>
                <w:color w:val="auto"/>
                <w:kern w:val="0"/>
                <w:sz w:val="20"/>
                <w:szCs w:val="20"/>
                <w:u w:val="none"/>
                <w:lang w:val="en-US" w:eastAsia="zh-CN"/>
              </w:rPr>
              <w:t>合计</w:t>
            </w:r>
          </w:p>
        </w:tc>
        <w:tc>
          <w:tcPr>
            <w:tcW w:w="17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0"/>
                <w:szCs w:val="20"/>
                <w:u w:val="none"/>
                <w:lang w:val="en-US" w:eastAsia="zh-CN" w:bidi="ar-SA"/>
              </w:rPr>
            </w:pPr>
            <w:r>
              <w:rPr>
                <w:rFonts w:hint="eastAsia" w:ascii="宋体" w:hAnsi="宋体" w:cs="宋体"/>
                <w:color w:val="auto"/>
                <w:kern w:val="0"/>
                <w:sz w:val="24"/>
                <w:szCs w:val="24"/>
                <w:highlight w:val="none"/>
                <w:lang w:eastAsia="zh-CN"/>
              </w:rPr>
              <w:t>119523.6</w:t>
            </w:r>
          </w:p>
        </w:tc>
        <w:tc>
          <w:tcPr>
            <w:tcW w:w="159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i w:val="0"/>
                <w:iCs w:val="0"/>
                <w:color w:val="auto"/>
                <w:kern w:val="0"/>
                <w:sz w:val="21"/>
                <w:szCs w:val="21"/>
                <w:highlight w:val="none"/>
                <w:u w:val="none"/>
                <w:lang w:val="en-US" w:eastAsia="zh-CN"/>
              </w:rPr>
            </w:pPr>
          </w:p>
        </w:tc>
        <w:tc>
          <w:tcPr>
            <w:tcW w:w="141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p>
        </w:tc>
      </w:tr>
    </w:tbl>
    <w:p>
      <w:pPr>
        <w:adjustRightInd/>
        <w:spacing w:line="360" w:lineRule="auto"/>
        <w:jc w:val="both"/>
        <w:rPr>
          <w:rFonts w:hint="eastAsia" w:ascii="仿宋" w:hAnsi="仿宋" w:eastAsia="仿宋" w:cs="仿宋"/>
          <w:b/>
          <w:color w:val="auto"/>
          <w:kern w:val="0"/>
          <w:sz w:val="24"/>
          <w:szCs w:val="24"/>
          <w:highlight w:val="none"/>
        </w:rPr>
      </w:pPr>
    </w:p>
    <w:p>
      <w:pPr>
        <w:widowControl w:val="0"/>
        <w:wordWrap/>
        <w:adjustRightInd/>
        <w:snapToGrid/>
        <w:spacing w:line="240" w:lineRule="auto"/>
        <w:jc w:val="both"/>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③非城市化管理区域（三类道路）</w:t>
      </w:r>
      <w:r>
        <w:rPr>
          <w:rFonts w:hint="eastAsia" w:ascii="仿宋" w:hAnsi="仿宋" w:eastAsia="仿宋" w:cs="仿宋"/>
          <w:b/>
          <w:bCs/>
          <w:color w:val="auto"/>
          <w:sz w:val="24"/>
          <w:szCs w:val="24"/>
          <w:highlight w:val="none"/>
          <w:lang w:val="en-US" w:eastAsia="zh-CN"/>
        </w:rPr>
        <w:t>保洁</w:t>
      </w:r>
      <w:r>
        <w:rPr>
          <w:rFonts w:hint="eastAsia" w:ascii="仿宋" w:hAnsi="仿宋" w:eastAsia="仿宋" w:cs="仿宋"/>
          <w:b/>
          <w:bCs/>
          <w:color w:val="auto"/>
          <w:sz w:val="24"/>
          <w:szCs w:val="24"/>
          <w:highlight w:val="none"/>
        </w:rPr>
        <w:t>面积表</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三类道路）</w:t>
      </w:r>
      <w:r>
        <w:rPr>
          <w:rFonts w:hint="eastAsia" w:ascii="仿宋" w:hAnsi="仿宋" w:eastAsia="仿宋" w:cs="仿宋"/>
          <w:b/>
          <w:bCs/>
          <w:color w:val="auto"/>
          <w:sz w:val="24"/>
          <w:szCs w:val="24"/>
          <w:highlight w:val="none"/>
        </w:rPr>
        <w:t>：</w:t>
      </w:r>
    </w:p>
    <w:tbl>
      <w:tblPr>
        <w:tblStyle w:val="64"/>
        <w:tblpPr w:leftFromText="180" w:rightFromText="180" w:vertAnchor="text" w:horzAnchor="page" w:tblpX="1430" w:tblpY="231"/>
        <w:tblOverlap w:val="never"/>
        <w:tblW w:w="911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1"/>
        <w:gridCol w:w="3630"/>
        <w:gridCol w:w="1725"/>
        <w:gridCol w:w="1643"/>
        <w:gridCol w:w="13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trPr>
        <w:tc>
          <w:tcPr>
            <w:tcW w:w="751"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3630"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道路名称</w:t>
            </w:r>
          </w:p>
        </w:tc>
        <w:tc>
          <w:tcPr>
            <w:tcW w:w="1725"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道路</w:t>
            </w:r>
            <w:r>
              <w:rPr>
                <w:rFonts w:hint="eastAsia" w:ascii="宋体" w:hAnsi="宋体" w:eastAsia="宋体" w:cs="宋体"/>
                <w:color w:val="auto"/>
                <w:kern w:val="0"/>
                <w:sz w:val="24"/>
                <w:szCs w:val="24"/>
                <w:highlight w:val="none"/>
              </w:rPr>
              <w:t>面积㎡</w:t>
            </w:r>
          </w:p>
        </w:tc>
        <w:tc>
          <w:tcPr>
            <w:tcW w:w="1643"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道路等级</w:t>
            </w:r>
          </w:p>
        </w:tc>
        <w:tc>
          <w:tcPr>
            <w:tcW w:w="1365" w:type="dxa"/>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旺盛路公厕公园</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0"/>
                <w:szCs w:val="20"/>
                <w:u w:val="none"/>
                <w:lang w:val="en-US" w:eastAsia="zh-CN" w:bidi="ar"/>
              </w:rPr>
              <w:t>121</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荷禹路</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123870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0"/>
                <w:szCs w:val="20"/>
                <w:u w:val="none"/>
                <w:lang w:val="en-US" w:eastAsia="zh-CN" w:bidi="ar"/>
              </w:rPr>
              <w:t>永宁路（观音桥-兴旺大道）</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0"/>
                <w:szCs w:val="20"/>
                <w:u w:val="none"/>
                <w:lang w:val="en-US" w:eastAsia="zh-CN" w:bidi="ar"/>
              </w:rPr>
              <w:t>4987.5</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auto"/>
                <w:kern w:val="0"/>
                <w:sz w:val="24"/>
                <w:szCs w:val="24"/>
                <w:highlight w:val="none"/>
                <w:lang w:val="en-US" w:eastAsia="zh-CN"/>
              </w:rPr>
            </w:pPr>
          </w:p>
        </w:tc>
        <w:tc>
          <w:tcPr>
            <w:tcW w:w="363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b/>
                <w:bCs/>
                <w:i w:val="0"/>
                <w:iCs w:val="0"/>
                <w:color w:val="auto"/>
                <w:kern w:val="0"/>
                <w:sz w:val="20"/>
                <w:szCs w:val="20"/>
                <w:u w:val="none"/>
                <w:lang w:val="en-US" w:eastAsia="zh-CN"/>
              </w:rPr>
              <w:t>合计</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2"/>
                <w:sz w:val="20"/>
                <w:szCs w:val="20"/>
                <w:u w:val="none"/>
                <w:lang w:val="en-US" w:eastAsia="zh-CN" w:bidi="ar-SA"/>
              </w:rPr>
            </w:pPr>
            <w:r>
              <w:rPr>
                <w:rFonts w:hint="eastAsia" w:ascii="宋体" w:hAnsi="宋体" w:cs="宋体"/>
                <w:color w:val="auto"/>
                <w:kern w:val="0"/>
                <w:sz w:val="24"/>
                <w:szCs w:val="24"/>
                <w:highlight w:val="none"/>
                <w:lang w:val="en-US" w:eastAsia="zh-CN"/>
              </w:rPr>
              <w:t>128978.5</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bl>
    <w:p>
      <w:pPr>
        <w:widowControl w:val="0"/>
        <w:wordWrap/>
        <w:adjustRightInd/>
        <w:snapToGrid/>
        <w:spacing w:line="240" w:lineRule="auto"/>
        <w:jc w:val="both"/>
        <w:textAlignment w:val="auto"/>
        <w:rPr>
          <w:rFonts w:hint="eastAsia" w:ascii="仿宋" w:hAnsi="仿宋" w:eastAsia="仿宋" w:cs="仿宋"/>
          <w:b/>
          <w:color w:val="auto"/>
          <w:kern w:val="0"/>
          <w:sz w:val="24"/>
          <w:szCs w:val="24"/>
          <w:highlight w:val="none"/>
        </w:rPr>
      </w:pPr>
    </w:p>
    <w:p>
      <w:pPr>
        <w:widowControl w:val="0"/>
        <w:wordWrap/>
        <w:adjustRightInd/>
        <w:snapToGrid/>
        <w:spacing w:line="240" w:lineRule="auto"/>
        <w:jc w:val="both"/>
        <w:textAlignment w:val="auto"/>
        <w:rPr>
          <w:rFonts w:hint="eastAsia" w:ascii="仿宋" w:hAnsi="仿宋" w:eastAsia="仿宋" w:cs="仿宋"/>
          <w:b/>
          <w:color w:val="auto"/>
          <w:kern w:val="0"/>
          <w:sz w:val="24"/>
          <w:szCs w:val="24"/>
          <w:highlight w:val="none"/>
        </w:rPr>
      </w:pPr>
    </w:p>
    <w:p>
      <w:pPr>
        <w:pStyle w:val="3"/>
        <w:rPr>
          <w:rFonts w:hint="eastAsia" w:ascii="仿宋" w:hAnsi="仿宋" w:eastAsia="仿宋" w:cs="仿宋"/>
          <w:b/>
          <w:color w:val="auto"/>
          <w:kern w:val="0"/>
          <w:sz w:val="24"/>
          <w:szCs w:val="24"/>
          <w:highlight w:val="none"/>
        </w:rPr>
      </w:pPr>
    </w:p>
    <w:p>
      <w:pPr>
        <w:rPr>
          <w:rFonts w:hint="eastAsia"/>
          <w:color w:val="auto"/>
        </w:rPr>
      </w:pPr>
    </w:p>
    <w:p>
      <w:pPr>
        <w:widowControl w:val="0"/>
        <w:wordWrap/>
        <w:adjustRightInd/>
        <w:snapToGrid/>
        <w:spacing w:line="240" w:lineRule="auto"/>
        <w:jc w:val="both"/>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④农贸市场保洁</w:t>
      </w:r>
      <w:r>
        <w:rPr>
          <w:rFonts w:hint="eastAsia" w:ascii="仿宋" w:hAnsi="仿宋" w:eastAsia="仿宋" w:cs="仿宋"/>
          <w:b/>
          <w:bCs/>
          <w:color w:val="auto"/>
          <w:sz w:val="24"/>
          <w:szCs w:val="24"/>
          <w:highlight w:val="none"/>
        </w:rPr>
        <w:t>面积表：</w:t>
      </w:r>
    </w:p>
    <w:tbl>
      <w:tblPr>
        <w:tblStyle w:val="64"/>
        <w:tblpPr w:leftFromText="180" w:rightFromText="180" w:vertAnchor="text" w:horzAnchor="page" w:tblpX="1430" w:tblpY="231"/>
        <w:tblOverlap w:val="never"/>
        <w:tblW w:w="911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1"/>
        <w:gridCol w:w="3630"/>
        <w:gridCol w:w="1725"/>
        <w:gridCol w:w="1643"/>
        <w:gridCol w:w="13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trPr>
        <w:tc>
          <w:tcPr>
            <w:tcW w:w="751"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3630"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道路名称</w:t>
            </w:r>
          </w:p>
        </w:tc>
        <w:tc>
          <w:tcPr>
            <w:tcW w:w="1725"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面积㎡</w:t>
            </w:r>
          </w:p>
        </w:tc>
        <w:tc>
          <w:tcPr>
            <w:tcW w:w="1643"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等级</w:t>
            </w:r>
          </w:p>
        </w:tc>
        <w:tc>
          <w:tcPr>
            <w:tcW w:w="1365" w:type="dxa"/>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63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i w:val="0"/>
                <w:iCs w:val="0"/>
                <w:color w:val="auto"/>
                <w:kern w:val="0"/>
                <w:sz w:val="22"/>
                <w:szCs w:val="22"/>
                <w:u w:val="none"/>
                <w:lang w:val="en-US" w:eastAsia="zh-CN" w:bidi="ar"/>
              </w:rPr>
              <w:t>亭址农贸市场</w:t>
            </w:r>
          </w:p>
        </w:tc>
        <w:tc>
          <w:tcPr>
            <w:tcW w:w="172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rPr>
            </w:pPr>
            <w:r>
              <w:rPr>
                <w:rFonts w:hint="eastAsia" w:ascii="宋体" w:hAnsi="宋体" w:eastAsia="宋体" w:cs="宋体"/>
                <w:i w:val="0"/>
                <w:iCs w:val="0"/>
                <w:color w:val="auto"/>
                <w:kern w:val="0"/>
                <w:sz w:val="22"/>
                <w:szCs w:val="22"/>
                <w:u w:val="none"/>
                <w:lang w:val="en-US" w:eastAsia="zh-CN" w:bidi="ar"/>
              </w:rPr>
              <w:t>8000</w:t>
            </w:r>
          </w:p>
        </w:tc>
        <w:tc>
          <w:tcPr>
            <w:tcW w:w="164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类</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p>
        </w:tc>
      </w:tr>
    </w:tbl>
    <w:p>
      <w:pPr>
        <w:widowControl w:val="0"/>
        <w:wordWrap/>
        <w:adjustRightInd/>
        <w:snapToGrid/>
        <w:spacing w:line="240" w:lineRule="auto"/>
        <w:jc w:val="both"/>
        <w:textAlignment w:val="auto"/>
        <w:rPr>
          <w:rFonts w:hint="eastAsia" w:ascii="仿宋" w:hAnsi="仿宋" w:eastAsia="仿宋" w:cs="仿宋"/>
          <w:b/>
          <w:bCs/>
          <w:color w:val="auto"/>
          <w:sz w:val="24"/>
          <w:szCs w:val="24"/>
          <w:highlight w:val="none"/>
          <w:lang w:val="en-US" w:eastAsia="zh-CN"/>
        </w:rPr>
      </w:pPr>
    </w:p>
    <w:p>
      <w:pPr>
        <w:widowControl w:val="0"/>
        <w:wordWrap/>
        <w:adjustRightInd/>
        <w:snapToGrid/>
        <w:spacing w:line="240" w:lineRule="auto"/>
        <w:jc w:val="both"/>
        <w:textAlignment w:val="auto"/>
        <w:rPr>
          <w:rFonts w:hint="eastAsia" w:ascii="仿宋" w:hAnsi="仿宋" w:eastAsia="仿宋" w:cs="仿宋"/>
          <w:b/>
          <w:bCs/>
          <w:color w:val="auto"/>
          <w:sz w:val="24"/>
          <w:szCs w:val="24"/>
          <w:highlight w:val="none"/>
          <w:lang w:val="en-US" w:eastAsia="zh-CN"/>
        </w:rPr>
      </w:pPr>
    </w:p>
    <w:p>
      <w:pPr>
        <w:widowControl w:val="0"/>
        <w:wordWrap/>
        <w:adjustRightInd/>
        <w:snapToGrid/>
        <w:spacing w:line="240" w:lineRule="auto"/>
        <w:jc w:val="both"/>
        <w:textAlignment w:val="auto"/>
        <w:rPr>
          <w:rFonts w:hint="eastAsia" w:eastAsia="仿宋"/>
          <w:color w:val="auto"/>
          <w:highlight w:val="none"/>
          <w:lang w:val="en-US" w:eastAsia="zh-CN"/>
        </w:rPr>
      </w:pPr>
      <w:r>
        <w:rPr>
          <w:rFonts w:hint="eastAsia" w:ascii="仿宋" w:hAnsi="仿宋" w:eastAsia="仿宋" w:cs="仿宋"/>
          <w:b/>
          <w:bCs/>
          <w:color w:val="auto"/>
          <w:sz w:val="24"/>
          <w:szCs w:val="24"/>
          <w:highlight w:val="none"/>
          <w:lang w:val="en-US" w:eastAsia="zh-CN"/>
        </w:rPr>
        <w:t>⑤</w:t>
      </w:r>
      <w:r>
        <w:rPr>
          <w:rFonts w:hint="eastAsia" w:ascii="仿宋" w:hAnsi="仿宋" w:eastAsia="仿宋" w:cs="仿宋"/>
          <w:b/>
          <w:bCs/>
          <w:color w:val="auto"/>
          <w:sz w:val="24"/>
          <w:szCs w:val="24"/>
          <w:highlight w:val="none"/>
        </w:rPr>
        <w:t>公厕统计表</w:t>
      </w:r>
      <w:r>
        <w:rPr>
          <w:rFonts w:hint="eastAsia" w:ascii="仿宋" w:hAnsi="仿宋" w:eastAsia="仿宋" w:cs="仿宋"/>
          <w:b/>
          <w:bCs/>
          <w:color w:val="auto"/>
          <w:sz w:val="24"/>
          <w:szCs w:val="24"/>
          <w:highlight w:val="none"/>
          <w:lang w:eastAsia="zh-CN"/>
        </w:rPr>
        <w:t>：</w:t>
      </w:r>
    </w:p>
    <w:tbl>
      <w:tblPr>
        <w:tblStyle w:val="64"/>
        <w:tblpPr w:leftFromText="180" w:rightFromText="180" w:vertAnchor="text" w:horzAnchor="page" w:tblpX="1430" w:tblpY="231"/>
        <w:tblOverlap w:val="never"/>
        <w:tblW w:w="90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1"/>
        <w:gridCol w:w="3653"/>
        <w:gridCol w:w="1687"/>
        <w:gridCol w:w="1598"/>
        <w:gridCol w:w="13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3653" w:type="dxa"/>
            <w:vAlign w:val="center"/>
          </w:tcPr>
          <w:p>
            <w:pPr>
              <w:widowControl/>
              <w:spacing w:line="360" w:lineRule="auto"/>
              <w:ind w:firstLine="1200" w:firstLineChars="500"/>
              <w:jc w:val="both"/>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厕所名称</w:t>
            </w:r>
          </w:p>
        </w:tc>
        <w:tc>
          <w:tcPr>
            <w:tcW w:w="1687" w:type="dxa"/>
            <w:vAlign w:val="center"/>
          </w:tcPr>
          <w:p>
            <w:pPr>
              <w:widowControl/>
              <w:spacing w:line="360" w:lineRule="auto"/>
              <w:jc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面积</w:t>
            </w:r>
          </w:p>
        </w:tc>
        <w:tc>
          <w:tcPr>
            <w:tcW w:w="1598" w:type="dxa"/>
            <w:vAlign w:val="center"/>
          </w:tcPr>
          <w:p>
            <w:pPr>
              <w:widowControl/>
              <w:spacing w:line="360" w:lineRule="auto"/>
              <w:jc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标准</w:t>
            </w:r>
          </w:p>
        </w:tc>
        <w:tc>
          <w:tcPr>
            <w:tcW w:w="1395" w:type="dxa"/>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eastAsia="zh-CN"/>
              </w:rPr>
            </w:pPr>
            <w:r>
              <w:rPr>
                <w:rFonts w:hint="eastAsia" w:ascii="仿宋" w:hAnsi="仿宋" w:eastAsia="仿宋" w:cs="仿宋"/>
                <w:i w:val="0"/>
                <w:iCs w:val="0"/>
                <w:color w:val="auto"/>
                <w:kern w:val="0"/>
                <w:sz w:val="32"/>
                <w:szCs w:val="32"/>
                <w:u w:val="none"/>
                <w:lang w:val="en-US" w:eastAsia="zh-CN" w:bidi="ar"/>
              </w:rPr>
              <w:t>景亭园公厕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39</w:t>
            </w:r>
          </w:p>
        </w:tc>
        <w:tc>
          <w:tcPr>
            <w:tcW w:w="1598"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rPr>
            </w:pPr>
            <w:r>
              <w:rPr>
                <w:rFonts w:hint="eastAsia" w:ascii="仿宋" w:hAnsi="仿宋" w:eastAsia="仿宋" w:cs="仿宋"/>
                <w:i w:val="0"/>
                <w:iCs w:val="0"/>
                <w:color w:val="auto"/>
                <w:kern w:val="0"/>
                <w:sz w:val="32"/>
                <w:szCs w:val="32"/>
                <w:u w:val="none"/>
                <w:lang w:val="en-US" w:eastAsia="zh-CN" w:bidi="ar"/>
              </w:rPr>
              <w:t>湖潭路公厕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25</w:t>
            </w:r>
          </w:p>
        </w:tc>
        <w:tc>
          <w:tcPr>
            <w:tcW w:w="1598"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bidi="ar"/>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日辉桥公厕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49</w:t>
            </w:r>
          </w:p>
        </w:tc>
        <w:tc>
          <w:tcPr>
            <w:tcW w:w="1598"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bidi="ar"/>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亭趾市场公厕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60</w:t>
            </w:r>
          </w:p>
        </w:tc>
        <w:tc>
          <w:tcPr>
            <w:tcW w:w="1598"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bidi="ar"/>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永旺街公厕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60</w:t>
            </w:r>
          </w:p>
        </w:tc>
        <w:tc>
          <w:tcPr>
            <w:tcW w:w="1598"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bidi="ar"/>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车弄公厕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45</w:t>
            </w:r>
          </w:p>
        </w:tc>
        <w:tc>
          <w:tcPr>
            <w:tcW w:w="1598"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bidi="ar"/>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亭趾港公厕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80</w:t>
            </w:r>
          </w:p>
        </w:tc>
        <w:tc>
          <w:tcPr>
            <w:tcW w:w="1598"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bidi="ar"/>
              </w:rPr>
              <w:t>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w:t>
            </w:r>
          </w:p>
        </w:tc>
        <w:tc>
          <w:tcPr>
            <w:tcW w:w="3653"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旺盛路公厕</w:t>
            </w:r>
          </w:p>
        </w:tc>
        <w:tc>
          <w:tcPr>
            <w:tcW w:w="168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cs="宋体"/>
                <w:color w:val="auto"/>
                <w:kern w:val="0"/>
                <w:sz w:val="24"/>
                <w:szCs w:val="24"/>
                <w:highlight w:val="none"/>
                <w:lang w:val="en-US" w:eastAsia="zh-CN"/>
              </w:rPr>
            </w:pPr>
            <w:r>
              <w:rPr>
                <w:rFonts w:hint="eastAsia" w:ascii="仿宋" w:hAnsi="仿宋" w:eastAsia="仿宋" w:cs="仿宋"/>
                <w:i w:val="0"/>
                <w:iCs w:val="0"/>
                <w:color w:val="auto"/>
                <w:kern w:val="0"/>
                <w:sz w:val="32"/>
                <w:szCs w:val="32"/>
                <w:u w:val="none"/>
                <w:lang w:val="en-US" w:eastAsia="zh-CN" w:bidi="ar"/>
              </w:rPr>
              <w:t>120</w:t>
            </w:r>
          </w:p>
        </w:tc>
        <w:tc>
          <w:tcPr>
            <w:tcW w:w="1598"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仿宋" w:hAnsi="仿宋" w:eastAsia="仿宋" w:cs="仿宋"/>
                <w:i w:val="0"/>
                <w:iCs w:val="0"/>
                <w:color w:val="auto"/>
                <w:kern w:val="0"/>
                <w:sz w:val="32"/>
                <w:szCs w:val="32"/>
                <w:u w:val="none"/>
                <w:lang w:val="en-US" w:eastAsia="zh-CN" w:bidi="ar"/>
              </w:rPr>
              <w:t>高标准</w:t>
            </w:r>
          </w:p>
        </w:tc>
        <w:tc>
          <w:tcPr>
            <w:tcW w:w="1395"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51"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宋体" w:hAnsi="宋体" w:cs="宋体"/>
                <w:color w:val="auto"/>
                <w:kern w:val="0"/>
                <w:sz w:val="24"/>
                <w:szCs w:val="24"/>
                <w:highlight w:val="none"/>
                <w:lang w:val="en-US" w:eastAsia="zh-CN"/>
              </w:rPr>
            </w:pPr>
          </w:p>
        </w:tc>
        <w:tc>
          <w:tcPr>
            <w:tcW w:w="365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合计</w:t>
            </w:r>
          </w:p>
        </w:tc>
        <w:tc>
          <w:tcPr>
            <w:tcW w:w="4680" w:type="dxa"/>
            <w:gridSpan w:val="3"/>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8座（7个标准公厕，1个公厕高标准）</w:t>
            </w:r>
          </w:p>
        </w:tc>
      </w:tr>
    </w:tbl>
    <w:p>
      <w:pPr>
        <w:rPr>
          <w:rFonts w:hint="eastAsia"/>
          <w:color w:val="auto"/>
          <w:highlight w:val="none"/>
          <w:lang w:val="en-US" w:eastAsia="zh-CN"/>
        </w:rPr>
      </w:pPr>
    </w:p>
    <w:p>
      <w:pPr>
        <w:pStyle w:val="3"/>
        <w:numPr>
          <w:ilvl w:val="0"/>
          <w:numId w:val="0"/>
        </w:numPr>
        <w:tabs>
          <w:tab w:val="left" w:pos="706"/>
          <w:tab w:val="clear" w:pos="432"/>
        </w:tabs>
        <w:ind w:leftChars="0"/>
        <w:jc w:val="both"/>
        <w:rPr>
          <w:rFonts w:hint="eastAsia" w:ascii="宋体" w:hAnsi="宋体" w:eastAsia="仿宋" w:cs="宋体"/>
          <w:color w:val="auto"/>
          <w:sz w:val="24"/>
          <w:highlight w:val="none"/>
          <w:lang w:val="en-US" w:eastAsia="zh-CN"/>
        </w:rPr>
      </w:pP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人员配备要求：项目负责人（管理人员）1人，安全员</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人，保洁人员</w:t>
      </w:r>
      <w:r>
        <w:rPr>
          <w:rFonts w:hint="eastAsia" w:ascii="宋体" w:hAnsi="宋体" w:eastAsia="宋体" w:cs="宋体"/>
          <w:color w:val="auto"/>
          <w:sz w:val="24"/>
          <w:szCs w:val="24"/>
          <w:highlight w:val="none"/>
          <w:lang w:val="en-US" w:eastAsia="zh-CN"/>
        </w:rPr>
        <w:t>75</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厕</w:t>
      </w:r>
    </w:p>
    <w:p>
      <w:pPr>
        <w:pStyle w:val="3"/>
        <w:numPr>
          <w:ilvl w:val="0"/>
          <w:numId w:val="0"/>
        </w:numPr>
        <w:tabs>
          <w:tab w:val="left" w:pos="706"/>
          <w:tab w:val="clear" w:pos="432"/>
        </w:tabs>
        <w:ind w:left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所维护人员不少于9人，</w:t>
      </w:r>
      <w:r>
        <w:rPr>
          <w:rFonts w:hint="eastAsia" w:ascii="宋体" w:hAnsi="宋体" w:eastAsia="宋体" w:cs="宋体"/>
          <w:color w:val="auto"/>
          <w:sz w:val="24"/>
          <w:szCs w:val="24"/>
          <w:highlight w:val="none"/>
        </w:rPr>
        <w:t>其他人员自行酌情考虑。</w:t>
      </w:r>
    </w:p>
    <w:p>
      <w:pPr>
        <w:rPr>
          <w:rFonts w:hint="eastAsia"/>
          <w:lang w:val="en-US" w:eastAsia="zh-CN"/>
        </w:rPr>
      </w:pPr>
    </w:p>
    <w:p>
      <w:pPr>
        <w:rPr>
          <w:rFonts w:hint="default"/>
          <w:lang w:val="en-US" w:eastAsia="zh-CN"/>
        </w:rPr>
      </w:pPr>
    </w:p>
    <w:p>
      <w:pPr>
        <w:widowControl/>
        <w:spacing w:line="360" w:lineRule="auto"/>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四、</w:t>
      </w:r>
      <w:r>
        <w:rPr>
          <w:rFonts w:hint="eastAsia" w:ascii="宋体" w:hAnsi="宋体" w:cs="宋体"/>
          <w:b/>
          <w:bCs/>
          <w:color w:val="auto"/>
          <w:sz w:val="24"/>
          <w:highlight w:val="none"/>
          <w:lang w:val="en-US" w:eastAsia="zh-CN"/>
        </w:rPr>
        <w:t>费用支付：</w:t>
      </w:r>
    </w:p>
    <w:p>
      <w:pPr>
        <w:widowControl/>
        <w:spacing w:line="360" w:lineRule="auto"/>
        <w:ind w:firstLine="540"/>
        <w:jc w:val="left"/>
        <w:rPr>
          <w:rFonts w:hint="eastAsia" w:ascii="宋体" w:hAnsi="宋体" w:cs="宋体"/>
          <w:color w:val="auto"/>
          <w:sz w:val="24"/>
          <w:highlight w:val="none"/>
        </w:rPr>
      </w:pPr>
      <w:r>
        <w:rPr>
          <w:rFonts w:hint="eastAsia" w:ascii="宋体" w:hAnsi="宋体" w:cs="宋体"/>
          <w:color w:val="auto"/>
          <w:sz w:val="24"/>
          <w:highlight w:val="none"/>
        </w:rPr>
        <w:t>为确保运营工作正常开展，服务费以季度为结算周期，对每月平均分进行汇总，每个季度期满后的第一个月10日前完成支付。甲方逾期支付服务费用的，按应付费用的日万分之五向乙方支付违约金直至逾期费用付清为止。如遇延期2个月未支付的，乙方有权停止服务。</w:t>
      </w:r>
    </w:p>
    <w:p>
      <w:pPr>
        <w:spacing w:line="360" w:lineRule="auto"/>
        <w:rPr>
          <w:rFonts w:hint="eastAsia" w:ascii="宋体" w:hAnsi="宋体" w:cs="宋体"/>
          <w:b/>
          <w:bCs/>
          <w:color w:val="auto"/>
          <w:sz w:val="24"/>
          <w:highlight w:val="none"/>
        </w:rPr>
      </w:pPr>
      <w:r>
        <w:rPr>
          <w:rFonts w:hint="eastAsia" w:ascii="宋体" w:hAnsi="宋体" w:cs="宋体"/>
          <w:color w:val="auto"/>
          <w:sz w:val="24"/>
          <w:highlight w:val="none"/>
          <w:lang w:val="en-US" w:eastAsia="zh-CN"/>
        </w:rPr>
        <w:t>五</w:t>
      </w:r>
      <w:r>
        <w:rPr>
          <w:rFonts w:hint="eastAsia" w:ascii="宋体" w:hAnsi="宋体" w:cs="宋体"/>
          <w:color w:val="auto"/>
          <w:sz w:val="24"/>
          <w:highlight w:val="none"/>
        </w:rPr>
        <w:t>、</w:t>
      </w:r>
      <w:r>
        <w:rPr>
          <w:rFonts w:hint="eastAsia" w:ascii="宋体" w:hAnsi="宋体" w:cs="宋体"/>
          <w:b/>
          <w:bCs/>
          <w:color w:val="auto"/>
          <w:sz w:val="24"/>
          <w:highlight w:val="none"/>
        </w:rPr>
        <w:t>招标技术需求</w:t>
      </w:r>
    </w:p>
    <w:p>
      <w:pPr>
        <w:widowControl/>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（一）保洁范围:</w:t>
      </w:r>
    </w:p>
    <w:p>
      <w:pPr>
        <w:widowControl/>
        <w:spacing w:line="360" w:lineRule="auto"/>
        <w:ind w:firstLine="540"/>
        <w:jc w:val="left"/>
        <w:rPr>
          <w:rFonts w:hint="eastAsia" w:ascii="宋体" w:hAnsi="宋体" w:cs="宋体"/>
          <w:color w:val="auto"/>
          <w:sz w:val="24"/>
          <w:highlight w:val="none"/>
        </w:rPr>
      </w:pPr>
      <w:r>
        <w:rPr>
          <w:rFonts w:hint="eastAsia" w:ascii="宋体" w:hAnsi="宋体" w:cs="宋体"/>
          <w:color w:val="auto"/>
          <w:sz w:val="24"/>
          <w:highlight w:val="none"/>
        </w:rPr>
        <w:t>道路路面的机动车道、非机动车道、人行道及两侧可视范围（包括果皮、纸屑、塑模、痰迹、污水、人畜粪便、泥沙等影响路面整洁的各类废弃物、垃圾和牛皮癣等）、公益性宣传牌、候车亭、交通护栏、绿化护栏、大理石隔离墩、公共设施、桥梁栏杆、隔离栏杆、果壳箱、垃圾桶、垃圾中转（集中）点，城市家具、乱涂画张贴、雨水口、绿化带内垃圾等纳入环卫保洁范围，</w:t>
      </w:r>
      <w:r>
        <w:rPr>
          <w:rFonts w:hint="eastAsia" w:ascii="宋体" w:hAnsi="宋体" w:cs="宋体"/>
          <w:b/>
          <w:bCs/>
          <w:color w:val="auto"/>
          <w:sz w:val="24"/>
          <w:highlight w:val="none"/>
        </w:rPr>
        <w:t>沿路大件、无主、偷倒等垃圾由保洁单位自行处理</w:t>
      </w:r>
      <w:r>
        <w:rPr>
          <w:rFonts w:hint="eastAsia" w:ascii="宋体" w:hAnsi="宋体" w:cs="宋体"/>
          <w:color w:val="auto"/>
          <w:sz w:val="24"/>
          <w:highlight w:val="none"/>
        </w:rPr>
        <w:t>。</w:t>
      </w:r>
    </w:p>
    <w:p>
      <w:pPr>
        <w:widowControl/>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（二）保洁标准及要求：</w:t>
      </w:r>
    </w:p>
    <w:p>
      <w:pPr>
        <w:widowControl/>
        <w:spacing w:line="360" w:lineRule="auto"/>
        <w:ind w:firstLine="723" w:firstLineChars="300"/>
        <w:jc w:val="left"/>
        <w:rPr>
          <w:rFonts w:hint="eastAsia"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保洁标准：</w:t>
      </w:r>
    </w:p>
    <w:p>
      <w:pPr>
        <w:widowControl/>
        <w:spacing w:line="360" w:lineRule="auto"/>
        <w:ind w:firstLine="540"/>
        <w:jc w:val="left"/>
        <w:rPr>
          <w:rFonts w:hint="eastAsia" w:ascii="宋体" w:hAnsi="宋体" w:cs="宋体"/>
          <w:color w:val="auto"/>
          <w:sz w:val="24"/>
          <w:highlight w:val="none"/>
        </w:rPr>
      </w:pPr>
      <w:r>
        <w:rPr>
          <w:rFonts w:hint="eastAsia" w:ascii="宋体" w:hAnsi="宋体" w:cs="宋体"/>
          <w:color w:val="auto"/>
          <w:sz w:val="24"/>
          <w:highlight w:val="none"/>
        </w:rPr>
        <w:t>①路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刺落(或严重褪色)、垃圾满溢，表面清洁无污垢，周围地面无暴露垃圾、污水现象。⑤在规定时间内(夏季6：30前，其它季节上午7点前)完成第一遍普扫，然后进行全天巡回保洁以及中午、晚上的两次普扫。一类道路每日18小时保洁，二类道路每日16小时保洁，24小时响应甲方要求，人均保洁面积5000㎡，每日洒水5次(夏季6次)、机械化清扫3次(夏季4次)，每周清洗道路2次、清洗城市家具1次。</w:t>
      </w:r>
    </w:p>
    <w:p>
      <w:pPr>
        <w:widowControl/>
        <w:spacing w:line="360" w:lineRule="auto"/>
        <w:ind w:firstLine="540"/>
        <w:jc w:val="left"/>
        <w:rPr>
          <w:rFonts w:hint="eastAsia"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1保洁员在道路清扫保洁时必须穿着反光安全背心作业。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2垃圾应倾倒在规定地点，不得焚烧垃圾、树叶。落叶旺季做到及时清扫，并按指定地点堆放和转运树叶。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3道路清扫保洁作业严格按照《城市道路标准化清扫保洁作业规范程序表》的要求执行。</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4中标单位需配备专属封闭式垃圾清运车一辆，所属的垃圾运输车辆（含机动车、非机动车）应印有编号、监督电话、责任单位等信息。</w:t>
      </w:r>
    </w:p>
    <w:p>
      <w:pPr>
        <w:pStyle w:val="2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5垃圾收集清运车辆（含机动车和非机动车）车容车貌整洁，无破损，运输过程中应密闭运输，无吊挂，无抛、撒垃圾现象，垃圾压缩车填塞器内不得装载垃圾行驶。</w:t>
      </w:r>
    </w:p>
    <w:p>
      <w:pPr>
        <w:pStyle w:val="2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垃圾运输车辆运输过程中不得滴漏污水。车辆应匀速行驶，不得急停急起，防止污水外溢。垃圾运输车出中转站作业前、在垃圾处理场所倾倒垃圾后须及时排空污水箱中的污水，并将污水排水口密闭，遮挡板盖合，连接桥连接污水槽后，才能执行垃圾清运任务。</w:t>
      </w:r>
    </w:p>
    <w:p>
      <w:pPr>
        <w:pStyle w:val="2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7垃圾运输车辆（含机动车、非机动车）作业完毕后应冲洗干净，做到车厢无积存垃圾、无污垢、无油污，底盘无垃圾、无污物、无油污、无泥浆。</w:t>
      </w:r>
    </w:p>
    <w:p>
      <w:pPr>
        <w:pStyle w:val="63"/>
        <w:numPr>
          <w:ilvl w:val="0"/>
          <w:numId w:val="2"/>
        </w:numPr>
        <w:rPr>
          <w:rFonts w:hint="eastAsia" w:hAnsi="宋体" w:eastAsia="宋体" w:cs="宋体"/>
          <w:color w:val="auto"/>
          <w:sz w:val="24"/>
          <w:szCs w:val="24"/>
          <w:highlight w:val="none"/>
        </w:rPr>
      </w:pPr>
      <w:r>
        <w:rPr>
          <w:rFonts w:hint="eastAsia" w:hAnsi="宋体" w:eastAsia="宋体" w:cs="宋体"/>
          <w:color w:val="auto"/>
          <w:sz w:val="24"/>
          <w:szCs w:val="24"/>
          <w:highlight w:val="none"/>
        </w:rPr>
        <w:t>所有车辆驾驶员必须持有有效驾驶证件。</w:t>
      </w:r>
    </w:p>
    <w:p>
      <w:pPr>
        <w:pStyle w:val="63"/>
        <w:numPr>
          <w:ilvl w:val="0"/>
          <w:numId w:val="2"/>
        </w:numPr>
        <w:rPr>
          <w:rFonts w:hAnsi="宋体" w:eastAsia="宋体" w:cs="宋体"/>
          <w:color w:val="auto"/>
          <w:sz w:val="24"/>
          <w:szCs w:val="24"/>
          <w:highlight w:val="none"/>
        </w:rPr>
      </w:pPr>
      <w:r>
        <w:rPr>
          <w:rFonts w:hint="eastAsia" w:hAnsi="宋体" w:eastAsia="宋体" w:cs="宋体"/>
          <w:color w:val="auto"/>
          <w:sz w:val="24"/>
          <w:szCs w:val="24"/>
          <w:highlight w:val="none"/>
        </w:rPr>
        <w:t>所有人员、机械设备、作业车辆须带有GPS并接入数字城管系统，产生费用由中标单位自行承担。</w:t>
      </w:r>
    </w:p>
    <w:p>
      <w:pPr>
        <w:spacing w:line="360" w:lineRule="auto"/>
        <w:ind w:left="420" w:leftChars="200"/>
        <w:rPr>
          <w:rFonts w:hint="eastAsia" w:ascii="宋体" w:hAnsi="宋体" w:cs="宋体"/>
          <w:b/>
          <w:bCs/>
          <w:color w:val="auto"/>
          <w:sz w:val="24"/>
          <w:highlight w:val="none"/>
        </w:rPr>
      </w:pPr>
      <w:r>
        <w:rPr>
          <w:rFonts w:hint="eastAsia" w:ascii="宋体" w:hAnsi="宋体" w:cs="宋体"/>
          <w:color w:val="auto"/>
          <w:sz w:val="24"/>
          <w:highlight w:val="none"/>
        </w:rPr>
        <w:t>（三）</w:t>
      </w:r>
      <w:r>
        <w:rPr>
          <w:rFonts w:hint="eastAsia" w:ascii="宋体" w:hAnsi="宋体" w:cs="宋体"/>
          <w:bCs/>
          <w:color w:val="auto"/>
          <w:sz w:val="24"/>
          <w:highlight w:val="none"/>
        </w:rPr>
        <w:t>保洁机械设备要求：</w:t>
      </w:r>
    </w:p>
    <w:p>
      <w:pPr>
        <w:spacing w:line="360" w:lineRule="auto"/>
        <w:ind w:firstLine="720"/>
        <w:rPr>
          <w:rFonts w:hint="eastAsia" w:ascii="宋体" w:hAnsi="宋体" w:cs="宋体"/>
          <w:color w:val="auto"/>
          <w:sz w:val="24"/>
          <w:highlight w:val="none"/>
        </w:rPr>
      </w:pPr>
      <w:r>
        <w:rPr>
          <w:rFonts w:hint="eastAsia" w:ascii="宋体" w:hAnsi="宋体" w:cs="宋体"/>
          <w:color w:val="auto"/>
          <w:sz w:val="24"/>
          <w:highlight w:val="none"/>
        </w:rPr>
        <w:t>保洁单位自行解决作业工具、设备及保洁用品。一切费用由保洁单位自理。</w:t>
      </w:r>
    </w:p>
    <w:p>
      <w:pPr>
        <w:spacing w:line="360" w:lineRule="auto"/>
        <w:ind w:left="420" w:leftChars="200"/>
        <w:rPr>
          <w:rFonts w:hint="eastAsia" w:ascii="宋体" w:hAnsi="宋体" w:cs="宋体"/>
          <w:color w:val="auto"/>
          <w:sz w:val="24"/>
          <w:highlight w:val="none"/>
        </w:rPr>
      </w:pPr>
      <w:r>
        <w:rPr>
          <w:rFonts w:hint="eastAsia" w:ascii="宋体" w:hAnsi="宋体" w:cs="宋体"/>
          <w:color w:val="auto"/>
          <w:sz w:val="24"/>
          <w:highlight w:val="none"/>
        </w:rPr>
        <w:t>（四）台帐资料管理：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1保洁单位年度、季度、月度有报表、工作计划，年终有总结。</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2保洁单位与主管单位有工作联系单制度和工作落实情况记录。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保洁单位本着以保证环卫保洁管理项目达到优良的标准进行管理，应建立相应管理系统、健全的业务管理制度和标准作业规范，加强对作业队伍和作业机械的管理，分工明确，认真落实质量岗位责任制，各项基础设施台帐资料齐全，真实可信，并如实上报。</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4保洁单位要建立巡查制度，完善巡查日报，建立月报制度。</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（五）组织管理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1环卫保洁工作由街道城管办统一管理，并负责日常监管和月度、季度、年度考核等工作。</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2保洁单位应强化内部作业和管理制度，加强对内部人员的安全和责任教育，建立完善的作业和巡查登记制度，</w:t>
      </w:r>
      <w:r>
        <w:rPr>
          <w:rFonts w:hint="eastAsia" w:ascii="宋体" w:hAnsi="宋体" w:cs="宋体"/>
          <w:b/>
          <w:bCs/>
          <w:color w:val="auto"/>
          <w:sz w:val="24"/>
          <w:highlight w:val="none"/>
          <w:lang w:val="en-US" w:eastAsia="zh-CN"/>
        </w:rPr>
        <w:t>配备巡查车1辆和1名专职巡查人员</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强化责任考核和整改制度，自觉接受政府、媒体和社会团体的监督。</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3各社区、企事业单位和个人对环卫保洁工作负有监督责任，中标单位应对各社区、企事业单位和个人提出的建议进行整改、落实。</w:t>
      </w:r>
    </w:p>
    <w:p>
      <w:pPr>
        <w:widowControl w:val="0"/>
        <w:wordWrap/>
        <w:adjustRightInd/>
        <w:snapToGrid/>
        <w:spacing w:line="360" w:lineRule="auto"/>
        <w:ind w:right="0"/>
        <w:jc w:val="left"/>
        <w:outlineLvl w:val="9"/>
        <w:rPr>
          <w:rFonts w:hint="eastAsia" w:ascii="宋体" w:hAnsi="宋体" w:cs="宋体"/>
          <w:b/>
          <w:color w:val="auto"/>
          <w:sz w:val="24"/>
          <w:highlight w:val="none"/>
          <w:lang w:eastAsia="zh-CN"/>
        </w:rPr>
      </w:pP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、●服务期限：</w:t>
      </w:r>
      <w:r>
        <w:rPr>
          <w:rFonts w:hint="eastAsia" w:ascii="仿宋" w:hAnsi="仿宋" w:eastAsia="仿宋" w:cs="仿宋"/>
          <w:color w:val="auto"/>
          <w:sz w:val="24"/>
          <w:highlight w:val="none"/>
          <w:lang w:val="en-US" w:eastAsia="zh-CN"/>
        </w:rPr>
        <w:t>服务期限为二年</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具体以合同签订日期为准。</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七</w:t>
      </w:r>
      <w:r>
        <w:rPr>
          <w:rFonts w:hint="eastAsia" w:ascii="宋体" w:hAnsi="宋体" w:cs="宋体"/>
          <w:b/>
          <w:bCs/>
          <w:color w:val="auto"/>
          <w:sz w:val="24"/>
          <w:highlight w:val="none"/>
        </w:rPr>
        <w:t>、服务要求：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1、中标供应商在履行合同义务期间，应遵守国家有关法律、法规、维护招标人的合法权益。</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2、中标供应商应组建能够满足本项目服务需要的项目组，按照工作范围和内容完成服务工作，并按约定向招标人汇报工作进展。</w:t>
      </w:r>
    </w:p>
    <w:p>
      <w:pPr>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rPr>
        <w:t>、</w:t>
      </w:r>
      <w:r>
        <w:rPr>
          <w:rFonts w:hint="eastAsia" w:ascii="宋体" w:hAnsi="宋体" w:cs="宋体"/>
          <w:b/>
          <w:color w:val="auto"/>
          <w:sz w:val="24"/>
          <w:highlight w:val="none"/>
        </w:rPr>
        <w:t>●</w:t>
      </w:r>
      <w:r>
        <w:rPr>
          <w:rFonts w:hint="eastAsia" w:ascii="宋体" w:hAnsi="宋体" w:cs="宋体"/>
          <w:b/>
          <w:bCs/>
          <w:color w:val="auto"/>
          <w:sz w:val="24"/>
          <w:highlight w:val="none"/>
        </w:rPr>
        <w:t>本项目部分道路</w:t>
      </w:r>
      <w:r>
        <w:rPr>
          <w:rFonts w:hint="eastAsia" w:ascii="宋体" w:hAnsi="宋体" w:cs="宋体"/>
          <w:b/>
          <w:bCs/>
          <w:color w:val="auto"/>
          <w:sz w:val="24"/>
          <w:highlight w:val="none"/>
          <w:lang w:val="en-US" w:eastAsia="zh-CN"/>
        </w:rPr>
        <w:t>及厕所</w:t>
      </w:r>
      <w:r>
        <w:rPr>
          <w:rFonts w:hint="eastAsia" w:ascii="宋体" w:hAnsi="宋体" w:cs="宋体"/>
          <w:b/>
          <w:bCs/>
          <w:color w:val="auto"/>
          <w:sz w:val="24"/>
          <w:highlight w:val="none"/>
        </w:rPr>
        <w:t>原合同未到期，最终以移交后，按实际保洁时间结算。</w:t>
      </w:r>
    </w:p>
    <w:p>
      <w:pPr>
        <w:pStyle w:val="3"/>
        <w:rPr>
          <w:rFonts w:hint="eastAsia"/>
          <w:color w:val="auto"/>
          <w:highlight w:val="none"/>
        </w:rPr>
      </w:pP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八</w:t>
      </w:r>
      <w:r>
        <w:rPr>
          <w:rFonts w:hint="eastAsia" w:ascii="宋体" w:hAnsi="宋体" w:cs="宋体"/>
          <w:b/>
          <w:bCs/>
          <w:color w:val="auto"/>
          <w:sz w:val="24"/>
          <w:highlight w:val="none"/>
        </w:rPr>
        <w:t>、中标供应商违约责任：</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中标供应商提供的技术及方案不符合招标人要求的，中标供应商应负责无偿给予调整及安排。中标供应商应对因此造成的直接损失负赔偿责任，并承担相应的法律责任（由于招标人提供的资料原因产生的责任由招标人自己负责）。</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2.对于招标人提供的信息及相关材料，中标供应商方有义务保密，未经招标人许可，不得擅自使用，不得向第三方转让，否则招标人有权对此追究责任。</w:t>
      </w:r>
    </w:p>
    <w:p>
      <w:pPr>
        <w:adjustRightInd w:val="0"/>
        <w:snapToGrid w:val="0"/>
        <w:spacing w:line="360" w:lineRule="auto"/>
        <w:rPr>
          <w:rFonts w:hint="eastAsia" w:ascii="宋体" w:hAnsi="宋体" w:cs="宋体"/>
          <w:b/>
          <w:bCs/>
          <w:color w:val="auto"/>
          <w:sz w:val="24"/>
          <w:highlight w:val="none"/>
        </w:rPr>
      </w:pPr>
      <w:r>
        <w:rPr>
          <w:rFonts w:hint="eastAsia" w:ascii="宋体" w:hAnsi="宋体" w:cs="宋体"/>
          <w:b/>
          <w:color w:val="auto"/>
          <w:sz w:val="24"/>
          <w:highlight w:val="none"/>
          <w:lang w:val="en-US" w:eastAsia="zh-CN"/>
        </w:rPr>
        <w:t>九</w:t>
      </w:r>
      <w:r>
        <w:rPr>
          <w:rFonts w:hint="eastAsia" w:ascii="宋体" w:hAnsi="宋体" w:cs="宋体"/>
          <w:b/>
          <w:bCs/>
          <w:color w:val="auto"/>
          <w:sz w:val="24"/>
          <w:highlight w:val="none"/>
        </w:rPr>
        <w:t>、履约保证金：</w:t>
      </w:r>
    </w:p>
    <w:p>
      <w:pPr>
        <w:adjustRightInd w:val="0"/>
        <w:snapToGrid w:val="0"/>
        <w:spacing w:line="360" w:lineRule="auto"/>
        <w:ind w:firstLine="352" w:firstLineChars="147"/>
        <w:rPr>
          <w:rFonts w:hint="eastAsia" w:ascii="宋体" w:hAnsi="宋体" w:cs="宋体"/>
          <w:bCs/>
          <w:color w:val="auto"/>
          <w:sz w:val="24"/>
          <w:highlight w:val="none"/>
        </w:rPr>
      </w:pPr>
      <w:r>
        <w:rPr>
          <w:rFonts w:hint="eastAsia" w:ascii="宋体" w:hAnsi="宋体" w:cs="宋体"/>
          <w:bCs/>
          <w:color w:val="auto"/>
          <w:sz w:val="24"/>
          <w:highlight w:val="none"/>
        </w:rPr>
        <w:t>在合同签订以前供应商向采购人缴纳合同金额</w:t>
      </w:r>
      <w:r>
        <w:rPr>
          <w:rFonts w:hint="eastAsia" w:ascii="宋体" w:hAnsi="宋体" w:cs="宋体"/>
          <w:bCs/>
          <w:color w:val="auto"/>
          <w:sz w:val="24"/>
          <w:highlight w:val="none"/>
          <w:lang w:eastAsia="zh-CN"/>
        </w:rPr>
        <w:t>1%</w:t>
      </w:r>
      <w:r>
        <w:rPr>
          <w:rFonts w:hint="eastAsia" w:ascii="宋体" w:hAnsi="宋体" w:cs="宋体"/>
          <w:bCs/>
          <w:color w:val="auto"/>
          <w:sz w:val="24"/>
          <w:highlight w:val="none"/>
        </w:rPr>
        <w:t xml:space="preserve">的履约保证金或银行保函，项目完成后，满足招标人考核要求的， </w:t>
      </w:r>
      <w:r>
        <w:rPr>
          <w:rFonts w:hint="eastAsia" w:ascii="宋体" w:hAnsi="宋体" w:cs="宋体"/>
          <w:color w:val="auto"/>
          <w:sz w:val="24"/>
          <w:highlight w:val="none"/>
        </w:rPr>
        <w:t>7个工作日内</w:t>
      </w:r>
      <w:r>
        <w:rPr>
          <w:rFonts w:hint="eastAsia" w:ascii="宋体" w:hAnsi="宋体" w:cs="宋体"/>
          <w:bCs/>
          <w:color w:val="auto"/>
          <w:sz w:val="24"/>
          <w:highlight w:val="none"/>
        </w:rPr>
        <w:t>无息退还。</w:t>
      </w:r>
    </w:p>
    <w:p>
      <w:pPr>
        <w:adjustRightInd w:val="0"/>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十</w:t>
      </w:r>
      <w:r>
        <w:rPr>
          <w:rFonts w:hint="eastAsia" w:ascii="宋体" w:hAnsi="宋体" w:cs="宋体"/>
          <w:b/>
          <w:bCs/>
          <w:color w:val="auto"/>
          <w:sz w:val="24"/>
          <w:highlight w:val="none"/>
        </w:rPr>
        <w:t>、服务标准、考核方式和内容</w:t>
      </w:r>
      <w:r>
        <w:rPr>
          <w:rFonts w:hint="eastAsia" w:ascii="宋体" w:hAnsi="宋体" w:cs="宋体"/>
          <w:b/>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70" w:firstLineChars="196"/>
        <w:jc w:val="left"/>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（一）、考核依据</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80" w:firstLineChars="20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1.《浙江省城市市容和环境卫生管理条例》（浙江省第十一届人民代表大会常务委员会第五次会议修订）</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80" w:firstLineChars="20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2.《杭州市城市市容和环境卫生管理条例》（市人大常委会公告〔2005〕第49号）</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80" w:firstLineChars="20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3．《杭州市市政设施管理条例》（市人大常委会公告〔2005〕第52号）</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80" w:firstLineChars="20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4.《杭州市环卫保洁单位诚信评价办法》</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80" w:firstLineChars="20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5.《关于印发《关于优化完善镇街平台财政体制进一步加强财权事权管理的实施意见》的通知 》（临平政发〔2021〕48号）</w:t>
      </w:r>
    </w:p>
    <w:p>
      <w:pPr>
        <w:pStyle w:val="3"/>
        <w:ind w:left="433" w:leftChars="202" w:hanging="9" w:hangingChars="4"/>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6、关于印发《临平区市政绿化亮灯保洁设施养护标准》的通知（临平城组办〔2022〕9号）</w:t>
      </w:r>
    </w:p>
    <w:p>
      <w:pPr>
        <w:ind w:firstLine="240" w:firstLineChars="100"/>
        <w:rPr>
          <w:rFonts w:hint="eastAsia"/>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7、关于印发《临平区城市管理范围内洁化、市政亮化、绿化、序化分级分类及考核办法》的通知（临平城组办〔2022〕7号）</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240" w:firstLineChars="10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（二）、考核内容</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5"/>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城市化管理范围内的环卫洁化（城市道路、城市公厕、化粪池、垃圾中转站、垃圾收集房、作业设备、作业人员、应急设备、运行安全等）、市政（市政道路、桥梁、隧道、涵洞、窨井、路灯、雨水管网、作业设备、作业人员、应急设备、运行安全等）、公共绿地（公园、广场、道路、河岸、防护设施、作业设备、作业人员、应急设备、运行安全等）的日常养护管理，热点难点解决，合同履约、制度机制执行，台帐管理，负面清单（区级主要领导以上正面批示表扬；区级以上媒体曝光、区级主要领导以上负面批示等）等。</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80" w:firstLineChars="20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（三）、考核标准和评分细则</w:t>
      </w:r>
    </w:p>
    <w:p>
      <w:pPr>
        <w:keepNext w:val="0"/>
        <w:keepLines w:val="0"/>
        <w:pageBreakBefore w:val="0"/>
        <w:widowControl w:val="0"/>
        <w:kinsoku/>
        <w:wordWrap/>
        <w:overflowPunct/>
        <w:topLinePunct w:val="0"/>
        <w:autoSpaceDE/>
        <w:autoSpaceDN/>
        <w:bidi w:val="0"/>
        <w:adjustRightInd/>
        <w:snapToGrid/>
        <w:spacing w:line="570" w:lineRule="exact"/>
        <w:ind w:right="0" w:rightChars="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   《临平区洁化考核评分细则》，具体见附件1。</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80" w:firstLineChars="20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（四）、考核方法</w:t>
      </w:r>
    </w:p>
    <w:p>
      <w:pPr>
        <w:keepNext w:val="0"/>
        <w:keepLines w:val="0"/>
        <w:pageBreakBefore w:val="0"/>
        <w:widowControl w:val="0"/>
        <w:kinsoku/>
        <w:wordWrap/>
        <w:overflowPunct/>
        <w:topLinePunct w:val="0"/>
        <w:autoSpaceDE/>
        <w:autoSpaceDN/>
        <w:bidi w:val="0"/>
        <w:adjustRightInd/>
        <w:snapToGrid/>
        <w:spacing w:line="570" w:lineRule="exact"/>
        <w:ind w:right="0" w:rightChars="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   1、检查形式</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80" w:firstLineChars="20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由区城市管理领导小组办公室每月组织开展。区综合行政执法局着重对考核对象（标段）的环卫洁化工作情况进行检查，对合同履约、工作台帐进行抽查，对热点难点解决情况进行督察，对上级主要工作、重大活动安排及有关创建评比活动有针对性地开展检查，对发现的问题以抄告单形式通知相关单位落实整改，并根据相关考核细则进行评分。属地镇街参照区分级分类考核细则，着重对各自的环卫洁化标段进行评分。</w:t>
      </w:r>
    </w:p>
    <w:p>
      <w:pPr>
        <w:keepNext w:val="0"/>
        <w:keepLines w:val="0"/>
        <w:pageBreakBefore w:val="0"/>
        <w:widowControl w:val="0"/>
        <w:kinsoku/>
        <w:wordWrap/>
        <w:overflowPunct/>
        <w:topLinePunct w:val="0"/>
        <w:autoSpaceDE/>
        <w:autoSpaceDN/>
        <w:bidi w:val="0"/>
        <w:adjustRightInd/>
        <w:snapToGrid/>
        <w:spacing w:line="570" w:lineRule="exact"/>
        <w:ind w:right="0" w:rightChars="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   2、抽查方式</w:t>
      </w:r>
    </w:p>
    <w:p>
      <w:pPr>
        <w:keepNext w:val="0"/>
        <w:keepLines w:val="0"/>
        <w:pageBreakBefore w:val="0"/>
        <w:widowControl w:val="0"/>
        <w:kinsoku/>
        <w:wordWrap/>
        <w:overflowPunct/>
        <w:topLinePunct w:val="0"/>
        <w:autoSpaceDE/>
        <w:autoSpaceDN/>
        <w:bidi w:val="0"/>
        <w:adjustRightInd/>
        <w:snapToGrid/>
        <w:spacing w:line="570" w:lineRule="exact"/>
        <w:ind w:right="0" w:rightChars="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    环卫保洁每月每个镇街全覆盖，每个养护标段每月检查不少于4条道路（各级抽一条），2座公厕，每条道路检查长度不少于200米；按照合同约定对设施设备、人员配置、安全生产、应急保障等履行情况进行检查。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   3、成绩计算方式</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left"/>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   3.1  按照考核标准、评分细则，实行分级分类考核，各项检查考核基准分为100分，通过加权计算。同时各项考核得分超100分，按100分计入。</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left"/>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    3.2  各镇街洁化为100分。其中，日常检查70分、数字城管检查30分、正负清单3分（加扣分）。</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left"/>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    3.3  月度成绩为日常检查、数字城管检查、正负清单累计所得;年度得分由全年每月考核成绩累计平均值。</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80" w:firstLineChars="20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(五）、考核结果的运用</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80" w:firstLineChars="200"/>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考核成绩将纳入城市管理考核评价，作为“洁化”资金拨付、“双赞”评比、诚信评价的重要依据。</w:t>
      </w:r>
    </w:p>
    <w:p>
      <w:pPr>
        <w:keepNext w:val="0"/>
        <w:keepLines w:val="0"/>
        <w:pageBreakBefore w:val="0"/>
        <w:widowControl w:val="0"/>
        <w:tabs>
          <w:tab w:val="left" w:pos="651"/>
        </w:tabs>
        <w:kinsoku/>
        <w:wordWrap/>
        <w:overflowPunct/>
        <w:topLinePunct w:val="0"/>
        <w:autoSpaceDE/>
        <w:autoSpaceDN/>
        <w:bidi w:val="0"/>
        <w:adjustRightInd/>
        <w:snapToGrid/>
        <w:spacing w:line="570" w:lineRule="exact"/>
        <w:ind w:left="0" w:leftChars="0" w:right="0" w:rightChars="0"/>
        <w:jc w:val="left"/>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   1、资金拨付 </w:t>
      </w:r>
    </w:p>
    <w:p>
      <w:pPr>
        <w:keepNext w:val="0"/>
        <w:keepLines w:val="0"/>
        <w:pageBreakBefore w:val="0"/>
        <w:widowControl w:val="0"/>
        <w:tabs>
          <w:tab w:val="left" w:pos="651"/>
        </w:tabs>
        <w:kinsoku/>
        <w:wordWrap/>
        <w:overflowPunct/>
        <w:topLinePunct w:val="0"/>
        <w:autoSpaceDE/>
        <w:autoSpaceDN/>
        <w:bidi w:val="0"/>
        <w:adjustRightInd/>
        <w:snapToGrid/>
        <w:spacing w:line="570" w:lineRule="exact"/>
        <w:ind w:left="0" w:leftChars="0" w:right="0" w:rightChars="0" w:firstLine="480" w:firstLineChars="200"/>
        <w:jc w:val="left"/>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保洁分类考核、分项排名、分档次拨付。全区城市维护经费（不含城市管理考核专项资金），30%部分列入镇街支出基数，70%部分根据保洁分级分类考核成绩给予分档次拨付。每月以标段为单位开展分级分类考核，相关镇街按照辖区所有标段汇总后平均成绩进行赋分排名，1、2名为优秀，经费全额拨付；3名以下且85分（含）以上为达标，第3名核减拨付经费1%，每降低一个名次增加核减1%；85分以下或该标段当月发生重大失误（安全生产事故、重要批示等）为不达标，核减拨付经费20%。</w:t>
      </w:r>
    </w:p>
    <w:p>
      <w:pPr>
        <w:keepNext w:val="0"/>
        <w:keepLines w:val="0"/>
        <w:pageBreakBefore w:val="0"/>
        <w:widowControl w:val="0"/>
        <w:tabs>
          <w:tab w:val="left" w:pos="651"/>
        </w:tabs>
        <w:kinsoku/>
        <w:wordWrap/>
        <w:overflowPunct/>
        <w:topLinePunct w:val="0"/>
        <w:autoSpaceDE/>
        <w:autoSpaceDN/>
        <w:bidi w:val="0"/>
        <w:adjustRightInd/>
        <w:snapToGrid/>
        <w:spacing w:line="570" w:lineRule="exact"/>
        <w:ind w:left="0" w:leftChars="0" w:right="0" w:rightChars="0"/>
        <w:jc w:val="left"/>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   2、红黑评比</w:t>
      </w:r>
    </w:p>
    <w:p>
      <w:pPr>
        <w:keepNext w:val="0"/>
        <w:keepLines w:val="0"/>
        <w:pageBreakBefore w:val="0"/>
        <w:widowControl w:val="0"/>
        <w:tabs>
          <w:tab w:val="left" w:pos="651"/>
        </w:tabs>
        <w:kinsoku/>
        <w:wordWrap/>
        <w:overflowPunct/>
        <w:topLinePunct w:val="0"/>
        <w:autoSpaceDE/>
        <w:autoSpaceDN/>
        <w:bidi w:val="0"/>
        <w:adjustRightInd/>
        <w:snapToGrid/>
        <w:spacing w:line="570" w:lineRule="exact"/>
        <w:ind w:left="0" w:leftChars="0" w:right="0" w:rightChars="0" w:firstLine="480" w:firstLineChars="200"/>
        <w:jc w:val="left"/>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根据每月“洁化”单项考核成绩排名，前三、后三养护管理标段分别评为“红榜、黑榜”。对“黑榜”企业所在的城管服务中心负责人、企业标段负责人进行约谈，并对企业进行依法查处。</w:t>
      </w:r>
    </w:p>
    <w:p>
      <w:pPr>
        <w:keepNext w:val="0"/>
        <w:keepLines w:val="0"/>
        <w:pageBreakBefore w:val="0"/>
        <w:widowControl w:val="0"/>
        <w:tabs>
          <w:tab w:val="left" w:pos="651"/>
        </w:tabs>
        <w:kinsoku/>
        <w:wordWrap/>
        <w:overflowPunct/>
        <w:topLinePunct w:val="0"/>
        <w:autoSpaceDE/>
        <w:autoSpaceDN/>
        <w:bidi w:val="0"/>
        <w:adjustRightInd/>
        <w:snapToGrid/>
        <w:spacing w:line="570" w:lineRule="exact"/>
        <w:ind w:right="0" w:rightChars="0"/>
        <w:jc w:val="left"/>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   3、诚信评价</w:t>
      </w:r>
    </w:p>
    <w:p>
      <w:pPr>
        <w:keepNext w:val="0"/>
        <w:keepLines w:val="0"/>
        <w:pageBreakBefore w:val="0"/>
        <w:widowControl w:val="0"/>
        <w:tabs>
          <w:tab w:val="left" w:pos="651"/>
        </w:tabs>
        <w:kinsoku/>
        <w:wordWrap/>
        <w:overflowPunct/>
        <w:topLinePunct w:val="0"/>
        <w:autoSpaceDE/>
        <w:autoSpaceDN/>
        <w:bidi w:val="0"/>
        <w:adjustRightInd/>
        <w:snapToGrid/>
        <w:spacing w:line="570" w:lineRule="exact"/>
        <w:ind w:left="0" w:leftChars="0" w:right="0" w:rightChars="0" w:firstLine="480" w:firstLineChars="200"/>
        <w:jc w:val="left"/>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根据《杭州市环卫保洁单位诚信评价办法》对保洁企业合同履约进行计分，定期未整改达标单位纳入诚信评价体，作为招投标的扣分项。</w:t>
      </w:r>
    </w:p>
    <w:p>
      <w:pPr>
        <w:keepNext w:val="0"/>
        <w:keepLines w:val="0"/>
        <w:pageBreakBefore w:val="0"/>
        <w:widowControl w:val="0"/>
        <w:tabs>
          <w:tab w:val="left" w:pos="651"/>
        </w:tabs>
        <w:kinsoku/>
        <w:wordWrap/>
        <w:overflowPunct/>
        <w:topLinePunct w:val="0"/>
        <w:autoSpaceDE/>
        <w:autoSpaceDN/>
        <w:bidi w:val="0"/>
        <w:adjustRightInd/>
        <w:snapToGrid/>
        <w:spacing w:line="570" w:lineRule="exact"/>
        <w:ind w:left="0" w:leftChars="0" w:right="0" w:rightChars="0"/>
        <w:jc w:val="left"/>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   4、企业清退</w:t>
      </w:r>
    </w:p>
    <w:p>
      <w:pPr>
        <w:keepNext w:val="0"/>
        <w:keepLines w:val="0"/>
        <w:pageBreakBefore w:val="0"/>
        <w:widowControl w:val="0"/>
        <w:tabs>
          <w:tab w:val="left" w:pos="651"/>
        </w:tabs>
        <w:kinsoku/>
        <w:wordWrap/>
        <w:overflowPunct/>
        <w:topLinePunct w:val="0"/>
        <w:autoSpaceDE/>
        <w:autoSpaceDN/>
        <w:bidi w:val="0"/>
        <w:adjustRightInd/>
        <w:snapToGrid/>
        <w:spacing w:line="570" w:lineRule="exact"/>
        <w:ind w:left="0" w:leftChars="0" w:right="0" w:rightChars="0" w:firstLine="480" w:firstLineChars="200"/>
        <w:jc w:val="left"/>
        <w:textAlignment w:val="auto"/>
        <w:outlineLvl w:val="9"/>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本年度内“洁化”同一标段“黑榜”连续3次或累计6次，区城市管理领导小组办公室以“城市管理建议函”的形式，函告镇街本年度合同结束后建议在同一标段不再使用同一企业。</w:t>
      </w:r>
    </w:p>
    <w:p>
      <w:pPr>
        <w:keepNext w:val="0"/>
        <w:keepLines w:val="0"/>
        <w:pageBreakBefore w:val="0"/>
        <w:kinsoku/>
        <w:wordWrap/>
        <w:overflowPunct/>
        <w:topLinePunct w:val="0"/>
        <w:autoSpaceDE/>
        <w:autoSpaceDN/>
        <w:bidi w:val="0"/>
        <w:spacing w:line="570" w:lineRule="exact"/>
        <w:ind w:right="0" w:rightChars="0"/>
        <w:jc w:val="left"/>
        <w:outlineLvl w:val="9"/>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0" w:lineRule="exact"/>
        <w:ind w:right="0" w:rightChars="0"/>
        <w:jc w:val="left"/>
        <w:outlineLvl w:val="9"/>
        <w:rPr>
          <w:rFonts w:hint="eastAsia" w:ascii="仿宋_GB2312" w:eastAsia="仿宋_GB2312"/>
          <w:color w:val="auto"/>
          <w:sz w:val="32"/>
          <w:szCs w:val="32"/>
          <w:highlight w:val="none"/>
        </w:rPr>
      </w:pPr>
      <w:r>
        <w:rPr>
          <w:rFonts w:hint="eastAsia" w:ascii="黑体" w:hAnsi="黑体" w:eastAsia="黑体" w:cs="黑体"/>
          <w:color w:val="auto"/>
          <w:sz w:val="32"/>
          <w:szCs w:val="32"/>
          <w:highlight w:val="none"/>
        </w:rPr>
        <w:t>附件1：</w:t>
      </w:r>
    </w:p>
    <w:p>
      <w:pPr>
        <w:keepNext w:val="0"/>
        <w:keepLines w:val="0"/>
        <w:pageBreakBefore w:val="0"/>
        <w:kinsoku/>
        <w:wordWrap/>
        <w:overflowPunct/>
        <w:topLinePunct w:val="0"/>
        <w:autoSpaceDE/>
        <w:autoSpaceDN/>
        <w:bidi w:val="0"/>
        <w:spacing w:line="570" w:lineRule="exact"/>
        <w:ind w:right="0" w:rightChars="0"/>
        <w:jc w:val="center"/>
        <w:outlineLvl w:val="9"/>
        <w:rPr>
          <w:rFonts w:hint="eastAsia" w:ascii="方正小标宋_GBK" w:hAnsi="方正小标宋_GBK" w:eastAsia="方正小标宋_GBK" w:cs="方正小标宋_GBK"/>
          <w:sz w:val="36"/>
          <w:szCs w:val="36"/>
          <w:highlight w:val="none"/>
          <w:lang w:eastAsia="zh-CN"/>
        </w:rPr>
      </w:pPr>
      <w:r>
        <w:rPr>
          <w:rFonts w:hint="eastAsia" w:ascii="方正小标宋_GBK" w:hAnsi="方正小标宋_GBK" w:eastAsia="方正小标宋_GBK" w:cs="方正小标宋_GBK"/>
          <w:sz w:val="36"/>
          <w:szCs w:val="36"/>
          <w:highlight w:val="none"/>
          <w:lang w:eastAsia="zh-CN"/>
        </w:rPr>
        <w:t>临平区洁</w:t>
      </w:r>
      <w:r>
        <w:rPr>
          <w:rFonts w:hint="eastAsia" w:ascii="方正小标宋_GBK" w:hAnsi="方正小标宋_GBK" w:eastAsia="方正小标宋_GBK" w:cs="方正小标宋_GBK"/>
          <w:sz w:val="36"/>
          <w:szCs w:val="36"/>
          <w:highlight w:val="none"/>
          <w:lang w:val="en-US" w:eastAsia="zh-CN"/>
        </w:rPr>
        <w:t>化考核</w:t>
      </w:r>
      <w:r>
        <w:rPr>
          <w:rFonts w:hint="eastAsia" w:ascii="方正小标宋_GBK" w:hAnsi="方正小标宋_GBK" w:eastAsia="方正小标宋_GBK" w:cs="方正小标宋_GBK"/>
          <w:sz w:val="36"/>
          <w:szCs w:val="36"/>
          <w:highlight w:val="none"/>
          <w:lang w:eastAsia="zh-CN"/>
        </w:rPr>
        <w:t>评分细则</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89"/>
        <w:gridCol w:w="789"/>
        <w:gridCol w:w="6111"/>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1" w:hRule="exact"/>
          <w:tblHeader/>
          <w:jc w:val="center"/>
        </w:trPr>
        <w:tc>
          <w:tcPr>
            <w:tcW w:w="8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kern w:val="0"/>
                <w:sz w:val="24"/>
                <w:szCs w:val="24"/>
                <w:highlight w:val="none"/>
                <w:lang w:eastAsia="zh-CN"/>
              </w:rPr>
            </w:pPr>
            <w:r>
              <w:rPr>
                <w:rFonts w:hint="eastAsia" w:ascii="黑体" w:hAnsi="黑体" w:eastAsia="黑体" w:cs="黑体"/>
                <w:b w:val="0"/>
                <w:bCs/>
                <w:kern w:val="0"/>
                <w:sz w:val="24"/>
                <w:szCs w:val="24"/>
                <w:highlight w:val="none"/>
                <w:lang w:eastAsia="zh-CN"/>
              </w:rPr>
              <w:t>项目</w:t>
            </w: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kern w:val="0"/>
                <w:sz w:val="24"/>
                <w:szCs w:val="24"/>
                <w:highlight w:val="none"/>
                <w:lang w:eastAsia="zh-CN"/>
              </w:rPr>
            </w:pPr>
            <w:r>
              <w:rPr>
                <w:rFonts w:hint="eastAsia" w:ascii="黑体" w:hAnsi="黑体" w:eastAsia="黑体" w:cs="黑体"/>
                <w:b w:val="0"/>
                <w:bCs/>
                <w:kern w:val="0"/>
                <w:sz w:val="24"/>
                <w:szCs w:val="24"/>
                <w:highlight w:val="none"/>
                <w:lang w:eastAsia="zh-CN"/>
              </w:rPr>
              <w:t>序号</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kern w:val="0"/>
                <w:sz w:val="24"/>
                <w:szCs w:val="24"/>
                <w:highlight w:val="none"/>
              </w:rPr>
            </w:pPr>
            <w:r>
              <w:rPr>
                <w:rFonts w:hint="eastAsia" w:ascii="黑体" w:hAnsi="黑体" w:eastAsia="黑体" w:cs="黑体"/>
                <w:b w:val="0"/>
                <w:bCs/>
                <w:kern w:val="0"/>
                <w:sz w:val="24"/>
                <w:szCs w:val="24"/>
                <w:highlight w:val="none"/>
                <w:lang w:eastAsia="zh-CN"/>
              </w:rPr>
              <w:t>评分细则</w:t>
            </w:r>
          </w:p>
        </w:tc>
        <w:tc>
          <w:tcPr>
            <w:tcW w:w="134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考核</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kern w:val="0"/>
                <w:sz w:val="24"/>
                <w:szCs w:val="24"/>
                <w:highlight w:val="none"/>
              </w:rPr>
            </w:pPr>
            <w:r>
              <w:rPr>
                <w:rFonts w:hint="eastAsia" w:ascii="黑体" w:hAnsi="黑体" w:eastAsia="黑体" w:cs="黑体"/>
                <w:b w:val="0"/>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kern w:val="0"/>
                <w:sz w:val="21"/>
                <w:szCs w:val="21"/>
                <w:highlight w:val="none"/>
                <w:lang w:eastAsia="zh-CN"/>
              </w:rPr>
              <w:t>日常养护（</w:t>
            </w:r>
            <w:r>
              <w:rPr>
                <w:rFonts w:hint="eastAsia" w:ascii="仿宋_GB2312" w:hAnsi="仿宋_GB2312" w:eastAsia="仿宋_GB2312" w:cs="仿宋_GB2312"/>
                <w:kern w:val="0"/>
                <w:sz w:val="21"/>
                <w:szCs w:val="21"/>
                <w:highlight w:val="none"/>
                <w:lang w:val="en-US" w:eastAsia="zh-CN"/>
              </w:rPr>
              <w:t>60)分</w:t>
            </w:r>
            <w:r>
              <w:rPr>
                <w:rFonts w:hint="eastAsia" w:ascii="仿宋_GB2312" w:hAnsi="仿宋_GB2312" w:eastAsia="仿宋_GB2312" w:cs="仿宋_GB2312"/>
                <w:kern w:val="0"/>
                <w:sz w:val="21"/>
                <w:szCs w:val="21"/>
                <w:highlight w:val="none"/>
                <w:lang w:eastAsia="zh-CN"/>
              </w:rPr>
              <w:t>）</w:t>
            </w: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1</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spacing w:val="-11"/>
                <w:sz w:val="21"/>
                <w:szCs w:val="21"/>
                <w:highlight w:val="none"/>
              </w:rPr>
            </w:pPr>
            <w:r>
              <w:rPr>
                <w:rFonts w:hint="eastAsia" w:ascii="仿宋_GB2312" w:hAnsi="仿宋_GB2312" w:eastAsia="仿宋_GB2312" w:cs="仿宋_GB2312"/>
                <w:kern w:val="0"/>
                <w:sz w:val="21"/>
                <w:szCs w:val="21"/>
                <w:highlight w:val="none"/>
              </w:rPr>
              <w:t>路面</w:t>
            </w:r>
            <w:r>
              <w:rPr>
                <w:rFonts w:hint="eastAsia" w:ascii="仿宋_GB2312" w:hAnsi="仿宋_GB2312" w:eastAsia="仿宋_GB2312" w:cs="仿宋_GB2312"/>
                <w:kern w:val="0"/>
                <w:sz w:val="21"/>
                <w:szCs w:val="21"/>
                <w:highlight w:val="none"/>
                <w:lang w:eastAsia="zh-CN"/>
              </w:rPr>
              <w:t>（绿化带）零星</w:t>
            </w:r>
            <w:r>
              <w:rPr>
                <w:rFonts w:hint="eastAsia" w:ascii="仿宋_GB2312" w:hAnsi="仿宋_GB2312" w:eastAsia="仿宋_GB2312" w:cs="仿宋_GB2312"/>
                <w:kern w:val="0"/>
                <w:sz w:val="21"/>
                <w:szCs w:val="21"/>
                <w:highlight w:val="none"/>
              </w:rPr>
              <w:t>垃圾</w:t>
            </w:r>
            <w:r>
              <w:rPr>
                <w:rFonts w:hint="eastAsia"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kern w:val="0"/>
                <w:sz w:val="21"/>
                <w:szCs w:val="21"/>
                <w:highlight w:val="none"/>
              </w:rPr>
              <w:t>杂物</w:t>
            </w:r>
            <w:r>
              <w:rPr>
                <w:rFonts w:hint="eastAsia" w:ascii="仿宋_GB2312" w:hAnsi="仿宋_GB2312" w:eastAsia="仿宋_GB2312" w:cs="仿宋_GB2312"/>
                <w:kern w:val="0"/>
                <w:sz w:val="21"/>
                <w:szCs w:val="21"/>
                <w:highlight w:val="none"/>
                <w:lang w:eastAsia="zh-CN"/>
              </w:rPr>
              <w:t>、烟蒂，每</w:t>
            </w:r>
            <w:r>
              <w:rPr>
                <w:rFonts w:hint="eastAsia" w:ascii="仿宋_GB2312" w:hAnsi="仿宋_GB2312" w:eastAsia="仿宋_GB2312" w:cs="仿宋_GB2312"/>
                <w:kern w:val="0"/>
                <w:sz w:val="21"/>
                <w:szCs w:val="21"/>
                <w:highlight w:val="none"/>
              </w:rPr>
              <w:t>个</w:t>
            </w:r>
            <w:r>
              <w:rPr>
                <w:rFonts w:hint="eastAsia" w:ascii="仿宋_GB2312" w:hAnsi="仿宋_GB2312" w:eastAsia="仿宋_GB2312" w:cs="仿宋_GB2312"/>
                <w:kern w:val="0"/>
                <w:sz w:val="21"/>
                <w:szCs w:val="21"/>
                <w:highlight w:val="none"/>
                <w:lang w:eastAsia="zh-CN"/>
              </w:rPr>
              <w:t>扣</w:t>
            </w:r>
            <w:r>
              <w:rPr>
                <w:rFonts w:hint="eastAsia" w:ascii="仿宋_GB2312" w:hAnsi="仿宋_GB2312" w:eastAsia="仿宋_GB2312" w:cs="仿宋_GB2312"/>
                <w:kern w:val="0"/>
                <w:sz w:val="21"/>
                <w:szCs w:val="21"/>
                <w:highlight w:val="none"/>
                <w:lang w:val="en-US" w:eastAsia="zh-CN"/>
              </w:rPr>
              <w:t>0.2分。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kern w:val="0"/>
                <w:sz w:val="21"/>
                <w:szCs w:val="21"/>
                <w:highlight w:val="none"/>
              </w:rPr>
              <w:t>有暴露垃圾</w:t>
            </w:r>
            <w:r>
              <w:rPr>
                <w:rFonts w:hint="eastAsia" w:ascii="仿宋_GB2312" w:hAnsi="仿宋_GB2312" w:eastAsia="仿宋_GB2312" w:cs="仿宋_GB2312"/>
                <w:kern w:val="0"/>
                <w:sz w:val="21"/>
                <w:szCs w:val="21"/>
                <w:highlight w:val="none"/>
                <w:lang w:eastAsia="zh-CN"/>
              </w:rPr>
              <w:t>、卫生死角</w:t>
            </w:r>
            <w:r>
              <w:rPr>
                <w:rFonts w:hint="eastAsia" w:ascii="仿宋_GB2312" w:hAnsi="仿宋_GB2312" w:eastAsia="仿宋_GB2312" w:cs="仿宋_GB2312"/>
                <w:kern w:val="0"/>
                <w:sz w:val="21"/>
                <w:szCs w:val="21"/>
                <w:highlight w:val="none"/>
              </w:rPr>
              <w:t>（面积≥0.5㎡），</w:t>
            </w:r>
            <w:r>
              <w:rPr>
                <w:rFonts w:hint="eastAsia" w:ascii="仿宋_GB2312" w:hAnsi="仿宋_GB2312" w:eastAsia="仿宋_GB2312" w:cs="仿宋_GB2312"/>
                <w:kern w:val="0"/>
                <w:sz w:val="21"/>
                <w:szCs w:val="21"/>
                <w:highlight w:val="none"/>
                <w:lang w:eastAsia="zh-CN"/>
              </w:rPr>
              <w:t>每处</w:t>
            </w:r>
            <w:r>
              <w:rPr>
                <w:rFonts w:hint="eastAsia" w:ascii="仿宋_GB2312" w:hAnsi="仿宋_GB2312" w:eastAsia="仿宋_GB2312" w:cs="仿宋_GB2312"/>
                <w:kern w:val="0"/>
                <w:sz w:val="21"/>
                <w:szCs w:val="21"/>
                <w:highlight w:val="none"/>
              </w:rPr>
              <w:t>扣</w:t>
            </w:r>
            <w:r>
              <w:rPr>
                <w:rFonts w:hint="eastAsia" w:ascii="仿宋_GB2312" w:hAnsi="仿宋_GB2312" w:eastAsia="仿宋_GB2312" w:cs="仿宋_GB2312"/>
                <w:kern w:val="0"/>
                <w:sz w:val="21"/>
                <w:szCs w:val="21"/>
                <w:highlight w:val="none"/>
                <w:lang w:val="en-US" w:eastAsia="zh-CN"/>
              </w:rPr>
              <w:t>1</w:t>
            </w:r>
            <w:r>
              <w:rPr>
                <w:rFonts w:hint="eastAsia" w:ascii="仿宋_GB2312" w:hAnsi="仿宋_GB2312" w:eastAsia="仿宋_GB2312" w:cs="仿宋_GB2312"/>
                <w:kern w:val="0"/>
                <w:sz w:val="21"/>
                <w:szCs w:val="21"/>
                <w:highlight w:val="none"/>
              </w:rPr>
              <w:t>分</w:t>
            </w:r>
            <w:r>
              <w:rPr>
                <w:rFonts w:hint="eastAsia" w:ascii="仿宋_GB2312" w:hAnsi="仿宋_GB2312" w:eastAsia="仿宋_GB2312" w:cs="仿宋_GB2312"/>
                <w:kern w:val="0"/>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3</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lang w:eastAsia="zh-CN"/>
              </w:rPr>
              <w:t>车行道</w:t>
            </w:r>
            <w:r>
              <w:rPr>
                <w:rFonts w:hint="eastAsia" w:ascii="仿宋_GB2312" w:hAnsi="仿宋_GB2312" w:eastAsia="仿宋_GB2312" w:cs="仿宋_GB2312"/>
                <w:kern w:val="0"/>
                <w:sz w:val="21"/>
                <w:szCs w:val="21"/>
                <w:highlight w:val="none"/>
              </w:rPr>
              <w:t>、人行道路面油污</w:t>
            </w:r>
            <w:r>
              <w:rPr>
                <w:rFonts w:hint="eastAsia" w:ascii="仿宋_GB2312" w:hAnsi="仿宋_GB2312" w:eastAsia="仿宋_GB2312" w:cs="仿宋_GB2312"/>
                <w:kern w:val="0"/>
                <w:sz w:val="21"/>
                <w:szCs w:val="21"/>
                <w:highlight w:val="none"/>
                <w:lang w:eastAsia="zh-CN"/>
              </w:rPr>
              <w:t>未及时冲洗，每处</w:t>
            </w:r>
            <w:r>
              <w:rPr>
                <w:rFonts w:hint="eastAsia" w:ascii="仿宋_GB2312" w:hAnsi="仿宋_GB2312" w:eastAsia="仿宋_GB2312" w:cs="仿宋_GB2312"/>
                <w:kern w:val="0"/>
                <w:sz w:val="21"/>
                <w:szCs w:val="21"/>
                <w:highlight w:val="none"/>
              </w:rPr>
              <w:t>扣</w:t>
            </w:r>
            <w:r>
              <w:rPr>
                <w:rFonts w:hint="eastAsia" w:ascii="仿宋_GB2312" w:hAnsi="仿宋_GB2312" w:eastAsia="仿宋_GB2312" w:cs="仿宋_GB2312"/>
                <w:kern w:val="0"/>
                <w:sz w:val="21"/>
                <w:szCs w:val="21"/>
                <w:highlight w:val="none"/>
                <w:lang w:val="en-US" w:eastAsia="zh-CN"/>
              </w:rPr>
              <w:t>0.</w:t>
            </w:r>
            <w:r>
              <w:rPr>
                <w:rFonts w:hint="eastAsia" w:ascii="仿宋_GB2312" w:hAnsi="仿宋_GB2312" w:eastAsia="仿宋_GB2312" w:cs="仿宋_GB2312"/>
                <w:kern w:val="0"/>
                <w:sz w:val="21"/>
                <w:szCs w:val="21"/>
                <w:highlight w:val="none"/>
              </w:rPr>
              <w:t>5分</w:t>
            </w:r>
            <w:r>
              <w:rPr>
                <w:rFonts w:hint="eastAsia" w:ascii="仿宋_GB2312" w:hAnsi="仿宋_GB2312" w:eastAsia="仿宋_GB2312" w:cs="仿宋_GB2312"/>
                <w:kern w:val="0"/>
                <w:sz w:val="21"/>
                <w:szCs w:val="21"/>
                <w:highlight w:val="none"/>
                <w:lang w:val="en-US"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4</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sz w:val="21"/>
                <w:szCs w:val="21"/>
                <w:highlight w:val="none"/>
                <w:lang w:eastAsia="zh-CN"/>
              </w:rPr>
              <w:t>城市家具、护栏不洁、积灰，每处扣</w:t>
            </w:r>
            <w:r>
              <w:rPr>
                <w:rFonts w:hint="eastAsia" w:ascii="仿宋_GB2312" w:hAnsi="仿宋_GB2312" w:eastAsia="仿宋_GB2312" w:cs="仿宋_GB2312"/>
                <w:sz w:val="21"/>
                <w:szCs w:val="21"/>
                <w:highlight w:val="none"/>
                <w:lang w:val="en-US" w:eastAsia="zh-CN"/>
              </w:rPr>
              <w:t>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5</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eastAsia="zh-CN"/>
              </w:rPr>
              <w:t>城市家具、沿街外墙牛皮鲜（小广告）未及时清除，每处扣</w:t>
            </w:r>
            <w:r>
              <w:rPr>
                <w:rFonts w:hint="eastAsia" w:ascii="仿宋_GB2312" w:hAnsi="仿宋_GB2312" w:eastAsia="仿宋_GB2312" w:cs="仿宋_GB2312"/>
                <w:sz w:val="21"/>
                <w:szCs w:val="21"/>
                <w:highlight w:val="none"/>
                <w:lang w:val="en-US" w:eastAsia="zh-CN"/>
              </w:rPr>
              <w:t>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6</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eastAsia="zh-CN"/>
              </w:rPr>
              <w:t>晴天路面积水，每处扣</w:t>
            </w:r>
            <w:r>
              <w:rPr>
                <w:rFonts w:hint="eastAsia" w:ascii="仿宋_GB2312" w:hAnsi="仿宋_GB2312" w:eastAsia="仿宋_GB2312" w:cs="仿宋_GB2312"/>
                <w:sz w:val="21"/>
                <w:szCs w:val="21"/>
                <w:highlight w:val="none"/>
                <w:lang w:val="en-US" w:eastAsia="zh-CN"/>
              </w:rPr>
              <w:t>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7</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雨水井沟眼积泥（嵌石），</w:t>
            </w:r>
            <w:r>
              <w:rPr>
                <w:rFonts w:hint="eastAsia" w:ascii="仿宋_GB2312" w:hAnsi="仿宋_GB2312" w:eastAsia="仿宋_GB2312" w:cs="仿宋_GB2312"/>
                <w:kern w:val="0"/>
                <w:sz w:val="21"/>
                <w:szCs w:val="21"/>
                <w:highlight w:val="none"/>
                <w:lang w:eastAsia="zh-CN"/>
              </w:rPr>
              <w:t>每处</w:t>
            </w:r>
            <w:r>
              <w:rPr>
                <w:rFonts w:hint="eastAsia" w:ascii="仿宋_GB2312" w:hAnsi="仿宋_GB2312" w:eastAsia="仿宋_GB2312" w:cs="仿宋_GB2312"/>
                <w:kern w:val="0"/>
                <w:sz w:val="21"/>
                <w:szCs w:val="21"/>
                <w:highlight w:val="none"/>
              </w:rPr>
              <w:t>扣</w:t>
            </w:r>
            <w:r>
              <w:rPr>
                <w:rFonts w:hint="eastAsia" w:ascii="仿宋_GB2312" w:hAnsi="仿宋_GB2312" w:eastAsia="仿宋_GB2312" w:cs="仿宋_GB2312"/>
                <w:kern w:val="0"/>
                <w:sz w:val="21"/>
                <w:szCs w:val="21"/>
                <w:highlight w:val="none"/>
                <w:lang w:val="en-US" w:eastAsia="zh-CN"/>
              </w:rPr>
              <w:t>0.5</w:t>
            </w:r>
            <w:r>
              <w:rPr>
                <w:rFonts w:hint="eastAsia" w:ascii="仿宋_GB2312" w:hAnsi="仿宋_GB2312" w:eastAsia="仿宋_GB2312" w:cs="仿宋_GB2312"/>
                <w:kern w:val="0"/>
                <w:sz w:val="21"/>
                <w:szCs w:val="21"/>
                <w:highlight w:val="none"/>
              </w:rPr>
              <w:t>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8"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8</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道路积泥（沙石）</w:t>
            </w:r>
            <w:r>
              <w:rPr>
                <w:rFonts w:hint="eastAsia" w:ascii="仿宋_GB2312" w:hAnsi="仿宋_GB2312" w:eastAsia="仿宋_GB2312" w:cs="仿宋_GB2312"/>
                <w:kern w:val="0"/>
                <w:sz w:val="21"/>
                <w:szCs w:val="21"/>
                <w:highlight w:val="none"/>
                <w:lang w:eastAsia="zh-CN"/>
              </w:rPr>
              <w:t>，每处</w:t>
            </w:r>
            <w:r>
              <w:rPr>
                <w:rFonts w:hint="eastAsia" w:ascii="仿宋_GB2312" w:hAnsi="仿宋_GB2312" w:eastAsia="仿宋_GB2312" w:cs="仿宋_GB2312"/>
                <w:kern w:val="0"/>
                <w:sz w:val="21"/>
                <w:szCs w:val="21"/>
                <w:highlight w:val="none"/>
              </w:rPr>
              <w:t>扣</w:t>
            </w:r>
            <w:r>
              <w:rPr>
                <w:rFonts w:hint="eastAsia" w:ascii="仿宋_GB2312" w:hAnsi="仿宋_GB2312" w:eastAsia="仿宋_GB2312" w:cs="仿宋_GB2312"/>
                <w:kern w:val="0"/>
                <w:sz w:val="21"/>
                <w:szCs w:val="21"/>
                <w:highlight w:val="none"/>
                <w:lang w:val="en-US" w:eastAsia="zh-CN"/>
              </w:rPr>
              <w:t>1</w:t>
            </w:r>
            <w:r>
              <w:rPr>
                <w:rFonts w:hint="eastAsia" w:ascii="仿宋_GB2312" w:hAnsi="仿宋_GB2312" w:eastAsia="仿宋_GB2312" w:cs="仿宋_GB2312"/>
                <w:kern w:val="0"/>
                <w:sz w:val="21"/>
                <w:szCs w:val="21"/>
                <w:highlight w:val="none"/>
              </w:rPr>
              <w:t>分/处。</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9</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清扫保洁时将垃圾扫入雨水井、河道、绿地，</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w:t>
            </w:r>
            <w:r>
              <w:rPr>
                <w:rFonts w:hint="eastAsia" w:ascii="仿宋_GB2312" w:hAnsi="仿宋_GB2312" w:eastAsia="仿宋_GB2312" w:cs="仿宋_GB2312"/>
                <w:kern w:val="0"/>
                <w:sz w:val="21"/>
                <w:szCs w:val="21"/>
                <w:highlight w:val="none"/>
                <w:lang w:val="en-US" w:eastAsia="zh-CN"/>
              </w:rPr>
              <w:t>1</w:t>
            </w:r>
            <w:r>
              <w:rPr>
                <w:rFonts w:hint="eastAsia" w:ascii="仿宋_GB2312" w:hAnsi="仿宋_GB2312" w:eastAsia="仿宋_GB2312" w:cs="仿宋_GB2312"/>
                <w:kern w:val="0"/>
                <w:sz w:val="21"/>
                <w:szCs w:val="21"/>
                <w:highlight w:val="none"/>
              </w:rPr>
              <w:t>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4"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10</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垃圾超出果壳箱、垃圾桶投放口平面，</w:t>
            </w:r>
            <w:r>
              <w:rPr>
                <w:rFonts w:hint="eastAsia" w:ascii="仿宋_GB2312" w:hAnsi="仿宋_GB2312" w:eastAsia="仿宋_GB2312" w:cs="仿宋_GB2312"/>
                <w:kern w:val="0"/>
                <w:sz w:val="21"/>
                <w:szCs w:val="21"/>
                <w:highlight w:val="none"/>
                <w:lang w:eastAsia="zh-CN"/>
              </w:rPr>
              <w:t>每处</w:t>
            </w:r>
            <w:r>
              <w:rPr>
                <w:rFonts w:hint="eastAsia" w:ascii="仿宋_GB2312" w:hAnsi="仿宋_GB2312" w:eastAsia="仿宋_GB2312" w:cs="仿宋_GB2312"/>
                <w:kern w:val="0"/>
                <w:sz w:val="21"/>
                <w:szCs w:val="21"/>
                <w:highlight w:val="none"/>
              </w:rPr>
              <w:t>扣</w:t>
            </w:r>
            <w:r>
              <w:rPr>
                <w:rFonts w:hint="eastAsia" w:ascii="仿宋_GB2312" w:hAnsi="仿宋_GB2312" w:eastAsia="仿宋_GB2312" w:cs="仿宋_GB2312"/>
                <w:kern w:val="0"/>
                <w:sz w:val="21"/>
                <w:szCs w:val="21"/>
                <w:highlight w:val="none"/>
                <w:lang w:val="en-US" w:eastAsia="zh-CN"/>
              </w:rPr>
              <w:t>0.5</w:t>
            </w:r>
            <w:r>
              <w:rPr>
                <w:rFonts w:hint="eastAsia" w:ascii="仿宋_GB2312" w:hAnsi="仿宋_GB2312" w:eastAsia="仿宋_GB2312" w:cs="仿宋_GB2312"/>
                <w:kern w:val="0"/>
                <w:sz w:val="21"/>
                <w:szCs w:val="21"/>
                <w:highlight w:val="none"/>
              </w:rPr>
              <w:t>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7"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11</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作业工具</w:t>
            </w:r>
            <w:r>
              <w:rPr>
                <w:rFonts w:hint="eastAsia" w:ascii="仿宋_GB2312" w:hAnsi="仿宋_GB2312" w:eastAsia="仿宋_GB2312" w:cs="仿宋_GB2312"/>
                <w:kern w:val="0"/>
                <w:sz w:val="21"/>
                <w:szCs w:val="21"/>
                <w:highlight w:val="none"/>
                <w:lang w:eastAsia="zh-CN"/>
              </w:rPr>
              <w:t>随意</w:t>
            </w:r>
            <w:r>
              <w:rPr>
                <w:rFonts w:hint="eastAsia" w:ascii="仿宋_GB2312" w:hAnsi="仿宋_GB2312" w:eastAsia="仿宋_GB2312" w:cs="仿宋_GB2312"/>
                <w:kern w:val="0"/>
                <w:sz w:val="21"/>
                <w:szCs w:val="21"/>
                <w:highlight w:val="none"/>
              </w:rPr>
              <w:t>堆</w:t>
            </w:r>
            <w:r>
              <w:rPr>
                <w:rFonts w:hint="eastAsia" w:ascii="仿宋_GB2312" w:hAnsi="仿宋_GB2312" w:eastAsia="仿宋_GB2312" w:cs="仿宋_GB2312"/>
                <w:kern w:val="0"/>
                <w:sz w:val="21"/>
                <w:szCs w:val="21"/>
                <w:highlight w:val="none"/>
                <w:lang w:eastAsia="zh-CN"/>
              </w:rPr>
              <w:t>放在路面和</w:t>
            </w:r>
            <w:r>
              <w:rPr>
                <w:rFonts w:hint="eastAsia" w:ascii="仿宋_GB2312" w:hAnsi="仿宋_GB2312" w:eastAsia="仿宋_GB2312" w:cs="仿宋_GB2312"/>
                <w:kern w:val="0"/>
                <w:sz w:val="21"/>
                <w:szCs w:val="21"/>
                <w:highlight w:val="none"/>
              </w:rPr>
              <w:t>绿化带</w:t>
            </w:r>
            <w:r>
              <w:rPr>
                <w:rFonts w:hint="eastAsia"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kern w:val="0"/>
                <w:sz w:val="21"/>
                <w:szCs w:val="21"/>
                <w:highlight w:val="none"/>
              </w:rPr>
              <w:t>作业车辆违规停放阻碍通行</w:t>
            </w:r>
            <w:r>
              <w:rPr>
                <w:rFonts w:hint="eastAsia" w:ascii="仿宋_GB2312" w:hAnsi="仿宋_GB2312" w:eastAsia="仿宋_GB2312" w:cs="仿宋_GB2312"/>
                <w:kern w:val="0"/>
                <w:sz w:val="21"/>
                <w:szCs w:val="21"/>
                <w:highlight w:val="none"/>
                <w:lang w:eastAsia="zh-CN"/>
              </w:rPr>
              <w:t>，每次扣</w:t>
            </w:r>
            <w:r>
              <w:rPr>
                <w:rFonts w:hint="eastAsia" w:ascii="仿宋_GB2312" w:hAnsi="仿宋_GB2312" w:eastAsia="仿宋_GB2312" w:cs="仿宋_GB2312"/>
                <w:kern w:val="0"/>
                <w:sz w:val="21"/>
                <w:szCs w:val="21"/>
                <w:highlight w:val="none"/>
                <w:lang w:val="en-US" w:eastAsia="zh-CN"/>
              </w:rPr>
              <w:t>0.5分</w:t>
            </w:r>
            <w:r>
              <w:rPr>
                <w:rFonts w:hint="eastAsia" w:ascii="仿宋_GB2312" w:hAnsi="仿宋_GB2312" w:eastAsia="仿宋_GB2312" w:cs="仿宋_GB2312"/>
                <w:kern w:val="0"/>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12</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落叶旺季（落叶景观道路除外）未及时清扫</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w:t>
            </w:r>
            <w:r>
              <w:rPr>
                <w:rFonts w:hint="eastAsia" w:ascii="仿宋_GB2312" w:hAnsi="仿宋_GB2312" w:eastAsia="仿宋_GB2312" w:cs="仿宋_GB2312"/>
                <w:kern w:val="0"/>
                <w:sz w:val="21"/>
                <w:szCs w:val="21"/>
                <w:highlight w:val="none"/>
                <w:lang w:val="en-US" w:eastAsia="zh-CN"/>
              </w:rPr>
              <w:t>0.5</w:t>
            </w:r>
            <w:r>
              <w:rPr>
                <w:rFonts w:hint="eastAsia" w:ascii="仿宋_GB2312" w:hAnsi="仿宋_GB2312" w:eastAsia="仿宋_GB2312" w:cs="仿宋_GB2312"/>
                <w:kern w:val="0"/>
                <w:sz w:val="21"/>
                <w:szCs w:val="21"/>
                <w:highlight w:val="none"/>
              </w:rPr>
              <w:t>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13</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环卫工人未</w:t>
            </w:r>
            <w:r>
              <w:rPr>
                <w:rFonts w:hint="eastAsia" w:ascii="仿宋_GB2312" w:hAnsi="仿宋_GB2312" w:eastAsia="仿宋_GB2312" w:cs="仿宋_GB2312"/>
                <w:kern w:val="0"/>
                <w:sz w:val="21"/>
                <w:szCs w:val="21"/>
                <w:highlight w:val="none"/>
                <w:lang w:eastAsia="zh-CN"/>
              </w:rPr>
              <w:t>按规定着装、疫情期间不佩戴口罩</w:t>
            </w:r>
            <w:r>
              <w:rPr>
                <w:rFonts w:hint="eastAsia" w:ascii="仿宋_GB2312" w:hAnsi="仿宋_GB2312" w:eastAsia="仿宋_GB2312" w:cs="仿宋_GB2312"/>
                <w:kern w:val="0"/>
                <w:sz w:val="21"/>
                <w:szCs w:val="21"/>
                <w:highlight w:val="none"/>
              </w:rPr>
              <w:t>，</w:t>
            </w:r>
            <w:r>
              <w:rPr>
                <w:rFonts w:hint="eastAsia" w:ascii="仿宋_GB2312" w:hAnsi="仿宋_GB2312" w:eastAsia="仿宋_GB2312" w:cs="仿宋_GB2312"/>
                <w:kern w:val="0"/>
                <w:sz w:val="21"/>
                <w:szCs w:val="21"/>
                <w:highlight w:val="none"/>
                <w:lang w:eastAsia="zh-CN"/>
              </w:rPr>
              <w:t>每次扣</w:t>
            </w:r>
            <w:r>
              <w:rPr>
                <w:rFonts w:hint="eastAsia" w:ascii="仿宋_GB2312" w:hAnsi="仿宋_GB2312" w:eastAsia="仿宋_GB2312" w:cs="仿宋_GB2312"/>
                <w:kern w:val="0"/>
                <w:sz w:val="21"/>
                <w:szCs w:val="21"/>
                <w:highlight w:val="none"/>
                <w:lang w:val="en-US" w:eastAsia="zh-CN"/>
              </w:rPr>
              <w:t>0.5分</w:t>
            </w:r>
            <w:r>
              <w:rPr>
                <w:rFonts w:hint="eastAsia" w:ascii="仿宋_GB2312" w:hAnsi="仿宋_GB2312" w:eastAsia="仿宋_GB2312" w:cs="仿宋_GB2312"/>
                <w:kern w:val="0"/>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14</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作业车辆逆行、保洁员无维护情况上快车道作业的，每次扣2分。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15</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pacing w:val="-11"/>
                <w:kern w:val="0"/>
                <w:sz w:val="21"/>
                <w:szCs w:val="21"/>
                <w:highlight w:val="none"/>
              </w:rPr>
              <w:t>环卫作业车辆</w:t>
            </w:r>
            <w:r>
              <w:rPr>
                <w:rFonts w:hint="eastAsia" w:ascii="仿宋_GB2312" w:hAnsi="仿宋_GB2312" w:eastAsia="仿宋_GB2312" w:cs="仿宋_GB2312"/>
                <w:spacing w:val="-11"/>
                <w:kern w:val="0"/>
                <w:sz w:val="21"/>
                <w:szCs w:val="21"/>
                <w:highlight w:val="none"/>
                <w:lang w:eastAsia="zh-CN"/>
              </w:rPr>
              <w:t>未按要求统一</w:t>
            </w:r>
            <w:r>
              <w:rPr>
                <w:rFonts w:hint="eastAsia" w:ascii="仿宋_GB2312" w:hAnsi="仿宋_GB2312" w:eastAsia="仿宋_GB2312" w:cs="仿宋_GB2312"/>
                <w:spacing w:val="-11"/>
                <w:kern w:val="0"/>
                <w:sz w:val="21"/>
                <w:szCs w:val="21"/>
                <w:highlight w:val="none"/>
              </w:rPr>
              <w:t>外观</w:t>
            </w:r>
            <w:r>
              <w:rPr>
                <w:rFonts w:hint="eastAsia" w:ascii="仿宋_GB2312" w:hAnsi="仿宋_GB2312" w:eastAsia="仿宋_GB2312" w:cs="仿宋_GB2312"/>
                <w:spacing w:val="-11"/>
                <w:kern w:val="0"/>
                <w:sz w:val="21"/>
                <w:szCs w:val="21"/>
                <w:highlight w:val="none"/>
                <w:lang w:eastAsia="zh-CN"/>
              </w:rPr>
              <w:t>，车身</w:t>
            </w:r>
            <w:r>
              <w:rPr>
                <w:rFonts w:hint="eastAsia" w:ascii="仿宋_GB2312" w:hAnsi="仿宋_GB2312" w:eastAsia="仿宋_GB2312" w:cs="仿宋_GB2312"/>
                <w:spacing w:val="-11"/>
                <w:kern w:val="0"/>
                <w:sz w:val="21"/>
                <w:szCs w:val="21"/>
                <w:highlight w:val="none"/>
              </w:rPr>
              <w:t>不洁、破损</w:t>
            </w:r>
            <w:r>
              <w:rPr>
                <w:rFonts w:hint="eastAsia" w:ascii="仿宋_GB2312" w:hAnsi="仿宋_GB2312" w:eastAsia="仿宋_GB2312" w:cs="仿宋_GB2312"/>
                <w:spacing w:val="-11"/>
                <w:kern w:val="0"/>
                <w:sz w:val="21"/>
                <w:szCs w:val="21"/>
                <w:highlight w:val="none"/>
                <w:lang w:eastAsia="zh-CN"/>
              </w:rPr>
              <w:t>，每次扣</w:t>
            </w:r>
            <w:r>
              <w:rPr>
                <w:rFonts w:hint="eastAsia" w:ascii="仿宋_GB2312" w:hAnsi="仿宋_GB2312" w:eastAsia="仿宋_GB2312" w:cs="仿宋_GB2312"/>
                <w:spacing w:val="-11"/>
                <w:kern w:val="0"/>
                <w:sz w:val="21"/>
                <w:szCs w:val="21"/>
                <w:highlight w:val="none"/>
                <w:lang w:val="en-US" w:eastAsia="zh-CN"/>
              </w:rPr>
              <w:t>1分。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9"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16</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属地卫生死角（保洁本底外有相应责任主体的），扣</w:t>
            </w:r>
            <w:r>
              <w:rPr>
                <w:rFonts w:hint="eastAsia" w:ascii="仿宋_GB2312" w:hAnsi="仿宋_GB2312" w:eastAsia="仿宋_GB2312" w:cs="仿宋_GB2312"/>
                <w:kern w:val="0"/>
                <w:sz w:val="21"/>
                <w:szCs w:val="21"/>
                <w:highlight w:val="none"/>
                <w:lang w:eastAsia="zh-CN"/>
              </w:rPr>
              <w:t>属地</w:t>
            </w:r>
            <w:r>
              <w:rPr>
                <w:rFonts w:hint="eastAsia" w:ascii="仿宋_GB2312" w:hAnsi="仿宋_GB2312" w:eastAsia="仿宋_GB2312" w:cs="仿宋_GB2312"/>
                <w:kern w:val="0"/>
                <w:sz w:val="21"/>
                <w:szCs w:val="21"/>
                <w:highlight w:val="none"/>
              </w:rPr>
              <w:t>环卫管理0.</w:t>
            </w:r>
            <w:r>
              <w:rPr>
                <w:rFonts w:hint="eastAsia" w:ascii="仿宋_GB2312" w:hAnsi="仿宋_GB2312" w:eastAsia="仿宋_GB2312" w:cs="仿宋_GB2312"/>
                <w:kern w:val="0"/>
                <w:sz w:val="21"/>
                <w:szCs w:val="21"/>
                <w:highlight w:val="none"/>
                <w:lang w:val="en-US" w:eastAsia="zh-CN"/>
              </w:rPr>
              <w:t>2</w:t>
            </w:r>
            <w:r>
              <w:rPr>
                <w:rFonts w:hint="eastAsia" w:ascii="仿宋_GB2312" w:hAnsi="仿宋_GB2312" w:eastAsia="仿宋_GB2312" w:cs="仿宋_GB2312"/>
                <w:kern w:val="0"/>
                <w:sz w:val="21"/>
                <w:szCs w:val="21"/>
                <w:highlight w:val="none"/>
              </w:rPr>
              <w:t>分/处。</w:t>
            </w:r>
          </w:p>
        </w:tc>
        <w:tc>
          <w:tcPr>
            <w:tcW w:w="13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直接扣分，不进行加权</w:t>
            </w:r>
            <w:r>
              <w:rPr>
                <w:rFonts w:hint="eastAsia" w:ascii="仿宋_GB2312" w:hAnsi="仿宋_GB2312" w:eastAsia="仿宋_GB2312" w:cs="仿宋_GB2312"/>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5"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17</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沿街道路果壳箱破损未及时更新的，</w:t>
            </w:r>
            <w:r>
              <w:rPr>
                <w:rFonts w:hint="eastAsia" w:ascii="仿宋_GB2312" w:hAnsi="仿宋_GB2312" w:eastAsia="仿宋_GB2312" w:cs="仿宋_GB2312"/>
                <w:kern w:val="0"/>
                <w:sz w:val="21"/>
                <w:szCs w:val="21"/>
                <w:highlight w:val="none"/>
              </w:rPr>
              <w:t>扣</w:t>
            </w:r>
            <w:r>
              <w:rPr>
                <w:rFonts w:hint="eastAsia" w:ascii="仿宋_GB2312" w:hAnsi="仿宋_GB2312" w:eastAsia="仿宋_GB2312" w:cs="仿宋_GB2312"/>
                <w:kern w:val="0"/>
                <w:sz w:val="21"/>
                <w:szCs w:val="21"/>
                <w:highlight w:val="none"/>
                <w:lang w:eastAsia="zh-CN"/>
              </w:rPr>
              <w:t>属地</w:t>
            </w:r>
            <w:r>
              <w:rPr>
                <w:rFonts w:hint="eastAsia" w:ascii="仿宋_GB2312" w:hAnsi="仿宋_GB2312" w:eastAsia="仿宋_GB2312" w:cs="仿宋_GB2312"/>
                <w:kern w:val="0"/>
                <w:sz w:val="21"/>
                <w:szCs w:val="21"/>
                <w:highlight w:val="none"/>
              </w:rPr>
              <w:t>环卫管理0.</w:t>
            </w:r>
            <w:r>
              <w:rPr>
                <w:rFonts w:hint="eastAsia" w:ascii="仿宋_GB2312" w:hAnsi="仿宋_GB2312" w:eastAsia="仿宋_GB2312" w:cs="仿宋_GB2312"/>
                <w:kern w:val="0"/>
                <w:sz w:val="21"/>
                <w:szCs w:val="21"/>
                <w:highlight w:val="none"/>
                <w:lang w:val="en-US" w:eastAsia="zh-CN"/>
              </w:rPr>
              <w:t>1</w:t>
            </w:r>
            <w:r>
              <w:rPr>
                <w:rFonts w:hint="eastAsia" w:ascii="仿宋_GB2312" w:hAnsi="仿宋_GB2312" w:eastAsia="仿宋_GB2312" w:cs="仿宋_GB2312"/>
                <w:kern w:val="0"/>
                <w:sz w:val="21"/>
                <w:szCs w:val="21"/>
                <w:highlight w:val="none"/>
              </w:rPr>
              <w:t>分/处。</w:t>
            </w:r>
          </w:p>
        </w:tc>
        <w:tc>
          <w:tcPr>
            <w:tcW w:w="13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rPr>
              <w:t>直接扣分，不进行加权</w:t>
            </w:r>
            <w:r>
              <w:rPr>
                <w:rFonts w:hint="eastAsia" w:ascii="仿宋_GB2312" w:hAnsi="仿宋_GB2312" w:eastAsia="仿宋_GB2312" w:cs="仿宋_GB2312"/>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3"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18</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未按要求设置公厕管理牌和质量监督牌、公厕指示牌缺失</w:t>
            </w:r>
            <w:r>
              <w:rPr>
                <w:rFonts w:hint="eastAsia" w:ascii="仿宋_GB2312" w:hAnsi="仿宋_GB2312" w:eastAsia="仿宋_GB2312" w:cs="仿宋_GB2312"/>
                <w:kern w:val="0"/>
                <w:sz w:val="21"/>
                <w:szCs w:val="21"/>
                <w:highlight w:val="none"/>
                <w:lang w:eastAsia="zh-CN"/>
              </w:rPr>
              <w:t>、破损</w:t>
            </w:r>
            <w:r>
              <w:rPr>
                <w:rFonts w:hint="eastAsia" w:ascii="仿宋_GB2312" w:hAnsi="仿宋_GB2312" w:eastAsia="仿宋_GB2312" w:cs="仿宋_GB2312"/>
                <w:kern w:val="0"/>
                <w:sz w:val="21"/>
                <w:szCs w:val="21"/>
                <w:highlight w:val="none"/>
              </w:rPr>
              <w:t>，</w:t>
            </w:r>
            <w:r>
              <w:rPr>
                <w:rFonts w:hint="eastAsia" w:ascii="仿宋_GB2312" w:hAnsi="仿宋_GB2312" w:eastAsia="仿宋_GB2312" w:cs="仿宋_GB2312"/>
                <w:kern w:val="0"/>
                <w:sz w:val="21"/>
                <w:szCs w:val="21"/>
                <w:highlight w:val="none"/>
                <w:lang w:eastAsia="zh-CN"/>
              </w:rPr>
              <w:t>每处扣</w:t>
            </w:r>
            <w:r>
              <w:rPr>
                <w:rFonts w:hint="eastAsia" w:ascii="仿宋_GB2312" w:hAnsi="仿宋_GB2312" w:eastAsia="仿宋_GB2312" w:cs="仿宋_GB2312"/>
                <w:kern w:val="0"/>
                <w:sz w:val="21"/>
                <w:szCs w:val="21"/>
                <w:highlight w:val="none"/>
                <w:lang w:val="en-US" w:eastAsia="zh-CN"/>
              </w:rPr>
              <w:t>1分。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19</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标识标牌</w:t>
            </w:r>
            <w:r>
              <w:rPr>
                <w:rFonts w:hint="eastAsia" w:ascii="仿宋_GB2312" w:hAnsi="仿宋_GB2312" w:eastAsia="仿宋_GB2312" w:cs="仿宋_GB2312"/>
                <w:kern w:val="0"/>
                <w:sz w:val="21"/>
                <w:szCs w:val="21"/>
                <w:highlight w:val="none"/>
                <w:lang w:eastAsia="zh-CN"/>
              </w:rPr>
              <w:t>缺失、</w:t>
            </w:r>
            <w:r>
              <w:rPr>
                <w:rFonts w:hint="eastAsia" w:ascii="仿宋_GB2312" w:hAnsi="仿宋_GB2312" w:eastAsia="仿宋_GB2312" w:cs="仿宋_GB2312"/>
                <w:kern w:val="0"/>
                <w:sz w:val="21"/>
                <w:szCs w:val="21"/>
                <w:highlight w:val="none"/>
              </w:rPr>
              <w:t>设置不规范、破损、残缺、</w:t>
            </w:r>
            <w:r>
              <w:rPr>
                <w:rFonts w:hint="eastAsia" w:ascii="仿宋_GB2312" w:hAnsi="仿宋_GB2312" w:eastAsia="仿宋_GB2312" w:cs="仿宋_GB2312"/>
                <w:kern w:val="0"/>
                <w:sz w:val="21"/>
                <w:szCs w:val="21"/>
                <w:highlight w:val="none"/>
                <w:lang w:eastAsia="zh-CN"/>
              </w:rPr>
              <w:t>每处</w:t>
            </w:r>
            <w:r>
              <w:rPr>
                <w:rFonts w:hint="eastAsia" w:ascii="仿宋_GB2312" w:hAnsi="仿宋_GB2312" w:eastAsia="仿宋_GB2312" w:cs="仿宋_GB2312"/>
                <w:kern w:val="0"/>
                <w:sz w:val="21"/>
                <w:szCs w:val="21"/>
                <w:highlight w:val="none"/>
              </w:rPr>
              <w:t>扣0.</w:t>
            </w:r>
            <w:r>
              <w:rPr>
                <w:rFonts w:hint="eastAsia" w:ascii="仿宋_GB2312" w:hAnsi="仿宋_GB2312" w:eastAsia="仿宋_GB2312" w:cs="仿宋_GB2312"/>
                <w:kern w:val="0"/>
                <w:sz w:val="21"/>
                <w:szCs w:val="21"/>
                <w:highlight w:val="none"/>
                <w:lang w:val="en-US" w:eastAsia="zh-CN"/>
              </w:rPr>
              <w:t>5</w:t>
            </w:r>
            <w:r>
              <w:rPr>
                <w:rFonts w:hint="eastAsia" w:ascii="仿宋_GB2312" w:hAnsi="仿宋_GB2312" w:eastAsia="仿宋_GB2312" w:cs="仿宋_GB2312"/>
                <w:kern w:val="0"/>
                <w:sz w:val="21"/>
                <w:szCs w:val="21"/>
                <w:highlight w:val="none"/>
              </w:rPr>
              <w:t>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2"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20</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地面</w:t>
            </w:r>
            <w:r>
              <w:rPr>
                <w:rFonts w:hint="eastAsia" w:ascii="仿宋_GB2312" w:hAnsi="仿宋_GB2312" w:eastAsia="仿宋_GB2312" w:cs="仿宋_GB2312"/>
                <w:kern w:val="0"/>
                <w:sz w:val="21"/>
                <w:szCs w:val="21"/>
                <w:highlight w:val="none"/>
                <w:lang w:eastAsia="zh-CN"/>
              </w:rPr>
              <w:t>、台面</w:t>
            </w:r>
            <w:r>
              <w:rPr>
                <w:rFonts w:hint="eastAsia" w:ascii="仿宋_GB2312" w:hAnsi="仿宋_GB2312" w:eastAsia="仿宋_GB2312" w:cs="仿宋_GB2312"/>
                <w:kern w:val="0"/>
                <w:sz w:val="21"/>
                <w:szCs w:val="21"/>
                <w:highlight w:val="none"/>
              </w:rPr>
              <w:t>积水，地面</w:t>
            </w:r>
            <w:r>
              <w:rPr>
                <w:rFonts w:hint="eastAsia" w:ascii="仿宋_GB2312" w:hAnsi="仿宋_GB2312" w:eastAsia="仿宋_GB2312" w:cs="仿宋_GB2312"/>
                <w:kern w:val="0"/>
                <w:sz w:val="21"/>
                <w:szCs w:val="21"/>
                <w:highlight w:val="none"/>
                <w:lang w:eastAsia="zh-CN"/>
              </w:rPr>
              <w:t>、台面、</w:t>
            </w:r>
            <w:r>
              <w:rPr>
                <w:rFonts w:hint="eastAsia" w:ascii="仿宋_GB2312" w:hAnsi="仿宋_GB2312" w:eastAsia="仿宋_GB2312" w:cs="仿宋_GB2312"/>
                <w:kern w:val="0"/>
                <w:sz w:val="21"/>
                <w:szCs w:val="21"/>
                <w:highlight w:val="none"/>
              </w:rPr>
              <w:t>厕位、墙面、</w:t>
            </w:r>
            <w:r>
              <w:rPr>
                <w:rFonts w:hint="eastAsia" w:ascii="仿宋_GB2312" w:hAnsi="仿宋_GB2312" w:eastAsia="仿宋_GB2312" w:cs="仿宋_GB2312"/>
                <w:sz w:val="21"/>
                <w:szCs w:val="21"/>
                <w:highlight w:val="none"/>
              </w:rPr>
              <w:t>门窗、</w:t>
            </w:r>
            <w:r>
              <w:rPr>
                <w:rFonts w:hint="eastAsia" w:ascii="仿宋_GB2312" w:hAnsi="仿宋_GB2312" w:eastAsia="仿宋_GB2312" w:cs="仿宋_GB2312"/>
                <w:kern w:val="0"/>
                <w:sz w:val="21"/>
                <w:szCs w:val="21"/>
                <w:highlight w:val="none"/>
              </w:rPr>
              <w:t>设施设备不洁</w:t>
            </w:r>
            <w:r>
              <w:rPr>
                <w:rFonts w:hint="eastAsia" w:ascii="仿宋_GB2312" w:hAnsi="仿宋_GB2312" w:eastAsia="仿宋_GB2312" w:cs="仿宋_GB2312"/>
                <w:sz w:val="21"/>
                <w:szCs w:val="21"/>
                <w:highlight w:val="none"/>
                <w:lang w:eastAsia="zh-CN"/>
              </w:rPr>
              <w:t>每处</w:t>
            </w:r>
            <w:r>
              <w:rPr>
                <w:rFonts w:hint="eastAsia" w:ascii="仿宋_GB2312" w:hAnsi="仿宋_GB2312" w:eastAsia="仿宋_GB2312" w:cs="仿宋_GB2312"/>
                <w:sz w:val="21"/>
                <w:szCs w:val="21"/>
                <w:highlight w:val="none"/>
              </w:rPr>
              <w:t>扣</w:t>
            </w:r>
            <w:r>
              <w:rPr>
                <w:rFonts w:hint="eastAsia" w:ascii="仿宋_GB2312" w:hAnsi="仿宋_GB2312" w:eastAsia="仿宋_GB2312" w:cs="仿宋_GB2312"/>
                <w:sz w:val="21"/>
                <w:szCs w:val="21"/>
                <w:highlight w:val="none"/>
                <w:lang w:val="en-US" w:eastAsia="zh-CN"/>
              </w:rPr>
              <w:t>0.5</w:t>
            </w:r>
            <w:r>
              <w:rPr>
                <w:rFonts w:hint="eastAsia" w:ascii="仿宋_GB2312" w:hAnsi="仿宋_GB2312" w:eastAsia="仿宋_GB2312" w:cs="仿宋_GB2312"/>
                <w:sz w:val="21"/>
                <w:szCs w:val="21"/>
                <w:highlight w:val="none"/>
              </w:rPr>
              <w:t>分</w:t>
            </w:r>
            <w:r>
              <w:rPr>
                <w:rFonts w:hint="eastAsia" w:ascii="仿宋_GB2312" w:hAnsi="仿宋_GB2312" w:eastAsia="仿宋_GB2312" w:cs="仿宋_GB2312"/>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9"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21</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rPr>
              <w:t>未免费向公众提供洗手液和手纸服务，</w:t>
            </w:r>
            <w:r>
              <w:rPr>
                <w:rFonts w:hint="eastAsia" w:ascii="仿宋_GB2312" w:hAnsi="仿宋_GB2312" w:eastAsia="仿宋_GB2312" w:cs="仿宋_GB2312"/>
                <w:sz w:val="21"/>
                <w:szCs w:val="21"/>
                <w:highlight w:val="none"/>
                <w:lang w:eastAsia="zh-CN"/>
              </w:rPr>
              <w:t>每次</w:t>
            </w:r>
            <w:r>
              <w:rPr>
                <w:rFonts w:hint="eastAsia" w:ascii="仿宋_GB2312" w:hAnsi="仿宋_GB2312" w:eastAsia="仿宋_GB2312" w:cs="仿宋_GB2312"/>
                <w:sz w:val="21"/>
                <w:szCs w:val="21"/>
                <w:highlight w:val="none"/>
              </w:rPr>
              <w:t>扣</w:t>
            </w:r>
            <w:r>
              <w:rPr>
                <w:rFonts w:hint="eastAsia" w:ascii="仿宋_GB2312" w:hAnsi="仿宋_GB2312" w:eastAsia="仿宋_GB2312" w:cs="仿宋_GB2312"/>
                <w:sz w:val="21"/>
                <w:szCs w:val="21"/>
                <w:highlight w:val="none"/>
                <w:lang w:val="en-US" w:eastAsia="zh-CN"/>
              </w:rPr>
              <w:t>1</w:t>
            </w:r>
            <w:r>
              <w:rPr>
                <w:rFonts w:hint="eastAsia" w:ascii="仿宋_GB2312" w:hAnsi="仿宋_GB2312" w:eastAsia="仿宋_GB2312" w:cs="仿宋_GB2312"/>
                <w:sz w:val="21"/>
                <w:szCs w:val="21"/>
                <w:highlight w:val="none"/>
              </w:rPr>
              <w:t>分</w:t>
            </w:r>
            <w:r>
              <w:rPr>
                <w:rFonts w:hint="eastAsia" w:ascii="仿宋_GB2312" w:hAnsi="仿宋_GB2312" w:eastAsia="仿宋_GB2312" w:cs="仿宋_GB2312"/>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22</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spacing w:val="-6"/>
                <w:kern w:val="2"/>
                <w:sz w:val="21"/>
                <w:szCs w:val="21"/>
                <w:highlight w:val="none"/>
                <w:lang w:val="en-US" w:eastAsia="zh-CN" w:bidi="ar-SA"/>
              </w:rPr>
            </w:pPr>
            <w:r>
              <w:rPr>
                <w:rFonts w:hint="eastAsia" w:ascii="仿宋_GB2312" w:hAnsi="仿宋_GB2312" w:eastAsia="仿宋_GB2312" w:cs="仿宋_GB2312"/>
                <w:spacing w:val="-11"/>
                <w:kern w:val="0"/>
                <w:sz w:val="21"/>
                <w:szCs w:val="21"/>
                <w:highlight w:val="none"/>
                <w:lang w:eastAsia="zh-CN"/>
              </w:rPr>
              <w:t>公厕</w:t>
            </w:r>
            <w:r>
              <w:rPr>
                <w:rFonts w:hint="eastAsia" w:ascii="仿宋_GB2312" w:hAnsi="仿宋_GB2312" w:eastAsia="仿宋_GB2312" w:cs="仿宋_GB2312"/>
                <w:spacing w:val="-11"/>
                <w:kern w:val="0"/>
                <w:sz w:val="21"/>
                <w:szCs w:val="21"/>
                <w:highlight w:val="none"/>
              </w:rPr>
              <w:t>有明显臭味，</w:t>
            </w:r>
            <w:r>
              <w:rPr>
                <w:rFonts w:hint="eastAsia" w:ascii="仿宋_GB2312" w:hAnsi="仿宋_GB2312" w:eastAsia="仿宋_GB2312" w:cs="仿宋_GB2312"/>
                <w:spacing w:val="-11"/>
                <w:kern w:val="0"/>
                <w:sz w:val="21"/>
                <w:szCs w:val="21"/>
                <w:highlight w:val="none"/>
                <w:lang w:eastAsia="zh-CN"/>
              </w:rPr>
              <w:t>每次扣</w:t>
            </w:r>
            <w:r>
              <w:rPr>
                <w:rFonts w:hint="eastAsia" w:ascii="仿宋_GB2312" w:hAnsi="仿宋_GB2312" w:eastAsia="仿宋_GB2312" w:cs="仿宋_GB2312"/>
                <w:spacing w:val="-11"/>
                <w:kern w:val="0"/>
                <w:sz w:val="21"/>
                <w:szCs w:val="21"/>
                <w:highlight w:val="none"/>
                <w:lang w:val="en-US" w:eastAsia="zh-CN"/>
              </w:rPr>
              <w:t>1</w:t>
            </w:r>
            <w:r>
              <w:rPr>
                <w:rFonts w:hint="eastAsia" w:ascii="仿宋_GB2312" w:hAnsi="仿宋_GB2312" w:eastAsia="仿宋_GB2312" w:cs="仿宋_GB2312"/>
                <w:spacing w:val="-11"/>
                <w:kern w:val="0"/>
                <w:sz w:val="21"/>
                <w:szCs w:val="21"/>
                <w:highlight w:val="none"/>
              </w:rPr>
              <w:t>分</w:t>
            </w:r>
            <w:r>
              <w:rPr>
                <w:rFonts w:hint="eastAsia" w:ascii="仿宋_GB2312" w:hAnsi="仿宋_GB2312" w:eastAsia="仿宋_GB2312" w:cs="仿宋_GB2312"/>
                <w:spacing w:val="-11"/>
                <w:kern w:val="0"/>
                <w:sz w:val="21"/>
                <w:szCs w:val="21"/>
                <w:highlight w:val="none"/>
                <w:lang w:eastAsia="zh-CN"/>
              </w:rPr>
              <w:t>；</w:t>
            </w:r>
            <w:r>
              <w:rPr>
                <w:rFonts w:hint="eastAsia" w:ascii="仿宋_GB2312" w:hAnsi="仿宋_GB2312" w:eastAsia="仿宋_GB2312" w:cs="仿宋_GB2312"/>
                <w:spacing w:val="-11"/>
                <w:sz w:val="21"/>
                <w:szCs w:val="21"/>
                <w:highlight w:val="none"/>
              </w:rPr>
              <w:t>已设置除臭设备未开启</w:t>
            </w:r>
            <w:r>
              <w:rPr>
                <w:rFonts w:hint="eastAsia" w:ascii="仿宋_GB2312" w:hAnsi="仿宋_GB2312" w:eastAsia="仿宋_GB2312" w:cs="仿宋_GB2312"/>
                <w:spacing w:val="-11"/>
                <w:sz w:val="21"/>
                <w:szCs w:val="21"/>
                <w:highlight w:val="none"/>
                <w:lang w:eastAsia="zh-CN"/>
              </w:rPr>
              <w:t>的每次扣</w:t>
            </w:r>
            <w:r>
              <w:rPr>
                <w:rFonts w:hint="eastAsia" w:ascii="仿宋_GB2312" w:hAnsi="仿宋_GB2312" w:eastAsia="仿宋_GB2312" w:cs="仿宋_GB2312"/>
                <w:spacing w:val="-11"/>
                <w:sz w:val="21"/>
                <w:szCs w:val="21"/>
                <w:highlight w:val="none"/>
              </w:rPr>
              <w:t>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23</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疫情期间，未按要求落实</w:t>
            </w:r>
            <w:r>
              <w:rPr>
                <w:rFonts w:hint="eastAsia" w:ascii="仿宋_GB2312" w:hAnsi="仿宋_GB2312" w:eastAsia="仿宋_GB2312" w:cs="仿宋_GB2312"/>
                <w:kern w:val="0"/>
                <w:sz w:val="21"/>
                <w:szCs w:val="21"/>
                <w:highlight w:val="none"/>
                <w:lang w:eastAsia="zh-CN"/>
              </w:rPr>
              <w:t>每日</w:t>
            </w:r>
            <w:r>
              <w:rPr>
                <w:rFonts w:hint="eastAsia" w:ascii="仿宋_GB2312" w:hAnsi="仿宋_GB2312" w:eastAsia="仿宋_GB2312" w:cs="仿宋_GB2312"/>
                <w:kern w:val="0"/>
                <w:sz w:val="21"/>
                <w:szCs w:val="21"/>
                <w:highlight w:val="none"/>
                <w:lang w:val="en-US" w:eastAsia="zh-CN"/>
              </w:rPr>
              <w:t>2次</w:t>
            </w:r>
            <w:r>
              <w:rPr>
                <w:rFonts w:hint="eastAsia" w:ascii="仿宋_GB2312" w:hAnsi="仿宋_GB2312" w:eastAsia="仿宋_GB2312" w:cs="仿宋_GB2312"/>
                <w:kern w:val="0"/>
                <w:sz w:val="21"/>
                <w:szCs w:val="21"/>
                <w:highlight w:val="none"/>
              </w:rPr>
              <w:t>消杀的，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扣1分。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8"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24</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spacing w:val="-11"/>
                <w:kern w:val="0"/>
                <w:sz w:val="21"/>
                <w:szCs w:val="21"/>
                <w:highlight w:val="none"/>
                <w:lang w:eastAsia="zh-CN"/>
              </w:rPr>
              <w:t>公厕大厅未设置分类垃圾桶（其他垃圾、可回收物），垃圾桶或纸篓满溢（超过</w:t>
            </w:r>
            <w:r>
              <w:rPr>
                <w:rFonts w:hint="eastAsia" w:ascii="仿宋_GB2312" w:hAnsi="仿宋_GB2312" w:eastAsia="仿宋_GB2312" w:cs="仿宋_GB2312"/>
                <w:spacing w:val="-11"/>
                <w:kern w:val="0"/>
                <w:sz w:val="21"/>
                <w:szCs w:val="21"/>
                <w:highlight w:val="none"/>
                <w:lang w:val="en-US" w:eastAsia="zh-CN"/>
              </w:rPr>
              <w:t>2/3</w:t>
            </w:r>
            <w:r>
              <w:rPr>
                <w:rFonts w:hint="eastAsia" w:ascii="仿宋_GB2312" w:hAnsi="仿宋_GB2312" w:eastAsia="仿宋_GB2312" w:cs="仿宋_GB2312"/>
                <w:spacing w:val="-11"/>
                <w:kern w:val="0"/>
                <w:sz w:val="21"/>
                <w:szCs w:val="21"/>
                <w:highlight w:val="none"/>
                <w:lang w:eastAsia="zh-CN"/>
              </w:rPr>
              <w:t>），疫情期间未按要求落实一客一清，每次扣0.5分。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2"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25</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未设置“五彩工具间”</w:t>
            </w:r>
            <w:r>
              <w:rPr>
                <w:rFonts w:hint="eastAsia"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sz w:val="21"/>
                <w:szCs w:val="21"/>
                <w:highlight w:val="none"/>
              </w:rPr>
              <w:t>保洁拖把、抹布等工具摆放无序</w:t>
            </w:r>
            <w:r>
              <w:rPr>
                <w:rFonts w:hint="eastAsia" w:ascii="仿宋_GB2312" w:hAnsi="仿宋_GB2312" w:eastAsia="仿宋_GB2312" w:cs="仿宋_GB2312"/>
                <w:sz w:val="21"/>
                <w:szCs w:val="21"/>
                <w:highlight w:val="none"/>
                <w:lang w:eastAsia="zh-CN"/>
              </w:rPr>
              <w:t>，每次扣</w:t>
            </w:r>
            <w:r>
              <w:rPr>
                <w:rFonts w:hint="eastAsia" w:ascii="仿宋_GB2312" w:hAnsi="仿宋_GB2312" w:eastAsia="仿宋_GB2312" w:cs="仿宋_GB2312"/>
                <w:sz w:val="21"/>
                <w:szCs w:val="21"/>
                <w:highlight w:val="none"/>
                <w:lang w:val="en-US" w:eastAsia="zh-CN"/>
              </w:rPr>
              <w:t>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0"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26</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rPr>
              <w:t>私拉电线、乱接插头插座、裸露接线</w:t>
            </w:r>
            <w:r>
              <w:rPr>
                <w:rFonts w:hint="eastAsia" w:ascii="仿宋_GB2312" w:hAnsi="仿宋_GB2312" w:eastAsia="仿宋_GB2312" w:cs="仿宋_GB2312"/>
                <w:sz w:val="21"/>
                <w:szCs w:val="21"/>
                <w:highlight w:val="none"/>
                <w:lang w:eastAsia="zh-CN"/>
              </w:rPr>
              <w:t>、</w:t>
            </w:r>
            <w:r>
              <w:rPr>
                <w:rFonts w:hint="eastAsia" w:ascii="仿宋_GB2312" w:hAnsi="仿宋_GB2312" w:eastAsia="仿宋_GB2312" w:cs="仿宋_GB2312"/>
                <w:sz w:val="21"/>
                <w:szCs w:val="21"/>
                <w:highlight w:val="none"/>
              </w:rPr>
              <w:t>电瓶车充电、使用1200W</w:t>
            </w:r>
            <w:r>
              <w:rPr>
                <w:rFonts w:hint="eastAsia" w:ascii="仿宋_GB2312" w:hAnsi="仿宋_GB2312" w:eastAsia="仿宋_GB2312" w:cs="仿宋_GB2312"/>
                <w:sz w:val="21"/>
                <w:szCs w:val="21"/>
                <w:highlight w:val="none"/>
                <w:lang w:eastAsia="zh-CN"/>
              </w:rPr>
              <w:t>以上</w:t>
            </w:r>
            <w:r>
              <w:rPr>
                <w:rFonts w:hint="eastAsia" w:ascii="仿宋_GB2312" w:hAnsi="仿宋_GB2312" w:eastAsia="仿宋_GB2312" w:cs="仿宋_GB2312"/>
                <w:sz w:val="21"/>
                <w:szCs w:val="21"/>
                <w:highlight w:val="none"/>
              </w:rPr>
              <w:t>的大功率电器（电热毯、电暖炉、热得快等）、存放汽油、酒精等易燃、易爆物品</w:t>
            </w:r>
            <w:r>
              <w:rPr>
                <w:rFonts w:hint="eastAsia" w:ascii="仿宋_GB2312" w:hAnsi="仿宋_GB2312" w:eastAsia="仿宋_GB2312" w:cs="仿宋_GB2312"/>
                <w:sz w:val="21"/>
                <w:szCs w:val="21"/>
                <w:highlight w:val="none"/>
                <w:lang w:eastAsia="zh-CN"/>
              </w:rPr>
              <w:t>，</w:t>
            </w:r>
            <w:r>
              <w:rPr>
                <w:rFonts w:hint="eastAsia" w:ascii="仿宋_GB2312" w:hAnsi="仿宋_GB2312" w:eastAsia="仿宋_GB2312" w:cs="仿宋_GB2312"/>
                <w:sz w:val="21"/>
                <w:szCs w:val="21"/>
                <w:highlight w:val="none"/>
              </w:rPr>
              <w:t>发现饮酒、打牌等行为的，</w:t>
            </w:r>
            <w:r>
              <w:rPr>
                <w:rFonts w:hint="eastAsia" w:ascii="仿宋_GB2312" w:hAnsi="仿宋_GB2312" w:eastAsia="仿宋_GB2312" w:cs="仿宋_GB2312"/>
                <w:sz w:val="21"/>
                <w:szCs w:val="21"/>
                <w:highlight w:val="none"/>
                <w:lang w:eastAsia="zh-CN"/>
              </w:rPr>
              <w:t>每次</w:t>
            </w:r>
            <w:r>
              <w:rPr>
                <w:rFonts w:hint="eastAsia" w:ascii="仿宋_GB2312" w:hAnsi="仿宋_GB2312" w:eastAsia="仿宋_GB2312" w:cs="仿宋_GB2312"/>
                <w:sz w:val="21"/>
                <w:szCs w:val="21"/>
                <w:highlight w:val="none"/>
              </w:rPr>
              <w:t>扣</w:t>
            </w:r>
            <w:r>
              <w:rPr>
                <w:rFonts w:hint="eastAsia" w:ascii="仿宋_GB2312" w:hAnsi="仿宋_GB2312" w:eastAsia="仿宋_GB2312" w:cs="仿宋_GB2312"/>
                <w:sz w:val="21"/>
                <w:szCs w:val="21"/>
                <w:highlight w:val="none"/>
                <w:lang w:val="en-US" w:eastAsia="zh-CN"/>
              </w:rPr>
              <w:t>2</w:t>
            </w:r>
            <w:r>
              <w:rPr>
                <w:rFonts w:hint="eastAsia" w:ascii="仿宋_GB2312" w:hAnsi="仿宋_GB2312" w:eastAsia="仿宋_GB2312" w:cs="仿宋_GB2312"/>
                <w:sz w:val="21"/>
                <w:szCs w:val="21"/>
                <w:highlight w:val="none"/>
              </w:rPr>
              <w:t>分</w:t>
            </w:r>
            <w:r>
              <w:rPr>
                <w:rFonts w:hint="eastAsia" w:ascii="仿宋_GB2312" w:hAnsi="仿宋_GB2312" w:eastAsia="仿宋_GB2312" w:cs="仿宋_GB2312"/>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5"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27</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spacing w:val="-6"/>
                <w:kern w:val="0"/>
                <w:sz w:val="21"/>
                <w:szCs w:val="21"/>
                <w:highlight w:val="none"/>
              </w:rPr>
              <w:t>按保洁作业时间落实保洁，未落实专职保洁员，</w:t>
            </w:r>
            <w:r>
              <w:rPr>
                <w:rFonts w:hint="eastAsia" w:ascii="仿宋_GB2312" w:hAnsi="仿宋_GB2312" w:eastAsia="仿宋_GB2312" w:cs="仿宋_GB2312"/>
                <w:spacing w:val="-6"/>
                <w:kern w:val="0"/>
                <w:sz w:val="21"/>
                <w:szCs w:val="21"/>
                <w:highlight w:val="none"/>
                <w:lang w:eastAsia="zh-CN"/>
              </w:rPr>
              <w:t>高标准</w:t>
            </w:r>
            <w:r>
              <w:rPr>
                <w:rFonts w:hint="eastAsia" w:ascii="仿宋_GB2312" w:hAnsi="仿宋_GB2312" w:eastAsia="仿宋_GB2312" w:cs="仿宋_GB2312"/>
                <w:spacing w:val="-6"/>
                <w:kern w:val="0"/>
                <w:sz w:val="21"/>
                <w:szCs w:val="21"/>
                <w:highlight w:val="none"/>
              </w:rPr>
              <w:t>公厕未实行男、女分设保洁管理；保洁员脱岗，扣2分/处。</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28</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管理房摆放杂乱无序</w:t>
            </w:r>
            <w:r>
              <w:rPr>
                <w:rFonts w:hint="eastAsia"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kern w:val="0"/>
                <w:sz w:val="21"/>
                <w:szCs w:val="21"/>
                <w:highlight w:val="none"/>
              </w:rPr>
              <w:t>不整洁，</w:t>
            </w:r>
            <w:r>
              <w:rPr>
                <w:rFonts w:hint="eastAsia" w:ascii="仿宋_GB2312" w:hAnsi="仿宋_GB2312" w:eastAsia="仿宋_GB2312" w:cs="仿宋_GB2312"/>
                <w:kern w:val="0"/>
                <w:sz w:val="21"/>
                <w:szCs w:val="21"/>
                <w:highlight w:val="none"/>
                <w:lang w:eastAsia="zh-CN"/>
              </w:rPr>
              <w:t>灭火器缺失过期的，</w:t>
            </w:r>
            <w:r>
              <w:rPr>
                <w:rFonts w:hint="eastAsia" w:ascii="仿宋_GB2312" w:hAnsi="仿宋_GB2312" w:eastAsia="仿宋_GB2312" w:cs="仿宋_GB2312"/>
                <w:sz w:val="21"/>
                <w:szCs w:val="21"/>
                <w:highlight w:val="none"/>
                <w:lang w:eastAsia="zh-CN"/>
              </w:rPr>
              <w:t>每次</w:t>
            </w:r>
            <w:r>
              <w:rPr>
                <w:rFonts w:hint="eastAsia" w:ascii="仿宋_GB2312" w:hAnsi="仿宋_GB2312" w:eastAsia="仿宋_GB2312" w:cs="仿宋_GB2312"/>
                <w:sz w:val="21"/>
                <w:szCs w:val="21"/>
                <w:highlight w:val="none"/>
              </w:rPr>
              <w:t>扣</w:t>
            </w:r>
            <w:r>
              <w:rPr>
                <w:rFonts w:hint="eastAsia" w:ascii="仿宋_GB2312" w:hAnsi="仿宋_GB2312" w:eastAsia="仿宋_GB2312" w:cs="仿宋_GB2312"/>
                <w:sz w:val="21"/>
                <w:szCs w:val="21"/>
                <w:highlight w:val="none"/>
                <w:lang w:val="en-US" w:eastAsia="zh-CN"/>
              </w:rPr>
              <w:t>0.5</w:t>
            </w:r>
            <w:r>
              <w:rPr>
                <w:rFonts w:hint="eastAsia" w:ascii="仿宋_GB2312" w:hAnsi="仿宋_GB2312" w:eastAsia="仿宋_GB2312" w:cs="仿宋_GB2312"/>
                <w:sz w:val="21"/>
                <w:szCs w:val="21"/>
                <w:highlight w:val="none"/>
              </w:rPr>
              <w:t>分</w:t>
            </w:r>
            <w:r>
              <w:rPr>
                <w:rFonts w:hint="eastAsia" w:ascii="仿宋_GB2312" w:hAnsi="仿宋_GB2312" w:eastAsia="仿宋_GB2312" w:cs="仿宋_GB2312"/>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7"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29</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lang w:eastAsia="zh-CN"/>
              </w:rPr>
              <w:t>公厕内</w:t>
            </w:r>
            <w:r>
              <w:rPr>
                <w:rFonts w:hint="eastAsia" w:ascii="仿宋_GB2312" w:hAnsi="仿宋_GB2312" w:eastAsia="仿宋_GB2312" w:cs="仿宋_GB2312"/>
                <w:kern w:val="0"/>
                <w:sz w:val="21"/>
                <w:szCs w:val="21"/>
                <w:highlight w:val="none"/>
              </w:rPr>
              <w:t>设施缺失、破损，</w:t>
            </w:r>
            <w:r>
              <w:rPr>
                <w:rFonts w:hint="eastAsia" w:ascii="仿宋_GB2312" w:hAnsi="仿宋_GB2312" w:eastAsia="仿宋_GB2312" w:cs="仿宋_GB2312"/>
                <w:kern w:val="0"/>
                <w:sz w:val="21"/>
                <w:szCs w:val="21"/>
                <w:highlight w:val="none"/>
                <w:lang w:eastAsia="zh-CN"/>
              </w:rPr>
              <w:t>每处</w:t>
            </w:r>
            <w:r>
              <w:rPr>
                <w:rFonts w:hint="eastAsia" w:ascii="仿宋_GB2312" w:hAnsi="仿宋_GB2312" w:eastAsia="仿宋_GB2312" w:cs="仿宋_GB2312"/>
                <w:kern w:val="0"/>
                <w:sz w:val="21"/>
                <w:szCs w:val="21"/>
                <w:highlight w:val="none"/>
              </w:rPr>
              <w:t>0.</w:t>
            </w:r>
            <w:r>
              <w:rPr>
                <w:rFonts w:hint="eastAsia" w:ascii="仿宋_GB2312" w:hAnsi="仿宋_GB2312" w:eastAsia="仿宋_GB2312" w:cs="仿宋_GB2312"/>
                <w:kern w:val="0"/>
                <w:sz w:val="21"/>
                <w:szCs w:val="21"/>
                <w:highlight w:val="none"/>
                <w:lang w:val="en-US" w:eastAsia="zh-CN"/>
              </w:rPr>
              <w:t>5</w:t>
            </w:r>
            <w:r>
              <w:rPr>
                <w:rFonts w:hint="eastAsia" w:ascii="仿宋_GB2312" w:hAnsi="仿宋_GB2312" w:eastAsia="仿宋_GB2312" w:cs="仿宋_GB2312"/>
                <w:kern w:val="0"/>
                <w:sz w:val="21"/>
                <w:szCs w:val="21"/>
                <w:highlight w:val="none"/>
              </w:rPr>
              <w:t>分/处。无障碍通道不能正常使用，</w:t>
            </w:r>
            <w:r>
              <w:rPr>
                <w:rFonts w:hint="eastAsia" w:ascii="仿宋_GB2312" w:hAnsi="仿宋_GB2312" w:eastAsia="仿宋_GB2312" w:cs="仿宋_GB2312"/>
                <w:kern w:val="0"/>
                <w:sz w:val="21"/>
                <w:szCs w:val="21"/>
                <w:highlight w:val="none"/>
                <w:lang w:eastAsia="zh-CN"/>
              </w:rPr>
              <w:t>每处</w:t>
            </w:r>
            <w:r>
              <w:rPr>
                <w:rFonts w:hint="eastAsia" w:ascii="仿宋_GB2312" w:hAnsi="仿宋_GB2312" w:eastAsia="仿宋_GB2312" w:cs="仿宋_GB2312"/>
                <w:kern w:val="0"/>
                <w:sz w:val="21"/>
                <w:szCs w:val="21"/>
                <w:highlight w:val="none"/>
              </w:rPr>
              <w:t>扣1分。</w:t>
            </w:r>
          </w:p>
        </w:tc>
        <w:tc>
          <w:tcPr>
            <w:tcW w:w="134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kern w:val="0"/>
                <w:sz w:val="21"/>
                <w:szCs w:val="21"/>
                <w:highlight w:val="none"/>
              </w:rPr>
              <w:t>设备破损需维修的，第一时间落实报备</w:t>
            </w:r>
            <w:r>
              <w:rPr>
                <w:rFonts w:hint="eastAsia"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sz w:val="21"/>
                <w:szCs w:val="21"/>
                <w:highlight w:val="none"/>
              </w:rPr>
              <w:t>公示</w:t>
            </w:r>
            <w:r>
              <w:rPr>
                <w:rFonts w:hint="eastAsia" w:ascii="仿宋_GB2312" w:hAnsi="仿宋_GB2312" w:eastAsia="仿宋_GB2312" w:cs="仿宋_GB2312"/>
                <w:sz w:val="21"/>
                <w:szCs w:val="21"/>
                <w:highlight w:val="none"/>
                <w:lang w:eastAsia="zh-CN"/>
              </w:rPr>
              <w:t>，一个工作日修复到</w:t>
            </w:r>
            <w:r>
              <w:rPr>
                <w:rFonts w:hint="eastAsia" w:ascii="仿宋_GB2312" w:hAnsi="仿宋_GB2312" w:eastAsia="仿宋_GB2312" w:cs="仿宋_GB2312"/>
                <w:sz w:val="21"/>
                <w:szCs w:val="21"/>
                <w:highlight w:val="none"/>
              </w:rPr>
              <w:t>位免于扣分</w:t>
            </w:r>
            <w:r>
              <w:rPr>
                <w:rFonts w:hint="eastAsia" w:ascii="仿宋_GB2312" w:hAnsi="仿宋_GB2312" w:eastAsia="仿宋_GB2312" w:cs="仿宋_GB2312"/>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4"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30</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0"/>
                <w:sz w:val="21"/>
                <w:szCs w:val="21"/>
                <w:highlight w:val="none"/>
              </w:rPr>
              <w:t>未经审核同意，无故关闭公厕，</w:t>
            </w:r>
            <w:r>
              <w:rPr>
                <w:rFonts w:hint="eastAsia" w:ascii="仿宋_GB2312" w:hAnsi="仿宋_GB2312" w:eastAsia="仿宋_GB2312" w:cs="仿宋_GB2312"/>
                <w:kern w:val="0"/>
                <w:sz w:val="21"/>
                <w:szCs w:val="21"/>
                <w:highlight w:val="none"/>
                <w:lang w:eastAsia="zh-CN"/>
              </w:rPr>
              <w:t>每次扣</w:t>
            </w:r>
            <w:r>
              <w:rPr>
                <w:rFonts w:hint="eastAsia" w:ascii="仿宋_GB2312" w:hAnsi="仿宋_GB2312" w:eastAsia="仿宋_GB2312" w:cs="仿宋_GB2312"/>
                <w:kern w:val="0"/>
                <w:sz w:val="21"/>
                <w:szCs w:val="21"/>
                <w:highlight w:val="none"/>
                <w:lang w:val="en-US" w:eastAsia="zh-CN"/>
              </w:rPr>
              <w:t>3分；</w:t>
            </w:r>
            <w:r>
              <w:rPr>
                <w:rFonts w:hint="eastAsia" w:ascii="仿宋_GB2312" w:hAnsi="仿宋_GB2312" w:eastAsia="仿宋_GB2312" w:cs="仿宋_GB2312"/>
                <w:sz w:val="21"/>
                <w:szCs w:val="21"/>
                <w:highlight w:val="none"/>
              </w:rPr>
              <w:t>无故关闭第三卫生间、无障碍间、男女厕位</w:t>
            </w:r>
            <w:r>
              <w:rPr>
                <w:rFonts w:hint="eastAsia" w:ascii="仿宋_GB2312" w:hAnsi="仿宋_GB2312" w:eastAsia="仿宋_GB2312" w:cs="仿宋_GB2312"/>
                <w:kern w:val="0"/>
                <w:sz w:val="21"/>
                <w:szCs w:val="21"/>
                <w:highlight w:val="none"/>
              </w:rPr>
              <w:t>，</w:t>
            </w:r>
            <w:r>
              <w:rPr>
                <w:rFonts w:hint="eastAsia" w:ascii="仿宋_GB2312" w:hAnsi="仿宋_GB2312" w:eastAsia="仿宋_GB2312" w:cs="仿宋_GB2312"/>
                <w:kern w:val="0"/>
                <w:sz w:val="21"/>
                <w:szCs w:val="21"/>
                <w:highlight w:val="none"/>
                <w:lang w:eastAsia="zh-CN"/>
              </w:rPr>
              <w:t>每次扣</w:t>
            </w:r>
            <w:r>
              <w:rPr>
                <w:rFonts w:hint="eastAsia" w:ascii="仿宋_GB2312" w:hAnsi="仿宋_GB2312" w:eastAsia="仿宋_GB2312" w:cs="仿宋_GB2312"/>
                <w:kern w:val="0"/>
                <w:sz w:val="21"/>
                <w:szCs w:val="21"/>
                <w:highlight w:val="none"/>
                <w:lang w:val="en-US" w:eastAsia="zh-CN"/>
              </w:rPr>
              <w:t>1分</w:t>
            </w:r>
            <w:r>
              <w:rPr>
                <w:rFonts w:hint="eastAsia" w:ascii="仿宋_GB2312" w:hAnsi="仿宋_GB2312" w:eastAsia="仿宋_GB2312" w:cs="仿宋_GB2312"/>
                <w:kern w:val="0"/>
                <w:sz w:val="21"/>
                <w:szCs w:val="21"/>
                <w:highlight w:val="none"/>
              </w:rPr>
              <w:t>。</w:t>
            </w:r>
          </w:p>
        </w:tc>
        <w:tc>
          <w:tcPr>
            <w:tcW w:w="13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4" w:hRule="exact"/>
          <w:jc w:val="center"/>
        </w:trPr>
        <w:tc>
          <w:tcPr>
            <w:tcW w:w="8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合同履约（</w:t>
            </w:r>
            <w:r>
              <w:rPr>
                <w:rFonts w:hint="eastAsia" w:ascii="仿宋_GB2312" w:hAnsi="仿宋_GB2312" w:eastAsia="仿宋_GB2312" w:cs="仿宋_GB2312"/>
                <w:sz w:val="21"/>
                <w:szCs w:val="21"/>
                <w:highlight w:val="none"/>
                <w:lang w:val="en-US" w:eastAsia="zh-CN"/>
              </w:rPr>
              <w:t>20</w:t>
            </w:r>
            <w:r>
              <w:rPr>
                <w:rFonts w:hint="eastAsia" w:ascii="仿宋_GB2312" w:hAnsi="仿宋_GB2312" w:eastAsia="仿宋_GB2312" w:cs="仿宋_GB2312"/>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31</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管理团队主要负责人到位情况与投标文件及合同约定不一致的，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扣1分；管理团队技术负责人等骨干人员到位情况与投标文件及合同约定不一致的，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扣0.</w:t>
            </w:r>
            <w:r>
              <w:rPr>
                <w:rFonts w:hint="eastAsia" w:ascii="仿宋_GB2312" w:hAnsi="仿宋_GB2312" w:eastAsia="仿宋_GB2312" w:cs="仿宋_GB2312"/>
                <w:kern w:val="0"/>
                <w:sz w:val="21"/>
                <w:szCs w:val="21"/>
                <w:highlight w:val="none"/>
                <w:lang w:val="en-US" w:eastAsia="zh-CN"/>
              </w:rPr>
              <w:t>5</w:t>
            </w:r>
            <w:r>
              <w:rPr>
                <w:rFonts w:hint="eastAsia" w:ascii="仿宋_GB2312" w:hAnsi="仿宋_GB2312" w:eastAsia="仿宋_GB2312" w:cs="仿宋_GB2312"/>
                <w:kern w:val="0"/>
                <w:sz w:val="21"/>
                <w:szCs w:val="21"/>
                <w:highlight w:val="none"/>
              </w:rPr>
              <w:t>分</w:t>
            </w:r>
            <w:r>
              <w:rPr>
                <w:rFonts w:hint="eastAsia" w:ascii="仿宋_GB2312" w:hAnsi="仿宋_GB2312" w:eastAsia="仿宋_GB2312" w:cs="仿宋_GB2312"/>
                <w:kern w:val="0"/>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3"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32</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实际作业人员投入到位人数缺口小于合同人数10%（含）的，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扣1分；人数缺口大于合同人数10%小于20%（含）的，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扣2分；人数缺口大于合同人数20%的，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扣3分</w:t>
            </w:r>
            <w:r>
              <w:rPr>
                <w:rFonts w:hint="eastAsia" w:ascii="仿宋_GB2312" w:hAnsi="仿宋_GB2312" w:eastAsia="仿宋_GB2312" w:cs="仿宋_GB2312"/>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val="en-US" w:eastAsia="zh-CN"/>
              </w:rPr>
            </w:pP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3"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33</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超龄人员工资、加班费标准低于普通职工10%（含）的，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扣0.5分；大于10%小于20%（含）的，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扣1分；大于20%的，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扣2分。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val="en-US" w:eastAsia="zh-CN"/>
              </w:rPr>
            </w:pP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4"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34</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车辆</w:t>
            </w:r>
            <w:r>
              <w:rPr>
                <w:rFonts w:hint="eastAsia" w:ascii="仿宋_GB2312" w:hAnsi="仿宋_GB2312" w:eastAsia="仿宋_GB2312" w:cs="仿宋_GB2312"/>
                <w:kern w:val="0"/>
                <w:sz w:val="21"/>
                <w:szCs w:val="21"/>
                <w:highlight w:val="none"/>
                <w:lang w:eastAsia="zh-CN"/>
              </w:rPr>
              <w:t>设备</w:t>
            </w:r>
            <w:r>
              <w:rPr>
                <w:rFonts w:hint="eastAsia" w:ascii="仿宋_GB2312" w:hAnsi="仿宋_GB2312" w:eastAsia="仿宋_GB2312" w:cs="仿宋_GB2312"/>
                <w:kern w:val="0"/>
                <w:sz w:val="21"/>
                <w:szCs w:val="21"/>
                <w:highlight w:val="none"/>
              </w:rPr>
              <w:t>投入数量缺口小于10%（含）的，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扣1分</w:t>
            </w:r>
            <w:r>
              <w:rPr>
                <w:rFonts w:hint="eastAsia"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kern w:val="0"/>
                <w:sz w:val="21"/>
                <w:szCs w:val="21"/>
                <w:highlight w:val="none"/>
              </w:rPr>
              <w:t>车辆数量缺口大于10%小于20%（含）的，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扣2分；车辆数量缺口大于20%的，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扣3分；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7"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35</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作业单位新能源或清洁能源车辆未达到车辆总数30%以上的情况下，新增更新车辆非新能源或清洁能源的，</w:t>
            </w:r>
            <w:r>
              <w:rPr>
                <w:rFonts w:hint="eastAsia" w:ascii="仿宋_GB2312" w:hAnsi="仿宋_GB2312" w:eastAsia="仿宋_GB2312" w:cs="仿宋_GB2312"/>
                <w:kern w:val="0"/>
                <w:sz w:val="21"/>
                <w:szCs w:val="21"/>
                <w:highlight w:val="none"/>
                <w:lang w:eastAsia="zh-CN"/>
              </w:rPr>
              <w:t>每辆</w:t>
            </w:r>
            <w:r>
              <w:rPr>
                <w:rFonts w:hint="eastAsia" w:ascii="仿宋_GB2312" w:hAnsi="仿宋_GB2312" w:eastAsia="仿宋_GB2312" w:cs="仿宋_GB2312"/>
                <w:kern w:val="0"/>
                <w:sz w:val="21"/>
                <w:szCs w:val="21"/>
                <w:highlight w:val="none"/>
              </w:rPr>
              <w:t>扣0.5分。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36</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eastAsia="zh-CN"/>
              </w:rPr>
              <w:t>作业车辆未在合同约定时间内安装车辆定位系统，接入指定平台的每辆扣</w:t>
            </w:r>
            <w:r>
              <w:rPr>
                <w:rFonts w:hint="eastAsia" w:ascii="仿宋_GB2312" w:hAnsi="仿宋_GB2312" w:eastAsia="仿宋_GB2312" w:cs="仿宋_GB2312"/>
                <w:kern w:val="0"/>
                <w:sz w:val="21"/>
                <w:szCs w:val="21"/>
                <w:highlight w:val="none"/>
                <w:lang w:val="en-US" w:eastAsia="zh-CN"/>
              </w:rPr>
              <w:t>1分。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37</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未按投标文件及合同约定规范安排人员排班计划</w:t>
            </w:r>
            <w:r>
              <w:rPr>
                <w:rFonts w:hint="eastAsia" w:ascii="仿宋_GB2312" w:hAnsi="仿宋_GB2312" w:eastAsia="仿宋_GB2312" w:cs="仿宋_GB2312"/>
                <w:kern w:val="0"/>
                <w:sz w:val="21"/>
                <w:szCs w:val="21"/>
                <w:highlight w:val="none"/>
                <w:lang w:eastAsia="zh-CN"/>
              </w:rPr>
              <w:t>和车辆作业计划</w:t>
            </w:r>
            <w:r>
              <w:rPr>
                <w:rFonts w:hint="eastAsia" w:ascii="仿宋_GB2312" w:hAnsi="仿宋_GB2312" w:eastAsia="仿宋_GB2312" w:cs="仿宋_GB2312"/>
                <w:kern w:val="0"/>
                <w:sz w:val="21"/>
                <w:szCs w:val="21"/>
                <w:highlight w:val="none"/>
              </w:rPr>
              <w:t>，扣1分/次。</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4"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38</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未按投标文件及合同约定制定安全生产制度的，</w:t>
            </w:r>
            <w:r>
              <w:rPr>
                <w:rFonts w:hint="eastAsia" w:ascii="仿宋_GB2312" w:hAnsi="仿宋_GB2312" w:eastAsia="仿宋_GB2312" w:cs="仿宋_GB2312"/>
                <w:kern w:val="0"/>
                <w:sz w:val="21"/>
                <w:szCs w:val="21"/>
                <w:highlight w:val="none"/>
                <w:lang w:eastAsia="zh-CN"/>
              </w:rPr>
              <w:t>每次</w:t>
            </w:r>
            <w:r>
              <w:rPr>
                <w:rFonts w:hint="eastAsia" w:ascii="仿宋_GB2312" w:hAnsi="仿宋_GB2312" w:eastAsia="仿宋_GB2312" w:cs="仿宋_GB2312"/>
                <w:kern w:val="0"/>
                <w:sz w:val="21"/>
                <w:szCs w:val="21"/>
                <w:highlight w:val="none"/>
              </w:rPr>
              <w:t>扣1分；组织安全生产全员培训每</w:t>
            </w:r>
            <w:r>
              <w:rPr>
                <w:rFonts w:hint="eastAsia" w:ascii="仿宋_GB2312" w:hAnsi="仿宋_GB2312" w:eastAsia="仿宋_GB2312" w:cs="仿宋_GB2312"/>
                <w:kern w:val="0"/>
                <w:sz w:val="21"/>
                <w:szCs w:val="21"/>
                <w:highlight w:val="none"/>
                <w:lang w:eastAsia="zh-CN"/>
              </w:rPr>
              <w:t>季</w:t>
            </w:r>
            <w:r>
              <w:rPr>
                <w:rFonts w:hint="eastAsia" w:ascii="仿宋_GB2312" w:hAnsi="仿宋_GB2312" w:eastAsia="仿宋_GB2312" w:cs="仿宋_GB2312"/>
                <w:kern w:val="0"/>
                <w:sz w:val="21"/>
                <w:szCs w:val="21"/>
                <w:highlight w:val="none"/>
              </w:rPr>
              <w:t>少于</w:t>
            </w:r>
            <w:r>
              <w:rPr>
                <w:rFonts w:hint="eastAsia" w:ascii="仿宋_GB2312" w:hAnsi="仿宋_GB2312" w:eastAsia="仿宋_GB2312" w:cs="仿宋_GB2312"/>
                <w:kern w:val="0"/>
                <w:sz w:val="21"/>
                <w:szCs w:val="21"/>
                <w:highlight w:val="none"/>
                <w:lang w:val="en-US" w:eastAsia="zh-CN"/>
              </w:rPr>
              <w:t>1</w:t>
            </w:r>
            <w:r>
              <w:rPr>
                <w:rFonts w:hint="eastAsia" w:ascii="仿宋_GB2312" w:hAnsi="仿宋_GB2312" w:eastAsia="仿宋_GB2312" w:cs="仿宋_GB2312"/>
                <w:kern w:val="0"/>
                <w:sz w:val="21"/>
                <w:szCs w:val="21"/>
                <w:highlight w:val="none"/>
              </w:rPr>
              <w:t>次的，每次扣0.5分。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8" w:hRule="exact"/>
          <w:jc w:val="center"/>
        </w:trPr>
        <w:tc>
          <w:tcPr>
            <w:tcW w:w="8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应急响应（20）</w:t>
            </w: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39</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kern w:val="0"/>
                <w:sz w:val="21"/>
                <w:szCs w:val="21"/>
                <w:highlight w:val="none"/>
                <w:lang w:eastAsia="zh-CN"/>
              </w:rPr>
              <w:t>未按投标文件及合同约定制定城市保障（防汛抗台、抗雪防冻、突发事件等）应急预案的，扣2分；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4"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40</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kern w:val="0"/>
                <w:sz w:val="21"/>
                <w:szCs w:val="21"/>
                <w:highlight w:val="none"/>
                <w:lang w:eastAsia="zh-CN"/>
              </w:rPr>
              <w:t>未按投标文件及合同约定定期组织应急演练少于每年2次的，每少一次扣1分。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5"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41</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kern w:val="0"/>
                <w:sz w:val="21"/>
                <w:szCs w:val="21"/>
                <w:highlight w:val="none"/>
                <w:lang w:eastAsia="zh-CN"/>
              </w:rPr>
              <w:t>在防汛抗台、防冻抗雪、突发事件、重要活动等应急保障中，不响应的，每发生一次扣</w:t>
            </w:r>
            <w:r>
              <w:rPr>
                <w:rFonts w:hint="eastAsia" w:ascii="仿宋_GB2312" w:hAnsi="仿宋_GB2312" w:eastAsia="仿宋_GB2312" w:cs="仿宋_GB2312"/>
                <w:kern w:val="0"/>
                <w:sz w:val="21"/>
                <w:szCs w:val="21"/>
                <w:highlight w:val="none"/>
                <w:lang w:val="en-US" w:eastAsia="zh-CN"/>
              </w:rPr>
              <w:t>2</w:t>
            </w:r>
            <w:r>
              <w:rPr>
                <w:rFonts w:hint="eastAsia" w:ascii="仿宋_GB2312" w:hAnsi="仿宋_GB2312" w:eastAsia="仿宋_GB2312" w:cs="仿宋_GB2312"/>
                <w:kern w:val="0"/>
                <w:sz w:val="21"/>
                <w:szCs w:val="21"/>
                <w:highlight w:val="none"/>
                <w:lang w:eastAsia="zh-CN"/>
              </w:rPr>
              <w:t>分；响应不到位的，每发生一次扣</w:t>
            </w:r>
            <w:r>
              <w:rPr>
                <w:rFonts w:hint="eastAsia" w:ascii="仿宋_GB2312" w:hAnsi="仿宋_GB2312" w:eastAsia="仿宋_GB2312" w:cs="仿宋_GB2312"/>
                <w:kern w:val="0"/>
                <w:sz w:val="21"/>
                <w:szCs w:val="21"/>
                <w:highlight w:val="none"/>
                <w:lang w:val="en-US" w:eastAsia="zh-CN"/>
              </w:rPr>
              <w:t>1</w:t>
            </w:r>
            <w:r>
              <w:rPr>
                <w:rFonts w:hint="eastAsia" w:ascii="仿宋_GB2312" w:hAnsi="仿宋_GB2312" w:eastAsia="仿宋_GB2312" w:cs="仿宋_GB2312"/>
                <w:kern w:val="0"/>
                <w:sz w:val="21"/>
                <w:szCs w:val="21"/>
                <w:highlight w:val="none"/>
                <w:lang w:eastAsia="zh-CN"/>
              </w:rPr>
              <w:t>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8" w:hRule="exact"/>
          <w:jc w:val="center"/>
        </w:trPr>
        <w:tc>
          <w:tcPr>
            <w:tcW w:w="8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正负</w:t>
            </w:r>
            <w:r>
              <w:rPr>
                <w:rFonts w:hint="eastAsia" w:ascii="仿宋_GB2312" w:hAnsi="仿宋_GB2312" w:eastAsia="仿宋_GB2312" w:cs="仿宋_GB2312"/>
                <w:sz w:val="21"/>
                <w:szCs w:val="21"/>
                <w:highlight w:val="none"/>
                <w:lang w:val="en-US" w:eastAsia="zh-CN"/>
              </w:rPr>
              <w:t>清单</w:t>
            </w: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42</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lang w:eastAsia="zh-CN"/>
              </w:rPr>
              <w:t>发生无人员死亡有责安全生产事故的，每起扣0.5分；发生1人（含）以下人员死亡有责安全生产事故的，每起扣1分；发生2人（含）以下人员死亡有责安全生产事故的，每起扣3分；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sz w:val="21"/>
                <w:szCs w:val="21"/>
                <w:highlight w:val="none"/>
                <w:lang w:eastAsia="zh-CN"/>
              </w:rPr>
            </w:pP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43</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eastAsia="zh-CN"/>
              </w:rPr>
              <w:t>在杭州市范围内因员工薪酬及权益保障方面的投诉、群体性事件，被劳动保障部门处罚及被区级及以上环卫主管部门批评或通报的,因有责原因被市领导以上批评或者被媒体曝光造成不良社会影响的，每次扣</w:t>
            </w:r>
            <w:r>
              <w:rPr>
                <w:rFonts w:hint="eastAsia" w:ascii="仿宋_GB2312" w:hAnsi="仿宋_GB2312" w:eastAsia="仿宋_GB2312" w:cs="仿宋_GB2312"/>
                <w:kern w:val="0"/>
                <w:sz w:val="21"/>
                <w:szCs w:val="21"/>
                <w:highlight w:val="none"/>
                <w:lang w:val="en-US" w:eastAsia="zh-CN"/>
              </w:rPr>
              <w:t>2分。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44</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lang w:eastAsia="zh-CN"/>
              </w:rPr>
              <w:t>环卫工人有见义勇为、拾金不昧等先进事迹，经确认属实的，根据正能量程度每件次加0.1～0.5分。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left"/>
              <w:textAlignment w:val="center"/>
              <w:outlineLvl w:val="9"/>
              <w:rPr>
                <w:rFonts w:hint="eastAsia" w:ascii="仿宋_GB2312" w:hAnsi="仿宋_GB2312" w:eastAsia="仿宋_GB2312" w:cs="仿宋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1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45</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lang w:eastAsia="zh-CN"/>
              </w:rPr>
              <w:t>积极提供环卫宣传报道素材（图片、文字等），经区环卫保障中心审核，被录用正面宣传报道的，区级媒体每件次加0.1分，市级媒体每件次加0.2分，省级媒体每件次加0.5分，国家级媒体每件次加1分，同一事项以最高加分项计。</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left"/>
              <w:textAlignment w:val="center"/>
              <w:outlineLvl w:val="9"/>
              <w:rPr>
                <w:rFonts w:hint="eastAsia" w:ascii="仿宋_GB2312" w:hAnsi="仿宋_GB2312" w:eastAsia="仿宋_GB2312" w:cs="仿宋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0"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46</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lang w:eastAsia="zh-CN"/>
              </w:rPr>
              <w:t>在投标承诺和合同约定项目以外，积极协助环卫部门举办重要活动或完成重要任务的，区级项目每个加0.3分，市级项目每个加0.5分，省级项目每个加0.7分，国家级项目每个加1分。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left"/>
              <w:textAlignment w:val="center"/>
              <w:outlineLvl w:val="9"/>
              <w:rPr>
                <w:rFonts w:hint="eastAsia" w:ascii="仿宋_GB2312" w:hAnsi="仿宋_GB2312" w:eastAsia="仿宋_GB2312" w:cs="仿宋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7"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47</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eastAsia="zh-CN"/>
              </w:rPr>
            </w:pPr>
            <w:r>
              <w:rPr>
                <w:rFonts w:hint="eastAsia" w:ascii="仿宋_GB2312" w:eastAsia="仿宋_GB2312"/>
                <w:color w:val="auto"/>
                <w:spacing w:val="-8"/>
                <w:szCs w:val="21"/>
                <w:highlight w:val="none"/>
                <w:lang w:eastAsia="zh-CN"/>
              </w:rPr>
              <w:t>市级</w:t>
            </w:r>
            <w:r>
              <w:rPr>
                <w:rFonts w:hint="eastAsia" w:ascii="仿宋_GB2312" w:eastAsia="仿宋_GB2312"/>
                <w:color w:val="auto"/>
                <w:spacing w:val="-8"/>
                <w:szCs w:val="21"/>
                <w:highlight w:val="none"/>
                <w:lang w:val="en-US" w:eastAsia="zh-CN"/>
              </w:rPr>
              <w:t>领导</w:t>
            </w:r>
            <w:r>
              <w:rPr>
                <w:rFonts w:hint="eastAsia" w:ascii="仿宋_GB2312" w:eastAsia="仿宋_GB2312"/>
                <w:color w:val="auto"/>
                <w:spacing w:val="-8"/>
                <w:szCs w:val="21"/>
                <w:highlight w:val="none"/>
                <w:lang w:eastAsia="zh-CN"/>
              </w:rPr>
              <w:t>及以上批示表扬的每次加</w:t>
            </w:r>
            <w:r>
              <w:rPr>
                <w:rFonts w:hint="eastAsia" w:ascii="仿宋_GB2312" w:eastAsia="仿宋_GB2312"/>
                <w:color w:val="auto"/>
                <w:spacing w:val="-8"/>
                <w:szCs w:val="21"/>
                <w:highlight w:val="none"/>
                <w:lang w:val="en-US" w:eastAsia="zh-CN"/>
              </w:rPr>
              <w:t>1分，批评的每次扣1分；</w:t>
            </w:r>
            <w:r>
              <w:rPr>
                <w:rFonts w:hint="eastAsia" w:ascii="仿宋_GB2312" w:eastAsia="仿宋_GB2312"/>
                <w:color w:val="auto"/>
                <w:spacing w:val="-8"/>
                <w:szCs w:val="21"/>
                <w:highlight w:val="none"/>
                <w:lang w:eastAsia="zh-CN"/>
              </w:rPr>
              <w:t>区级</w:t>
            </w:r>
            <w:r>
              <w:rPr>
                <w:rFonts w:hint="eastAsia" w:ascii="仿宋_GB2312" w:eastAsia="仿宋_GB2312"/>
                <w:color w:val="auto"/>
                <w:spacing w:val="-8"/>
                <w:szCs w:val="21"/>
                <w:highlight w:val="none"/>
                <w:lang w:val="en-US" w:eastAsia="zh-CN"/>
              </w:rPr>
              <w:t>主要领导</w:t>
            </w:r>
            <w:r>
              <w:rPr>
                <w:rFonts w:hint="eastAsia" w:ascii="仿宋_GB2312" w:eastAsia="仿宋_GB2312"/>
                <w:color w:val="auto"/>
                <w:spacing w:val="-8"/>
                <w:szCs w:val="21"/>
                <w:highlight w:val="none"/>
                <w:lang w:eastAsia="zh-CN"/>
              </w:rPr>
              <w:t>批示表扬的每次加</w:t>
            </w:r>
            <w:r>
              <w:rPr>
                <w:rFonts w:hint="eastAsia" w:ascii="仿宋_GB2312" w:eastAsia="仿宋_GB2312"/>
                <w:color w:val="auto"/>
                <w:spacing w:val="-8"/>
                <w:szCs w:val="21"/>
                <w:highlight w:val="none"/>
                <w:lang w:val="en-US" w:eastAsia="zh-CN"/>
              </w:rPr>
              <w:t>0.5分，批评的每次扣0.5分。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left"/>
              <w:textAlignment w:val="center"/>
              <w:outlineLvl w:val="9"/>
              <w:rPr>
                <w:rFonts w:hint="eastAsia" w:ascii="仿宋_GB2312" w:hAnsi="仿宋_GB2312" w:eastAsia="仿宋_GB2312" w:cs="仿宋_GB23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7" w:hRule="exact"/>
          <w:jc w:val="center"/>
        </w:trPr>
        <w:tc>
          <w:tcPr>
            <w:tcW w:w="1678"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备注</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正负面分数累计加减分分别不高于3分，超过按3分计入。</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left"/>
              <w:textAlignment w:val="center"/>
              <w:outlineLvl w:val="9"/>
              <w:rPr>
                <w:rFonts w:hint="eastAsia" w:ascii="仿宋_GB2312" w:hAnsi="仿宋_GB2312" w:eastAsia="仿宋_GB2312" w:cs="仿宋_GB2312"/>
                <w:sz w:val="24"/>
                <w:szCs w:val="28"/>
                <w:highlight w:val="none"/>
              </w:rPr>
            </w:pPr>
          </w:p>
        </w:tc>
      </w:tr>
    </w:tbl>
    <w:p>
      <w:pPr>
        <w:snapToGrid w:val="0"/>
        <w:spacing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27" w:name="_Toc184310312"/>
      <w:bookmarkEnd w:id="27"/>
      <w:bookmarkStart w:id="28" w:name="_Toc184314434"/>
      <w:bookmarkEnd w:id="28"/>
      <w:bookmarkStart w:id="29" w:name="_Toc184313291"/>
      <w:bookmarkEnd w:id="29"/>
      <w:bookmarkStart w:id="30" w:name="_Toc184310292"/>
      <w:bookmarkEnd w:id="30"/>
      <w:bookmarkStart w:id="31" w:name="_Toc184310326"/>
      <w:bookmarkEnd w:id="31"/>
      <w:bookmarkStart w:id="32" w:name="_Toc184310308"/>
      <w:bookmarkEnd w:id="32"/>
      <w:bookmarkStart w:id="33" w:name="_Toc184308074"/>
      <w:bookmarkEnd w:id="33"/>
      <w:bookmarkStart w:id="34" w:name="_Toc184310331"/>
      <w:bookmarkEnd w:id="34"/>
      <w:bookmarkStart w:id="35" w:name="_Toc184314474"/>
      <w:bookmarkEnd w:id="35"/>
      <w:bookmarkStart w:id="36" w:name="_Toc184308076"/>
      <w:bookmarkEnd w:id="36"/>
      <w:bookmarkStart w:id="37" w:name="_Toc184314449"/>
      <w:bookmarkEnd w:id="37"/>
      <w:bookmarkStart w:id="38" w:name="_Toc184313255"/>
      <w:bookmarkEnd w:id="38"/>
      <w:bookmarkStart w:id="39" w:name="_Toc184314478"/>
      <w:bookmarkEnd w:id="39"/>
      <w:bookmarkStart w:id="40" w:name="_Toc184313271"/>
      <w:bookmarkEnd w:id="40"/>
      <w:bookmarkStart w:id="41" w:name="_Toc184310297"/>
      <w:bookmarkEnd w:id="41"/>
      <w:bookmarkStart w:id="42" w:name="_Toc184314468"/>
      <w:bookmarkEnd w:id="42"/>
      <w:bookmarkStart w:id="43" w:name="_Toc184312094"/>
      <w:bookmarkEnd w:id="43"/>
      <w:bookmarkStart w:id="44" w:name="_Toc184314461"/>
      <w:bookmarkEnd w:id="44"/>
      <w:bookmarkStart w:id="45" w:name="_Toc184312081"/>
      <w:bookmarkEnd w:id="45"/>
      <w:bookmarkStart w:id="46" w:name="_Toc184308099"/>
      <w:bookmarkEnd w:id="46"/>
      <w:bookmarkStart w:id="47" w:name="_Toc184308056"/>
      <w:bookmarkEnd w:id="47"/>
      <w:bookmarkStart w:id="48" w:name="_Toc184310334"/>
      <w:bookmarkEnd w:id="48"/>
      <w:bookmarkStart w:id="49" w:name="_Toc184312069"/>
      <w:bookmarkEnd w:id="49"/>
      <w:bookmarkStart w:id="50" w:name="_Toc184313266"/>
      <w:bookmarkEnd w:id="50"/>
      <w:bookmarkStart w:id="51" w:name="_Toc184312105"/>
      <w:bookmarkEnd w:id="51"/>
      <w:bookmarkStart w:id="52" w:name="_Toc184313284"/>
      <w:bookmarkEnd w:id="52"/>
      <w:bookmarkStart w:id="53" w:name="_Toc184313270"/>
      <w:bookmarkEnd w:id="53"/>
      <w:bookmarkStart w:id="54" w:name="_Toc184308097"/>
      <w:bookmarkEnd w:id="54"/>
      <w:bookmarkStart w:id="55" w:name="_Toc184314479"/>
      <w:bookmarkEnd w:id="55"/>
      <w:bookmarkStart w:id="56" w:name="_Toc184308063"/>
      <w:bookmarkEnd w:id="56"/>
      <w:bookmarkStart w:id="57" w:name="_Toc184310313"/>
      <w:bookmarkEnd w:id="57"/>
      <w:bookmarkStart w:id="58" w:name="_Toc184310278"/>
      <w:bookmarkEnd w:id="58"/>
      <w:bookmarkStart w:id="59" w:name="_Toc184308051"/>
      <w:bookmarkEnd w:id="59"/>
      <w:bookmarkStart w:id="60" w:name="_Toc184308106"/>
      <w:bookmarkEnd w:id="60"/>
      <w:bookmarkStart w:id="61" w:name="_Toc184308083"/>
      <w:bookmarkEnd w:id="61"/>
      <w:bookmarkStart w:id="62" w:name="_Toc184312076"/>
      <w:bookmarkEnd w:id="62"/>
      <w:bookmarkStart w:id="63" w:name="_Toc184314467"/>
      <w:bookmarkEnd w:id="63"/>
      <w:bookmarkStart w:id="64" w:name="_Toc184308096"/>
      <w:bookmarkEnd w:id="64"/>
      <w:bookmarkStart w:id="65" w:name="_Toc184312120"/>
      <w:bookmarkEnd w:id="65"/>
      <w:bookmarkStart w:id="66" w:name="_Toc184314469"/>
      <w:bookmarkEnd w:id="66"/>
      <w:bookmarkStart w:id="67" w:name="_Toc184313267"/>
      <w:bookmarkEnd w:id="67"/>
      <w:bookmarkStart w:id="68" w:name="_Toc184312117"/>
      <w:bookmarkEnd w:id="68"/>
      <w:bookmarkStart w:id="69" w:name="_Toc184314472"/>
      <w:bookmarkEnd w:id="69"/>
      <w:bookmarkStart w:id="70" w:name="_Toc184308053"/>
      <w:bookmarkEnd w:id="70"/>
      <w:bookmarkStart w:id="71" w:name="_Toc184308067"/>
      <w:bookmarkEnd w:id="71"/>
      <w:bookmarkStart w:id="72" w:name="_Toc184314424"/>
      <w:bookmarkEnd w:id="72"/>
      <w:bookmarkStart w:id="73" w:name="_Toc184313304"/>
      <w:bookmarkEnd w:id="73"/>
      <w:bookmarkStart w:id="74" w:name="_Toc184313248"/>
      <w:bookmarkEnd w:id="74"/>
      <w:bookmarkStart w:id="75" w:name="_Toc184310338"/>
      <w:bookmarkEnd w:id="75"/>
      <w:bookmarkStart w:id="76" w:name="_Toc184310301"/>
      <w:bookmarkEnd w:id="76"/>
      <w:bookmarkStart w:id="77" w:name="_Toc184312078"/>
      <w:bookmarkEnd w:id="77"/>
      <w:bookmarkStart w:id="78" w:name="_Toc184310290"/>
      <w:bookmarkEnd w:id="78"/>
      <w:bookmarkStart w:id="79" w:name="_Toc184314457"/>
      <w:bookmarkEnd w:id="79"/>
      <w:bookmarkStart w:id="80" w:name="_Toc184308082"/>
      <w:bookmarkEnd w:id="80"/>
      <w:bookmarkStart w:id="81" w:name="_Toc184308040"/>
      <w:bookmarkEnd w:id="81"/>
      <w:bookmarkStart w:id="82" w:name="_Toc184312082"/>
      <w:bookmarkEnd w:id="82"/>
      <w:bookmarkStart w:id="83" w:name="_Toc184312077"/>
      <w:bookmarkEnd w:id="83"/>
      <w:bookmarkStart w:id="84" w:name="_Toc184308075"/>
      <w:bookmarkEnd w:id="84"/>
      <w:bookmarkStart w:id="85" w:name="_Toc184312093"/>
      <w:bookmarkEnd w:id="85"/>
      <w:bookmarkStart w:id="86" w:name="_Toc184310302"/>
      <w:bookmarkEnd w:id="86"/>
      <w:bookmarkStart w:id="87" w:name="_Toc184312085"/>
      <w:bookmarkEnd w:id="87"/>
      <w:bookmarkStart w:id="88" w:name="_Toc184308060"/>
      <w:bookmarkEnd w:id="88"/>
      <w:bookmarkStart w:id="89" w:name="_Toc184308041"/>
      <w:bookmarkEnd w:id="89"/>
      <w:bookmarkStart w:id="90" w:name="_Toc184312113"/>
      <w:bookmarkEnd w:id="90"/>
      <w:bookmarkStart w:id="91" w:name="_Toc184314429"/>
      <w:bookmarkEnd w:id="91"/>
      <w:bookmarkStart w:id="92" w:name="_Toc184310342"/>
      <w:bookmarkEnd w:id="92"/>
      <w:bookmarkStart w:id="93" w:name="_Toc184313243"/>
      <w:bookmarkEnd w:id="93"/>
      <w:bookmarkStart w:id="94" w:name="_Toc184314435"/>
      <w:bookmarkEnd w:id="94"/>
      <w:bookmarkStart w:id="95" w:name="_Toc184314413"/>
      <w:bookmarkEnd w:id="95"/>
      <w:bookmarkStart w:id="96" w:name="_Toc184308102"/>
      <w:bookmarkEnd w:id="96"/>
      <w:bookmarkStart w:id="97" w:name="_Toc184314448"/>
      <w:bookmarkEnd w:id="97"/>
      <w:bookmarkStart w:id="98" w:name="_Toc184308108"/>
      <w:bookmarkEnd w:id="98"/>
      <w:bookmarkStart w:id="99" w:name="_Toc184314444"/>
      <w:bookmarkEnd w:id="99"/>
      <w:bookmarkStart w:id="100" w:name="_Toc184310272"/>
      <w:bookmarkEnd w:id="100"/>
      <w:bookmarkStart w:id="101" w:name="_Toc184310319"/>
      <w:bookmarkEnd w:id="101"/>
      <w:bookmarkStart w:id="102" w:name="_Toc184310279"/>
      <w:bookmarkEnd w:id="102"/>
      <w:bookmarkStart w:id="103" w:name="_Toc184313246"/>
      <w:bookmarkEnd w:id="103"/>
      <w:bookmarkStart w:id="104" w:name="_Toc184312138"/>
      <w:bookmarkEnd w:id="104"/>
      <w:bookmarkStart w:id="105" w:name="_Toc184313245"/>
      <w:bookmarkEnd w:id="105"/>
      <w:bookmarkStart w:id="106" w:name="_Toc184312136"/>
      <w:bookmarkEnd w:id="106"/>
      <w:bookmarkStart w:id="107" w:name="_Toc184308069"/>
      <w:bookmarkEnd w:id="107"/>
      <w:bookmarkStart w:id="108" w:name="_Toc184314471"/>
      <w:bookmarkEnd w:id="108"/>
      <w:bookmarkStart w:id="109" w:name="_Toc184308059"/>
      <w:bookmarkEnd w:id="109"/>
      <w:bookmarkStart w:id="110" w:name="_Toc184308079"/>
      <w:bookmarkEnd w:id="110"/>
      <w:bookmarkStart w:id="111" w:name="_Toc184310295"/>
      <w:bookmarkEnd w:id="111"/>
      <w:bookmarkStart w:id="112" w:name="_Toc184308091"/>
      <w:bookmarkEnd w:id="112"/>
      <w:bookmarkStart w:id="113" w:name="_Toc184313294"/>
      <w:bookmarkEnd w:id="113"/>
      <w:bookmarkStart w:id="114" w:name="_Toc184313244"/>
      <w:bookmarkEnd w:id="114"/>
      <w:bookmarkStart w:id="115" w:name="_Toc184310287"/>
      <w:bookmarkEnd w:id="115"/>
      <w:bookmarkStart w:id="116" w:name="_Toc184313253"/>
      <w:bookmarkEnd w:id="116"/>
      <w:bookmarkStart w:id="117" w:name="_Toc184312099"/>
      <w:bookmarkEnd w:id="117"/>
      <w:bookmarkStart w:id="118" w:name="_Toc184310321"/>
      <w:bookmarkEnd w:id="118"/>
      <w:bookmarkStart w:id="119" w:name="_Toc184313303"/>
      <w:bookmarkEnd w:id="119"/>
      <w:bookmarkStart w:id="120" w:name="_Toc184310293"/>
      <w:bookmarkEnd w:id="120"/>
      <w:bookmarkStart w:id="121" w:name="_Toc184312108"/>
      <w:bookmarkEnd w:id="121"/>
      <w:bookmarkStart w:id="122" w:name="_Toc184314422"/>
      <w:bookmarkEnd w:id="122"/>
      <w:bookmarkStart w:id="123" w:name="_Toc184308087"/>
      <w:bookmarkEnd w:id="123"/>
      <w:bookmarkStart w:id="124" w:name="_Toc184313279"/>
      <w:bookmarkEnd w:id="124"/>
      <w:bookmarkStart w:id="125" w:name="_Toc184314481"/>
      <w:bookmarkEnd w:id="125"/>
      <w:bookmarkStart w:id="126" w:name="_Toc184314436"/>
      <w:bookmarkEnd w:id="126"/>
      <w:bookmarkStart w:id="127" w:name="_Toc184312072"/>
      <w:bookmarkEnd w:id="127"/>
      <w:bookmarkStart w:id="128" w:name="_Toc184310337"/>
      <w:bookmarkEnd w:id="128"/>
      <w:bookmarkStart w:id="129" w:name="_Toc184314462"/>
      <w:bookmarkEnd w:id="129"/>
      <w:bookmarkStart w:id="130" w:name="_Toc184308049"/>
      <w:bookmarkEnd w:id="130"/>
      <w:bookmarkStart w:id="131" w:name="_Toc184312106"/>
      <w:bookmarkEnd w:id="131"/>
      <w:bookmarkStart w:id="132" w:name="_Toc184308072"/>
      <w:bookmarkEnd w:id="132"/>
      <w:bookmarkStart w:id="133" w:name="_Toc184312122"/>
      <w:bookmarkEnd w:id="133"/>
      <w:bookmarkStart w:id="134" w:name="_Toc184314441"/>
      <w:bookmarkEnd w:id="134"/>
      <w:bookmarkStart w:id="135" w:name="_Toc184308086"/>
      <w:bookmarkEnd w:id="135"/>
      <w:bookmarkStart w:id="136" w:name="_Toc184310289"/>
      <w:bookmarkEnd w:id="136"/>
      <w:bookmarkStart w:id="137" w:name="_Toc184313305"/>
      <w:bookmarkEnd w:id="137"/>
      <w:bookmarkStart w:id="138" w:name="_Toc184308047"/>
      <w:bookmarkEnd w:id="138"/>
      <w:bookmarkStart w:id="139" w:name="_Toc184312125"/>
      <w:bookmarkEnd w:id="139"/>
      <w:bookmarkStart w:id="140" w:name="_Toc184312090"/>
      <w:bookmarkEnd w:id="140"/>
      <w:bookmarkStart w:id="141" w:name="_Toc184312128"/>
      <w:bookmarkEnd w:id="141"/>
      <w:bookmarkStart w:id="142" w:name="_Toc184308037"/>
      <w:bookmarkEnd w:id="142"/>
      <w:bookmarkStart w:id="143" w:name="_Toc184313309"/>
      <w:bookmarkEnd w:id="143"/>
      <w:bookmarkStart w:id="144" w:name="_Toc184314431"/>
      <w:bookmarkEnd w:id="144"/>
      <w:bookmarkStart w:id="145" w:name="_Toc184312075"/>
      <w:bookmarkEnd w:id="145"/>
      <w:bookmarkStart w:id="146" w:name="_Toc184313269"/>
      <w:bookmarkEnd w:id="146"/>
      <w:bookmarkStart w:id="147" w:name="_Toc184312067"/>
      <w:bookmarkEnd w:id="147"/>
      <w:bookmarkStart w:id="148" w:name="_Toc184313295"/>
      <w:bookmarkEnd w:id="148"/>
      <w:bookmarkStart w:id="149" w:name="_Toc184314411"/>
      <w:bookmarkEnd w:id="149"/>
      <w:bookmarkStart w:id="150" w:name="_Toc184308048"/>
      <w:bookmarkEnd w:id="150"/>
      <w:bookmarkStart w:id="151" w:name="_Toc184313249"/>
      <w:bookmarkEnd w:id="151"/>
      <w:bookmarkStart w:id="152" w:name="_Toc184310309"/>
      <w:bookmarkEnd w:id="152"/>
      <w:bookmarkStart w:id="153" w:name="_Toc184313265"/>
      <w:bookmarkEnd w:id="153"/>
      <w:bookmarkStart w:id="154" w:name="_Toc184308089"/>
      <w:bookmarkEnd w:id="154"/>
      <w:bookmarkStart w:id="155" w:name="_Toc184314414"/>
      <w:bookmarkEnd w:id="155"/>
      <w:bookmarkStart w:id="156" w:name="_Toc184314415"/>
      <w:bookmarkEnd w:id="156"/>
      <w:bookmarkStart w:id="157" w:name="_Toc184308038"/>
      <w:bookmarkEnd w:id="157"/>
      <w:bookmarkStart w:id="158" w:name="_Toc184310307"/>
      <w:bookmarkEnd w:id="158"/>
      <w:bookmarkStart w:id="159" w:name="_Toc184310318"/>
      <w:bookmarkEnd w:id="159"/>
      <w:bookmarkStart w:id="160" w:name="_Toc184312119"/>
      <w:bookmarkEnd w:id="160"/>
      <w:bookmarkStart w:id="161" w:name="_Toc184313242"/>
      <w:bookmarkEnd w:id="161"/>
      <w:bookmarkStart w:id="162" w:name="_Toc184314480"/>
      <w:bookmarkEnd w:id="162"/>
      <w:bookmarkStart w:id="163" w:name="_Toc184308046"/>
      <w:bookmarkEnd w:id="163"/>
      <w:bookmarkStart w:id="164" w:name="_Toc184313293"/>
      <w:bookmarkEnd w:id="164"/>
      <w:bookmarkStart w:id="165" w:name="_Toc184308095"/>
      <w:bookmarkEnd w:id="165"/>
      <w:bookmarkStart w:id="166" w:name="_Toc184308107"/>
      <w:bookmarkEnd w:id="166"/>
      <w:bookmarkStart w:id="167" w:name="_Toc184313289"/>
      <w:bookmarkEnd w:id="167"/>
      <w:bookmarkStart w:id="168" w:name="_Toc184308084"/>
      <w:bookmarkEnd w:id="168"/>
      <w:bookmarkStart w:id="169" w:name="_Toc184312110"/>
      <w:bookmarkEnd w:id="169"/>
      <w:bookmarkStart w:id="170" w:name="_Toc184313252"/>
      <w:bookmarkEnd w:id="170"/>
      <w:bookmarkStart w:id="171" w:name="_Toc184314419"/>
      <w:bookmarkEnd w:id="171"/>
      <w:bookmarkStart w:id="172" w:name="_Toc184314416"/>
      <w:bookmarkEnd w:id="172"/>
      <w:bookmarkStart w:id="173" w:name="_Toc184308044"/>
      <w:bookmarkEnd w:id="173"/>
      <w:bookmarkStart w:id="174" w:name="_Toc184312100"/>
      <w:bookmarkEnd w:id="174"/>
      <w:bookmarkStart w:id="175" w:name="_Toc184314418"/>
      <w:bookmarkEnd w:id="175"/>
      <w:bookmarkStart w:id="176" w:name="_Toc184314465"/>
      <w:bookmarkEnd w:id="176"/>
      <w:bookmarkStart w:id="177" w:name="_Toc184308090"/>
      <w:bookmarkEnd w:id="177"/>
      <w:bookmarkStart w:id="178" w:name="_Toc184312134"/>
      <w:bookmarkEnd w:id="178"/>
      <w:bookmarkStart w:id="179" w:name="_Toc184310306"/>
      <w:bookmarkEnd w:id="179"/>
      <w:bookmarkStart w:id="180" w:name="_Toc184313274"/>
      <w:bookmarkEnd w:id="180"/>
      <w:bookmarkStart w:id="181" w:name="_Toc184310276"/>
      <w:bookmarkEnd w:id="181"/>
      <w:bookmarkStart w:id="182" w:name="_Toc184314477"/>
      <w:bookmarkEnd w:id="182"/>
      <w:bookmarkStart w:id="183" w:name="_Toc184312073"/>
      <w:bookmarkEnd w:id="183"/>
      <w:bookmarkStart w:id="184" w:name="_Toc184310323"/>
      <w:bookmarkEnd w:id="184"/>
      <w:bookmarkStart w:id="185" w:name="_Toc184312084"/>
      <w:bookmarkEnd w:id="185"/>
      <w:bookmarkStart w:id="186" w:name="_Toc184312107"/>
      <w:bookmarkEnd w:id="186"/>
      <w:bookmarkStart w:id="187" w:name="_Toc184310316"/>
      <w:bookmarkEnd w:id="187"/>
      <w:bookmarkStart w:id="188" w:name="_Toc184308098"/>
      <w:bookmarkEnd w:id="188"/>
      <w:bookmarkStart w:id="189" w:name="_Toc184312096"/>
      <w:bookmarkEnd w:id="189"/>
      <w:bookmarkStart w:id="190" w:name="_Toc184308045"/>
      <w:bookmarkEnd w:id="190"/>
      <w:bookmarkStart w:id="191" w:name="_Toc184314454"/>
      <w:bookmarkEnd w:id="191"/>
      <w:bookmarkStart w:id="192" w:name="_Toc184314425"/>
      <w:bookmarkEnd w:id="192"/>
      <w:bookmarkStart w:id="193" w:name="_Toc184310280"/>
      <w:bookmarkEnd w:id="193"/>
      <w:bookmarkStart w:id="194" w:name="_Toc184314482"/>
      <w:bookmarkEnd w:id="194"/>
      <w:bookmarkStart w:id="195" w:name="_Toc184308061"/>
      <w:bookmarkEnd w:id="195"/>
      <w:bookmarkStart w:id="196" w:name="_Toc184313285"/>
      <w:bookmarkEnd w:id="196"/>
      <w:bookmarkStart w:id="197" w:name="_Toc184310327"/>
      <w:bookmarkEnd w:id="197"/>
      <w:bookmarkStart w:id="198" w:name="_Toc184310328"/>
      <w:bookmarkEnd w:id="198"/>
      <w:bookmarkStart w:id="199" w:name="_Toc184313256"/>
      <w:bookmarkEnd w:id="199"/>
      <w:bookmarkStart w:id="200" w:name="_Toc184312089"/>
      <w:bookmarkEnd w:id="200"/>
      <w:bookmarkStart w:id="201" w:name="_Toc184312139"/>
      <w:bookmarkEnd w:id="201"/>
      <w:bookmarkStart w:id="202" w:name="_Toc184313301"/>
      <w:bookmarkEnd w:id="202"/>
      <w:bookmarkStart w:id="203" w:name="_Toc184310340"/>
      <w:bookmarkEnd w:id="203"/>
      <w:bookmarkStart w:id="204" w:name="_Toc184313276"/>
      <w:bookmarkEnd w:id="204"/>
      <w:bookmarkStart w:id="205" w:name="_Toc184312087"/>
      <w:bookmarkEnd w:id="205"/>
      <w:bookmarkStart w:id="206" w:name="_Toc184310273"/>
      <w:bookmarkEnd w:id="206"/>
      <w:bookmarkStart w:id="207" w:name="_Toc184313275"/>
      <w:bookmarkEnd w:id="207"/>
      <w:bookmarkStart w:id="208" w:name="_Toc184314452"/>
      <w:bookmarkEnd w:id="208"/>
      <w:bookmarkStart w:id="209" w:name="_Toc184313258"/>
      <w:bookmarkEnd w:id="209"/>
      <w:bookmarkStart w:id="210" w:name="_Toc184310314"/>
      <w:bookmarkEnd w:id="210"/>
      <w:bookmarkStart w:id="211" w:name="_Toc184314427"/>
      <w:bookmarkEnd w:id="211"/>
      <w:bookmarkStart w:id="212" w:name="_Toc184308058"/>
      <w:bookmarkEnd w:id="212"/>
      <w:bookmarkStart w:id="213" w:name="_Toc184313238"/>
      <w:bookmarkEnd w:id="213"/>
      <w:bookmarkStart w:id="214" w:name="_Toc184312103"/>
      <w:bookmarkEnd w:id="214"/>
      <w:bookmarkStart w:id="215" w:name="_Toc184308092"/>
      <w:bookmarkEnd w:id="215"/>
      <w:bookmarkStart w:id="216" w:name="_Toc184310329"/>
      <w:bookmarkEnd w:id="216"/>
      <w:bookmarkStart w:id="217" w:name="_Toc184313241"/>
      <w:bookmarkEnd w:id="217"/>
      <w:bookmarkStart w:id="218" w:name="_Toc184313282"/>
      <w:bookmarkEnd w:id="218"/>
      <w:bookmarkStart w:id="219" w:name="_Toc184313263"/>
      <w:bookmarkEnd w:id="219"/>
      <w:bookmarkStart w:id="220" w:name="_Toc184308105"/>
      <w:bookmarkEnd w:id="220"/>
      <w:bookmarkStart w:id="221" w:name="_Toc184310339"/>
      <w:bookmarkEnd w:id="221"/>
      <w:bookmarkStart w:id="222" w:name="_Toc184313262"/>
      <w:bookmarkEnd w:id="222"/>
      <w:bookmarkStart w:id="223" w:name="_Toc184310300"/>
      <w:bookmarkEnd w:id="223"/>
      <w:bookmarkStart w:id="224" w:name="_Toc184314439"/>
      <w:bookmarkEnd w:id="224"/>
      <w:bookmarkStart w:id="225" w:name="_Toc184314442"/>
      <w:bookmarkEnd w:id="225"/>
      <w:bookmarkStart w:id="226" w:name="_Toc184312127"/>
      <w:bookmarkEnd w:id="226"/>
      <w:bookmarkStart w:id="227" w:name="_Toc184313308"/>
      <w:bookmarkEnd w:id="227"/>
      <w:bookmarkStart w:id="228" w:name="_Toc184308081"/>
      <w:bookmarkEnd w:id="228"/>
      <w:bookmarkStart w:id="229" w:name="_Toc184310311"/>
      <w:bookmarkEnd w:id="229"/>
      <w:bookmarkStart w:id="230" w:name="_Toc184313281"/>
      <w:bookmarkEnd w:id="230"/>
      <w:bookmarkStart w:id="231" w:name="_Toc184314450"/>
      <w:bookmarkEnd w:id="231"/>
      <w:bookmarkStart w:id="232" w:name="_Toc184310304"/>
      <w:bookmarkEnd w:id="232"/>
      <w:bookmarkStart w:id="233" w:name="_Toc184308036"/>
      <w:bookmarkEnd w:id="233"/>
      <w:bookmarkStart w:id="234" w:name="_Toc184313254"/>
      <w:bookmarkEnd w:id="234"/>
      <w:bookmarkStart w:id="235" w:name="_Toc184312098"/>
      <w:bookmarkEnd w:id="235"/>
      <w:bookmarkStart w:id="236" w:name="_Toc184313297"/>
      <w:bookmarkEnd w:id="236"/>
      <w:bookmarkStart w:id="237" w:name="_Toc184310332"/>
      <w:bookmarkEnd w:id="237"/>
      <w:bookmarkStart w:id="238" w:name="_Toc184310284"/>
      <w:bookmarkEnd w:id="238"/>
      <w:bookmarkStart w:id="239" w:name="_Toc184310335"/>
      <w:bookmarkEnd w:id="239"/>
      <w:bookmarkStart w:id="240" w:name="_Toc184313264"/>
      <w:bookmarkEnd w:id="240"/>
      <w:bookmarkStart w:id="241" w:name="_Toc184308101"/>
      <w:bookmarkEnd w:id="241"/>
      <w:bookmarkStart w:id="242" w:name="_Toc184314412"/>
      <w:bookmarkEnd w:id="242"/>
      <w:bookmarkStart w:id="243" w:name="_Toc184314473"/>
      <w:bookmarkEnd w:id="243"/>
      <w:bookmarkStart w:id="244" w:name="_Toc184308103"/>
      <w:bookmarkEnd w:id="244"/>
      <w:bookmarkStart w:id="245" w:name="_Toc184314410"/>
      <w:bookmarkEnd w:id="245"/>
      <w:bookmarkStart w:id="246" w:name="_Toc184308100"/>
      <w:bookmarkEnd w:id="246"/>
      <w:bookmarkStart w:id="247" w:name="_Toc184312071"/>
      <w:bookmarkEnd w:id="247"/>
      <w:bookmarkStart w:id="248" w:name="_Toc184313307"/>
      <w:bookmarkEnd w:id="248"/>
      <w:bookmarkStart w:id="249" w:name="_Toc184313250"/>
      <w:bookmarkEnd w:id="249"/>
      <w:bookmarkStart w:id="250" w:name="_Toc184312074"/>
      <w:bookmarkEnd w:id="250"/>
      <w:bookmarkStart w:id="251" w:name="_Toc184312083"/>
      <w:bookmarkEnd w:id="251"/>
      <w:bookmarkStart w:id="252" w:name="_Toc184312102"/>
      <w:bookmarkEnd w:id="252"/>
      <w:bookmarkStart w:id="253" w:name="_Toc184312092"/>
      <w:bookmarkEnd w:id="253"/>
      <w:bookmarkStart w:id="254" w:name="_Toc184313272"/>
      <w:bookmarkEnd w:id="254"/>
      <w:bookmarkStart w:id="255" w:name="_Toc184308085"/>
      <w:bookmarkEnd w:id="255"/>
      <w:bookmarkStart w:id="256" w:name="_Toc184314445"/>
      <w:bookmarkEnd w:id="256"/>
      <w:bookmarkStart w:id="257" w:name="_Toc184313298"/>
      <w:bookmarkEnd w:id="257"/>
      <w:bookmarkStart w:id="258" w:name="_Toc184308088"/>
      <w:bookmarkEnd w:id="258"/>
      <w:bookmarkStart w:id="259" w:name="_Toc184312121"/>
      <w:bookmarkEnd w:id="259"/>
      <w:bookmarkStart w:id="260" w:name="_Toc184310333"/>
      <w:bookmarkEnd w:id="260"/>
      <w:bookmarkStart w:id="261" w:name="_Toc184313290"/>
      <w:bookmarkEnd w:id="261"/>
      <w:bookmarkStart w:id="262" w:name="_Toc184314466"/>
      <w:bookmarkEnd w:id="262"/>
      <w:bookmarkStart w:id="263" w:name="_Toc184313299"/>
      <w:bookmarkEnd w:id="263"/>
      <w:bookmarkStart w:id="264" w:name="_Toc184314447"/>
      <w:bookmarkEnd w:id="264"/>
      <w:bookmarkStart w:id="265" w:name="_Toc184308055"/>
      <w:bookmarkEnd w:id="265"/>
      <w:bookmarkStart w:id="266" w:name="_Toc184313296"/>
      <w:bookmarkEnd w:id="266"/>
      <w:bookmarkStart w:id="267" w:name="_Toc184314459"/>
      <w:bookmarkEnd w:id="267"/>
      <w:bookmarkStart w:id="268" w:name="_Toc184310274"/>
      <w:bookmarkEnd w:id="268"/>
      <w:bookmarkStart w:id="269" w:name="_Toc184313283"/>
      <w:bookmarkEnd w:id="269"/>
      <w:bookmarkStart w:id="270" w:name="_Toc184313268"/>
      <w:bookmarkEnd w:id="270"/>
      <w:bookmarkStart w:id="271" w:name="_Toc184310277"/>
      <w:bookmarkEnd w:id="271"/>
      <w:bookmarkStart w:id="272" w:name="_Toc184308066"/>
      <w:bookmarkEnd w:id="272"/>
      <w:bookmarkStart w:id="273" w:name="_Toc184313292"/>
      <w:bookmarkEnd w:id="273"/>
      <w:bookmarkStart w:id="274" w:name="_Toc184308052"/>
      <w:bookmarkEnd w:id="274"/>
      <w:bookmarkStart w:id="275" w:name="_Toc184313302"/>
      <w:bookmarkEnd w:id="275"/>
      <w:bookmarkStart w:id="276" w:name="_Toc184314476"/>
      <w:bookmarkEnd w:id="276"/>
      <w:bookmarkStart w:id="277" w:name="_Toc184312126"/>
      <w:bookmarkEnd w:id="277"/>
      <w:bookmarkStart w:id="278" w:name="_Toc184310305"/>
      <w:bookmarkEnd w:id="278"/>
      <w:bookmarkStart w:id="279" w:name="_Toc184310324"/>
      <w:bookmarkEnd w:id="279"/>
      <w:bookmarkStart w:id="280" w:name="_Toc184312124"/>
      <w:bookmarkEnd w:id="280"/>
      <w:bookmarkStart w:id="281" w:name="_Toc184313239"/>
      <w:bookmarkEnd w:id="281"/>
      <w:bookmarkStart w:id="282" w:name="_Toc184313306"/>
      <w:bookmarkEnd w:id="282"/>
      <w:bookmarkStart w:id="283" w:name="_Toc184312070"/>
      <w:bookmarkEnd w:id="283"/>
      <w:bookmarkStart w:id="284" w:name="_Toc184314458"/>
      <w:bookmarkEnd w:id="284"/>
      <w:bookmarkStart w:id="285" w:name="_Toc184312135"/>
      <w:bookmarkEnd w:id="285"/>
      <w:bookmarkStart w:id="286" w:name="_Toc184314464"/>
      <w:bookmarkEnd w:id="286"/>
      <w:bookmarkStart w:id="287" w:name="_Toc184312091"/>
      <w:bookmarkEnd w:id="287"/>
      <w:bookmarkStart w:id="288" w:name="_Toc184308080"/>
      <w:bookmarkEnd w:id="288"/>
      <w:bookmarkStart w:id="289" w:name="_Toc184310299"/>
      <w:bookmarkEnd w:id="289"/>
      <w:bookmarkStart w:id="290" w:name="_Toc184312131"/>
      <w:bookmarkEnd w:id="290"/>
      <w:bookmarkStart w:id="291" w:name="_Toc184310291"/>
      <w:bookmarkEnd w:id="291"/>
      <w:bookmarkStart w:id="292" w:name="_Toc184314438"/>
      <w:bookmarkEnd w:id="292"/>
      <w:bookmarkStart w:id="293" w:name="_Toc184314451"/>
      <w:bookmarkEnd w:id="293"/>
      <w:bookmarkStart w:id="294" w:name="_Toc184310281"/>
      <w:bookmarkEnd w:id="294"/>
      <w:bookmarkStart w:id="295" w:name="_Toc184312132"/>
      <w:bookmarkEnd w:id="295"/>
      <w:bookmarkStart w:id="296" w:name="_Toc184310341"/>
      <w:bookmarkEnd w:id="296"/>
      <w:bookmarkStart w:id="297" w:name="_Toc184312129"/>
      <w:bookmarkEnd w:id="297"/>
      <w:bookmarkStart w:id="298" w:name="_Toc184314430"/>
      <w:bookmarkEnd w:id="298"/>
      <w:bookmarkStart w:id="299" w:name="_Toc184308093"/>
      <w:bookmarkEnd w:id="299"/>
      <w:bookmarkStart w:id="300" w:name="_Toc184312097"/>
      <w:bookmarkEnd w:id="300"/>
      <w:bookmarkStart w:id="301" w:name="_Toc184310317"/>
      <w:bookmarkEnd w:id="301"/>
      <w:bookmarkStart w:id="302" w:name="_Toc184313247"/>
      <w:bookmarkEnd w:id="302"/>
      <w:bookmarkStart w:id="303" w:name="_Toc184313257"/>
      <w:bookmarkEnd w:id="303"/>
      <w:bookmarkStart w:id="304" w:name="_Toc184310322"/>
      <w:bookmarkEnd w:id="304"/>
      <w:bookmarkStart w:id="305" w:name="_Toc184310298"/>
      <w:bookmarkEnd w:id="305"/>
      <w:bookmarkStart w:id="306" w:name="_Toc184308062"/>
      <w:bookmarkEnd w:id="306"/>
      <w:bookmarkStart w:id="307" w:name="_Toc184313310"/>
      <w:bookmarkEnd w:id="307"/>
      <w:bookmarkStart w:id="308" w:name="_Toc184314423"/>
      <w:bookmarkEnd w:id="308"/>
      <w:bookmarkStart w:id="309" w:name="_Toc184308039"/>
      <w:bookmarkEnd w:id="309"/>
      <w:bookmarkStart w:id="310" w:name="_Toc184308071"/>
      <w:bookmarkEnd w:id="310"/>
      <w:bookmarkStart w:id="311" w:name="_Toc184314460"/>
      <w:bookmarkEnd w:id="311"/>
      <w:bookmarkStart w:id="312" w:name="_Toc184314432"/>
      <w:bookmarkEnd w:id="312"/>
      <w:bookmarkStart w:id="313" w:name="_Toc184313259"/>
      <w:bookmarkEnd w:id="313"/>
      <w:bookmarkStart w:id="314" w:name="_Toc184310344"/>
      <w:bookmarkEnd w:id="314"/>
      <w:bookmarkStart w:id="315" w:name="_Toc184310282"/>
      <w:bookmarkEnd w:id="315"/>
      <w:bookmarkStart w:id="316" w:name="_Toc184313260"/>
      <w:bookmarkEnd w:id="316"/>
      <w:bookmarkStart w:id="317" w:name="_Toc184312123"/>
      <w:bookmarkEnd w:id="317"/>
      <w:bookmarkStart w:id="318" w:name="_Toc184310325"/>
      <w:bookmarkEnd w:id="318"/>
      <w:bookmarkStart w:id="319" w:name="_Toc184314446"/>
      <w:bookmarkEnd w:id="319"/>
      <w:bookmarkStart w:id="320" w:name="_Toc184314443"/>
      <w:bookmarkEnd w:id="320"/>
      <w:bookmarkStart w:id="321" w:name="_Toc184314433"/>
      <w:bookmarkEnd w:id="321"/>
      <w:bookmarkStart w:id="322" w:name="_Toc184310294"/>
      <w:bookmarkEnd w:id="322"/>
      <w:bookmarkStart w:id="323" w:name="_Toc184308065"/>
      <w:bookmarkEnd w:id="323"/>
      <w:bookmarkStart w:id="324" w:name="_Toc184314421"/>
      <w:bookmarkEnd w:id="324"/>
      <w:bookmarkStart w:id="325" w:name="_Toc184308057"/>
      <w:bookmarkEnd w:id="325"/>
      <w:bookmarkStart w:id="326" w:name="_Toc184314475"/>
      <w:bookmarkEnd w:id="326"/>
      <w:bookmarkStart w:id="327" w:name="_Toc184310286"/>
      <w:bookmarkEnd w:id="327"/>
      <w:bookmarkStart w:id="328" w:name="_Toc184314420"/>
      <w:bookmarkEnd w:id="328"/>
      <w:bookmarkStart w:id="329" w:name="_Toc184313280"/>
      <w:bookmarkEnd w:id="329"/>
      <w:bookmarkStart w:id="330" w:name="_Toc184308050"/>
      <w:bookmarkEnd w:id="330"/>
      <w:bookmarkStart w:id="331" w:name="_Toc184312080"/>
      <w:bookmarkEnd w:id="331"/>
      <w:bookmarkStart w:id="332" w:name="_Toc184313278"/>
      <w:bookmarkEnd w:id="332"/>
      <w:bookmarkStart w:id="333" w:name="_Toc184314463"/>
      <w:bookmarkEnd w:id="333"/>
      <w:bookmarkStart w:id="334" w:name="_Toc184313261"/>
      <w:bookmarkEnd w:id="334"/>
      <w:bookmarkStart w:id="335" w:name="_Toc184314456"/>
      <w:bookmarkEnd w:id="335"/>
      <w:bookmarkStart w:id="336" w:name="_Toc184310336"/>
      <w:bookmarkEnd w:id="336"/>
      <w:bookmarkStart w:id="337" w:name="_Toc184310285"/>
      <w:bookmarkEnd w:id="337"/>
      <w:bookmarkStart w:id="338" w:name="_Toc184310320"/>
      <w:bookmarkEnd w:id="338"/>
      <w:bookmarkStart w:id="339" w:name="_Toc184310303"/>
      <w:bookmarkEnd w:id="339"/>
      <w:bookmarkStart w:id="340" w:name="_Toc184313277"/>
      <w:bookmarkEnd w:id="340"/>
      <w:bookmarkStart w:id="341" w:name="_Toc184312111"/>
      <w:bookmarkEnd w:id="341"/>
      <w:bookmarkStart w:id="342" w:name="_Toc184308054"/>
      <w:bookmarkEnd w:id="342"/>
      <w:bookmarkStart w:id="343" w:name="_Toc184313287"/>
      <w:bookmarkEnd w:id="343"/>
      <w:bookmarkStart w:id="344" w:name="_Toc184308104"/>
      <w:bookmarkEnd w:id="344"/>
      <w:bookmarkStart w:id="345" w:name="_Toc184310343"/>
      <w:bookmarkEnd w:id="345"/>
      <w:bookmarkStart w:id="346" w:name="_Toc184312095"/>
      <w:bookmarkEnd w:id="346"/>
      <w:bookmarkStart w:id="347" w:name="_Toc184313286"/>
      <w:bookmarkEnd w:id="347"/>
      <w:bookmarkStart w:id="348" w:name="_Toc184310310"/>
      <w:bookmarkEnd w:id="348"/>
      <w:bookmarkStart w:id="349" w:name="_Toc184310283"/>
      <w:bookmarkEnd w:id="349"/>
      <w:bookmarkStart w:id="350" w:name="_Toc184308068"/>
      <w:bookmarkEnd w:id="350"/>
      <w:bookmarkStart w:id="351" w:name="_Toc184312101"/>
      <w:bookmarkEnd w:id="351"/>
      <w:bookmarkStart w:id="352" w:name="_Toc184308042"/>
      <w:bookmarkEnd w:id="352"/>
      <w:bookmarkStart w:id="353" w:name="_Toc184314455"/>
      <w:bookmarkEnd w:id="353"/>
      <w:bookmarkStart w:id="354" w:name="_Toc184313251"/>
      <w:bookmarkEnd w:id="354"/>
      <w:bookmarkStart w:id="355" w:name="_Toc184312079"/>
      <w:bookmarkEnd w:id="355"/>
      <w:bookmarkStart w:id="356" w:name="_Toc184314453"/>
      <w:bookmarkEnd w:id="356"/>
      <w:bookmarkStart w:id="357" w:name="_Toc184312114"/>
      <w:bookmarkEnd w:id="357"/>
      <w:bookmarkStart w:id="358" w:name="_Toc184314417"/>
      <w:bookmarkEnd w:id="358"/>
      <w:bookmarkStart w:id="359" w:name="_Toc184308043"/>
      <w:bookmarkEnd w:id="359"/>
      <w:bookmarkStart w:id="360" w:name="_Toc184312086"/>
      <w:bookmarkEnd w:id="360"/>
      <w:bookmarkStart w:id="361" w:name="_Toc184313240"/>
      <w:bookmarkEnd w:id="361"/>
      <w:bookmarkStart w:id="362" w:name="_Toc184312068"/>
      <w:bookmarkEnd w:id="362"/>
      <w:bookmarkStart w:id="363" w:name="_Toc184313273"/>
      <w:bookmarkEnd w:id="363"/>
      <w:bookmarkStart w:id="364" w:name="_Toc184312116"/>
      <w:bookmarkEnd w:id="364"/>
      <w:bookmarkStart w:id="365" w:name="_Toc184314440"/>
      <w:bookmarkEnd w:id="365"/>
      <w:bookmarkStart w:id="366" w:name="_Toc184312137"/>
      <w:bookmarkEnd w:id="366"/>
      <w:bookmarkStart w:id="367" w:name="_Toc184313288"/>
      <w:bookmarkEnd w:id="367"/>
      <w:bookmarkStart w:id="368" w:name="_Toc184312133"/>
      <w:bookmarkEnd w:id="368"/>
      <w:bookmarkStart w:id="369" w:name="_Toc184310330"/>
      <w:bookmarkEnd w:id="369"/>
      <w:bookmarkStart w:id="370" w:name="_Toc184314437"/>
      <w:bookmarkEnd w:id="370"/>
      <w:bookmarkStart w:id="371" w:name="_Toc184310296"/>
      <w:bookmarkEnd w:id="371"/>
      <w:bookmarkStart w:id="372" w:name="_Toc184314428"/>
      <w:bookmarkEnd w:id="372"/>
      <w:bookmarkStart w:id="373" w:name="_Toc184310275"/>
      <w:bookmarkEnd w:id="373"/>
      <w:bookmarkStart w:id="374" w:name="_Toc184312104"/>
      <w:bookmarkEnd w:id="374"/>
      <w:bookmarkStart w:id="375" w:name="_Toc184314426"/>
      <w:bookmarkEnd w:id="375"/>
      <w:bookmarkStart w:id="376" w:name="_Toc184314470"/>
      <w:bookmarkEnd w:id="376"/>
      <w:bookmarkStart w:id="377" w:name="_Toc184308077"/>
      <w:bookmarkEnd w:id="377"/>
      <w:bookmarkStart w:id="378" w:name="_Toc184308070"/>
      <w:bookmarkEnd w:id="378"/>
      <w:bookmarkStart w:id="379" w:name="_Toc184313300"/>
      <w:bookmarkEnd w:id="379"/>
      <w:bookmarkStart w:id="380" w:name="_Toc184312118"/>
      <w:bookmarkEnd w:id="380"/>
      <w:bookmarkStart w:id="381" w:name="_Toc184310315"/>
      <w:bookmarkEnd w:id="381"/>
      <w:bookmarkStart w:id="382" w:name="_Toc184308064"/>
      <w:bookmarkEnd w:id="382"/>
      <w:bookmarkStart w:id="383" w:name="_Toc184312115"/>
      <w:bookmarkEnd w:id="383"/>
      <w:bookmarkStart w:id="384" w:name="_Toc184308094"/>
      <w:bookmarkEnd w:id="384"/>
      <w:bookmarkStart w:id="385" w:name="_Toc184310288"/>
      <w:bookmarkEnd w:id="385"/>
      <w:bookmarkStart w:id="386" w:name="_Toc184312112"/>
      <w:bookmarkEnd w:id="386"/>
      <w:bookmarkStart w:id="387" w:name="_Toc184312088"/>
      <w:bookmarkEnd w:id="387"/>
      <w:bookmarkStart w:id="388" w:name="_Toc184308073"/>
      <w:bookmarkEnd w:id="388"/>
      <w:bookmarkStart w:id="389" w:name="_Toc184312130"/>
      <w:bookmarkEnd w:id="389"/>
      <w:bookmarkStart w:id="390" w:name="_Toc184308078"/>
      <w:bookmarkEnd w:id="390"/>
      <w:bookmarkStart w:id="391" w:name="_Toc184312109"/>
      <w:bookmarkEnd w:id="391"/>
      <w:r>
        <w:rPr>
          <w:rFonts w:hint="eastAsia" w:ascii="仿宋" w:hAnsi="仿宋" w:eastAsia="仿宋" w:cs="仿宋_GB2312"/>
          <w:b/>
          <w:color w:val="auto"/>
          <w:sz w:val="36"/>
          <w:szCs w:val="36"/>
          <w:highlight w:val="none"/>
        </w:rPr>
        <w:t>评标办法</w:t>
      </w:r>
    </w:p>
    <w:p>
      <w:pPr>
        <w:snapToGrid w:val="0"/>
        <w:spacing w:line="360" w:lineRule="auto"/>
        <w:jc w:val="center"/>
        <w:rPr>
          <w:rFonts w:hint="eastAsia" w:ascii="仿宋" w:hAnsi="仿宋" w:eastAsia="仿宋" w:cs="仿宋"/>
          <w:b/>
          <w:bCs/>
          <w:color w:val="auto"/>
          <w:highlight w:val="none"/>
          <w:lang w:eastAsia="zh-CN"/>
        </w:rPr>
      </w:pPr>
      <w:r>
        <w:rPr>
          <w:rFonts w:hint="eastAsia" w:ascii="仿宋" w:hAnsi="仿宋" w:eastAsia="仿宋" w:cs="仿宋"/>
          <w:b/>
          <w:color w:val="auto"/>
          <w:sz w:val="32"/>
          <w:szCs w:val="20"/>
          <w:highlight w:val="none"/>
        </w:rPr>
        <w:t>评标办法前附表</w:t>
      </w:r>
      <w:r>
        <w:rPr>
          <w:rFonts w:hint="eastAsia" w:ascii="仿宋" w:hAnsi="仿宋" w:eastAsia="仿宋" w:cs="仿宋"/>
          <w:b/>
          <w:color w:val="auto"/>
          <w:sz w:val="32"/>
          <w:szCs w:val="20"/>
          <w:highlight w:val="none"/>
          <w:lang w:eastAsia="zh-CN"/>
        </w:rPr>
        <w:t>（</w:t>
      </w:r>
      <w:r>
        <w:rPr>
          <w:rFonts w:hint="eastAsia" w:ascii="仿宋" w:hAnsi="仿宋" w:eastAsia="仿宋" w:cs="仿宋"/>
          <w:b/>
          <w:color w:val="auto"/>
          <w:sz w:val="32"/>
          <w:szCs w:val="20"/>
          <w:highlight w:val="none"/>
          <w:lang w:val="en-US" w:eastAsia="zh-CN"/>
        </w:rPr>
        <w:t>标项一、标项二</w:t>
      </w:r>
      <w:r>
        <w:rPr>
          <w:rFonts w:hint="eastAsia" w:ascii="仿宋" w:hAnsi="仿宋" w:eastAsia="仿宋" w:cs="仿宋"/>
          <w:b/>
          <w:color w:val="auto"/>
          <w:sz w:val="32"/>
          <w:szCs w:val="20"/>
          <w:highlight w:val="none"/>
          <w:lang w:eastAsia="zh-CN"/>
        </w:rPr>
        <w:t>）</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商务评标细则（</w:t>
      </w:r>
      <w:r>
        <w:rPr>
          <w:rFonts w:hint="eastAsia" w:ascii="仿宋" w:hAnsi="仿宋" w:eastAsia="仿宋" w:cs="仿宋"/>
          <w:b/>
          <w:color w:val="auto"/>
          <w:sz w:val="24"/>
          <w:highlight w:val="none"/>
          <w:lang w:val="en-US" w:eastAsia="zh-CN"/>
        </w:rPr>
        <w:t>17</w:t>
      </w:r>
      <w:r>
        <w:rPr>
          <w:rFonts w:hint="eastAsia" w:ascii="仿宋" w:hAnsi="仿宋" w:eastAsia="仿宋" w:cs="仿宋"/>
          <w:b/>
          <w:color w:val="auto"/>
          <w:sz w:val="24"/>
          <w:highlight w:val="none"/>
        </w:rPr>
        <w:t>分）</w:t>
      </w:r>
    </w:p>
    <w:tbl>
      <w:tblPr>
        <w:tblStyle w:val="64"/>
        <w:tblW w:w="95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1017"/>
        <w:gridCol w:w="6860"/>
        <w:gridCol w:w="9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pStyle w:val="55"/>
              <w:spacing w:line="360" w:lineRule="auto"/>
              <w:ind w:left="0" w:leftChars="0" w:firstLine="0" w:firstLineChars="0"/>
              <w:jc w:val="both"/>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pStyle w:val="55"/>
              <w:spacing w:line="360" w:lineRule="auto"/>
              <w:ind w:left="0" w:leftChars="0" w:firstLine="0" w:firstLineChars="0"/>
              <w:jc w:val="both"/>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评审</w:t>
            </w:r>
          </w:p>
          <w:p>
            <w:pPr>
              <w:pStyle w:val="55"/>
              <w:spacing w:line="360" w:lineRule="auto"/>
              <w:ind w:left="0" w:leftChars="0" w:firstLine="0" w:firstLineChars="0"/>
              <w:jc w:val="both"/>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内容</w:t>
            </w:r>
          </w:p>
        </w:tc>
        <w:tc>
          <w:tcPr>
            <w:tcW w:w="686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ind w:left="0"/>
              <w:jc w:val="center"/>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评分标准</w:t>
            </w:r>
          </w:p>
        </w:tc>
        <w:tc>
          <w:tcPr>
            <w:tcW w:w="99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ind w:left="0" w:leftChars="0" w:firstLine="0" w:firstLineChars="0"/>
              <w:jc w:val="center"/>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评分分值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3" w:hRule="atLeast"/>
          <w:jc w:val="center"/>
        </w:trPr>
        <w:tc>
          <w:tcPr>
            <w:tcW w:w="715"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 w:val="24"/>
                <w:szCs w:val="20"/>
                <w:highlight w:val="none"/>
                <w:lang w:eastAsia="zh-CN"/>
              </w:rPr>
            </w:pPr>
            <w:r>
              <w:rPr>
                <w:rFonts w:hint="eastAsia" w:ascii="仿宋" w:hAnsi="仿宋" w:eastAsia="仿宋" w:cs="仿宋"/>
                <w:color w:val="auto"/>
                <w:sz w:val="24"/>
                <w:szCs w:val="20"/>
                <w:highlight w:val="none"/>
                <w:lang w:val="en-US" w:eastAsia="zh-CN"/>
              </w:rPr>
              <w:t>1</w:t>
            </w:r>
          </w:p>
        </w:tc>
        <w:tc>
          <w:tcPr>
            <w:tcW w:w="1017"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企业综合评价及业绩</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投标人具有质量管理体系认证证书得2分、环境管理体系认证证书得2分、职业健康安全管理体系认证证书得2分；本项最高得6分。</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（在投标文件中提供有效认证证书复印件或扫描打印件并提供网络查询截图加盖公章，否则不得分）</w:t>
            </w:r>
          </w:p>
        </w:tc>
        <w:tc>
          <w:tcPr>
            <w:tcW w:w="990" w:type="dxa"/>
            <w:vMerge w:val="restart"/>
            <w:tcBorders>
              <w:top w:val="single" w:color="auto" w:sz="4" w:space="0"/>
              <w:left w:val="single" w:color="auto" w:sz="4" w:space="0"/>
              <w:right w:val="single" w:color="auto" w:sz="4" w:space="0"/>
            </w:tcBorders>
            <w:vAlign w:val="center"/>
          </w:tcPr>
          <w:p>
            <w:pPr>
              <w:pStyle w:val="55"/>
              <w:spacing w:line="360" w:lineRule="auto"/>
              <w:ind w:left="0" w:leftChars="0" w:firstLine="0" w:firstLineChars="0"/>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1" w:hRule="atLeast"/>
          <w:jc w:val="center"/>
        </w:trPr>
        <w:tc>
          <w:tcPr>
            <w:tcW w:w="71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Cs w:val="21"/>
                <w:highlight w:val="none"/>
              </w:rPr>
            </w:pPr>
          </w:p>
        </w:tc>
        <w:tc>
          <w:tcPr>
            <w:tcW w:w="1017"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具有区级及以上城市管理局颁发的城市生活垃圾经营性清扫、收集、运输服务许可证且在有效服务期内的得2分；</w:t>
            </w:r>
            <w:r>
              <w:rPr>
                <w:rFonts w:hint="eastAsia" w:ascii="仿宋" w:hAnsi="仿宋" w:eastAsia="仿宋" w:cs="仿宋"/>
                <w:color w:val="auto"/>
                <w:sz w:val="24"/>
                <w:highlight w:val="none"/>
              </w:rPr>
              <w:t>本项最高</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（在投标文件中提供有效认证证书复印件或扫描打印件</w:t>
            </w:r>
            <w:r>
              <w:rPr>
                <w:rFonts w:hint="eastAsia" w:ascii="仿宋" w:hAnsi="仿宋" w:eastAsia="仿宋" w:cs="仿宋"/>
                <w:b/>
                <w:bCs/>
                <w:color w:val="auto"/>
                <w:sz w:val="24"/>
                <w:highlight w:val="none"/>
              </w:rPr>
              <w:t>并加盖公章</w:t>
            </w:r>
            <w:r>
              <w:rPr>
                <w:rFonts w:hint="eastAsia" w:ascii="仿宋" w:hAnsi="仿宋" w:eastAsia="仿宋" w:cs="仿宋"/>
                <w:b/>
                <w:bCs/>
                <w:color w:val="auto"/>
                <w:sz w:val="24"/>
                <w:highlight w:val="none"/>
                <w:lang w:val="en-US" w:eastAsia="zh-CN"/>
              </w:rPr>
              <w:t>，否则不得分）</w:t>
            </w:r>
          </w:p>
        </w:tc>
        <w:tc>
          <w:tcPr>
            <w:tcW w:w="990" w:type="dxa"/>
            <w:vMerge w:val="continue"/>
            <w:tcBorders>
              <w:left w:val="single" w:color="auto" w:sz="4" w:space="0"/>
              <w:bottom w:val="single" w:color="auto" w:sz="4" w:space="0"/>
              <w:right w:val="single" w:color="auto" w:sz="4" w:space="0"/>
            </w:tcBorders>
            <w:vAlign w:val="center"/>
          </w:tcPr>
          <w:p>
            <w:pPr>
              <w:pStyle w:val="55"/>
              <w:spacing w:line="360" w:lineRule="auto"/>
              <w:ind w:left="0"/>
              <w:jc w:val="center"/>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8" w:hRule="atLeast"/>
          <w:jc w:val="center"/>
        </w:trPr>
        <w:tc>
          <w:tcPr>
            <w:tcW w:w="71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Cs w:val="21"/>
                <w:highlight w:val="none"/>
              </w:rPr>
            </w:pPr>
          </w:p>
        </w:tc>
        <w:tc>
          <w:tcPr>
            <w:tcW w:w="1017"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201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日起至今（时间以合同签订时间或中标通知书发出的时间为准）， 道路保洁作业经验的，每个得</w:t>
            </w:r>
            <w:r>
              <w:rPr>
                <w:rFonts w:hint="eastAsia" w:ascii="仿宋" w:hAnsi="仿宋" w:eastAsia="仿宋" w:cs="仿宋"/>
                <w:color w:val="auto"/>
                <w:sz w:val="24"/>
                <w:highlight w:val="none"/>
                <w:lang w:val="en-US" w:eastAsia="zh-CN"/>
              </w:rPr>
              <w:t>0.25</w:t>
            </w:r>
            <w:r>
              <w:rPr>
                <w:rFonts w:hint="eastAsia" w:ascii="仿宋" w:hAnsi="仿宋" w:eastAsia="仿宋" w:cs="仿宋"/>
                <w:color w:val="auto"/>
                <w:sz w:val="24"/>
                <w:highlight w:val="none"/>
              </w:rPr>
              <w:t>分；最高得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分。本项最高</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在投标文件中需提供</w:t>
            </w:r>
            <w:r>
              <w:rPr>
                <w:rFonts w:hint="eastAsia" w:ascii="仿宋" w:hAnsi="仿宋" w:eastAsia="仿宋" w:cs="仿宋"/>
                <w:b/>
                <w:bCs/>
                <w:color w:val="auto"/>
                <w:sz w:val="24"/>
                <w:highlight w:val="none"/>
              </w:rPr>
              <w:t>中标通知书及合同复印件并加盖公章，否则不得分。）</w:t>
            </w:r>
          </w:p>
        </w:tc>
        <w:tc>
          <w:tcPr>
            <w:tcW w:w="990" w:type="dxa"/>
            <w:vMerge w:val="continue"/>
            <w:tcBorders>
              <w:left w:val="single" w:color="auto" w:sz="4" w:space="0"/>
              <w:bottom w:val="single" w:color="auto" w:sz="4" w:space="0"/>
              <w:right w:val="single" w:color="auto" w:sz="4" w:space="0"/>
            </w:tcBorders>
            <w:vAlign w:val="center"/>
          </w:tcPr>
          <w:p>
            <w:pPr>
              <w:pStyle w:val="55"/>
              <w:spacing w:line="360" w:lineRule="auto"/>
              <w:ind w:left="0"/>
              <w:jc w:val="center"/>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8"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w:t>
            </w:r>
          </w:p>
        </w:tc>
        <w:tc>
          <w:tcPr>
            <w:tcW w:w="1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r>
              <w:rPr>
                <w:rFonts w:hint="eastAsia" w:ascii="仿宋" w:hAnsi="仿宋" w:eastAsia="仿宋" w:cs="仿宋"/>
                <w:color w:val="auto"/>
                <w:szCs w:val="24"/>
                <w:highlight w:val="none"/>
              </w:rPr>
              <w:t>拟派项目实施人员的配备情况</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①项目经理拥有道路清扫保洁项目经理证书的得1分，具有大专及以上学历的得1分；20</w:t>
            </w:r>
            <w:r>
              <w:rPr>
                <w:rFonts w:hint="eastAsia" w:ascii="仿宋" w:hAnsi="仿宋" w:eastAsia="仿宋" w:cs="仿宋"/>
                <w:color w:val="auto"/>
                <w:sz w:val="24"/>
                <w:highlight w:val="none"/>
                <w:lang w:val="en-US" w:eastAsia="zh-CN"/>
              </w:rPr>
              <w:t>18</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日起至今项目经理有</w:t>
            </w:r>
            <w:r>
              <w:rPr>
                <w:rFonts w:hint="eastAsia" w:ascii="仿宋" w:hAnsi="仿宋" w:eastAsia="仿宋" w:cs="仿宋"/>
                <w:color w:val="auto"/>
                <w:sz w:val="24"/>
                <w:highlight w:val="none"/>
                <w:lang w:val="en-US" w:eastAsia="zh-CN"/>
              </w:rPr>
              <w:t>担任过</w:t>
            </w:r>
            <w:r>
              <w:rPr>
                <w:rFonts w:hint="eastAsia" w:ascii="仿宋" w:hAnsi="仿宋" w:eastAsia="仿宋" w:cs="仿宋"/>
                <w:color w:val="auto"/>
                <w:sz w:val="24"/>
                <w:highlight w:val="none"/>
              </w:rPr>
              <w:t>政府财政资金投资的道路保洁</w:t>
            </w:r>
            <w:r>
              <w:rPr>
                <w:rFonts w:hint="eastAsia" w:ascii="仿宋" w:hAnsi="仿宋" w:eastAsia="仿宋" w:cs="仿宋"/>
                <w:color w:val="auto"/>
                <w:sz w:val="24"/>
                <w:highlight w:val="none"/>
                <w:lang w:val="en-US" w:eastAsia="zh-CN"/>
              </w:rPr>
              <w:t>项目负责人的</w:t>
            </w:r>
            <w:r>
              <w:rPr>
                <w:rFonts w:hint="eastAsia" w:ascii="仿宋" w:hAnsi="仿宋" w:eastAsia="仿宋" w:cs="仿宋"/>
                <w:color w:val="auto"/>
                <w:sz w:val="24"/>
                <w:highlight w:val="none"/>
              </w:rPr>
              <w:t>得1分，获得区（县）级及以上</w:t>
            </w:r>
            <w:r>
              <w:rPr>
                <w:rFonts w:hint="eastAsia" w:ascii="仿宋" w:hAnsi="仿宋" w:eastAsia="仿宋" w:cs="仿宋"/>
                <w:color w:val="auto"/>
                <w:sz w:val="24"/>
                <w:highlight w:val="none"/>
                <w:lang w:val="en-US" w:eastAsia="zh-CN"/>
              </w:rPr>
              <w:t>个人荣誉的得1分，</w:t>
            </w:r>
            <w:r>
              <w:rPr>
                <w:rFonts w:hint="eastAsia" w:ascii="仿宋" w:hAnsi="仿宋" w:eastAsia="仿宋" w:cs="仿宋"/>
                <w:color w:val="auto"/>
                <w:sz w:val="24"/>
                <w:highlight w:val="none"/>
              </w:rPr>
              <w:t>满分</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分。没有则不得分；（需提供证书、毕业证书、道路保洁业绩中标通知书以及荣誉证书复印件。同时提供项目经理社保缴纳证明）。</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②项目团队成员拥有垃圾清运工程师、垃圾处理工程师、有害生物防治工程师，拥有以上三本证书的得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分，拥有2本的得2分，拥有1本的得1分，满分</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在投标文件中</w:t>
            </w:r>
            <w:r>
              <w:rPr>
                <w:rFonts w:hint="eastAsia" w:ascii="仿宋" w:hAnsi="仿宋" w:eastAsia="仿宋" w:cs="仿宋"/>
                <w:b/>
                <w:bCs/>
                <w:color w:val="auto"/>
                <w:sz w:val="24"/>
                <w:highlight w:val="none"/>
              </w:rPr>
              <w:t>需提供相关证书复印件，同时提供相关人员社保缴纳证明）。</w:t>
            </w:r>
          </w:p>
        </w:tc>
        <w:tc>
          <w:tcPr>
            <w:tcW w:w="99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ind w:left="0" w:leftChars="0" w:firstLine="0" w:firstLineChars="0"/>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8"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w:t>
            </w:r>
          </w:p>
        </w:tc>
        <w:tc>
          <w:tcPr>
            <w:tcW w:w="1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企业荣誉</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201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1月1</w:t>
            </w:r>
            <w:r>
              <w:rPr>
                <w:rFonts w:hint="eastAsia" w:ascii="仿宋" w:hAnsi="仿宋" w:eastAsia="仿宋" w:cs="仿宋"/>
                <w:color w:val="auto"/>
                <w:sz w:val="24"/>
                <w:highlight w:val="none"/>
              </w:rPr>
              <w:t>日至今，投标人获得区（县）级及以上城市管理局颁发的</w:t>
            </w:r>
            <w:r>
              <w:rPr>
                <w:rFonts w:hint="eastAsia" w:ascii="仿宋" w:hAnsi="仿宋" w:eastAsia="仿宋" w:cs="仿宋"/>
                <w:color w:val="auto"/>
                <w:sz w:val="24"/>
                <w:highlight w:val="none"/>
                <w:lang w:val="en-US" w:eastAsia="zh-CN"/>
              </w:rPr>
              <w:t>表彰有一个得0.5</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本项最高得1分。</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在投标文件中</w:t>
            </w:r>
            <w:r>
              <w:rPr>
                <w:rFonts w:hint="eastAsia" w:ascii="仿宋" w:hAnsi="仿宋" w:eastAsia="仿宋" w:cs="仿宋"/>
                <w:b/>
                <w:bCs/>
                <w:color w:val="auto"/>
                <w:sz w:val="24"/>
                <w:highlight w:val="none"/>
              </w:rPr>
              <w:t>需提供相关证明材料扫描件，否则不得分）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ind w:left="0" w:leftChars="0" w:firstLine="0" w:firstLineChars="0"/>
              <w:jc w:val="center"/>
              <w:rPr>
                <w:rFonts w:hint="default"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w:t>
            </w:r>
          </w:p>
        </w:tc>
      </w:tr>
    </w:tbl>
    <w:p>
      <w:pPr>
        <w:spacing w:line="360" w:lineRule="auto"/>
        <w:rPr>
          <w:rFonts w:hint="eastAsia" w:ascii="仿宋" w:hAnsi="仿宋" w:eastAsia="仿宋" w:cs="仿宋"/>
          <w:b/>
          <w:color w:val="auto"/>
          <w:sz w:val="24"/>
          <w:szCs w:val="20"/>
          <w:highlight w:val="none"/>
          <w:lang w:val="en-US" w:eastAsia="zh-CN"/>
        </w:rPr>
      </w:pPr>
    </w:p>
    <w:p>
      <w:pPr>
        <w:spacing w:line="360" w:lineRule="auto"/>
        <w:rPr>
          <w:rFonts w:hint="eastAsia" w:ascii="仿宋" w:hAnsi="仿宋" w:eastAsia="仿宋" w:cs="仿宋"/>
          <w:b/>
          <w:color w:val="auto"/>
          <w:sz w:val="24"/>
          <w:szCs w:val="20"/>
          <w:highlight w:val="none"/>
          <w:lang w:val="en-US" w:eastAsia="zh-CN"/>
        </w:rPr>
      </w:pPr>
    </w:p>
    <w:p>
      <w:pPr>
        <w:spacing w:line="360" w:lineRule="auto"/>
        <w:rPr>
          <w:rFonts w:hint="eastAsia" w:ascii="仿宋" w:hAnsi="仿宋" w:eastAsia="仿宋" w:cs="仿宋"/>
          <w:b/>
          <w:color w:val="auto"/>
          <w:sz w:val="24"/>
          <w:szCs w:val="20"/>
          <w:highlight w:val="none"/>
          <w:lang w:val="en-US" w:eastAsia="zh-CN"/>
        </w:rPr>
      </w:pPr>
    </w:p>
    <w:p>
      <w:pPr>
        <w:spacing w:line="360" w:lineRule="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lang w:val="en-US" w:eastAsia="zh-CN"/>
        </w:rPr>
        <w:t>2、</w:t>
      </w:r>
      <w:r>
        <w:rPr>
          <w:rFonts w:hint="eastAsia" w:ascii="仿宋" w:hAnsi="仿宋" w:eastAsia="仿宋" w:cs="仿宋"/>
          <w:b/>
          <w:color w:val="auto"/>
          <w:sz w:val="24"/>
          <w:szCs w:val="20"/>
          <w:highlight w:val="none"/>
        </w:rPr>
        <w:t>技术</w:t>
      </w:r>
      <w:r>
        <w:rPr>
          <w:rFonts w:hint="eastAsia" w:ascii="仿宋" w:hAnsi="仿宋" w:eastAsia="仿宋" w:cs="仿宋"/>
          <w:b/>
          <w:color w:val="auto"/>
          <w:sz w:val="24"/>
          <w:szCs w:val="20"/>
          <w:highlight w:val="none"/>
          <w:lang w:eastAsia="zh-CN"/>
        </w:rPr>
        <w:t>标评分细则（</w:t>
      </w:r>
      <w:r>
        <w:rPr>
          <w:rFonts w:hint="eastAsia" w:ascii="仿宋" w:hAnsi="仿宋" w:eastAsia="仿宋" w:cs="仿宋"/>
          <w:b/>
          <w:color w:val="auto"/>
          <w:sz w:val="24"/>
          <w:szCs w:val="20"/>
          <w:highlight w:val="none"/>
          <w:lang w:val="en-US" w:eastAsia="zh-CN"/>
        </w:rPr>
        <w:t>73</w:t>
      </w:r>
      <w:r>
        <w:rPr>
          <w:rFonts w:hint="eastAsia" w:ascii="仿宋" w:hAnsi="仿宋" w:eastAsia="仿宋" w:cs="仿宋"/>
          <w:b/>
          <w:color w:val="auto"/>
          <w:sz w:val="24"/>
          <w:szCs w:val="20"/>
          <w:highlight w:val="none"/>
        </w:rPr>
        <w:t>分</w:t>
      </w:r>
      <w:r>
        <w:rPr>
          <w:rFonts w:hint="eastAsia" w:ascii="仿宋" w:hAnsi="仿宋" w:eastAsia="仿宋" w:cs="仿宋"/>
          <w:b/>
          <w:color w:val="auto"/>
          <w:sz w:val="24"/>
          <w:szCs w:val="20"/>
          <w:highlight w:val="none"/>
          <w:lang w:eastAsia="zh-CN"/>
        </w:rPr>
        <w:t>）</w:t>
      </w:r>
      <w:r>
        <w:rPr>
          <w:rFonts w:hint="eastAsia" w:ascii="仿宋" w:hAnsi="仿宋" w:eastAsia="仿宋" w:cs="仿宋"/>
          <w:b/>
          <w:color w:val="auto"/>
          <w:sz w:val="24"/>
          <w:szCs w:val="20"/>
          <w:highlight w:val="none"/>
        </w:rPr>
        <w:t xml:space="preserve"> </w:t>
      </w:r>
    </w:p>
    <w:tbl>
      <w:tblPr>
        <w:tblStyle w:val="64"/>
        <w:tblW w:w="95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065"/>
        <w:gridCol w:w="6808"/>
        <w:gridCol w:w="9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评审</w:t>
            </w:r>
          </w:p>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内容</w:t>
            </w:r>
          </w:p>
        </w:tc>
        <w:tc>
          <w:tcPr>
            <w:tcW w:w="6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评分标准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评分</w:t>
            </w:r>
          </w:p>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2" w:hRule="atLeast"/>
          <w:jc w:val="center"/>
        </w:trPr>
        <w:tc>
          <w:tcPr>
            <w:tcW w:w="709"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eastAsia="zh-CN"/>
              </w:rPr>
            </w:pPr>
            <w:r>
              <w:rPr>
                <w:rFonts w:hint="eastAsia" w:ascii="仿宋" w:hAnsi="仿宋" w:eastAsia="仿宋" w:cs="仿宋"/>
                <w:color w:val="auto"/>
                <w:sz w:val="24"/>
                <w:szCs w:val="20"/>
                <w:highlight w:val="none"/>
                <w:lang w:val="en-US" w:eastAsia="zh-CN"/>
              </w:rPr>
              <w:t>1</w:t>
            </w:r>
          </w:p>
        </w:tc>
        <w:tc>
          <w:tcPr>
            <w:tcW w:w="1065"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投入机械设备、车辆</w:t>
            </w:r>
          </w:p>
        </w:tc>
        <w:tc>
          <w:tcPr>
            <w:tcW w:w="6808" w:type="dxa"/>
            <w:tcBorders>
              <w:top w:val="single" w:color="auto" w:sz="4" w:space="0"/>
              <w:left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清洗车（</w:t>
            </w:r>
            <w:r>
              <w:rPr>
                <w:rFonts w:hint="eastAsia" w:ascii="仿宋" w:hAnsi="仿宋" w:eastAsia="仿宋" w:cs="仿宋"/>
                <w:color w:val="auto"/>
                <w:sz w:val="24"/>
                <w:highlight w:val="none"/>
                <w:lang w:val="en-US" w:eastAsia="zh-CN"/>
              </w:rPr>
              <w:t>车辆</w:t>
            </w:r>
            <w:r>
              <w:rPr>
                <w:rFonts w:hint="eastAsia" w:ascii="仿宋" w:hAnsi="仿宋" w:eastAsia="仿宋" w:cs="仿宋"/>
                <w:color w:val="auto"/>
                <w:sz w:val="24"/>
                <w:highlight w:val="none"/>
              </w:rPr>
              <w:t>总质量</w:t>
            </w: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rPr>
              <w:t>吨及以上）1辆得2分，满分</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分；清洗车（车辆总质量</w:t>
            </w:r>
            <w:r>
              <w:rPr>
                <w:rFonts w:hint="eastAsia" w:ascii="仿宋" w:hAnsi="仿宋" w:eastAsia="仿宋" w:cs="仿宋"/>
                <w:color w:val="auto"/>
                <w:sz w:val="24"/>
                <w:highlight w:val="none"/>
                <w:lang w:val="en-US" w:eastAsia="zh-CN"/>
              </w:rPr>
              <w:t>16</w:t>
            </w:r>
            <w:r>
              <w:rPr>
                <w:rFonts w:hint="eastAsia" w:ascii="仿宋" w:hAnsi="仿宋" w:eastAsia="仿宋" w:cs="仿宋"/>
                <w:color w:val="auto"/>
                <w:sz w:val="24"/>
                <w:highlight w:val="none"/>
              </w:rPr>
              <w:t>吨及以上）1辆得2分，满分</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本项最高得</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分；</w:t>
            </w:r>
          </w:p>
          <w:p>
            <w:pPr>
              <w:keepNext w:val="0"/>
              <w:keepLines w:val="0"/>
              <w:pageBreakBefore w:val="0"/>
              <w:widowControl w:val="0"/>
              <w:numPr>
                <w:ilvl w:val="0"/>
                <w:numId w:val="0"/>
              </w:numPr>
              <w:kinsoku/>
              <w:wordWrap/>
              <w:overflowPunct/>
              <w:topLinePunct w:val="0"/>
              <w:autoSpaceDE/>
              <w:autoSpaceDN/>
              <w:bidi w:val="0"/>
              <w:adjustRightInd w:val="0"/>
              <w:snapToGrid/>
              <w:spacing w:line="340" w:lineRule="exact"/>
              <w:jc w:val="both"/>
              <w:textAlignment w:val="auto"/>
              <w:rPr>
                <w:rFonts w:hint="eastAsia" w:ascii="仿宋" w:hAnsi="仿宋" w:eastAsia="仿宋"/>
                <w:color w:val="auto"/>
                <w:sz w:val="24"/>
                <w:szCs w:val="24"/>
                <w:highlight w:val="none"/>
              </w:rPr>
            </w:pPr>
            <w:r>
              <w:rPr>
                <w:rFonts w:hint="eastAsia" w:ascii="仿宋" w:hAnsi="仿宋" w:eastAsia="仿宋" w:cs="仿宋"/>
                <w:color w:val="auto"/>
                <w:sz w:val="24"/>
                <w:highlight w:val="none"/>
                <w:lang w:val="en-US" w:eastAsia="zh-CN"/>
              </w:rPr>
              <w:t>2、多功能</w:t>
            </w:r>
            <w:r>
              <w:rPr>
                <w:rFonts w:hint="eastAsia" w:ascii="仿宋" w:hAnsi="仿宋" w:eastAsia="仿宋"/>
                <w:color w:val="auto"/>
                <w:sz w:val="24"/>
                <w:szCs w:val="24"/>
                <w:highlight w:val="none"/>
              </w:rPr>
              <w:t>抑尘车</w:t>
            </w:r>
            <w:r>
              <w:rPr>
                <w:rFonts w:hint="eastAsia" w:ascii="仿宋" w:hAnsi="仿宋" w:eastAsia="仿宋"/>
                <w:color w:val="auto"/>
                <w:sz w:val="24"/>
                <w:szCs w:val="24"/>
                <w:highlight w:val="none"/>
                <w:lang w:val="en-US" w:eastAsia="zh-CN"/>
              </w:rPr>
              <w:t>(车辆</w:t>
            </w:r>
            <w:r>
              <w:rPr>
                <w:rFonts w:hint="eastAsia" w:ascii="仿宋" w:hAnsi="仿宋" w:eastAsia="仿宋"/>
                <w:color w:val="auto"/>
                <w:sz w:val="24"/>
                <w:szCs w:val="24"/>
                <w:highlight w:val="none"/>
              </w:rPr>
              <w:t xml:space="preserve">总质量 </w:t>
            </w:r>
            <w:r>
              <w:rPr>
                <w:rFonts w:hint="eastAsia" w:ascii="仿宋" w:hAnsi="仿宋" w:eastAsia="仿宋"/>
                <w:color w:val="auto"/>
                <w:sz w:val="24"/>
                <w:szCs w:val="24"/>
                <w:highlight w:val="none"/>
                <w:lang w:val="en-US" w:eastAsia="zh-CN"/>
              </w:rPr>
              <w:t>18</w:t>
            </w:r>
            <w:r>
              <w:rPr>
                <w:rFonts w:hint="eastAsia" w:ascii="仿宋" w:hAnsi="仿宋" w:eastAsia="仿宋"/>
                <w:color w:val="auto"/>
                <w:sz w:val="24"/>
                <w:szCs w:val="24"/>
                <w:highlight w:val="none"/>
              </w:rPr>
              <w:t>吨及以上</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1辆</w:t>
            </w:r>
            <w:r>
              <w:rPr>
                <w:rFonts w:hint="eastAsia" w:ascii="仿宋" w:hAnsi="仿宋" w:eastAsia="仿宋"/>
                <w:color w:val="auto"/>
                <w:sz w:val="24"/>
                <w:szCs w:val="24"/>
                <w:highlight w:val="none"/>
              </w:rPr>
              <w:t>的得</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分</w:t>
            </w:r>
            <w:r>
              <w:rPr>
                <w:rFonts w:hint="eastAsia" w:ascii="仿宋" w:hAnsi="仿宋" w:eastAsia="仿宋"/>
                <w:color w:val="auto"/>
                <w:sz w:val="24"/>
                <w:szCs w:val="24"/>
                <w:highlight w:val="none"/>
                <w:lang w:eastAsia="zh-CN"/>
              </w:rPr>
              <w:t>，</w:t>
            </w:r>
            <w:r>
              <w:rPr>
                <w:rFonts w:hint="eastAsia" w:ascii="仿宋" w:hAnsi="仿宋" w:eastAsia="仿宋" w:cs="仿宋"/>
                <w:color w:val="auto"/>
                <w:sz w:val="24"/>
                <w:highlight w:val="none"/>
              </w:rPr>
              <w:t>本项最高</w:t>
            </w:r>
            <w:r>
              <w:rPr>
                <w:rFonts w:hint="eastAsia" w:ascii="仿宋" w:hAnsi="仿宋" w:eastAsia="仿宋"/>
                <w:color w:val="auto"/>
                <w:sz w:val="24"/>
                <w:szCs w:val="24"/>
                <w:highlight w:val="none"/>
              </w:rPr>
              <w:t>得</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多功能洗扫车（集洒、扫、吸三种功能为一体，车辆总质量18吨及以上）的1辆得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分，本项最高得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扫地车（车辆总质量</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吨及以上）1辆的得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本项最高得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（需提供投标单位自有车辆行驶证、车辆登记证、购车发票扫描件</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车辆实物照片</w:t>
            </w:r>
            <w:r>
              <w:rPr>
                <w:rFonts w:hint="eastAsia" w:ascii="仿宋" w:hAnsi="仿宋" w:eastAsia="仿宋" w:cs="仿宋"/>
                <w:b/>
                <w:bCs/>
                <w:color w:val="auto"/>
                <w:sz w:val="24"/>
                <w:highlight w:val="none"/>
                <w:lang w:val="en-US" w:eastAsia="zh-CN"/>
              </w:rPr>
              <w:t>；以上车辆必须配备GPS设备（提供车辆GPS设备照片和车辆GPS行程轨迹图证明材料）</w:t>
            </w:r>
            <w:r>
              <w:rPr>
                <w:rFonts w:hint="eastAsia" w:ascii="仿宋" w:hAnsi="仿宋" w:eastAsia="仿宋" w:cs="仿宋"/>
                <w:b/>
                <w:bCs/>
                <w:color w:val="auto"/>
                <w:sz w:val="24"/>
                <w:highlight w:val="none"/>
              </w:rPr>
              <w:t>不提供的，该项不得分</w:t>
            </w:r>
            <w:r>
              <w:rPr>
                <w:rFonts w:hint="eastAsia" w:ascii="仿宋" w:hAnsi="仿宋" w:eastAsia="仿宋" w:cs="仿宋"/>
                <w:b/>
                <w:bCs/>
                <w:color w:val="auto"/>
                <w:sz w:val="24"/>
                <w:highlight w:val="none"/>
                <w:lang w:val="en-US" w:eastAsia="zh-CN"/>
              </w:rPr>
              <w:t>，车辆</w:t>
            </w:r>
            <w:r>
              <w:rPr>
                <w:rFonts w:hint="eastAsia" w:ascii="华文仿宋" w:hAnsi="华文仿宋" w:eastAsia="华文仿宋" w:cs="仿宋_GB2312"/>
                <w:b/>
                <w:color w:val="auto"/>
                <w:sz w:val="24"/>
                <w:highlight w:val="none"/>
              </w:rPr>
              <w:t>仅用于本保洁项目的书面承诺书（格式自拟）</w:t>
            </w:r>
            <w:r>
              <w:rPr>
                <w:rFonts w:hint="eastAsia" w:ascii="仿宋" w:hAnsi="仿宋" w:eastAsia="仿宋" w:cs="仿宋"/>
                <w:b/>
                <w:bCs/>
                <w:color w:val="auto"/>
                <w:sz w:val="24"/>
                <w:highlight w:val="none"/>
              </w:rPr>
              <w:t>不提供的，该项不得分。）</w:t>
            </w:r>
          </w:p>
          <w:p>
            <w:pPr>
              <w:keepNext w:val="0"/>
              <w:keepLines w:val="0"/>
              <w:pageBreakBefore w:val="0"/>
              <w:widowControl w:val="0"/>
              <w:numPr>
                <w:ilvl w:val="0"/>
                <w:numId w:val="0"/>
              </w:numPr>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管理用车：轻型载货汽车（车辆总质量4吨以上）1辆得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分；本项最高得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p>
            <w:pPr>
              <w:keepNext w:val="0"/>
              <w:keepLines w:val="0"/>
              <w:pageBreakBefore w:val="0"/>
              <w:widowControl w:val="0"/>
              <w:numPr>
                <w:ilvl w:val="0"/>
                <w:numId w:val="3"/>
              </w:numPr>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路面养护车</w:t>
            </w:r>
            <w:r>
              <w:rPr>
                <w:rFonts w:hint="eastAsia" w:ascii="仿宋" w:hAnsi="仿宋" w:eastAsia="仿宋"/>
                <w:color w:val="auto"/>
                <w:sz w:val="24"/>
                <w:szCs w:val="24"/>
                <w:highlight w:val="none"/>
                <w:lang w:val="en-US" w:eastAsia="zh-CN"/>
              </w:rPr>
              <w:t>(车辆</w:t>
            </w:r>
            <w:r>
              <w:rPr>
                <w:rFonts w:hint="eastAsia" w:ascii="仿宋" w:hAnsi="仿宋" w:eastAsia="仿宋"/>
                <w:color w:val="auto"/>
                <w:sz w:val="24"/>
                <w:szCs w:val="24"/>
                <w:highlight w:val="none"/>
              </w:rPr>
              <w:t xml:space="preserve">总质量 </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吨及以上</w:t>
            </w:r>
            <w:r>
              <w:rPr>
                <w:rFonts w:hint="eastAsia" w:ascii="仿宋" w:hAnsi="仿宋" w:eastAsia="仿宋"/>
                <w:color w:val="auto"/>
                <w:sz w:val="24"/>
                <w:szCs w:val="24"/>
                <w:highlight w:val="none"/>
                <w:lang w:eastAsia="zh-CN"/>
              </w:rPr>
              <w:t>）</w:t>
            </w:r>
            <w:r>
              <w:rPr>
                <w:rFonts w:hint="eastAsia" w:ascii="仿宋" w:hAnsi="仿宋" w:eastAsia="仿宋" w:cs="仿宋"/>
                <w:color w:val="auto"/>
                <w:sz w:val="24"/>
                <w:highlight w:val="none"/>
              </w:rPr>
              <w:t>1辆得</w:t>
            </w:r>
            <w:r>
              <w:rPr>
                <w:rFonts w:hint="eastAsia" w:ascii="仿宋" w:hAnsi="仿宋" w:eastAsia="仿宋" w:cs="仿宋"/>
                <w:color w:val="auto"/>
                <w:sz w:val="24"/>
                <w:highlight w:val="none"/>
                <w:lang w:val="en-US" w:eastAsia="zh-CN"/>
              </w:rPr>
              <w:t>1分，</w:t>
            </w:r>
            <w:r>
              <w:rPr>
                <w:rFonts w:hint="eastAsia" w:ascii="仿宋" w:hAnsi="仿宋" w:eastAsia="仿宋" w:cs="仿宋"/>
                <w:color w:val="auto"/>
                <w:sz w:val="24"/>
                <w:highlight w:val="none"/>
              </w:rPr>
              <w:t>本项最高得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r>
              <w:rPr>
                <w:rFonts w:hint="eastAsia" w:ascii="仿宋" w:hAnsi="仿宋" w:eastAsia="仿宋" w:cs="仿宋_GB2312"/>
                <w:color w:val="auto"/>
                <w:sz w:val="24"/>
              </w:rPr>
              <w:t>应急推雪、扫雪设备：滑移装载机（如山猫、凯斯、马斯唐等）、加装式铲雪板、加装式滚雪装置、加装式除雪板、铲车等中大型除雪设备</w:t>
            </w:r>
            <w:r>
              <w:rPr>
                <w:rFonts w:hint="eastAsia" w:ascii="仿宋" w:hAnsi="仿宋" w:eastAsia="仿宋" w:cs="仿宋"/>
                <w:color w:val="auto"/>
                <w:sz w:val="24"/>
                <w:highlight w:val="none"/>
                <w:lang w:val="en-US" w:eastAsia="zh-CN"/>
              </w:rPr>
              <w:t>，1辆得3分，</w:t>
            </w:r>
            <w:r>
              <w:rPr>
                <w:rFonts w:hint="eastAsia" w:ascii="仿宋" w:hAnsi="仿宋" w:eastAsia="仿宋" w:cs="仿宋"/>
                <w:color w:val="auto"/>
                <w:sz w:val="24"/>
                <w:highlight w:val="none"/>
              </w:rPr>
              <w:t>本项</w:t>
            </w:r>
            <w:r>
              <w:rPr>
                <w:rFonts w:hint="eastAsia" w:ascii="仿宋" w:hAnsi="仿宋" w:eastAsia="仿宋" w:cs="仿宋"/>
                <w:color w:val="auto"/>
                <w:sz w:val="24"/>
                <w:highlight w:val="none"/>
                <w:lang w:val="en-US" w:eastAsia="zh-CN"/>
              </w:rPr>
              <w:t>最高得3分；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音乐垃圾收集车（电动四轮八桶车）1辆得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分，本项最高得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四轮巡逻车1辆得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分，本项最高得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、四轮全封闭扫地机1辆得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本项最高得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、护栏清洗机1辆得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分，本项最高得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、高压冲洗车1辆得</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分，本项最高得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2、3、4、6</w:t>
            </w:r>
            <w:r>
              <w:rPr>
                <w:rFonts w:hint="eastAsia" w:ascii="仿宋" w:hAnsi="仿宋" w:eastAsia="仿宋" w:cs="仿宋"/>
                <w:color w:val="auto"/>
                <w:sz w:val="24"/>
                <w:highlight w:val="none"/>
              </w:rPr>
              <w:t>项中配备车辆是“国六天然气清洁能源”或新能源（含电动）环卫车（国家工信部目录内）的</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辆</w:t>
            </w:r>
            <w:r>
              <w:rPr>
                <w:rFonts w:hint="eastAsia" w:ascii="仿宋" w:hAnsi="仿宋" w:eastAsia="仿宋" w:cs="仿宋"/>
                <w:color w:val="auto"/>
                <w:sz w:val="24"/>
                <w:highlight w:val="none"/>
                <w:lang w:val="en-US" w:eastAsia="zh-CN"/>
              </w:rPr>
              <w:t>及以上</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1辆得1分，</w:t>
            </w:r>
            <w:r>
              <w:rPr>
                <w:rFonts w:hint="eastAsia" w:ascii="仿宋" w:hAnsi="仿宋" w:eastAsia="仿宋" w:cs="仿宋"/>
                <w:color w:val="auto"/>
                <w:sz w:val="24"/>
                <w:highlight w:val="none"/>
              </w:rPr>
              <w:t>本项最高得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w:t>
            </w:r>
          </w:p>
          <w:p>
            <w:pPr>
              <w:spacing w:line="360" w:lineRule="exact"/>
              <w:jc w:val="both"/>
              <w:rPr>
                <w:rFonts w:hint="eastAsia" w:ascii="仿宋" w:hAnsi="仿宋" w:eastAsia="仿宋" w:cs="仿宋"/>
                <w:color w:val="auto"/>
                <w:sz w:val="24"/>
                <w:szCs w:val="20"/>
                <w:highlight w:val="none"/>
              </w:rPr>
            </w:pPr>
            <w:r>
              <w:rPr>
                <w:rFonts w:hint="eastAsia" w:ascii="仿宋" w:hAnsi="仿宋" w:eastAsia="仿宋" w:cs="仿宋"/>
                <w:b/>
                <w:bCs/>
                <w:color w:val="auto"/>
                <w:sz w:val="24"/>
                <w:highlight w:val="none"/>
              </w:rPr>
              <w:t>（需提供投标单位自有车辆行驶证、车辆登记证、购车发票扫描件以及车辆实物照片，无行驶证的设备需提供发票扫描件和车辆实物照片</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lang w:val="en-US" w:eastAsia="zh-CN"/>
              </w:rPr>
              <w:t>以上车辆</w:t>
            </w:r>
            <w:r>
              <w:rPr>
                <w:rFonts w:hint="eastAsia" w:ascii="华文仿宋" w:hAnsi="华文仿宋" w:eastAsia="华文仿宋" w:cs="仿宋_GB2312"/>
                <w:b/>
                <w:color w:val="auto"/>
                <w:sz w:val="24"/>
                <w:highlight w:val="none"/>
              </w:rPr>
              <w:t>仅用于本保洁项目的书面承诺书（格式自拟）</w:t>
            </w:r>
            <w:r>
              <w:rPr>
                <w:rFonts w:hint="eastAsia" w:ascii="仿宋" w:hAnsi="仿宋" w:eastAsia="仿宋" w:cs="仿宋"/>
                <w:b/>
                <w:bCs/>
                <w:color w:val="auto"/>
                <w:sz w:val="24"/>
                <w:highlight w:val="none"/>
              </w:rPr>
              <w:t>不提供的，该项不得分。）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32分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09"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2</w:t>
            </w:r>
          </w:p>
        </w:tc>
        <w:tc>
          <w:tcPr>
            <w:tcW w:w="1065"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rPr>
              <w:t>项目实施方案</w:t>
            </w: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根据投标人对现有保洁项目（道路保洁、公厕养护、农贸市场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保洁等）现状了解、存在问题的分析，提出克服难点和要点的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技术措施：现状了解全面、存在问题分析到位，符合实际，技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术措施对策科学性、合理性、可操作性强得 5 分，投标人对现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有综合养护现状了解较为全面、存在问题分析较为到位，符合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实际，技术措施对策，较为科学、合理、可操作性较好得 3 分，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投标人对现有综合养护现状了解一般、存在问题分析一般，技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术措施对策科学性、合理性、可操作性一般得 1 分，方案不合 </w:t>
            </w:r>
          </w:p>
          <w:p>
            <w:pPr>
              <w:keepNext w:val="0"/>
              <w:keepLines w:val="0"/>
              <w:widowControl/>
              <w:suppressLineNumbers w:val="0"/>
              <w:jc w:val="left"/>
              <w:rPr>
                <w:rFonts w:hint="eastAsia" w:ascii="仿宋" w:hAnsi="仿宋" w:eastAsia="仿宋" w:cs="仿宋"/>
                <w:color w:val="auto"/>
                <w:highlight w:val="none"/>
                <w:lang w:eastAsia="zh-CN"/>
              </w:rPr>
            </w:pPr>
            <w:r>
              <w:rPr>
                <w:rFonts w:hint="eastAsia" w:ascii="仿宋" w:hAnsi="仿宋" w:eastAsia="仿宋" w:cs="仿宋"/>
                <w:color w:val="auto"/>
                <w:kern w:val="0"/>
                <w:sz w:val="24"/>
                <w:szCs w:val="24"/>
                <w:lang w:val="en-US" w:eastAsia="zh-CN" w:bidi="ar"/>
              </w:rPr>
              <w:t>理或未提供方案不得分。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根据本项目提出合理的管理组织和制度方案（公司人事管理制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度方案、员工管理制度方案、考勤制度方案安全作业管理制度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方案等），提出管理组织和制度方案切合实际，合理可行的得 5 </w:t>
            </w:r>
          </w:p>
          <w:p>
            <w:pPr>
              <w:keepNext w:val="0"/>
              <w:keepLines w:val="0"/>
              <w:widowControl/>
              <w:suppressLineNumbers w:val="0"/>
              <w:jc w:val="left"/>
              <w:rPr>
                <w:rFonts w:hint="eastAsia" w:ascii="仿宋" w:hAnsi="仿宋" w:eastAsia="仿宋" w:cs="仿宋"/>
                <w:color w:val="auto"/>
                <w:sz w:val="24"/>
                <w:highlight w:val="none"/>
              </w:rPr>
            </w:pPr>
            <w:r>
              <w:rPr>
                <w:rFonts w:hint="eastAsia" w:ascii="仿宋" w:hAnsi="仿宋" w:eastAsia="仿宋" w:cs="仿宋"/>
                <w:color w:val="auto"/>
                <w:kern w:val="0"/>
                <w:sz w:val="24"/>
                <w:szCs w:val="24"/>
                <w:lang w:val="en-US" w:eastAsia="zh-CN" w:bidi="ar"/>
              </w:rPr>
              <w:t>分、一般的得 3 分、较差的得 1 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根据本项目制定合理的保洁方案（道路保洁、公厕养护、农贸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市场保洁等）是否针对本项目，拟投入的清扫保洁人员组织、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机具设备、时间安排、不同类别道路的清扫解决方案等，合理 </w:t>
            </w:r>
          </w:p>
          <w:p>
            <w:pPr>
              <w:keepNext w:val="0"/>
              <w:keepLines w:val="0"/>
              <w:widowControl/>
              <w:suppressLineNumbers w:val="0"/>
              <w:jc w:val="left"/>
              <w:rPr>
                <w:rFonts w:hint="eastAsia" w:ascii="仿宋" w:hAnsi="仿宋" w:eastAsia="仿宋" w:cs="仿宋"/>
                <w:color w:val="auto"/>
                <w:sz w:val="24"/>
                <w:highlight w:val="none"/>
              </w:rPr>
            </w:pPr>
            <w:r>
              <w:rPr>
                <w:rFonts w:hint="eastAsia" w:ascii="仿宋" w:hAnsi="仿宋" w:eastAsia="仿宋" w:cs="仿宋"/>
                <w:color w:val="auto"/>
                <w:kern w:val="0"/>
                <w:sz w:val="24"/>
                <w:szCs w:val="24"/>
                <w:lang w:val="en-US" w:eastAsia="zh-CN" w:bidi="ar"/>
              </w:rPr>
              <w:t>可行的得 5 分、一般的得 3 分、较差的得 1 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根据本项目提出合理的质量保证措施，合理可行的得 5 分、一 </w:t>
            </w:r>
          </w:p>
          <w:p>
            <w:pPr>
              <w:keepNext w:val="0"/>
              <w:keepLines w:val="0"/>
              <w:widowControl/>
              <w:suppressLineNumbers w:val="0"/>
              <w:jc w:val="left"/>
              <w:rPr>
                <w:rFonts w:hint="eastAsia" w:ascii="仿宋" w:hAnsi="仿宋" w:eastAsia="仿宋" w:cs="仿宋"/>
                <w:color w:val="auto"/>
                <w:sz w:val="24"/>
                <w:highlight w:val="none"/>
              </w:rPr>
            </w:pPr>
            <w:r>
              <w:rPr>
                <w:rFonts w:hint="eastAsia" w:ascii="仿宋" w:hAnsi="仿宋" w:eastAsia="仿宋" w:cs="仿宋"/>
                <w:color w:val="auto"/>
                <w:kern w:val="0"/>
                <w:sz w:val="24"/>
                <w:szCs w:val="24"/>
                <w:lang w:val="en-US" w:eastAsia="zh-CN" w:bidi="ar"/>
              </w:rPr>
              <w:t>般的得 3 分、较差的得 1 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根据本项目制定合理的文明安全保证体系和安全保证措施方 </w:t>
            </w:r>
          </w:p>
          <w:p>
            <w:pPr>
              <w:keepNext w:val="0"/>
              <w:keepLines w:val="0"/>
              <w:widowControl/>
              <w:suppressLineNumbers w:val="0"/>
              <w:jc w:val="left"/>
              <w:rPr>
                <w:rFonts w:hint="eastAsia" w:ascii="仿宋" w:hAnsi="仿宋" w:eastAsia="仿宋" w:cs="仿宋"/>
                <w:color w:val="auto"/>
                <w:sz w:val="24"/>
                <w:highlight w:val="none"/>
              </w:rPr>
            </w:pPr>
            <w:r>
              <w:rPr>
                <w:rFonts w:hint="eastAsia" w:ascii="仿宋" w:hAnsi="仿宋" w:eastAsia="仿宋" w:cs="仿宋"/>
                <w:color w:val="auto"/>
                <w:kern w:val="0"/>
                <w:sz w:val="24"/>
                <w:szCs w:val="24"/>
                <w:lang w:val="en-US" w:eastAsia="zh-CN" w:bidi="ar"/>
              </w:rPr>
              <w:t>案，合理可行的得 5 分、一般的得 3 分、较差的得 1 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根据本项目提出合理的各项检查制度（现场管理制度、车辆管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理制度等）以及台账管理，合理可行的得 5 分、一般的得 3 分、 </w:t>
            </w:r>
          </w:p>
          <w:p>
            <w:pPr>
              <w:keepNext w:val="0"/>
              <w:keepLines w:val="0"/>
              <w:widowControl/>
              <w:suppressLineNumbers w:val="0"/>
              <w:jc w:val="left"/>
              <w:rPr>
                <w:rFonts w:hint="eastAsia" w:ascii="仿宋" w:hAnsi="仿宋" w:eastAsia="仿宋" w:cs="仿宋"/>
                <w:color w:val="auto"/>
                <w:sz w:val="24"/>
                <w:highlight w:val="none"/>
              </w:rPr>
            </w:pPr>
            <w:r>
              <w:rPr>
                <w:rFonts w:hint="eastAsia" w:ascii="仿宋" w:hAnsi="仿宋" w:eastAsia="仿宋" w:cs="仿宋"/>
                <w:color w:val="auto"/>
                <w:kern w:val="0"/>
                <w:sz w:val="24"/>
                <w:szCs w:val="24"/>
                <w:lang w:val="en-US" w:eastAsia="zh-CN" w:bidi="ar"/>
              </w:rPr>
              <w:t>较差的得 1 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根据本项目提出合理的财务管理制度（公司财务制度、公司财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务会计管理制度、货币资金管理制度、往来账目清理制度固定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资产管理制度、固定资产的账务处理、固定资产的管理职能、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公司财务管理的机构及职责、项目劳资管理制度）合理可行的 </w:t>
            </w:r>
          </w:p>
          <w:p>
            <w:pPr>
              <w:keepNext w:val="0"/>
              <w:keepLines w:val="0"/>
              <w:widowControl/>
              <w:suppressLineNumbers w:val="0"/>
              <w:jc w:val="left"/>
              <w:rPr>
                <w:rFonts w:hint="eastAsia" w:ascii="仿宋" w:hAnsi="仿宋" w:eastAsia="仿宋" w:cs="仿宋"/>
                <w:color w:val="auto"/>
                <w:sz w:val="24"/>
                <w:highlight w:val="none"/>
              </w:rPr>
            </w:pPr>
            <w:r>
              <w:rPr>
                <w:rFonts w:hint="eastAsia" w:ascii="仿宋" w:hAnsi="仿宋" w:eastAsia="仿宋" w:cs="仿宋"/>
                <w:color w:val="auto"/>
                <w:kern w:val="0"/>
                <w:sz w:val="24"/>
                <w:szCs w:val="24"/>
                <w:lang w:val="en-US" w:eastAsia="zh-CN" w:bidi="ar"/>
              </w:rPr>
              <w:t>得 5 分、一般的得 3 分、较差的得 1 分，否则不得分</w:t>
            </w:r>
            <w:r>
              <w:rPr>
                <w:rFonts w:hint="eastAsia" w:ascii="仿宋" w:hAnsi="仿宋" w:eastAsia="仿宋" w:cs="仿宋"/>
                <w:color w:val="auto"/>
                <w:sz w:val="24"/>
                <w:highlight w:val="none"/>
              </w:rPr>
              <w:t>。</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09" w:type="dxa"/>
            <w:tcBorders>
              <w:top w:val="single" w:color="auto" w:sz="4" w:space="0"/>
              <w:left w:val="single" w:color="auto" w:sz="4" w:space="0"/>
              <w:right w:val="single" w:color="auto" w:sz="4" w:space="0"/>
            </w:tcBorders>
            <w:vAlign w:val="center"/>
          </w:tcPr>
          <w:p>
            <w:pPr>
              <w:spacing w:line="360" w:lineRule="auto"/>
              <w:jc w:val="center"/>
              <w:rPr>
                <w:rFonts w:hint="default"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3</w:t>
            </w:r>
          </w:p>
        </w:tc>
        <w:tc>
          <w:tcPr>
            <w:tcW w:w="1065" w:type="dxa"/>
            <w:tcBorders>
              <w:top w:val="single" w:color="auto" w:sz="4" w:space="0"/>
              <w:left w:val="single" w:color="auto" w:sz="4" w:space="0"/>
              <w:right w:val="single" w:color="auto" w:sz="4" w:space="0"/>
            </w:tcBorders>
            <w:vAlign w:val="center"/>
          </w:tcPr>
          <w:p>
            <w:pPr>
              <w:numPr>
                <w:ilvl w:val="0"/>
                <w:numId w:val="0"/>
              </w:num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应急</w:t>
            </w:r>
          </w:p>
          <w:p>
            <w:pPr>
              <w:numPr>
                <w:ilvl w:val="0"/>
                <w:numId w:val="0"/>
              </w:num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预案</w:t>
            </w:r>
          </w:p>
        </w:tc>
        <w:tc>
          <w:tcPr>
            <w:tcW w:w="6808" w:type="dxa"/>
            <w:tcBorders>
              <w:top w:val="single" w:color="auto" w:sz="4" w:space="0"/>
              <w:left w:val="single" w:color="auto" w:sz="4" w:space="0"/>
              <w:right w:val="single" w:color="auto" w:sz="4" w:space="0"/>
            </w:tcBorders>
            <w:vAlign w:val="center"/>
          </w:tcPr>
          <w:p>
            <w:pPr>
              <w:numPr>
                <w:ilvl w:val="0"/>
                <w:numId w:val="0"/>
              </w:num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有完善的应急管理方案，能及时响应城市应急（气象灾害、防汛抗台、抗雪防冻）和项目实施过程中各类应急保障任务，有固定应急物资仓储及应急设施设备存放场地，具有丰富的应急管理经验情况，符合的得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分，部分符合的得1分，否则不得分。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106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重大活动保障方案</w:t>
            </w:r>
          </w:p>
        </w:tc>
        <w:tc>
          <w:tcPr>
            <w:tcW w:w="680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有完善的的重大活动保障方案，方案科学合理，具有针对性及可操作性，能圆满完成大型活动、节庆假日、创优评优等重大活动保障任务情况，符合的得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分，部分符合的得1分，否则不得分。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06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合理化建议</w:t>
            </w:r>
          </w:p>
        </w:tc>
        <w:tc>
          <w:tcPr>
            <w:tcW w:w="680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合理化建议：针对本项目提出合理化、优化建议。符合的得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分，部分符合得1分，否则不得分。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w:t>
            </w:r>
          </w:p>
        </w:tc>
      </w:tr>
    </w:tbl>
    <w:p>
      <w:pPr>
        <w:pStyle w:val="619"/>
        <w:snapToGrid w:val="0"/>
        <w:ind w:left="480" w:firstLine="0" w:firstLineChars="0"/>
        <w:rPr>
          <w:rFonts w:hint="eastAsia" w:ascii="仿宋" w:hAnsi="仿宋" w:eastAsia="仿宋" w:cs="仿宋"/>
          <w:b/>
          <w:color w:val="auto"/>
          <w:highlight w:val="none"/>
          <w:lang w:val="en-US" w:eastAsia="zh-CN"/>
        </w:rPr>
      </w:pPr>
    </w:p>
    <w:p>
      <w:pPr>
        <w:pStyle w:val="619"/>
        <w:snapToGrid w:val="0"/>
        <w:ind w:left="480" w:firstLine="0" w:firstLineChars="0"/>
        <w:rPr>
          <w:rFonts w:hint="eastAsia" w:ascii="仿宋" w:hAnsi="仿宋" w:eastAsia="仿宋" w:cs="仿宋"/>
          <w:b/>
          <w:color w:val="auto"/>
          <w:highlight w:val="none"/>
          <w:lang w:val="en-US" w:eastAsia="zh-CN"/>
        </w:rPr>
      </w:pPr>
      <w:r>
        <w:rPr>
          <w:rFonts w:hint="eastAsia" w:ascii="仿宋" w:hAnsi="仿宋" w:eastAsia="仿宋" w:cs="仿宋"/>
          <w:b/>
          <w:color w:val="auto"/>
          <w:highlight w:val="none"/>
          <w:lang w:val="en-US" w:eastAsia="zh-CN"/>
        </w:rPr>
        <w:t>3、价格部分</w:t>
      </w:r>
    </w:p>
    <w:tbl>
      <w:tblPr>
        <w:tblStyle w:val="64"/>
        <w:tblpPr w:leftFromText="180" w:rightFromText="180" w:vertAnchor="text" w:horzAnchor="page" w:tblpX="1288" w:tblpY="126"/>
        <w:tblW w:w="9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7926"/>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12" w:hRule="atLeast"/>
        </w:trPr>
        <w:tc>
          <w:tcPr>
            <w:tcW w:w="683" w:type="dxa"/>
            <w:vAlign w:val="center"/>
          </w:tcPr>
          <w:p>
            <w:pPr>
              <w:spacing w:line="360" w:lineRule="auto"/>
              <w:ind w:firstLine="240" w:firstLineChars="1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 xml:space="preserve"> </w:t>
            </w:r>
          </w:p>
        </w:tc>
        <w:tc>
          <w:tcPr>
            <w:tcW w:w="7926" w:type="dxa"/>
            <w:vAlign w:val="top"/>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0］的计算公式计算。</w:t>
            </w:r>
          </w:p>
          <w:p>
            <w:pPr>
              <w:widowControl/>
              <w:shd w:val="clear" w:color="auto" w:fill="FFFFFF"/>
              <w:adjustRightInd/>
              <w:spacing w:after="225" w:line="315" w:lineRule="atLeast"/>
              <w:ind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spacing w:line="360" w:lineRule="auto"/>
              <w:ind w:firstLine="120" w:firstLineChars="5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因落实政府采购政策需要进行价格调整的，以调整后的价格计算评标基准价和投标报价。</w:t>
            </w:r>
          </w:p>
        </w:tc>
        <w:tc>
          <w:tcPr>
            <w:tcW w:w="930" w:type="dxa"/>
            <w:vAlign w:val="center"/>
          </w:tcPr>
          <w:p>
            <w:pPr>
              <w:spacing w:line="360" w:lineRule="auto"/>
              <w:jc w:val="center"/>
              <w:outlineLvl w:val="0"/>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10分</w:t>
            </w:r>
          </w:p>
        </w:tc>
      </w:tr>
    </w:tbl>
    <w:p>
      <w:pPr>
        <w:snapToGrid w:val="0"/>
        <w:spacing w:line="360" w:lineRule="auto"/>
        <w:rPr>
          <w:rFonts w:ascii="仿宋" w:hAnsi="仿宋" w:eastAsia="仿宋" w:cs="仿宋_GB2312"/>
          <w:b/>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87"/>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ascii="仿宋" w:hAnsi="仿宋" w:eastAsia="仿宋" w:cs="仿宋"/>
          <w:color w:val="auto"/>
          <w:kern w:val="0"/>
          <w:szCs w:val="24"/>
          <w:highlight w:val="none"/>
        </w:rPr>
        <w:t>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30%以上的，对联合体或者大中型企业的报价给予3%的扣除，用扣除后的价格参加评审。组成联合体或者接受分包的小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87"/>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3"/>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6"/>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26"/>
        <w:snapToGrid w:val="0"/>
        <w:spacing w:line="360" w:lineRule="auto"/>
        <w:ind w:firstLine="0" w:firstLineChars="0"/>
        <w:rPr>
          <w:rFonts w:ascii="仿宋_GB2312" w:hAnsi="仿宋" w:eastAsia="仿宋_GB2312" w:cs="仿宋_GB2312"/>
          <w:color w:val="auto"/>
          <w:highlight w:val="none"/>
        </w:rPr>
      </w:pPr>
    </w:p>
    <w:bookmarkEnd w:id="26"/>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ascii="仿宋_GB2312" w:hAnsi="仿宋" w:eastAsia="仿宋_GB2312" w:cs="仿宋_GB2312"/>
          <w:b/>
          <w:color w:val="auto"/>
          <w:sz w:val="36"/>
          <w:szCs w:val="36"/>
          <w:highlight w:val="none"/>
        </w:rPr>
        <w:t xml:space="preserve">    </w:t>
      </w:r>
    </w:p>
    <w:p>
      <w:pPr>
        <w:spacing w:line="360" w:lineRule="auto"/>
        <w:ind w:left="720" w:leftChars="343" w:firstLine="1446" w:firstLineChars="4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widowControl/>
        <w:wordWrap/>
        <w:adjustRightInd/>
        <w:snapToGrid/>
        <w:spacing w:line="400" w:lineRule="atLeast"/>
        <w:ind w:left="0" w:leftChars="0" w:right="0" w:firstLine="0" w:firstLineChars="0"/>
        <w:jc w:val="left"/>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rPr>
        <w:t xml:space="preserve">项目名称： </w:t>
      </w:r>
      <w:r>
        <w:rPr>
          <w:rStyle w:val="958"/>
          <w:rFonts w:hint="eastAsia" w:ascii="仿宋" w:hAnsi="仿宋" w:eastAsia="仿宋" w:cs="仿宋"/>
          <w:b w:val="0"/>
          <w:bCs/>
          <w:color w:val="auto"/>
          <w:sz w:val="24"/>
          <w:szCs w:val="24"/>
          <w:highlight w:val="none"/>
          <w:lang w:val="en-US" w:eastAsia="zh-CN"/>
        </w:rPr>
        <w:t xml:space="preserve">                              </w:t>
      </w:r>
      <w:r>
        <w:rPr>
          <w:rStyle w:val="958"/>
          <w:rFonts w:hint="eastAsia" w:ascii="仿宋" w:hAnsi="仿宋" w:eastAsia="仿宋" w:cs="仿宋"/>
          <w:b w:val="0"/>
          <w:bCs/>
          <w:color w:val="auto"/>
          <w:sz w:val="24"/>
          <w:szCs w:val="24"/>
          <w:highlight w:val="none"/>
        </w:rPr>
        <w:t>项目编号：</w:t>
      </w:r>
    </w:p>
    <w:p>
      <w:pPr>
        <w:widowControl/>
        <w:wordWrap/>
        <w:adjustRightInd/>
        <w:snapToGrid/>
        <w:spacing w:line="400" w:lineRule="atLeast"/>
        <w:ind w:left="0" w:leftChars="0" w:right="0" w:firstLine="0" w:firstLineChars="0"/>
        <w:jc w:val="left"/>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rPr>
        <w:t>甲方：（买方）</w:t>
      </w:r>
    </w:p>
    <w:p>
      <w:pPr>
        <w:widowControl/>
        <w:wordWrap/>
        <w:adjustRightInd/>
        <w:snapToGrid/>
        <w:spacing w:line="400" w:lineRule="atLeast"/>
        <w:ind w:left="0" w:leftChars="0" w:right="0" w:firstLine="0" w:firstLineChars="0"/>
        <w:jc w:val="left"/>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rPr>
        <w:t>乙方：（卖方）</w:t>
      </w:r>
    </w:p>
    <w:p>
      <w:pPr>
        <w:widowControl/>
        <w:wordWrap/>
        <w:adjustRightInd/>
        <w:snapToGrid/>
        <w:spacing w:line="400" w:lineRule="atLeast"/>
        <w:ind w:left="0" w:leftChars="0" w:right="0" w:firstLine="0" w:firstLineChars="0"/>
        <w:jc w:val="left"/>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rPr>
        <w:t>甲、乙双方根据＿＿政府采购项目的采购结果，签署本合同。</w:t>
      </w:r>
    </w:p>
    <w:p>
      <w:pPr>
        <w:widowControl/>
        <w:wordWrap/>
        <w:adjustRightInd/>
        <w:snapToGrid/>
        <w:spacing w:line="400" w:lineRule="atLeast"/>
        <w:ind w:left="0" w:leftChars="0" w:right="0" w:firstLine="0" w:firstLineChars="0"/>
        <w:jc w:val="left"/>
        <w:textAlignment w:val="auto"/>
        <w:outlineLvl w:val="9"/>
        <w:rPr>
          <w:rStyle w:val="958"/>
          <w:rFonts w:hint="eastAsia" w:ascii="仿宋" w:hAnsi="仿宋" w:eastAsia="仿宋" w:cs="仿宋"/>
          <w:b w:val="0"/>
          <w:bCs/>
          <w:color w:val="auto"/>
          <w:sz w:val="24"/>
          <w:szCs w:val="24"/>
          <w:highlight w:val="none"/>
        </w:rPr>
      </w:pPr>
      <w:r>
        <w:rPr>
          <w:rStyle w:val="958"/>
          <w:rFonts w:hint="eastAsia" w:ascii="仿宋" w:hAnsi="仿宋" w:eastAsia="仿宋" w:cs="仿宋"/>
          <w:b w:val="0"/>
          <w:bCs/>
          <w:color w:val="auto"/>
          <w:sz w:val="24"/>
          <w:szCs w:val="24"/>
          <w:highlight w:val="none"/>
        </w:rPr>
        <w:t>一、服务内容：</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rPr>
        <w:t>二、合同金额：</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val="en-US" w:eastAsia="zh-CN"/>
        </w:rPr>
      </w:pPr>
      <w:r>
        <w:rPr>
          <w:rStyle w:val="958"/>
          <w:rFonts w:hint="eastAsia" w:ascii="仿宋" w:hAnsi="仿宋" w:eastAsia="仿宋" w:cs="仿宋"/>
          <w:b w:val="0"/>
          <w:bCs/>
          <w:color w:val="auto"/>
          <w:sz w:val="24"/>
          <w:szCs w:val="24"/>
          <w:highlight w:val="none"/>
        </w:rPr>
        <w:t>2.1 本合同金额为（ 大 写 ）：</w:t>
      </w:r>
      <w:r>
        <w:rPr>
          <w:rStyle w:val="958"/>
          <w:rFonts w:hint="eastAsia" w:ascii="仿宋" w:hAnsi="仿宋" w:eastAsia="仿宋" w:cs="仿宋"/>
          <w:b w:val="0"/>
          <w:bCs/>
          <w:color w:val="auto"/>
          <w:sz w:val="24"/>
          <w:szCs w:val="24"/>
          <w:highlight w:val="none"/>
          <w:u w:val="single" w:color="auto"/>
          <w:lang w:val="en-US" w:eastAsia="zh-CN"/>
        </w:rPr>
        <w:t xml:space="preserve">              </w:t>
      </w:r>
      <w:r>
        <w:rPr>
          <w:rStyle w:val="958"/>
          <w:rFonts w:hint="eastAsia" w:ascii="仿宋" w:hAnsi="仿宋" w:eastAsia="仿宋" w:cs="仿宋"/>
          <w:b w:val="0"/>
          <w:bCs/>
          <w:color w:val="auto"/>
          <w:sz w:val="24"/>
          <w:szCs w:val="24"/>
          <w:highlight w:val="none"/>
        </w:rPr>
        <w:t>元（￥______元）人民币。</w:t>
      </w:r>
      <w:r>
        <w:rPr>
          <w:rStyle w:val="958"/>
          <w:rFonts w:hint="eastAsia" w:ascii="仿宋" w:hAnsi="仿宋" w:eastAsia="仿宋" w:cs="仿宋"/>
          <w:b w:val="0"/>
          <w:bCs/>
          <w:color w:val="auto"/>
          <w:sz w:val="24"/>
          <w:szCs w:val="24"/>
          <w:highlight w:val="none"/>
          <w:lang w:val="en-US" w:eastAsia="zh-CN"/>
        </w:rPr>
        <w:t>(含税）</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rPr>
        <w:t>三、技术资料</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rPr>
        <w:t>3.1 乙方应按</w:t>
      </w:r>
      <w:r>
        <w:rPr>
          <w:rStyle w:val="958"/>
          <w:rFonts w:hint="eastAsia" w:ascii="仿宋" w:hAnsi="仿宋" w:eastAsia="仿宋" w:cs="仿宋"/>
          <w:b w:val="0"/>
          <w:bCs/>
          <w:color w:val="auto"/>
          <w:sz w:val="24"/>
          <w:szCs w:val="24"/>
          <w:highlight w:val="none"/>
          <w:lang w:eastAsia="zh-CN"/>
        </w:rPr>
        <w:t>招标</w:t>
      </w:r>
      <w:r>
        <w:rPr>
          <w:rStyle w:val="958"/>
          <w:rFonts w:hint="eastAsia" w:ascii="仿宋" w:hAnsi="仿宋" w:eastAsia="仿宋" w:cs="仿宋"/>
          <w:b w:val="0"/>
          <w:bCs/>
          <w:color w:val="auto"/>
          <w:sz w:val="24"/>
          <w:szCs w:val="24"/>
          <w:highlight w:val="none"/>
        </w:rPr>
        <w:t>文件规定的时间向甲方提供有关技术资料。</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rPr>
        <w:t>3.2 没有甲方事先书面同意，乙方不得将甲方提供的有关合同或任何合同条文、</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rPr>
        <w:t>规格、计划、图纸、样品或资料提供给与履行本合同无关的任何其他人。即使向履行本合同有关的人员提供，也应注意保密并限于履行合同的必需范围。</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rPr>
        <w:t>四、知识产权</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rPr>
        <w:t>4.1 乙方应保证提供服务过程中不会侵犯任何第三方的知识产权。</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lang w:eastAsia="zh-CN"/>
        </w:rPr>
        <w:t>五</w:t>
      </w:r>
      <w:r>
        <w:rPr>
          <w:rStyle w:val="958"/>
          <w:rFonts w:hint="eastAsia" w:ascii="仿宋" w:hAnsi="仿宋" w:eastAsia="仿宋" w:cs="仿宋"/>
          <w:b w:val="0"/>
          <w:bCs/>
          <w:color w:val="auto"/>
          <w:sz w:val="24"/>
          <w:szCs w:val="24"/>
          <w:highlight w:val="none"/>
        </w:rPr>
        <w:t>、履约保证金</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lang w:val="en-US" w:eastAsia="zh-CN"/>
        </w:rPr>
        <w:t>5</w:t>
      </w:r>
      <w:r>
        <w:rPr>
          <w:rStyle w:val="958"/>
          <w:rFonts w:hint="eastAsia" w:ascii="仿宋" w:hAnsi="仿宋" w:eastAsia="仿宋" w:cs="仿宋"/>
          <w:b w:val="0"/>
          <w:bCs/>
          <w:color w:val="auto"/>
          <w:sz w:val="24"/>
          <w:szCs w:val="24"/>
          <w:highlight w:val="none"/>
        </w:rPr>
        <w:t>.1 乙方交纳人民币</w:t>
      </w:r>
      <w:r>
        <w:rPr>
          <w:rStyle w:val="958"/>
          <w:rFonts w:hint="eastAsia" w:ascii="仿宋" w:hAnsi="仿宋" w:eastAsia="仿宋" w:cs="仿宋"/>
          <w:b w:val="0"/>
          <w:bCs/>
          <w:color w:val="auto"/>
          <w:sz w:val="24"/>
          <w:szCs w:val="24"/>
          <w:highlight w:val="none"/>
          <w:u w:val="single" w:color="auto"/>
          <w:lang w:val="en-US" w:eastAsia="zh-CN"/>
        </w:rPr>
        <w:t xml:space="preserve">            </w:t>
      </w:r>
      <w:r>
        <w:rPr>
          <w:rStyle w:val="958"/>
          <w:rFonts w:hint="eastAsia" w:ascii="仿宋" w:hAnsi="仿宋" w:eastAsia="仿宋" w:cs="仿宋"/>
          <w:b w:val="0"/>
          <w:bCs/>
          <w:color w:val="auto"/>
          <w:sz w:val="24"/>
          <w:szCs w:val="24"/>
          <w:highlight w:val="none"/>
        </w:rPr>
        <w:t>元作为本合同的履约保证金。</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lang w:eastAsia="zh-CN"/>
        </w:rPr>
        <w:t>六</w:t>
      </w:r>
      <w:r>
        <w:rPr>
          <w:rStyle w:val="958"/>
          <w:rFonts w:hint="eastAsia" w:ascii="仿宋" w:hAnsi="仿宋" w:eastAsia="仿宋" w:cs="仿宋"/>
          <w:b w:val="0"/>
          <w:bCs/>
          <w:color w:val="auto"/>
          <w:sz w:val="24"/>
          <w:szCs w:val="24"/>
          <w:highlight w:val="none"/>
        </w:rPr>
        <w:t>.转包或分包</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lang w:val="en-US" w:eastAsia="zh-CN"/>
        </w:rPr>
        <w:t>6</w:t>
      </w:r>
      <w:r>
        <w:rPr>
          <w:rStyle w:val="958"/>
          <w:rFonts w:hint="eastAsia" w:ascii="仿宋" w:hAnsi="仿宋" w:eastAsia="仿宋" w:cs="仿宋"/>
          <w:b w:val="0"/>
          <w:bCs/>
          <w:color w:val="auto"/>
          <w:sz w:val="24"/>
          <w:szCs w:val="24"/>
          <w:highlight w:val="none"/>
        </w:rPr>
        <w:t>.1 本合同范围的</w:t>
      </w:r>
      <w:r>
        <w:rPr>
          <w:rStyle w:val="958"/>
          <w:rFonts w:hint="eastAsia" w:ascii="仿宋" w:hAnsi="仿宋" w:eastAsia="仿宋" w:cs="仿宋"/>
          <w:b w:val="0"/>
          <w:bCs/>
          <w:color w:val="auto"/>
          <w:sz w:val="24"/>
          <w:szCs w:val="24"/>
          <w:highlight w:val="none"/>
          <w:lang w:eastAsia="zh-CN"/>
        </w:rPr>
        <w:t>服务</w:t>
      </w:r>
      <w:r>
        <w:rPr>
          <w:rStyle w:val="958"/>
          <w:rFonts w:hint="eastAsia" w:ascii="仿宋" w:hAnsi="仿宋" w:eastAsia="仿宋" w:cs="仿宋"/>
          <w:b w:val="0"/>
          <w:bCs/>
          <w:color w:val="auto"/>
          <w:sz w:val="24"/>
          <w:szCs w:val="24"/>
          <w:highlight w:val="none"/>
        </w:rPr>
        <w:t>，应由供方直接供应，不得转让他人供应；</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lang w:val="en-US" w:eastAsia="zh-CN"/>
        </w:rPr>
        <w:t>6</w:t>
      </w:r>
      <w:r>
        <w:rPr>
          <w:rStyle w:val="958"/>
          <w:rFonts w:hint="eastAsia" w:ascii="仿宋" w:hAnsi="仿宋" w:eastAsia="仿宋" w:cs="仿宋"/>
          <w:b w:val="0"/>
          <w:bCs/>
          <w:color w:val="auto"/>
          <w:sz w:val="24"/>
          <w:szCs w:val="24"/>
          <w:highlight w:val="none"/>
        </w:rPr>
        <w:t>.2 除非得到需方的书面同意，供方不得部分分包给他人供应。需方有绝对权力</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rPr>
      </w:pPr>
      <w:r>
        <w:rPr>
          <w:rStyle w:val="958"/>
          <w:rFonts w:hint="eastAsia" w:ascii="仿宋" w:hAnsi="仿宋" w:eastAsia="仿宋" w:cs="仿宋"/>
          <w:b w:val="0"/>
          <w:bCs/>
          <w:color w:val="auto"/>
          <w:sz w:val="24"/>
          <w:szCs w:val="24"/>
          <w:highlight w:val="none"/>
        </w:rPr>
        <w:t>阻止分包。</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b w:val="0"/>
          <w:bCs/>
          <w:color w:val="auto"/>
          <w:sz w:val="24"/>
          <w:szCs w:val="24"/>
          <w:highlight w:val="none"/>
          <w:lang w:eastAsia="zh-CN"/>
        </w:rPr>
      </w:pPr>
      <w:r>
        <w:rPr>
          <w:rStyle w:val="958"/>
          <w:rFonts w:hint="eastAsia" w:ascii="仿宋" w:hAnsi="仿宋" w:eastAsia="仿宋" w:cs="仿宋"/>
          <w:b w:val="0"/>
          <w:bCs/>
          <w:color w:val="auto"/>
          <w:sz w:val="24"/>
          <w:szCs w:val="24"/>
          <w:highlight w:val="none"/>
          <w:lang w:val="en-US" w:eastAsia="zh-CN"/>
        </w:rPr>
        <w:t>6</w:t>
      </w:r>
      <w:r>
        <w:rPr>
          <w:rStyle w:val="958"/>
          <w:rFonts w:hint="eastAsia" w:ascii="仿宋" w:hAnsi="仿宋" w:eastAsia="仿宋" w:cs="仿宋"/>
          <w:b w:val="0"/>
          <w:bCs/>
          <w:color w:val="auto"/>
          <w:sz w:val="24"/>
          <w:szCs w:val="24"/>
          <w:highlight w:val="none"/>
        </w:rPr>
        <w:t>.3 如有转让和未经需方同意的分包行为，需方有权给予终止合同。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rPr>
      </w:pPr>
      <w:r>
        <w:rPr>
          <w:rFonts w:hint="eastAsia" w:ascii="仿宋" w:hAnsi="仿宋" w:eastAsia="仿宋" w:cs="仿宋"/>
          <w:b w:val="0"/>
          <w:i w:val="0"/>
          <w:color w:val="auto"/>
          <w:sz w:val="24"/>
          <w:szCs w:val="24"/>
          <w:highlight w:val="none"/>
          <w:lang w:eastAsia="zh-CN"/>
        </w:rPr>
        <w:t>七</w:t>
      </w:r>
      <w:r>
        <w:rPr>
          <w:rFonts w:hint="eastAsia" w:ascii="仿宋" w:hAnsi="仿宋" w:eastAsia="仿宋" w:cs="仿宋"/>
          <w:b w:val="0"/>
          <w:i w:val="0"/>
          <w:color w:val="auto"/>
          <w:sz w:val="24"/>
          <w:szCs w:val="24"/>
          <w:highlight w:val="none"/>
        </w:rPr>
        <w:t>、服务质量保证期和服务质量保证金</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7</w:t>
      </w:r>
      <w:r>
        <w:rPr>
          <w:rFonts w:hint="eastAsia" w:ascii="仿宋" w:hAnsi="仿宋" w:eastAsia="仿宋" w:cs="仿宋"/>
          <w:b w:val="0"/>
          <w:i w:val="0"/>
          <w:color w:val="auto"/>
          <w:sz w:val="24"/>
          <w:szCs w:val="24"/>
          <w:highlight w:val="none"/>
        </w:rPr>
        <w:t xml:space="preserve">.1 服务质量保证期 </w:t>
      </w:r>
      <w:r>
        <w:rPr>
          <w:rFonts w:hint="eastAsia" w:ascii="仿宋" w:hAnsi="仿宋" w:eastAsia="仿宋" w:cs="仿宋"/>
          <w:b w:val="0"/>
          <w:i w:val="0"/>
          <w:color w:val="auto"/>
          <w:sz w:val="24"/>
          <w:szCs w:val="24"/>
          <w:highlight w:val="none"/>
          <w:lang w:val="en-US" w:eastAsia="zh-CN"/>
        </w:rPr>
        <w:t xml:space="preserve"> </w:t>
      </w:r>
      <w:r>
        <w:rPr>
          <w:rFonts w:hint="eastAsia" w:ascii="仿宋" w:hAnsi="仿宋" w:eastAsia="仿宋" w:cs="仿宋"/>
          <w:b w:val="0"/>
          <w:i w:val="0"/>
          <w:color w:val="auto"/>
          <w:sz w:val="24"/>
          <w:szCs w:val="24"/>
          <w:highlight w:val="none"/>
        </w:rPr>
        <w:t>年。（自验收合格之日起计）</w:t>
      </w:r>
    </w:p>
    <w:p>
      <w:pPr>
        <w:widowControl/>
        <w:wordWrap/>
        <w:adjustRightInd/>
        <w:snapToGrid/>
        <w:spacing w:line="400" w:lineRule="atLeast"/>
        <w:ind w:left="0" w:leftChars="0" w:right="0" w:firstLine="0" w:firstLineChars="0"/>
        <w:jc w:val="both"/>
        <w:textAlignment w:val="auto"/>
        <w:outlineLvl w:val="9"/>
        <w:rPr>
          <w:rStyle w:val="958"/>
          <w:rFonts w:hint="eastAsia" w:ascii="仿宋" w:hAnsi="仿宋" w:eastAsia="仿宋" w:cs="仿宋"/>
          <w:color w:val="auto"/>
          <w:sz w:val="24"/>
          <w:szCs w:val="24"/>
          <w:highlight w:val="none"/>
        </w:rPr>
      </w:pPr>
      <w:r>
        <w:rPr>
          <w:rFonts w:hint="eastAsia" w:ascii="仿宋" w:hAnsi="仿宋" w:eastAsia="仿宋" w:cs="仿宋"/>
          <w:b w:val="0"/>
          <w:i w:val="0"/>
          <w:color w:val="auto"/>
          <w:sz w:val="24"/>
          <w:szCs w:val="24"/>
          <w:highlight w:val="none"/>
          <w:lang w:val="en-US" w:eastAsia="zh-CN"/>
        </w:rPr>
        <w:t>7</w:t>
      </w:r>
      <w:r>
        <w:rPr>
          <w:rFonts w:hint="eastAsia" w:ascii="仿宋" w:hAnsi="仿宋" w:eastAsia="仿宋" w:cs="仿宋"/>
          <w:b w:val="0"/>
          <w:i w:val="0"/>
          <w:color w:val="auto"/>
          <w:sz w:val="24"/>
          <w:szCs w:val="24"/>
          <w:highlight w:val="none"/>
        </w:rPr>
        <w:t>.2 服务质量保证金 元。（履约保证金在成交规划编制单位按合同约定验收合格后自行转为质保金）</w:t>
      </w:r>
      <w:r>
        <w:rPr>
          <w:rFonts w:hint="eastAsia" w:ascii="仿宋" w:hAnsi="仿宋" w:eastAsia="仿宋" w:cs="仿宋"/>
          <w:color w:val="auto"/>
          <w:sz w:val="24"/>
          <w:szCs w:val="24"/>
          <w:highlight w:val="none"/>
        </w:rPr>
        <w:t xml:space="preserve"> </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eastAsia="zh-CN"/>
        </w:rPr>
        <w:t>八</w:t>
      </w:r>
      <w:r>
        <w:rPr>
          <w:rFonts w:hint="eastAsia" w:ascii="仿宋" w:hAnsi="仿宋" w:eastAsia="仿宋" w:cs="仿宋"/>
          <w:b w:val="0"/>
          <w:i w:val="0"/>
          <w:color w:val="auto"/>
          <w:sz w:val="24"/>
          <w:szCs w:val="24"/>
          <w:highlight w:val="none"/>
        </w:rPr>
        <w:t>、合同履行时间、履行方式及履行地点</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8</w:t>
      </w:r>
      <w:r>
        <w:rPr>
          <w:rFonts w:hint="eastAsia" w:ascii="仿宋" w:hAnsi="仿宋" w:eastAsia="仿宋" w:cs="仿宋"/>
          <w:b w:val="0"/>
          <w:i w:val="0"/>
          <w:color w:val="auto"/>
          <w:sz w:val="24"/>
          <w:szCs w:val="24"/>
          <w:highlight w:val="none"/>
        </w:rPr>
        <w:t>.1 履行时间：</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8</w:t>
      </w:r>
      <w:r>
        <w:rPr>
          <w:rFonts w:hint="eastAsia" w:ascii="仿宋" w:hAnsi="仿宋" w:eastAsia="仿宋" w:cs="仿宋"/>
          <w:b w:val="0"/>
          <w:i w:val="0"/>
          <w:color w:val="auto"/>
          <w:sz w:val="24"/>
          <w:szCs w:val="24"/>
          <w:highlight w:val="none"/>
        </w:rPr>
        <w:t>.2 履行方式：</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8</w:t>
      </w:r>
      <w:r>
        <w:rPr>
          <w:rFonts w:hint="eastAsia" w:ascii="仿宋" w:hAnsi="仿宋" w:eastAsia="仿宋" w:cs="仿宋"/>
          <w:b w:val="0"/>
          <w:i w:val="0"/>
          <w:color w:val="auto"/>
          <w:sz w:val="24"/>
          <w:szCs w:val="24"/>
          <w:highlight w:val="none"/>
        </w:rPr>
        <w:t>.3 履行地点：</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eastAsia="zh-CN"/>
        </w:rPr>
        <w:t>九</w:t>
      </w:r>
      <w:r>
        <w:rPr>
          <w:rFonts w:hint="eastAsia" w:ascii="仿宋" w:hAnsi="仿宋" w:eastAsia="仿宋" w:cs="仿宋"/>
          <w:b w:val="0"/>
          <w:i w:val="0"/>
          <w:color w:val="auto"/>
          <w:sz w:val="24"/>
          <w:szCs w:val="24"/>
          <w:highlight w:val="none"/>
        </w:rPr>
        <w:t>、款项支付</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9</w:t>
      </w:r>
      <w:r>
        <w:rPr>
          <w:rFonts w:hint="eastAsia" w:ascii="仿宋" w:hAnsi="仿宋" w:eastAsia="仿宋" w:cs="仿宋"/>
          <w:b w:val="0"/>
          <w:i w:val="0"/>
          <w:color w:val="auto"/>
          <w:sz w:val="24"/>
          <w:szCs w:val="24"/>
          <w:highlight w:val="none"/>
        </w:rPr>
        <w:t>.1 付款方式：</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十、税费</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0</w:t>
      </w:r>
      <w:r>
        <w:rPr>
          <w:rFonts w:hint="eastAsia" w:ascii="仿宋" w:hAnsi="仿宋" w:eastAsia="仿宋" w:cs="仿宋"/>
          <w:b w:val="0"/>
          <w:i w:val="0"/>
          <w:color w:val="auto"/>
          <w:sz w:val="24"/>
          <w:szCs w:val="24"/>
          <w:highlight w:val="none"/>
        </w:rPr>
        <w:t>.1 本合同执行中相关的一切税费均由供方负担。</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十</w:t>
      </w:r>
      <w:r>
        <w:rPr>
          <w:rFonts w:hint="eastAsia" w:ascii="仿宋" w:hAnsi="仿宋" w:eastAsia="仿宋" w:cs="仿宋"/>
          <w:b w:val="0"/>
          <w:i w:val="0"/>
          <w:color w:val="auto"/>
          <w:sz w:val="24"/>
          <w:szCs w:val="24"/>
          <w:highlight w:val="none"/>
          <w:lang w:eastAsia="zh-CN"/>
        </w:rPr>
        <w:t>一</w:t>
      </w:r>
      <w:r>
        <w:rPr>
          <w:rFonts w:hint="eastAsia" w:ascii="仿宋" w:hAnsi="仿宋" w:eastAsia="仿宋" w:cs="仿宋"/>
          <w:b w:val="0"/>
          <w:i w:val="0"/>
          <w:color w:val="auto"/>
          <w:sz w:val="24"/>
          <w:szCs w:val="24"/>
          <w:highlight w:val="none"/>
        </w:rPr>
        <w:t>、质量保证及后续服务</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.1 乙方应按谈判文件规定向甲方提供服务。</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.2 乙方提供的服务成果在服务质量保证期内发生故障，乙方应负责免费提供</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后续服务。对达不到要求的，根据实际情况，经双方协商，可按以下办法处理：</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⑴重做：由乙方承担所发生的全部费用。</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⑵贬值处理：由甲乙双方合议定价。</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⑶解除合同。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.3 如使用过程中发生问题，乙方在接到甲方通知后在</w:t>
      </w:r>
      <w:r>
        <w:rPr>
          <w:rFonts w:hint="eastAsia" w:ascii="仿宋" w:hAnsi="仿宋" w:eastAsia="仿宋" w:cs="仿宋"/>
          <w:b w:val="0"/>
          <w:i w:val="0"/>
          <w:color w:val="auto"/>
          <w:sz w:val="24"/>
          <w:szCs w:val="24"/>
          <w:highlight w:val="none"/>
          <w:lang w:val="en-US" w:eastAsia="zh-CN"/>
        </w:rPr>
        <w:t xml:space="preserve"> </w:t>
      </w:r>
      <w:r>
        <w:rPr>
          <w:rFonts w:hint="eastAsia" w:ascii="仿宋" w:hAnsi="仿宋" w:eastAsia="仿宋" w:cs="仿宋"/>
          <w:b w:val="0"/>
          <w:i w:val="0"/>
          <w:color w:val="auto"/>
          <w:sz w:val="24"/>
          <w:szCs w:val="24"/>
          <w:highlight w:val="none"/>
        </w:rPr>
        <w:t>小时内到达甲方现场。</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.4 在服务质量保证期内，乙方应对出现的质量及安全问题负责处理解决并承</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担一切费用。</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十</w:t>
      </w:r>
      <w:r>
        <w:rPr>
          <w:rFonts w:hint="eastAsia" w:ascii="仿宋" w:hAnsi="仿宋" w:eastAsia="仿宋" w:cs="仿宋"/>
          <w:b w:val="0"/>
          <w:i w:val="0"/>
          <w:color w:val="auto"/>
          <w:sz w:val="24"/>
          <w:szCs w:val="24"/>
          <w:highlight w:val="none"/>
          <w:lang w:eastAsia="zh-CN"/>
        </w:rPr>
        <w:t>二</w:t>
      </w:r>
      <w:r>
        <w:rPr>
          <w:rFonts w:hint="eastAsia" w:ascii="仿宋" w:hAnsi="仿宋" w:eastAsia="仿宋" w:cs="仿宋"/>
          <w:b w:val="0"/>
          <w:i w:val="0"/>
          <w:color w:val="auto"/>
          <w:sz w:val="24"/>
          <w:szCs w:val="24"/>
          <w:highlight w:val="none"/>
        </w:rPr>
        <w:t>、违约责任</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2</w:t>
      </w:r>
      <w:r>
        <w:rPr>
          <w:rFonts w:hint="eastAsia" w:ascii="仿宋" w:hAnsi="仿宋" w:eastAsia="仿宋" w:cs="仿宋"/>
          <w:b w:val="0"/>
          <w:i w:val="0"/>
          <w:color w:val="auto"/>
          <w:sz w:val="24"/>
          <w:szCs w:val="24"/>
          <w:highlight w:val="none"/>
        </w:rPr>
        <w:t>.1 甲方无正当理由拒绝接受服务的，甲方向乙方偿付合同款项百分之五的违</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约金。</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2</w:t>
      </w:r>
      <w:r>
        <w:rPr>
          <w:rFonts w:hint="eastAsia" w:ascii="仿宋" w:hAnsi="仿宋" w:eastAsia="仿宋" w:cs="仿宋"/>
          <w:b w:val="0"/>
          <w:i w:val="0"/>
          <w:color w:val="auto"/>
          <w:sz w:val="24"/>
          <w:szCs w:val="24"/>
          <w:highlight w:val="none"/>
        </w:rPr>
        <w:t>.3 乙方逾期提供服务的，每日向甲方支付千分之六违约金。逾期超过约定日</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sz w:val="24"/>
          <w:szCs w:val="24"/>
          <w:highlight w:val="none"/>
        </w:rPr>
        <w:t xml:space="preserve">期 10 个工作日不能交货的，甲方可解除本合同。乙方因逾期交货或因其他违约行为导致甲方解除合同的，乙方应向甲方支付合同总值 </w:t>
      </w:r>
      <w:r>
        <w:rPr>
          <w:rFonts w:hint="eastAsia" w:ascii="仿宋" w:hAnsi="仿宋" w:eastAsia="仿宋" w:cs="仿宋"/>
          <w:b w:val="0"/>
          <w:i w:val="0"/>
          <w:color w:val="auto"/>
          <w:sz w:val="24"/>
          <w:szCs w:val="24"/>
          <w:highlight w:val="none"/>
          <w:lang w:eastAsia="zh-CN"/>
        </w:rPr>
        <w:t>1%</w:t>
      </w:r>
      <w:r>
        <w:rPr>
          <w:rFonts w:hint="eastAsia" w:ascii="仿宋" w:hAnsi="仿宋" w:eastAsia="仿宋" w:cs="仿宋"/>
          <w:b w:val="0"/>
          <w:i w:val="0"/>
          <w:color w:val="auto"/>
          <w:sz w:val="24"/>
          <w:szCs w:val="24"/>
          <w:highlight w:val="none"/>
        </w:rPr>
        <w:t>的违约金，如</w:t>
      </w:r>
      <w:r>
        <w:rPr>
          <w:rFonts w:hint="eastAsia" w:ascii="仿宋" w:hAnsi="仿宋" w:eastAsia="仿宋" w:cs="仿宋"/>
          <w:b w:val="0"/>
          <w:i w:val="0"/>
          <w:color w:val="auto"/>
          <w:kern w:val="0"/>
          <w:sz w:val="24"/>
          <w:szCs w:val="24"/>
          <w:highlight w:val="none"/>
          <w:lang w:val="en-US" w:eastAsia="zh-CN" w:bidi="ar-SA"/>
        </w:rPr>
        <w:t>造成甲方损失超过违约金的，超出部分由乙方继续承担赔偿责任。</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十三、不可抗力事件处理</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13.1 在合同有效期内，任何一方因不可抗力事件导致不能履行合同，则合同履</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行期可延长，其延长期与不可抗力影响期相同。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13.2 不可抗力事件发生后，应立即通知对方，并寄送有关权威机构出具的证明。</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13.3 不可抗力事件延续 120 天以上，双方应通过友好协商，确定是否继续履行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合同。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十四、诉讼</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14.1 双方在执行合同中所发生的一切争议，应通过协商解决。如协商不成，可</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向杭州市临平区人民法院起诉，根据本合同规定提起的诉讼，败诉的一方应承担胜诉方因此而发生的合理的开支，包括律师费、调查费、鉴定费、公证费、差旅费及其他相关费用。</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十五、合同生效及其它</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15.1 合同经双方法定代表人或授权委托代理人签字并加盖单位公章后生效。</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15.2 合同执行中涉及采购资金和采购内容修改或补充的，须经财政部门审批，</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并签书面补充协议报政府采购监督管理部门备案，方可作为主合同不可分割的一</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部分。</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15.3 本合同未尽事宜，遵照《民法典》有关条文执行。双方也可另行签订补充协议，具有同等效力。</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color w:val="auto"/>
          <w:highlight w:val="none"/>
        </w:rPr>
      </w:pPr>
      <w:r>
        <w:rPr>
          <w:rFonts w:hint="eastAsia" w:ascii="仿宋" w:hAnsi="仿宋" w:eastAsia="仿宋" w:cs="仿宋"/>
          <w:b w:val="0"/>
          <w:i w:val="0"/>
          <w:color w:val="auto"/>
          <w:kern w:val="0"/>
          <w:sz w:val="24"/>
          <w:szCs w:val="24"/>
          <w:highlight w:val="none"/>
          <w:lang w:val="en-US" w:eastAsia="zh-CN" w:bidi="ar-SA"/>
        </w:rPr>
        <w:t xml:space="preserve">15.4 </w:t>
      </w:r>
      <w:r>
        <w:rPr>
          <w:rFonts w:hint="eastAsia" w:ascii="仿宋" w:hAnsi="仿宋" w:eastAsia="仿宋" w:cs="仿宋"/>
          <w:color w:val="auto"/>
          <w:sz w:val="24"/>
          <w:szCs w:val="24"/>
          <w:highlight w:val="none"/>
        </w:rPr>
        <w:t>本合同一式多份，具有同等法律效力，甲乙双方、鉴证方、</w:t>
      </w:r>
      <w:r>
        <w:rPr>
          <w:rFonts w:hint="eastAsia" w:ascii="仿宋" w:hAnsi="仿宋" w:eastAsia="仿宋" w:cs="仿宋"/>
          <w:color w:val="auto"/>
          <w:sz w:val="24"/>
          <w:szCs w:val="24"/>
          <w:highlight w:val="none"/>
          <w:lang w:val="en-US" w:eastAsia="zh-CN"/>
        </w:rPr>
        <w:t>临平</w:t>
      </w:r>
      <w:r>
        <w:rPr>
          <w:rFonts w:hint="eastAsia" w:ascii="仿宋" w:hAnsi="仿宋" w:eastAsia="仿宋" w:cs="仿宋"/>
          <w:color w:val="auto"/>
          <w:sz w:val="24"/>
          <w:szCs w:val="24"/>
          <w:highlight w:val="none"/>
        </w:rPr>
        <w:t>区财政局采购监管科、验收单位，各执一份</w:t>
      </w:r>
      <w:r>
        <w:rPr>
          <w:rFonts w:hint="eastAsia" w:ascii="仿宋" w:hAnsi="仿宋" w:eastAsia="仿宋" w:cs="仿宋"/>
          <w:b w:val="0"/>
          <w:i w:val="0"/>
          <w:color w:val="auto"/>
          <w:kern w:val="0"/>
          <w:sz w:val="24"/>
          <w:szCs w:val="24"/>
          <w:highlight w:val="none"/>
          <w:lang w:val="en-US" w:eastAsia="zh-CN" w:bidi="ar-SA"/>
        </w:rPr>
        <w:t>。</w:t>
      </w:r>
    </w:p>
    <w:p>
      <w:pPr>
        <w:spacing w:line="360" w:lineRule="auto"/>
        <w:ind w:firstLine="360" w:firstLineChars="150"/>
        <w:jc w:val="left"/>
        <w:rPr>
          <w:rFonts w:hint="eastAsia" w:ascii="仿宋" w:hAnsi="仿宋" w:eastAsia="仿宋" w:cs="仿宋"/>
          <w:color w:val="auto"/>
          <w:sz w:val="24"/>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鉴证方（盖章）：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法定代表人或授权代表（签字）：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w:t>
      </w:r>
    </w:p>
    <w:p>
      <w:pPr>
        <w:spacing w:line="360" w:lineRule="auto"/>
        <w:ind w:right="12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签约时间：      年    月   日</w:t>
      </w:r>
    </w:p>
    <w:p>
      <w:pPr>
        <w:pStyle w:val="63"/>
        <w:ind w:firstLine="5280" w:firstLineChars="2200"/>
        <w:rPr>
          <w:rFonts w:hint="eastAsia" w:ascii="仿宋" w:hAnsi="仿宋" w:eastAsia="仿宋" w:cs="仿宋"/>
          <w:color w:val="auto"/>
          <w:sz w:val="24"/>
          <w:highlight w:val="none"/>
        </w:rPr>
      </w:pPr>
    </w:p>
    <w:p>
      <w:pPr>
        <w:rPr>
          <w:rFonts w:hint="eastAsia" w:ascii="仿宋" w:hAnsi="仿宋" w:eastAsia="仿宋" w:cs="仿宋"/>
          <w:color w:val="auto"/>
          <w:highlight w:val="none"/>
        </w:rPr>
      </w:pPr>
    </w:p>
    <w:p>
      <w:pPr>
        <w:spacing w:line="360" w:lineRule="auto"/>
        <w:ind w:firstLine="630" w:firstLineChars="300"/>
        <w:rPr>
          <w:rFonts w:hint="eastAsia" w:ascii="仿宋" w:hAnsi="仿宋" w:eastAsia="仿宋" w:cs="仿宋"/>
          <w:b/>
          <w:color w:val="auto"/>
          <w:highlight w:val="none"/>
        </w:rPr>
      </w:pPr>
      <w:r>
        <w:rPr>
          <w:rFonts w:hint="eastAsia" w:ascii="仿宋" w:hAnsi="仿宋" w:eastAsia="仿宋" w:cs="仿宋"/>
          <w:color w:val="auto"/>
          <w:highlight w:val="none"/>
        </w:rPr>
        <w:tab/>
      </w:r>
      <w:r>
        <w:rPr>
          <w:rFonts w:hint="eastAsia" w:ascii="仿宋" w:hAnsi="仿宋" w:eastAsia="仿宋" w:cs="仿宋"/>
          <w:b/>
          <w:bCs/>
          <w:color w:val="auto"/>
          <w:sz w:val="24"/>
          <w:highlight w:val="none"/>
        </w:rPr>
        <w:t>★ 此仅为合同书样本，中标单位需根据实际情况和采购人签订相应的合同！</w:t>
      </w:r>
    </w:p>
    <w:p>
      <w:pPr>
        <w:spacing w:line="360" w:lineRule="auto"/>
        <w:ind w:left="-420" w:leftChars="-200" w:right="-420" w:rightChars="-20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720" w:firstLine="1084" w:firstLineChars="300"/>
        <w:outlineLvl w:val="0"/>
        <w:rPr>
          <w:rFonts w:hint="eastAsia" w:ascii="仿宋" w:hAnsi="仿宋" w:eastAsia="仿宋" w:cs="仿宋_GB2312"/>
          <w:b/>
          <w:color w:val="auto"/>
          <w:sz w:val="36"/>
          <w:szCs w:val="20"/>
          <w:highlight w:val="none"/>
        </w:rPr>
      </w:pPr>
    </w:p>
    <w:p>
      <w:pPr>
        <w:spacing w:line="360" w:lineRule="auto"/>
        <w:ind w:left="720" w:firstLine="1084" w:firstLineChars="300"/>
        <w:outlineLvl w:val="0"/>
        <w:rPr>
          <w:rFonts w:hint="eastAsia" w:ascii="仿宋" w:hAnsi="仿宋" w:eastAsia="仿宋" w:cs="仿宋_GB2312"/>
          <w:b/>
          <w:color w:val="auto"/>
          <w:sz w:val="36"/>
          <w:szCs w:val="20"/>
          <w:highlight w:val="none"/>
        </w:rPr>
      </w:pPr>
    </w:p>
    <w:p>
      <w:pPr>
        <w:spacing w:line="360" w:lineRule="auto"/>
        <w:ind w:left="720" w:firstLine="1084" w:firstLineChars="300"/>
        <w:outlineLvl w:val="0"/>
        <w:rPr>
          <w:rFonts w:hint="eastAsia" w:ascii="仿宋" w:hAnsi="仿宋" w:eastAsia="仿宋" w:cs="仿宋_GB2312"/>
          <w:b/>
          <w:color w:val="auto"/>
          <w:sz w:val="36"/>
          <w:szCs w:val="20"/>
          <w:highlight w:val="none"/>
        </w:rPr>
      </w:pPr>
    </w:p>
    <w:p>
      <w:pPr>
        <w:spacing w:line="360" w:lineRule="auto"/>
        <w:ind w:left="720" w:firstLine="1084" w:firstLineChars="3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2"/>
      <w:r>
        <w:rPr>
          <w:rFonts w:ascii="仿宋" w:hAnsi="仿宋" w:eastAsia="仿宋" w:cs="仿宋_GB2312"/>
          <w:b/>
          <w:color w:val="auto"/>
          <w:sz w:val="36"/>
          <w:szCs w:val="20"/>
          <w:highlight w:val="none"/>
        </w:rPr>
        <w:t xml:space="preserve"> </w:t>
      </w:r>
      <w:bookmarkEnd w:id="393"/>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bCs/>
          <w:color w:val="auto"/>
          <w:sz w:val="24"/>
          <w:highlight w:val="none"/>
          <w:lang w:val="en-US" w:eastAsia="zh-CN"/>
        </w:rPr>
        <w:t>杭州市临平区人民政府运河街道办事处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杭州正鸿工程咨询有限公司</w:t>
      </w:r>
      <w:r>
        <w:rPr>
          <w:rFonts w:hint="eastAsia" w:ascii="仿宋" w:hAnsi="仿宋" w:eastAsia="仿宋" w:cs="仿宋"/>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u w:val="single"/>
        </w:rPr>
        <w:t>招标编号：</w:t>
      </w:r>
      <w:r>
        <w:rPr>
          <w:rFonts w:hint="eastAsia" w:ascii="仿宋_GB2312" w:hAnsi="仿宋" w:eastAsia="仿宋_GB2312"/>
          <w:color w:val="auto"/>
          <w:sz w:val="24"/>
          <w:highlight w:val="none"/>
          <w:u w:val="singl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3"/>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 w:hAnsi="仿宋" w:eastAsia="仿宋" w:cs="仿宋"/>
          <w:bCs/>
          <w:color w:val="auto"/>
          <w:sz w:val="24"/>
          <w:highlight w:val="none"/>
          <w:lang w:val="en-US" w:eastAsia="zh-CN"/>
        </w:rPr>
        <w:t>杭州市临平区人民政府运河街道办事处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杭州正鸿工程咨询有限公司</w:t>
      </w:r>
      <w:r>
        <w:rPr>
          <w:rFonts w:hint="eastAsia"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u w:val="single"/>
        </w:rPr>
        <w:t>招标编号：</w:t>
      </w:r>
      <w:r>
        <w:rPr>
          <w:rFonts w:hint="eastAsia" w:ascii="仿宋_GB2312" w:hAnsi="仿宋" w:eastAsia="仿宋_GB2312"/>
          <w:color w:val="auto"/>
          <w:sz w:val="24"/>
          <w:highlight w:val="none"/>
          <w:u w:val="single"/>
        </w:rPr>
        <w:t>（采购编号）</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杭州市临平区人民政府运河街道办事处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杭州正鸿工程咨询有限公司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杭州市临平区人民政府运河街道办事处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杭州正鸿工程咨询有限公司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89"/>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89"/>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3"/>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4991" w:type="dxa"/>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3"/>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3</w:t>
            </w:r>
          </w:p>
        </w:tc>
        <w:tc>
          <w:tcPr>
            <w:tcW w:w="4991" w:type="dxa"/>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4</w:t>
            </w:r>
          </w:p>
        </w:tc>
        <w:tc>
          <w:tcPr>
            <w:tcW w:w="4991" w:type="dxa"/>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杭州市临平区人民政府运河街道办事处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杭州正鸿工程咨询有限公司</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pStyle w:val="63"/>
        <w:ind w:left="0" w:leftChars="0" w:firstLine="0" w:firstLineChars="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）报价明细清单…………………………………………………………………（页码）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）中小企业声明函………………………………………………………………（页码）</w:t>
      </w:r>
    </w:p>
    <w:p>
      <w:pPr>
        <w:pStyle w:val="2"/>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378"/>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78"/>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w:t>
      </w:r>
      <w:r>
        <w:rPr>
          <w:rFonts w:hint="eastAsia" w:ascii="仿宋_GB2312" w:hAnsi="仿宋" w:eastAsia="仿宋_GB2312" w:cs="仿宋_GB2312"/>
          <w:kern w:val="2"/>
          <w:sz w:val="32"/>
          <w:szCs w:val="32"/>
          <w:highlight w:val="none"/>
          <w:lang w:val="en-US" w:eastAsia="zh-CN"/>
        </w:rPr>
        <w:t>标项一</w:t>
      </w:r>
      <w:r>
        <w:rPr>
          <w:rFonts w:hint="eastAsia" w:ascii="仿宋_GB2312" w:hAnsi="仿宋" w:eastAsia="仿宋_GB2312" w:cs="仿宋_GB2312"/>
          <w:color w:val="auto"/>
          <w:kern w:val="2"/>
          <w:sz w:val="32"/>
          <w:szCs w:val="32"/>
          <w:highlight w:val="none"/>
        </w:rPr>
        <w:t>）</w:t>
      </w: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杭州市临平区人民政府运河街道办事处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杭州正鸿工程咨询有限公司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u w:val="singl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4"/>
        <w:tblW w:w="141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3"/>
        <w:gridCol w:w="1584"/>
        <w:gridCol w:w="1658"/>
        <w:gridCol w:w="1020"/>
        <w:gridCol w:w="2010"/>
        <w:gridCol w:w="1732"/>
        <w:gridCol w:w="5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序号</w:t>
            </w:r>
          </w:p>
        </w:tc>
        <w:tc>
          <w:tcPr>
            <w:tcW w:w="3242"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auto"/>
              <w:ind w:left="0"/>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项目</w:t>
            </w:r>
          </w:p>
        </w:tc>
        <w:tc>
          <w:tcPr>
            <w:tcW w:w="1020" w:type="dxa"/>
            <w:tcBorders>
              <w:top w:val="single" w:color="000000" w:sz="4" w:space="0"/>
              <w:left w:val="single" w:color="auto" w:sz="4" w:space="0"/>
              <w:bottom w:val="single" w:color="000000" w:sz="4" w:space="0"/>
              <w:right w:val="single" w:color="auto" w:sz="4" w:space="0"/>
            </w:tcBorders>
            <w:vAlign w:val="center"/>
          </w:tcPr>
          <w:p>
            <w:pPr>
              <w:spacing w:line="240" w:lineRule="auto"/>
              <w:ind w:left="0"/>
              <w:jc w:val="center"/>
              <w:rPr>
                <w:rFonts w:hint="default" w:ascii="等线" w:hAnsi="等线" w:eastAsia="宋体" w:cs="Times New Roman"/>
                <w:color w:val="auto"/>
                <w:kern w:val="2"/>
                <w:sz w:val="18"/>
                <w:szCs w:val="18"/>
                <w:highlight w:val="none"/>
                <w:lang w:val="en-US" w:eastAsia="zh-CN"/>
              </w:rPr>
            </w:pPr>
            <w:r>
              <w:rPr>
                <w:rFonts w:hint="eastAsia" w:ascii="等线" w:hAnsi="等线" w:eastAsia="宋体" w:cs="Times New Roman"/>
                <w:color w:val="auto"/>
                <w:kern w:val="2"/>
                <w:sz w:val="18"/>
                <w:szCs w:val="18"/>
                <w:highlight w:val="none"/>
                <w:lang w:val="en-US" w:eastAsia="zh-CN"/>
              </w:rPr>
              <w:t>服务期</w:t>
            </w:r>
          </w:p>
        </w:tc>
        <w:tc>
          <w:tcPr>
            <w:tcW w:w="2010" w:type="dxa"/>
            <w:tcBorders>
              <w:top w:val="single" w:color="000000" w:sz="4" w:space="0"/>
              <w:left w:val="single" w:color="auto" w:sz="4" w:space="0"/>
              <w:bottom w:val="single" w:color="000000" w:sz="4" w:space="0"/>
              <w:right w:val="single" w:color="000000" w:sz="4" w:space="0"/>
            </w:tcBorders>
            <w:vAlign w:val="center"/>
          </w:tcPr>
          <w:p>
            <w:pPr>
              <w:spacing w:line="240" w:lineRule="auto"/>
              <w:ind w:left="0"/>
              <w:jc w:val="center"/>
              <w:rPr>
                <w:rFonts w:hint="default" w:ascii="等线" w:hAnsi="等线" w:eastAsia="宋体" w:cs="Times New Roman"/>
                <w:color w:val="auto"/>
                <w:kern w:val="2"/>
                <w:sz w:val="18"/>
                <w:szCs w:val="18"/>
                <w:highlight w:val="none"/>
                <w:lang w:val="en-US" w:eastAsia="zh-CN"/>
              </w:rPr>
            </w:pPr>
            <w:r>
              <w:rPr>
                <w:rFonts w:hint="eastAsia" w:ascii="等线" w:hAnsi="等线" w:eastAsia="宋体" w:cs="Times New Roman"/>
                <w:color w:val="auto"/>
                <w:kern w:val="2"/>
                <w:sz w:val="18"/>
                <w:szCs w:val="18"/>
                <w:highlight w:val="none"/>
                <w:lang w:val="en-US" w:eastAsia="zh-CN"/>
              </w:rPr>
              <w:t>投标报价（元/年）</w:t>
            </w:r>
          </w:p>
        </w:tc>
        <w:tc>
          <w:tcPr>
            <w:tcW w:w="1732"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center"/>
              <w:rPr>
                <w:rFonts w:hint="default" w:ascii="等线" w:hAnsi="等线" w:eastAsia="宋体" w:cs="Times New Roman"/>
                <w:color w:val="auto"/>
                <w:kern w:val="2"/>
                <w:sz w:val="18"/>
                <w:szCs w:val="18"/>
                <w:highlight w:val="none"/>
                <w:lang w:val="en-US" w:eastAsia="zh-CN"/>
              </w:rPr>
            </w:pPr>
            <w:r>
              <w:rPr>
                <w:rFonts w:hint="eastAsia" w:ascii="等线" w:hAnsi="等线" w:eastAsia="宋体" w:cs="Times New Roman"/>
                <w:color w:val="auto"/>
                <w:kern w:val="2"/>
                <w:sz w:val="18"/>
                <w:szCs w:val="18"/>
                <w:highlight w:val="none"/>
                <w:lang w:eastAsia="zh-CN"/>
              </w:rPr>
              <w:t>投标</w:t>
            </w:r>
            <w:r>
              <w:rPr>
                <w:rFonts w:hint="eastAsia" w:ascii="等线" w:hAnsi="等线" w:eastAsia="宋体" w:cs="Times New Roman"/>
                <w:color w:val="auto"/>
                <w:kern w:val="2"/>
                <w:sz w:val="18"/>
                <w:szCs w:val="18"/>
                <w:highlight w:val="none"/>
                <w:lang w:val="en-US" w:eastAsia="zh-CN"/>
              </w:rPr>
              <w:t>总</w:t>
            </w:r>
            <w:r>
              <w:rPr>
                <w:rFonts w:hint="eastAsia" w:ascii="等线" w:hAnsi="等线" w:eastAsia="宋体" w:cs="Times New Roman"/>
                <w:color w:val="auto"/>
                <w:kern w:val="2"/>
                <w:sz w:val="18"/>
                <w:szCs w:val="18"/>
                <w:highlight w:val="none"/>
                <w:lang w:eastAsia="zh-CN"/>
              </w:rPr>
              <w:t>报价（</w:t>
            </w:r>
            <w:r>
              <w:rPr>
                <w:rFonts w:hint="eastAsia" w:ascii="等线" w:hAnsi="等线" w:eastAsia="宋体" w:cs="Times New Roman"/>
                <w:color w:val="auto"/>
                <w:kern w:val="2"/>
                <w:sz w:val="18"/>
                <w:szCs w:val="18"/>
                <w:highlight w:val="none"/>
                <w:lang w:val="en-US" w:eastAsia="zh-CN"/>
              </w:rPr>
              <w:t>元）</w:t>
            </w:r>
          </w:p>
        </w:tc>
        <w:tc>
          <w:tcPr>
            <w:tcW w:w="5453"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9" w:hRule="atLeast"/>
        </w:trPr>
        <w:tc>
          <w:tcPr>
            <w:tcW w:w="733"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等线" w:hAnsi="等线" w:eastAsia="宋体" w:cs="Times New Roman"/>
                <w:color w:val="auto"/>
                <w:kern w:val="2"/>
                <w:sz w:val="18"/>
                <w:szCs w:val="18"/>
                <w:highlight w:val="none"/>
                <w:lang w:val="zh-CN" w:eastAsia="zh-CN"/>
              </w:rPr>
            </w:pPr>
            <w:r>
              <w:rPr>
                <w:rFonts w:hint="eastAsia" w:cs="Times New Roman"/>
                <w:color w:val="auto"/>
                <w:kern w:val="2"/>
                <w:sz w:val="18"/>
                <w:szCs w:val="18"/>
                <w:highlight w:val="none"/>
                <w:lang w:val="en-US" w:eastAsia="zh-CN"/>
              </w:rPr>
              <w:t>1</w:t>
            </w:r>
          </w:p>
        </w:tc>
        <w:tc>
          <w:tcPr>
            <w:tcW w:w="1584" w:type="dxa"/>
            <w:vMerge w:val="restart"/>
            <w:tcBorders>
              <w:top w:val="single" w:color="000000" w:sz="4" w:space="0"/>
              <w:left w:val="single" w:color="000000" w:sz="4" w:space="0"/>
              <w:right w:val="single" w:color="auto" w:sz="4" w:space="0"/>
            </w:tcBorders>
            <w:vAlign w:val="center"/>
          </w:tcPr>
          <w:p>
            <w:pPr>
              <w:spacing w:line="240" w:lineRule="auto"/>
              <w:jc w:val="center"/>
              <w:rPr>
                <w:rFonts w:hint="default" w:ascii="等线" w:hAnsi="等线" w:cs="Times New Roman"/>
                <w:color w:val="auto"/>
                <w:kern w:val="2"/>
                <w:sz w:val="18"/>
                <w:szCs w:val="18"/>
                <w:highlight w:val="none"/>
                <w:lang w:val="en-US"/>
              </w:rPr>
            </w:pPr>
            <w:r>
              <w:rPr>
                <w:rFonts w:hint="eastAsia" w:ascii="宋体" w:hAnsi="宋体" w:cs="宋体"/>
                <w:color w:val="auto"/>
                <w:kern w:val="0"/>
                <w:sz w:val="21"/>
                <w:szCs w:val="21"/>
                <w:highlight w:val="none"/>
              </w:rPr>
              <w:t>道路保洁费</w:t>
            </w:r>
          </w:p>
        </w:tc>
        <w:tc>
          <w:tcPr>
            <w:tcW w:w="1658" w:type="dxa"/>
            <w:tcBorders>
              <w:top w:val="single" w:color="000000" w:sz="4" w:space="0"/>
              <w:left w:val="single" w:color="auto" w:sz="4" w:space="0"/>
              <w:right w:val="single" w:color="auto" w:sz="4" w:space="0"/>
            </w:tcBorders>
            <w:vAlign w:val="center"/>
          </w:tcPr>
          <w:p>
            <w:pPr>
              <w:spacing w:line="240" w:lineRule="auto"/>
              <w:jc w:val="center"/>
              <w:rPr>
                <w:rFonts w:hint="default" w:ascii="等线" w:hAnsi="等线"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日常保洁人员工资</w:t>
            </w:r>
          </w:p>
        </w:tc>
        <w:tc>
          <w:tcPr>
            <w:tcW w:w="1020" w:type="dxa"/>
            <w:tcBorders>
              <w:top w:val="single" w:color="000000" w:sz="4" w:space="0"/>
              <w:left w:val="single" w:color="auto" w:sz="4" w:space="0"/>
              <w:right w:val="single" w:color="auto" w:sz="4" w:space="0"/>
            </w:tcBorders>
            <w:vAlign w:val="center"/>
          </w:tcPr>
          <w:p>
            <w:pPr>
              <w:spacing w:line="240" w:lineRule="auto"/>
              <w:jc w:val="center"/>
              <w:rPr>
                <w:rFonts w:hint="default"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2年</w:t>
            </w:r>
          </w:p>
        </w:tc>
        <w:tc>
          <w:tcPr>
            <w:tcW w:w="2010" w:type="dxa"/>
            <w:tcBorders>
              <w:top w:val="single" w:color="000000" w:sz="4" w:space="0"/>
              <w:left w:val="single" w:color="auto" w:sz="4" w:space="0"/>
              <w:right w:val="single" w:color="000000" w:sz="4" w:space="0"/>
            </w:tcBorders>
            <w:vAlign w:val="center"/>
          </w:tcPr>
          <w:p>
            <w:pPr>
              <w:spacing w:line="360" w:lineRule="auto"/>
              <w:jc w:val="center"/>
              <w:rPr>
                <w:rFonts w:hint="default" w:cs="Times New Roman"/>
                <w:color w:val="auto"/>
                <w:kern w:val="2"/>
                <w:sz w:val="18"/>
                <w:szCs w:val="18"/>
                <w:highlight w:val="none"/>
                <w:lang w:val="en-US" w:eastAsia="zh-CN"/>
              </w:rPr>
            </w:pPr>
            <w:r>
              <w:rPr>
                <w:rFonts w:hint="eastAsia" w:ascii="宋体" w:hAnsi="宋体"/>
                <w:color w:val="auto"/>
                <w:sz w:val="24"/>
                <w:highlight w:val="none"/>
              </w:rPr>
              <w:t>（小写）</w:t>
            </w:r>
          </w:p>
        </w:tc>
        <w:tc>
          <w:tcPr>
            <w:tcW w:w="1732" w:type="dxa"/>
            <w:tcBorders>
              <w:top w:val="single" w:color="000000" w:sz="4" w:space="0"/>
              <w:left w:val="single" w:color="000000" w:sz="4" w:space="0"/>
              <w:right w:val="single" w:color="000000" w:sz="4" w:space="0"/>
            </w:tcBorders>
            <w:vAlign w:val="center"/>
          </w:tcPr>
          <w:p>
            <w:pPr>
              <w:spacing w:line="360" w:lineRule="auto"/>
              <w:jc w:val="center"/>
              <w:rPr>
                <w:rFonts w:ascii="等线" w:hAnsi="等线" w:cs="Times New Roman"/>
                <w:color w:val="auto"/>
                <w:kern w:val="2"/>
                <w:sz w:val="18"/>
                <w:szCs w:val="18"/>
                <w:highlight w:val="none"/>
                <w:lang w:val="zh-CN"/>
              </w:rPr>
            </w:pPr>
            <w:r>
              <w:rPr>
                <w:rFonts w:hint="eastAsia" w:ascii="宋体" w:hAnsi="宋体"/>
                <w:color w:val="auto"/>
                <w:sz w:val="24"/>
                <w:highlight w:val="none"/>
              </w:rPr>
              <w:t>（小写）</w:t>
            </w:r>
          </w:p>
        </w:tc>
        <w:tc>
          <w:tcPr>
            <w:tcW w:w="545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等线" w:hAnsi="等线" w:cs="Times New Roman"/>
                <w:b/>
                <w:bCs/>
                <w:color w:val="auto"/>
                <w:kern w:val="2"/>
                <w:sz w:val="18"/>
                <w:szCs w:val="18"/>
                <w:highlight w:val="none"/>
                <w:lang w:val="zh-CN"/>
              </w:rPr>
            </w:pPr>
            <w:r>
              <w:rPr>
                <w:rFonts w:ascii="等线" w:hAnsi="等线" w:cs="Times New Roman"/>
                <w:b/>
                <w:bCs/>
                <w:color w:val="auto"/>
                <w:kern w:val="2"/>
                <w:sz w:val="18"/>
                <w:szCs w:val="18"/>
                <w:highlight w:val="none"/>
                <w:lang w:val="zh-CN"/>
              </w:rPr>
              <w:t>人员不得少于</w:t>
            </w:r>
            <w:r>
              <w:rPr>
                <w:rFonts w:hint="eastAsia" w:ascii="等线" w:hAnsi="等线" w:cs="Times New Roman"/>
                <w:b/>
                <w:bCs/>
                <w:color w:val="auto"/>
                <w:kern w:val="2"/>
                <w:sz w:val="18"/>
                <w:szCs w:val="18"/>
                <w:highlight w:val="none"/>
                <w:lang w:val="en-US" w:eastAsia="zh-CN"/>
              </w:rPr>
              <w:t>109</w:t>
            </w:r>
            <w:r>
              <w:rPr>
                <w:rFonts w:ascii="等线" w:hAnsi="等线" w:cs="Times New Roman"/>
                <w:b/>
                <w:bCs/>
                <w:color w:val="auto"/>
                <w:kern w:val="2"/>
                <w:sz w:val="18"/>
                <w:szCs w:val="18"/>
                <w:highlight w:val="none"/>
                <w:lang w:val="zh-CN"/>
              </w:rPr>
              <w:t>人，</w:t>
            </w:r>
            <w:r>
              <w:rPr>
                <w:rFonts w:hint="eastAsia" w:ascii="等线" w:hAnsi="等线" w:eastAsia="宋体" w:cs="Times New Roman"/>
                <w:b/>
                <w:bCs/>
                <w:color w:val="auto"/>
                <w:kern w:val="2"/>
                <w:sz w:val="18"/>
                <w:szCs w:val="18"/>
                <w:highlight w:val="none"/>
                <w:lang w:val="zh-CN"/>
              </w:rPr>
              <w:t>人员工资不得低于杭州市最低工资标</w:t>
            </w:r>
            <w:r>
              <w:rPr>
                <w:rFonts w:hint="eastAsia" w:ascii="等线" w:hAnsi="等线" w:cs="Times New Roman"/>
                <w:b/>
                <w:bCs/>
                <w:color w:val="auto"/>
                <w:kern w:val="2"/>
                <w:sz w:val="18"/>
                <w:szCs w:val="18"/>
                <w:highlight w:val="none"/>
                <w:lang w:val="zh-CN"/>
              </w:rPr>
              <w:t>，</w:t>
            </w:r>
          </w:p>
          <w:p>
            <w:pPr>
              <w:spacing w:line="240" w:lineRule="auto"/>
              <w:jc w:val="center"/>
              <w:rPr>
                <w:rFonts w:ascii="等线" w:hAnsi="等线" w:cs="Times New Roman"/>
                <w:color w:val="auto"/>
                <w:kern w:val="2"/>
                <w:sz w:val="18"/>
                <w:szCs w:val="18"/>
                <w:highlight w:val="none"/>
                <w:lang w:val="zh-CN"/>
              </w:rPr>
            </w:pPr>
            <w:r>
              <w:rPr>
                <w:rFonts w:ascii="等线" w:hAnsi="等线" w:cs="Times New Roman"/>
                <w:b/>
                <w:bCs/>
                <w:color w:val="auto"/>
                <w:kern w:val="2"/>
                <w:sz w:val="18"/>
                <w:szCs w:val="18"/>
                <w:highlight w:val="none"/>
                <w:lang w:val="zh-CN"/>
              </w:rPr>
              <w:t xml:space="preserve">服务期 </w:t>
            </w:r>
            <w:r>
              <w:rPr>
                <w:rFonts w:hint="eastAsia" w:ascii="等线" w:hAnsi="等线" w:cs="Times New Roman"/>
                <w:b/>
                <w:bCs/>
                <w:color w:val="auto"/>
                <w:kern w:val="2"/>
                <w:sz w:val="18"/>
                <w:szCs w:val="18"/>
                <w:highlight w:val="none"/>
                <w:lang w:val="en-US" w:eastAsia="zh-CN"/>
              </w:rPr>
              <w:t>2</w:t>
            </w:r>
            <w:r>
              <w:rPr>
                <w:rFonts w:ascii="等线" w:hAnsi="等线" w:cs="Times New Roman"/>
                <w:b/>
                <w:bCs/>
                <w:color w:val="auto"/>
                <w:kern w:val="2"/>
                <w:sz w:val="18"/>
                <w:szCs w:val="18"/>
                <w:highlight w:val="none"/>
                <w:lang w:val="zh-CN"/>
              </w:rPr>
              <w:t xml:space="preserve">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4" w:hRule="atLeast"/>
        </w:trPr>
        <w:tc>
          <w:tcPr>
            <w:tcW w:w="733" w:type="dxa"/>
            <w:vMerge w:val="continue"/>
            <w:tcBorders>
              <w:left w:val="single" w:color="000000" w:sz="4" w:space="0"/>
              <w:right w:val="single" w:color="000000" w:sz="4" w:space="0"/>
            </w:tcBorders>
            <w:vAlign w:val="center"/>
          </w:tcPr>
          <w:p>
            <w:pPr>
              <w:spacing w:line="240" w:lineRule="auto"/>
              <w:jc w:val="center"/>
              <w:rPr>
                <w:rFonts w:hint="eastAsia" w:cs="Times New Roman"/>
                <w:color w:val="auto"/>
                <w:kern w:val="2"/>
                <w:sz w:val="18"/>
                <w:szCs w:val="18"/>
                <w:highlight w:val="none"/>
                <w:lang w:val="en-US" w:eastAsia="zh-CN"/>
              </w:rPr>
            </w:pPr>
          </w:p>
        </w:tc>
        <w:tc>
          <w:tcPr>
            <w:tcW w:w="1584" w:type="dxa"/>
            <w:vMerge w:val="continue"/>
            <w:tcBorders>
              <w:left w:val="single" w:color="000000" w:sz="4" w:space="0"/>
              <w:right w:val="single" w:color="auto" w:sz="4" w:space="0"/>
            </w:tcBorders>
            <w:vAlign w:val="center"/>
          </w:tcPr>
          <w:p>
            <w:pPr>
              <w:spacing w:line="240" w:lineRule="auto"/>
              <w:jc w:val="center"/>
              <w:rPr>
                <w:rFonts w:hint="eastAsia" w:ascii="等线" w:hAnsi="等线" w:cs="Times New Roman"/>
                <w:color w:val="auto"/>
                <w:kern w:val="2"/>
                <w:sz w:val="18"/>
                <w:szCs w:val="18"/>
                <w:highlight w:val="none"/>
                <w:lang w:val="zh-CN" w:eastAsia="zh-CN"/>
              </w:rPr>
            </w:pPr>
          </w:p>
        </w:tc>
        <w:tc>
          <w:tcPr>
            <w:tcW w:w="1658" w:type="dxa"/>
            <w:tcBorders>
              <w:top w:val="single" w:color="000000" w:sz="4" w:space="0"/>
              <w:left w:val="single" w:color="auto" w:sz="4" w:space="0"/>
              <w:right w:val="single" w:color="auto" w:sz="4" w:space="0"/>
            </w:tcBorders>
            <w:vAlign w:val="center"/>
          </w:tcPr>
          <w:p>
            <w:pPr>
              <w:spacing w:line="240" w:lineRule="auto"/>
              <w:jc w:val="center"/>
              <w:rPr>
                <w:rFonts w:hint="default" w:ascii="等线" w:hAnsi="等线"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设备投入费用</w:t>
            </w:r>
          </w:p>
        </w:tc>
        <w:tc>
          <w:tcPr>
            <w:tcW w:w="1020" w:type="dxa"/>
            <w:tcBorders>
              <w:top w:val="single" w:color="000000" w:sz="4" w:space="0"/>
              <w:left w:val="single" w:color="auto" w:sz="4" w:space="0"/>
              <w:right w:val="single" w:color="auto" w:sz="4" w:space="0"/>
            </w:tcBorders>
            <w:vAlign w:val="center"/>
          </w:tcPr>
          <w:p>
            <w:pPr>
              <w:spacing w:line="240" w:lineRule="auto"/>
              <w:jc w:val="center"/>
              <w:rPr>
                <w:rFonts w:hint="eastAsia"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2年</w:t>
            </w:r>
          </w:p>
        </w:tc>
        <w:tc>
          <w:tcPr>
            <w:tcW w:w="2010" w:type="dxa"/>
            <w:tcBorders>
              <w:top w:val="single" w:color="000000" w:sz="4" w:space="0"/>
              <w:left w:val="single" w:color="auto" w:sz="4" w:space="0"/>
              <w:right w:val="single" w:color="000000" w:sz="4" w:space="0"/>
            </w:tcBorders>
            <w:vAlign w:val="center"/>
          </w:tcPr>
          <w:p>
            <w:pPr>
              <w:spacing w:line="360" w:lineRule="auto"/>
              <w:jc w:val="center"/>
              <w:rPr>
                <w:rFonts w:hint="eastAsia" w:cs="Times New Roman"/>
                <w:color w:val="auto"/>
                <w:kern w:val="2"/>
                <w:sz w:val="18"/>
                <w:szCs w:val="18"/>
                <w:highlight w:val="none"/>
                <w:lang w:val="en-US" w:eastAsia="zh-CN"/>
              </w:rPr>
            </w:pPr>
            <w:r>
              <w:rPr>
                <w:rFonts w:hint="eastAsia" w:ascii="宋体" w:hAnsi="宋体"/>
                <w:color w:val="auto"/>
                <w:sz w:val="24"/>
                <w:highlight w:val="none"/>
              </w:rPr>
              <w:t>（小写）</w:t>
            </w:r>
          </w:p>
        </w:tc>
        <w:tc>
          <w:tcPr>
            <w:tcW w:w="1732" w:type="dxa"/>
            <w:tcBorders>
              <w:top w:val="single" w:color="000000" w:sz="4" w:space="0"/>
              <w:left w:val="single" w:color="000000" w:sz="4" w:space="0"/>
              <w:right w:val="single" w:color="000000" w:sz="4" w:space="0"/>
            </w:tcBorders>
            <w:vAlign w:val="center"/>
          </w:tcPr>
          <w:p>
            <w:pPr>
              <w:spacing w:line="360" w:lineRule="auto"/>
              <w:jc w:val="center"/>
              <w:rPr>
                <w:rFonts w:ascii="等线" w:hAnsi="等线" w:cs="Times New Roman"/>
                <w:color w:val="auto"/>
                <w:kern w:val="2"/>
                <w:sz w:val="18"/>
                <w:szCs w:val="18"/>
                <w:highlight w:val="none"/>
                <w:lang w:val="zh-CN"/>
              </w:rPr>
            </w:pPr>
            <w:r>
              <w:rPr>
                <w:rFonts w:hint="eastAsia" w:ascii="宋体" w:hAnsi="宋体"/>
                <w:color w:val="auto"/>
                <w:sz w:val="24"/>
                <w:highlight w:val="none"/>
              </w:rPr>
              <w:t>（小写）</w:t>
            </w:r>
          </w:p>
        </w:tc>
        <w:tc>
          <w:tcPr>
            <w:tcW w:w="545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等线" w:hAnsi="等线" w:cs="Times New Roman"/>
                <w:color w:val="auto"/>
                <w:kern w:val="2"/>
                <w:sz w:val="18"/>
                <w:szCs w:val="18"/>
                <w:highlight w:val="none"/>
                <w:lang w:val="zh-CN"/>
              </w:rPr>
            </w:pPr>
            <w:r>
              <w:rPr>
                <w:rFonts w:hint="eastAsia" w:ascii="宋体" w:hAnsi="宋体" w:eastAsia="宋体" w:cs="宋体"/>
                <w:b/>
                <w:bCs/>
                <w:color w:val="auto"/>
                <w:sz w:val="18"/>
                <w:szCs w:val="18"/>
                <w:highlight w:val="none"/>
                <w:lang w:val="en-US" w:eastAsia="zh-CN"/>
              </w:rPr>
              <w:t>不</w:t>
            </w:r>
            <w:r>
              <w:rPr>
                <w:rFonts w:ascii="宋体" w:hAnsi="宋体" w:eastAsia="宋体" w:cs="宋体"/>
                <w:b/>
                <w:bCs/>
                <w:color w:val="auto"/>
                <w:sz w:val="18"/>
                <w:szCs w:val="18"/>
                <w:highlight w:val="none"/>
              </w:rPr>
              <w:t>得低于道路保洁费</w:t>
            </w:r>
            <w:r>
              <w:rPr>
                <w:rFonts w:hint="eastAsia" w:ascii="宋体" w:hAnsi="宋体" w:eastAsia="宋体" w:cs="宋体"/>
                <w:b/>
                <w:bCs/>
                <w:color w:val="auto"/>
                <w:sz w:val="18"/>
                <w:szCs w:val="18"/>
                <w:highlight w:val="none"/>
                <w:lang w:val="en-US" w:eastAsia="zh-CN"/>
              </w:rPr>
              <w:t>的</w:t>
            </w:r>
            <w:r>
              <w:rPr>
                <w:rFonts w:hint="eastAsia" w:ascii="宋体" w:hAnsi="宋体" w:cs="宋体"/>
                <w:b/>
                <w:bCs/>
                <w:color w:val="auto"/>
                <w:sz w:val="18"/>
                <w:szCs w:val="18"/>
                <w:highlight w:val="none"/>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12" w:hRule="atLeast"/>
        </w:trPr>
        <w:tc>
          <w:tcPr>
            <w:tcW w:w="733" w:type="dxa"/>
            <w:tcBorders>
              <w:top w:val="single" w:color="000000" w:sz="4" w:space="0"/>
              <w:left w:val="single" w:color="000000" w:sz="4" w:space="0"/>
              <w:right w:val="single" w:color="000000" w:sz="4" w:space="0"/>
            </w:tcBorders>
            <w:vAlign w:val="top"/>
          </w:tcPr>
          <w:p>
            <w:pPr>
              <w:spacing w:line="240" w:lineRule="auto"/>
              <w:jc w:val="center"/>
              <w:rPr>
                <w:rFonts w:hint="eastAsia" w:cs="Times New Roman"/>
                <w:color w:val="auto"/>
                <w:kern w:val="2"/>
                <w:sz w:val="18"/>
                <w:szCs w:val="18"/>
                <w:highlight w:val="none"/>
                <w:lang w:val="en-US" w:eastAsia="zh-CN"/>
              </w:rPr>
            </w:pPr>
          </w:p>
          <w:p>
            <w:pPr>
              <w:spacing w:line="240" w:lineRule="auto"/>
              <w:jc w:val="center"/>
              <w:rPr>
                <w:rFonts w:hint="eastAsia" w:cs="Times New Roman"/>
                <w:color w:val="auto"/>
                <w:kern w:val="2"/>
                <w:sz w:val="18"/>
                <w:szCs w:val="18"/>
                <w:highlight w:val="none"/>
                <w:lang w:val="en-US" w:eastAsia="zh-CN"/>
              </w:rPr>
            </w:pPr>
          </w:p>
          <w:p>
            <w:pPr>
              <w:spacing w:line="240" w:lineRule="auto"/>
              <w:jc w:val="center"/>
              <w:rPr>
                <w:rFonts w:hint="default"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2</w:t>
            </w:r>
          </w:p>
        </w:tc>
        <w:tc>
          <w:tcPr>
            <w:tcW w:w="1584" w:type="dxa"/>
            <w:tcBorders>
              <w:top w:val="single" w:color="000000" w:sz="4" w:space="0"/>
              <w:left w:val="single" w:color="000000" w:sz="4" w:space="0"/>
              <w:right w:val="single" w:color="000000" w:sz="4" w:space="0"/>
            </w:tcBorders>
            <w:vAlign w:val="top"/>
          </w:tcPr>
          <w:p>
            <w:pPr>
              <w:spacing w:line="240" w:lineRule="auto"/>
              <w:jc w:val="center"/>
              <w:rPr>
                <w:rFonts w:hint="eastAsia" w:ascii="等线" w:hAnsi="等线" w:cs="Times New Roman"/>
                <w:color w:val="auto"/>
                <w:kern w:val="2"/>
                <w:sz w:val="18"/>
                <w:szCs w:val="18"/>
                <w:highlight w:val="none"/>
                <w:lang w:val="en-US"/>
              </w:rPr>
            </w:pPr>
          </w:p>
          <w:p>
            <w:pPr>
              <w:spacing w:line="240" w:lineRule="auto"/>
              <w:jc w:val="center"/>
              <w:rPr>
                <w:rFonts w:hint="default" w:eastAsia="宋体"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公厕</w:t>
            </w:r>
          </w:p>
        </w:tc>
        <w:tc>
          <w:tcPr>
            <w:tcW w:w="1658" w:type="dxa"/>
            <w:tcBorders>
              <w:top w:val="single" w:color="000000" w:sz="4" w:space="0"/>
              <w:left w:val="single" w:color="000000" w:sz="4" w:space="0"/>
              <w:right w:val="single" w:color="000000" w:sz="4" w:space="0"/>
            </w:tcBorders>
            <w:vAlign w:val="top"/>
          </w:tcPr>
          <w:p>
            <w:pPr>
              <w:spacing w:line="240" w:lineRule="auto"/>
              <w:jc w:val="center"/>
              <w:rPr>
                <w:rFonts w:hint="eastAsia" w:cs="Times New Roman"/>
                <w:color w:val="auto"/>
                <w:kern w:val="2"/>
                <w:sz w:val="18"/>
                <w:szCs w:val="18"/>
                <w:highlight w:val="none"/>
                <w:lang w:val="en-US" w:eastAsia="zh-CN"/>
              </w:rPr>
            </w:pPr>
          </w:p>
          <w:p>
            <w:pPr>
              <w:spacing w:line="240" w:lineRule="auto"/>
              <w:jc w:val="center"/>
              <w:rPr>
                <w:rFonts w:hint="eastAsia" w:cs="Times New Roman"/>
                <w:color w:val="auto"/>
                <w:kern w:val="2"/>
                <w:sz w:val="18"/>
                <w:szCs w:val="18"/>
                <w:highlight w:val="none"/>
                <w:lang w:val="en-US" w:eastAsia="zh-CN"/>
              </w:rPr>
            </w:pPr>
          </w:p>
          <w:p>
            <w:pPr>
              <w:spacing w:line="240" w:lineRule="auto"/>
              <w:jc w:val="center"/>
              <w:rPr>
                <w:rFonts w:hint="eastAsia" w:cs="Times New Roman"/>
                <w:color w:val="auto"/>
                <w:kern w:val="2"/>
                <w:sz w:val="18"/>
                <w:szCs w:val="18"/>
                <w:highlight w:val="none"/>
                <w:lang w:val="zh-CN" w:eastAsia="zh-CN"/>
              </w:rPr>
            </w:pPr>
            <w:r>
              <w:rPr>
                <w:rFonts w:hint="eastAsia" w:cs="Times New Roman"/>
                <w:color w:val="auto"/>
                <w:kern w:val="2"/>
                <w:sz w:val="18"/>
                <w:szCs w:val="18"/>
                <w:highlight w:val="none"/>
                <w:lang w:val="en-US" w:eastAsia="zh-CN"/>
              </w:rPr>
              <w:t>日常保洁人员工资</w:t>
            </w:r>
          </w:p>
        </w:tc>
        <w:tc>
          <w:tcPr>
            <w:tcW w:w="1020" w:type="dxa"/>
            <w:tcBorders>
              <w:top w:val="single" w:color="000000" w:sz="4" w:space="0"/>
              <w:left w:val="single" w:color="000000" w:sz="4" w:space="0"/>
              <w:right w:val="single" w:color="000000" w:sz="4" w:space="0"/>
            </w:tcBorders>
            <w:vAlign w:val="top"/>
          </w:tcPr>
          <w:p>
            <w:pPr>
              <w:spacing w:line="240" w:lineRule="auto"/>
              <w:jc w:val="center"/>
              <w:rPr>
                <w:rFonts w:hint="eastAsia" w:cs="Times New Roman"/>
                <w:color w:val="auto"/>
                <w:kern w:val="2"/>
                <w:sz w:val="18"/>
                <w:szCs w:val="18"/>
                <w:highlight w:val="none"/>
                <w:lang w:val="en-US" w:eastAsia="zh-CN"/>
              </w:rPr>
            </w:pPr>
          </w:p>
          <w:p>
            <w:pPr>
              <w:spacing w:line="240" w:lineRule="auto"/>
              <w:jc w:val="center"/>
              <w:rPr>
                <w:rFonts w:hint="eastAsia" w:cs="Times New Roman"/>
                <w:color w:val="auto"/>
                <w:kern w:val="2"/>
                <w:sz w:val="18"/>
                <w:szCs w:val="18"/>
                <w:highlight w:val="none"/>
                <w:lang w:val="en-US" w:eastAsia="zh-CN"/>
              </w:rPr>
            </w:pPr>
          </w:p>
          <w:p>
            <w:pPr>
              <w:spacing w:line="240" w:lineRule="auto"/>
              <w:jc w:val="center"/>
              <w:rPr>
                <w:rFonts w:hint="eastAsia" w:cs="Times New Roman"/>
                <w:color w:val="auto"/>
                <w:kern w:val="2"/>
                <w:sz w:val="18"/>
                <w:szCs w:val="18"/>
                <w:highlight w:val="none"/>
                <w:lang w:val="zh-CN" w:eastAsia="zh-CN"/>
              </w:rPr>
            </w:pPr>
            <w:r>
              <w:rPr>
                <w:rFonts w:hint="eastAsia" w:cs="Times New Roman"/>
                <w:color w:val="auto"/>
                <w:kern w:val="2"/>
                <w:sz w:val="18"/>
                <w:szCs w:val="18"/>
                <w:highlight w:val="none"/>
                <w:lang w:val="en-US" w:eastAsia="zh-CN"/>
              </w:rPr>
              <w:t>2年</w:t>
            </w:r>
          </w:p>
        </w:tc>
        <w:tc>
          <w:tcPr>
            <w:tcW w:w="2010" w:type="dxa"/>
            <w:tcBorders>
              <w:top w:val="single" w:color="000000" w:sz="4" w:space="0"/>
              <w:left w:val="single" w:color="000000" w:sz="4" w:space="0"/>
              <w:right w:val="single" w:color="000000" w:sz="4" w:space="0"/>
            </w:tcBorders>
            <w:vAlign w:val="top"/>
          </w:tcPr>
          <w:p>
            <w:pPr>
              <w:spacing w:line="240" w:lineRule="auto"/>
              <w:jc w:val="center"/>
              <w:rPr>
                <w:rFonts w:hint="eastAsia" w:ascii="宋体" w:hAnsi="宋体"/>
                <w:color w:val="auto"/>
                <w:sz w:val="24"/>
                <w:highlight w:val="none"/>
              </w:rPr>
            </w:pPr>
          </w:p>
          <w:p>
            <w:pPr>
              <w:spacing w:line="240" w:lineRule="auto"/>
              <w:ind w:firstLine="480" w:firstLineChars="200"/>
              <w:jc w:val="both"/>
              <w:rPr>
                <w:rFonts w:hint="eastAsia" w:cs="Times New Roman"/>
                <w:color w:val="auto"/>
                <w:kern w:val="2"/>
                <w:sz w:val="18"/>
                <w:szCs w:val="18"/>
                <w:highlight w:val="none"/>
                <w:lang w:val="zh-CN" w:eastAsia="zh-CN"/>
              </w:rPr>
            </w:pPr>
            <w:r>
              <w:rPr>
                <w:rFonts w:hint="eastAsia" w:ascii="宋体" w:hAnsi="宋体"/>
                <w:color w:val="auto"/>
                <w:sz w:val="24"/>
                <w:highlight w:val="none"/>
              </w:rPr>
              <w:t>（小写）</w:t>
            </w:r>
          </w:p>
        </w:tc>
        <w:tc>
          <w:tcPr>
            <w:tcW w:w="1732" w:type="dxa"/>
            <w:tcBorders>
              <w:top w:val="single" w:color="000000" w:sz="4" w:space="0"/>
              <w:left w:val="single" w:color="000000" w:sz="4" w:space="0"/>
              <w:right w:val="single" w:color="000000" w:sz="4" w:space="0"/>
            </w:tcBorders>
            <w:vAlign w:val="center"/>
          </w:tcPr>
          <w:p>
            <w:pPr>
              <w:spacing w:line="240" w:lineRule="auto"/>
              <w:jc w:val="center"/>
              <w:rPr>
                <w:rFonts w:hint="eastAsia" w:cs="Times New Roman"/>
                <w:color w:val="auto"/>
                <w:kern w:val="2"/>
                <w:sz w:val="18"/>
                <w:szCs w:val="18"/>
                <w:highlight w:val="none"/>
                <w:lang w:val="zh-CN" w:eastAsia="zh-CN"/>
              </w:rPr>
            </w:pPr>
            <w:r>
              <w:rPr>
                <w:rFonts w:hint="eastAsia" w:ascii="宋体" w:hAnsi="宋体"/>
                <w:color w:val="auto"/>
                <w:sz w:val="24"/>
                <w:highlight w:val="none"/>
              </w:rPr>
              <w:t>（小写）</w:t>
            </w:r>
          </w:p>
        </w:tc>
        <w:tc>
          <w:tcPr>
            <w:tcW w:w="5453" w:type="dxa"/>
            <w:tcBorders>
              <w:top w:val="single" w:color="000000" w:sz="4" w:space="0"/>
              <w:left w:val="single" w:color="000000" w:sz="4" w:space="0"/>
              <w:bottom w:val="single" w:color="auto" w:sz="4" w:space="0"/>
              <w:right w:val="single" w:color="000000" w:sz="4" w:space="0"/>
            </w:tcBorders>
            <w:vAlign w:val="center"/>
          </w:tcPr>
          <w:p>
            <w:pPr>
              <w:spacing w:line="240" w:lineRule="auto"/>
              <w:jc w:val="center"/>
              <w:rPr>
                <w:rFonts w:hint="eastAsia" w:ascii="等线" w:hAnsi="等线" w:eastAsia="宋体" w:cs="Times New Roman"/>
                <w:b/>
                <w:bCs/>
                <w:color w:val="auto"/>
                <w:kern w:val="2"/>
                <w:sz w:val="18"/>
                <w:szCs w:val="18"/>
                <w:highlight w:val="none"/>
                <w:lang w:val="zh-CN"/>
              </w:rPr>
            </w:pPr>
            <w:r>
              <w:rPr>
                <w:rFonts w:ascii="等线" w:hAnsi="等线" w:cs="Times New Roman"/>
                <w:b/>
                <w:bCs/>
                <w:color w:val="auto"/>
                <w:kern w:val="2"/>
                <w:sz w:val="18"/>
                <w:szCs w:val="18"/>
                <w:highlight w:val="none"/>
                <w:lang w:val="zh-CN"/>
              </w:rPr>
              <w:t>人员不得</w:t>
            </w:r>
            <w:r>
              <w:rPr>
                <w:rFonts w:ascii="等线" w:hAnsi="等线" w:eastAsia="宋体" w:cs="Times New Roman"/>
                <w:b/>
                <w:bCs/>
                <w:color w:val="auto"/>
                <w:kern w:val="2"/>
                <w:sz w:val="18"/>
                <w:szCs w:val="18"/>
                <w:highlight w:val="none"/>
                <w:lang w:val="zh-CN"/>
              </w:rPr>
              <w:t>少于</w:t>
            </w:r>
            <w:r>
              <w:rPr>
                <w:rFonts w:hint="eastAsia" w:ascii="等线" w:hAnsi="等线" w:cs="Times New Roman"/>
                <w:b/>
                <w:bCs/>
                <w:color w:val="auto"/>
                <w:kern w:val="2"/>
                <w:sz w:val="18"/>
                <w:szCs w:val="18"/>
                <w:highlight w:val="none"/>
                <w:lang w:val="en-US" w:eastAsia="zh-CN"/>
              </w:rPr>
              <w:t>12</w:t>
            </w:r>
            <w:r>
              <w:rPr>
                <w:rFonts w:ascii="等线" w:hAnsi="等线" w:eastAsia="宋体" w:cs="Times New Roman"/>
                <w:b/>
                <w:bCs/>
                <w:color w:val="auto"/>
                <w:kern w:val="2"/>
                <w:sz w:val="18"/>
                <w:szCs w:val="18"/>
                <w:highlight w:val="none"/>
                <w:lang w:val="zh-CN"/>
              </w:rPr>
              <w:t>人，</w:t>
            </w:r>
            <w:r>
              <w:rPr>
                <w:rFonts w:hint="eastAsia" w:ascii="等线" w:hAnsi="等线" w:eastAsia="宋体" w:cs="Times New Roman"/>
                <w:b/>
                <w:bCs/>
                <w:color w:val="auto"/>
                <w:kern w:val="2"/>
                <w:sz w:val="18"/>
                <w:szCs w:val="18"/>
                <w:highlight w:val="none"/>
                <w:lang w:val="zh-CN"/>
              </w:rPr>
              <w:t>人员工资不得低于杭州市最低工资标</w:t>
            </w:r>
            <w:r>
              <w:rPr>
                <w:rFonts w:hint="eastAsia" w:ascii="等线" w:hAnsi="等线" w:cs="Times New Roman"/>
                <w:b/>
                <w:bCs/>
                <w:color w:val="auto"/>
                <w:kern w:val="2"/>
                <w:sz w:val="18"/>
                <w:szCs w:val="18"/>
                <w:highlight w:val="none"/>
                <w:lang w:val="zh-CN"/>
              </w:rPr>
              <w:t>，</w:t>
            </w:r>
          </w:p>
          <w:p>
            <w:pPr>
              <w:spacing w:line="240" w:lineRule="auto"/>
              <w:jc w:val="center"/>
              <w:rPr>
                <w:rFonts w:hint="eastAsia" w:cs="Times New Roman"/>
                <w:color w:val="auto"/>
                <w:kern w:val="2"/>
                <w:sz w:val="18"/>
                <w:szCs w:val="18"/>
                <w:highlight w:val="none"/>
                <w:lang w:val="zh-CN" w:eastAsia="zh-CN"/>
              </w:rPr>
            </w:pPr>
            <w:r>
              <w:rPr>
                <w:rFonts w:ascii="等线" w:hAnsi="等线" w:cs="Times New Roman"/>
                <w:b/>
                <w:bCs/>
                <w:color w:val="auto"/>
                <w:kern w:val="2"/>
                <w:sz w:val="18"/>
                <w:szCs w:val="18"/>
                <w:highlight w:val="none"/>
                <w:lang w:val="zh-CN"/>
              </w:rPr>
              <w:t xml:space="preserve">服务期 </w:t>
            </w:r>
            <w:r>
              <w:rPr>
                <w:rFonts w:hint="eastAsia" w:cs="Times New Roman"/>
                <w:b/>
                <w:bCs/>
                <w:color w:val="auto"/>
                <w:kern w:val="2"/>
                <w:sz w:val="18"/>
                <w:szCs w:val="18"/>
                <w:highlight w:val="none"/>
                <w:lang w:val="en-US" w:eastAsia="zh-CN"/>
              </w:rPr>
              <w:t>2</w:t>
            </w:r>
            <w:r>
              <w:rPr>
                <w:rFonts w:ascii="等线" w:hAnsi="等线" w:cs="Times New Roman"/>
                <w:b/>
                <w:bCs/>
                <w:color w:val="auto"/>
                <w:kern w:val="2"/>
                <w:sz w:val="18"/>
                <w:szCs w:val="18"/>
                <w:highlight w:val="none"/>
                <w:lang w:val="zh-CN"/>
              </w:rPr>
              <w:t xml:space="preserve">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4" w:hRule="atLeast"/>
        </w:trPr>
        <w:tc>
          <w:tcPr>
            <w:tcW w:w="7005" w:type="dxa"/>
            <w:gridSpan w:val="5"/>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合计总价</w:t>
            </w:r>
          </w:p>
        </w:tc>
        <w:tc>
          <w:tcPr>
            <w:tcW w:w="1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小写</w:t>
            </w:r>
            <w:r>
              <w:rPr>
                <w:rFonts w:hint="eastAsia" w:cs="Times New Roman"/>
                <w:color w:val="auto"/>
                <w:kern w:val="2"/>
                <w:sz w:val="18"/>
                <w:szCs w:val="18"/>
                <w:highlight w:val="none"/>
                <w:lang w:val="zh-CN"/>
              </w:rPr>
              <w:t>（元）</w:t>
            </w:r>
          </w:p>
        </w:tc>
        <w:tc>
          <w:tcPr>
            <w:tcW w:w="5453" w:type="dxa"/>
            <w:tcBorders>
              <w:top w:val="single" w:color="000000" w:sz="4" w:space="0"/>
              <w:left w:val="single" w:color="000000" w:sz="4" w:space="0"/>
              <w:bottom w:val="single" w:color="auto"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4" w:hRule="atLeast"/>
        </w:trPr>
        <w:tc>
          <w:tcPr>
            <w:tcW w:w="7005"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p>
        </w:tc>
        <w:tc>
          <w:tcPr>
            <w:tcW w:w="1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大写</w:t>
            </w:r>
            <w:r>
              <w:rPr>
                <w:rFonts w:hint="eastAsia" w:cs="Times New Roman"/>
                <w:color w:val="auto"/>
                <w:kern w:val="2"/>
                <w:sz w:val="18"/>
                <w:szCs w:val="18"/>
                <w:highlight w:val="none"/>
                <w:lang w:val="zh-CN"/>
              </w:rPr>
              <w:t>（元）</w:t>
            </w:r>
          </w:p>
        </w:tc>
        <w:tc>
          <w:tcPr>
            <w:tcW w:w="5453" w:type="dxa"/>
            <w:tcBorders>
              <w:top w:val="single" w:color="auto" w:sz="4" w:space="0"/>
              <w:left w:val="single" w:color="000000"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4190"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sz w:val="18"/>
                <w:szCs w:val="18"/>
                <w:highlight w:val="none"/>
                <w:lang w:val="zh-CN"/>
              </w:rPr>
            </w:pPr>
            <w:r>
              <w:rPr>
                <w:rFonts w:ascii="等线" w:hAnsi="等线" w:cs="Times New Roman"/>
                <w:color w:val="auto"/>
                <w:kern w:val="2"/>
                <w:sz w:val="18"/>
                <w:szCs w:val="18"/>
                <w:highlight w:val="none"/>
                <w:lang w:val="zh-CN"/>
              </w:rPr>
              <w:t>说明：</w:t>
            </w:r>
            <w:r>
              <w:rPr>
                <w:rFonts w:hint="eastAsia" w:cs="Times New Roman"/>
                <w:color w:val="auto"/>
                <w:kern w:val="2"/>
                <w:sz w:val="18"/>
                <w:szCs w:val="18"/>
                <w:highlight w:val="none"/>
                <w:lang w:val="zh-CN"/>
              </w:rPr>
              <w:t>（</w:t>
            </w:r>
            <w:r>
              <w:rPr>
                <w:rFonts w:hint="eastAsia" w:cs="Times New Roman"/>
                <w:color w:val="auto"/>
                <w:kern w:val="2"/>
                <w:sz w:val="18"/>
                <w:szCs w:val="18"/>
                <w:highlight w:val="none"/>
                <w:lang w:val="en-US" w:eastAsia="zh-CN"/>
              </w:rPr>
              <w:t>1</w:t>
            </w:r>
            <w:r>
              <w:rPr>
                <w:rFonts w:hint="eastAsia" w:cs="Times New Roman"/>
                <w:color w:val="auto"/>
                <w:kern w:val="2"/>
                <w:sz w:val="18"/>
                <w:szCs w:val="18"/>
                <w:highlight w:val="none"/>
                <w:lang w:val="zh-CN"/>
              </w:rPr>
              <w:t>）</w:t>
            </w:r>
            <w:r>
              <w:rPr>
                <w:rFonts w:ascii="等线" w:hAnsi="等线" w:cs="Times New Roman"/>
                <w:color w:val="auto"/>
                <w:kern w:val="2"/>
                <w:sz w:val="18"/>
                <w:szCs w:val="18"/>
                <w:highlight w:val="none"/>
                <w:lang w:val="zh-CN"/>
              </w:rPr>
              <w:t>投标报价四舍五入到元。</w:t>
            </w:r>
          </w:p>
        </w:tc>
      </w:tr>
    </w:tbl>
    <w:p>
      <w:pPr>
        <w:pStyle w:val="3"/>
        <w:spacing w:line="360" w:lineRule="exact"/>
        <w:rPr>
          <w:rFonts w:hint="eastAsia" w:ascii="华文仿宋" w:hAnsi="华文仿宋" w:eastAsia="华文仿宋" w:cs="仿宋_GB2312"/>
          <w:b/>
          <w:bCs/>
          <w:color w:val="auto"/>
          <w:kern w:val="0"/>
          <w:sz w:val="24"/>
          <w:highlight w:val="none"/>
          <w:lang w:val="en-US"/>
        </w:rPr>
      </w:pPr>
      <w:r>
        <w:rPr>
          <w:rFonts w:hint="eastAsia" w:ascii="仿宋_GB2312" w:hAnsi="仿宋" w:eastAsia="仿宋_GB2312" w:cs="仿宋_GB2312"/>
          <w:b/>
          <w:color w:val="auto"/>
          <w:kern w:val="0"/>
          <w:sz w:val="24"/>
          <w:highlight w:val="none"/>
          <w:lang w:val="zh-CN"/>
        </w:rPr>
        <w:t>注：</w:t>
      </w:r>
      <w:r>
        <w:rPr>
          <w:rFonts w:ascii="仿宋_GB2312" w:hAnsi="仿宋" w:eastAsia="仿宋_GB2312" w:cs="仿宋_GB2312"/>
          <w:b/>
          <w:bCs/>
          <w:color w:val="auto"/>
          <w:kern w:val="0"/>
          <w:sz w:val="24"/>
          <w:highlight w:val="none"/>
          <w:lang w:val="zh-CN"/>
        </w:rPr>
        <w:t>1、</w:t>
      </w:r>
      <w:r>
        <w:rPr>
          <w:rFonts w:hint="eastAsia" w:ascii="仿宋_GB2312" w:hAnsi="仿宋" w:eastAsia="仿宋_GB2312" w:cs="仿宋_GB2312"/>
          <w:b/>
          <w:bCs/>
          <w:color w:val="auto"/>
          <w:kern w:val="0"/>
          <w:sz w:val="24"/>
          <w:highlight w:val="none"/>
          <w:lang w:val="zh-CN"/>
        </w:rPr>
        <w:t>▲本次招标最低人员工资不得低于47986.92元/年•人</w:t>
      </w:r>
      <w:r>
        <w:rPr>
          <w:rFonts w:hint="eastAsia" w:ascii="华文仿宋" w:hAnsi="华文仿宋" w:eastAsia="华文仿宋" w:cs="仿宋_GB2312"/>
          <w:b/>
          <w:bCs/>
          <w:color w:val="auto"/>
          <w:kern w:val="0"/>
          <w:sz w:val="24"/>
          <w:highlight w:val="none"/>
          <w:lang w:val="en-US"/>
        </w:rPr>
        <w:t>。</w:t>
      </w:r>
    </w:p>
    <w:p>
      <w:pPr>
        <w:snapToGrid w:val="0"/>
        <w:spacing w:line="360" w:lineRule="auto"/>
        <w:rPr>
          <w:rFonts w:hint="eastAsia" w:ascii="仿宋_GB2312" w:hAnsi="仿宋" w:eastAsia="仿宋_GB2312" w:cs="仿宋_GB2312"/>
          <w:b/>
          <w:color w:val="auto"/>
          <w:kern w:val="0"/>
          <w:sz w:val="24"/>
          <w:highlight w:val="none"/>
          <w:lang w:val="zh-CN"/>
        </w:rPr>
      </w:pPr>
    </w:p>
    <w:p>
      <w:pPr>
        <w:snapToGrid w:val="0"/>
        <w:spacing w:line="360" w:lineRule="auto"/>
        <w:rPr>
          <w:rFonts w:hint="eastAsia" w:ascii="仿宋_GB2312" w:hAnsi="仿宋" w:eastAsia="仿宋_GB2312" w:cs="仿宋_GB2312"/>
          <w:b/>
          <w:color w:val="auto"/>
          <w:kern w:val="0"/>
          <w:sz w:val="24"/>
          <w:highlight w:val="none"/>
          <w:lang w:val="zh-CN"/>
        </w:rPr>
      </w:pPr>
    </w:p>
    <w:p>
      <w:pPr>
        <w:snapToGrid w:val="0"/>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2</w:t>
      </w:r>
      <w:r>
        <w:rPr>
          <w:rFonts w:ascii="仿宋_GB2312" w:hAnsi="仿宋" w:eastAsia="仿宋_GB2312" w:cs="仿宋_GB2312"/>
          <w:color w:val="auto"/>
          <w:kern w:val="0"/>
          <w:sz w:val="24"/>
          <w:highlight w:val="none"/>
          <w:lang w:val="zh-CN"/>
        </w:rPr>
        <w:t>、投标人需按本表格式填写，不得自行更改。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3</w:t>
      </w:r>
      <w:r>
        <w:rPr>
          <w:rFonts w:ascii="仿宋_GB2312" w:hAnsi="仿宋" w:eastAsia="仿宋_GB2312" w:cs="仿宋_GB2312"/>
          <w:color w:val="auto"/>
          <w:kern w:val="0"/>
          <w:sz w:val="24"/>
          <w:highlight w:val="none"/>
          <w:lang w:val="zh-CN"/>
        </w:rPr>
        <w:t>、有关本项目实施所涉及的一切费用均计入报价。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4</w:t>
      </w:r>
      <w:r>
        <w:rPr>
          <w:rFonts w:ascii="仿宋_GB2312" w:hAnsi="仿宋" w:eastAsia="仿宋_GB2312" w:cs="仿宋_GB2312"/>
          <w:color w:val="auto"/>
          <w:kern w:val="0"/>
          <w:sz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5</w:t>
      </w:r>
      <w:r>
        <w:rPr>
          <w:rFonts w:ascii="仿宋_GB2312" w:hAnsi="仿宋" w:eastAsia="仿宋_GB2312" w:cs="仿宋_GB2312"/>
          <w:color w:val="auto"/>
          <w:kern w:val="0"/>
          <w:sz w:val="24"/>
          <w:highlight w:val="none"/>
          <w:lang w:val="zh-CN"/>
        </w:rPr>
        <w:t>、特别提示：采购机构将对项目名称和项目编号，中标供应商名称、地址和中标金额，主要中标标的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szCs w:val="22"/>
          <w:highlight w:val="none"/>
          <w:lang w:val="en-US" w:eastAsia="zh-CN"/>
        </w:rPr>
        <w:t>6</w:t>
      </w:r>
      <w:r>
        <w:rPr>
          <w:rFonts w:ascii="仿宋_GB2312" w:hAnsi="仿宋" w:eastAsia="仿宋_GB2312" w:cs="仿宋_GB2312"/>
          <w:color w:val="auto"/>
          <w:kern w:val="0"/>
          <w:sz w:val="24"/>
          <w:szCs w:val="22"/>
          <w:highlight w:val="none"/>
          <w:lang w:val="zh-CN"/>
        </w:rPr>
        <w:t>、</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color w:val="auto"/>
          <w:kern w:val="0"/>
          <w:sz w:val="24"/>
          <w:highlight w:val="none"/>
        </w:rPr>
      </w:pPr>
    </w:p>
    <w:p>
      <w:pPr>
        <w:pStyle w:val="378"/>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snapToGrid w:val="0"/>
        <w:spacing w:line="360" w:lineRule="auto"/>
        <w:ind w:firstLine="482" w:firstLineChars="200"/>
        <w:jc w:val="right"/>
        <w:rPr>
          <w:rFonts w:hint="eastAsia" w:ascii="仿宋" w:hAnsi="仿宋" w:eastAsia="仿宋" w:cs="仿宋"/>
          <w:b/>
          <w:color w:val="auto"/>
          <w:kern w:val="0"/>
          <w:sz w:val="24"/>
          <w:highlight w:val="none"/>
        </w:rPr>
      </w:pPr>
    </w:p>
    <w:p>
      <w:pPr>
        <w:spacing w:line="360" w:lineRule="auto"/>
        <w:ind w:right="960" w:firstLine="10440" w:firstLineChars="435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48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pStyle w:val="378"/>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378"/>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bookmarkStart w:id="394" w:name="_Toc233618992"/>
      <w:r>
        <w:rPr>
          <w:rFonts w:hint="eastAsia" w:ascii="仿宋_GB2312" w:hAnsi="仿宋" w:eastAsia="仿宋_GB2312" w:cs="仿宋_GB2312"/>
          <w:color w:val="auto"/>
          <w:kern w:val="2"/>
          <w:sz w:val="32"/>
          <w:szCs w:val="32"/>
          <w:highlight w:val="none"/>
        </w:rPr>
        <w:t>一、开标一览表（</w:t>
      </w:r>
      <w:r>
        <w:rPr>
          <w:rFonts w:hint="eastAsia" w:ascii="仿宋_GB2312" w:hAnsi="仿宋" w:eastAsia="仿宋_GB2312" w:cs="仿宋_GB2312"/>
          <w:color w:val="auto"/>
          <w:kern w:val="2"/>
          <w:sz w:val="32"/>
          <w:szCs w:val="32"/>
          <w:highlight w:val="none"/>
          <w:lang w:val="en-US" w:eastAsia="zh-CN"/>
        </w:rPr>
        <w:t>标项二</w:t>
      </w:r>
      <w:r>
        <w:rPr>
          <w:rFonts w:hint="eastAsia" w:ascii="仿宋_GB2312" w:hAnsi="仿宋" w:eastAsia="仿宋_GB2312" w:cs="仿宋_GB2312"/>
          <w:color w:val="auto"/>
          <w:kern w:val="2"/>
          <w:sz w:val="32"/>
          <w:szCs w:val="32"/>
          <w:highlight w:val="none"/>
        </w:rPr>
        <w:t>）</w:t>
      </w: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杭州市临平区人民政府运河街道办事处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杭州正鸿工程咨询有限公司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u w:val="singl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4"/>
        <w:tblW w:w="141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3"/>
        <w:gridCol w:w="1584"/>
        <w:gridCol w:w="1658"/>
        <w:gridCol w:w="1020"/>
        <w:gridCol w:w="2010"/>
        <w:gridCol w:w="1732"/>
        <w:gridCol w:w="5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序号</w:t>
            </w:r>
          </w:p>
        </w:tc>
        <w:tc>
          <w:tcPr>
            <w:tcW w:w="3242"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auto"/>
              <w:ind w:left="0"/>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项目</w:t>
            </w:r>
          </w:p>
        </w:tc>
        <w:tc>
          <w:tcPr>
            <w:tcW w:w="1020" w:type="dxa"/>
            <w:tcBorders>
              <w:top w:val="single" w:color="000000" w:sz="4" w:space="0"/>
              <w:left w:val="single" w:color="auto" w:sz="4" w:space="0"/>
              <w:bottom w:val="single" w:color="000000" w:sz="4" w:space="0"/>
              <w:right w:val="single" w:color="auto" w:sz="4" w:space="0"/>
            </w:tcBorders>
            <w:vAlign w:val="center"/>
          </w:tcPr>
          <w:p>
            <w:pPr>
              <w:spacing w:line="240" w:lineRule="auto"/>
              <w:ind w:left="0"/>
              <w:jc w:val="center"/>
              <w:rPr>
                <w:rFonts w:hint="default" w:ascii="等线" w:hAnsi="等线" w:eastAsia="宋体" w:cs="Times New Roman"/>
                <w:color w:val="auto"/>
                <w:kern w:val="2"/>
                <w:sz w:val="18"/>
                <w:szCs w:val="18"/>
                <w:highlight w:val="none"/>
                <w:lang w:val="en-US" w:eastAsia="zh-CN"/>
              </w:rPr>
            </w:pPr>
            <w:r>
              <w:rPr>
                <w:rFonts w:hint="eastAsia" w:ascii="等线" w:hAnsi="等线" w:eastAsia="宋体" w:cs="Times New Roman"/>
                <w:color w:val="auto"/>
                <w:kern w:val="2"/>
                <w:sz w:val="18"/>
                <w:szCs w:val="18"/>
                <w:highlight w:val="none"/>
                <w:lang w:val="en-US" w:eastAsia="zh-CN"/>
              </w:rPr>
              <w:t>服务期</w:t>
            </w:r>
          </w:p>
        </w:tc>
        <w:tc>
          <w:tcPr>
            <w:tcW w:w="2010" w:type="dxa"/>
            <w:tcBorders>
              <w:top w:val="single" w:color="000000" w:sz="4" w:space="0"/>
              <w:left w:val="single" w:color="auto" w:sz="4" w:space="0"/>
              <w:bottom w:val="single" w:color="000000" w:sz="4" w:space="0"/>
              <w:right w:val="single" w:color="000000" w:sz="4" w:space="0"/>
            </w:tcBorders>
            <w:vAlign w:val="center"/>
          </w:tcPr>
          <w:p>
            <w:pPr>
              <w:spacing w:line="240" w:lineRule="auto"/>
              <w:ind w:left="0"/>
              <w:jc w:val="center"/>
              <w:rPr>
                <w:rFonts w:hint="default" w:ascii="等线" w:hAnsi="等线" w:eastAsia="宋体" w:cs="Times New Roman"/>
                <w:color w:val="auto"/>
                <w:kern w:val="2"/>
                <w:sz w:val="18"/>
                <w:szCs w:val="18"/>
                <w:highlight w:val="none"/>
                <w:lang w:val="en-US" w:eastAsia="zh-CN"/>
              </w:rPr>
            </w:pPr>
            <w:r>
              <w:rPr>
                <w:rFonts w:hint="eastAsia" w:ascii="等线" w:hAnsi="等线" w:eastAsia="宋体" w:cs="Times New Roman"/>
                <w:color w:val="auto"/>
                <w:kern w:val="2"/>
                <w:sz w:val="18"/>
                <w:szCs w:val="18"/>
                <w:highlight w:val="none"/>
                <w:lang w:val="en-US" w:eastAsia="zh-CN"/>
              </w:rPr>
              <w:t>投标报价（元/年）</w:t>
            </w:r>
          </w:p>
        </w:tc>
        <w:tc>
          <w:tcPr>
            <w:tcW w:w="1732"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center"/>
              <w:rPr>
                <w:rFonts w:hint="default" w:ascii="等线" w:hAnsi="等线" w:eastAsia="宋体" w:cs="Times New Roman"/>
                <w:color w:val="auto"/>
                <w:kern w:val="2"/>
                <w:sz w:val="18"/>
                <w:szCs w:val="18"/>
                <w:highlight w:val="none"/>
                <w:lang w:val="en-US" w:eastAsia="zh-CN"/>
              </w:rPr>
            </w:pPr>
            <w:r>
              <w:rPr>
                <w:rFonts w:hint="eastAsia" w:ascii="等线" w:hAnsi="等线" w:eastAsia="宋体" w:cs="Times New Roman"/>
                <w:color w:val="auto"/>
                <w:kern w:val="2"/>
                <w:sz w:val="18"/>
                <w:szCs w:val="18"/>
                <w:highlight w:val="none"/>
                <w:lang w:eastAsia="zh-CN"/>
              </w:rPr>
              <w:t>投标</w:t>
            </w:r>
            <w:r>
              <w:rPr>
                <w:rFonts w:hint="eastAsia" w:ascii="等线" w:hAnsi="等线" w:eastAsia="宋体" w:cs="Times New Roman"/>
                <w:color w:val="auto"/>
                <w:kern w:val="2"/>
                <w:sz w:val="18"/>
                <w:szCs w:val="18"/>
                <w:highlight w:val="none"/>
                <w:lang w:val="en-US" w:eastAsia="zh-CN"/>
              </w:rPr>
              <w:t>总</w:t>
            </w:r>
            <w:r>
              <w:rPr>
                <w:rFonts w:hint="eastAsia" w:ascii="等线" w:hAnsi="等线" w:eastAsia="宋体" w:cs="Times New Roman"/>
                <w:color w:val="auto"/>
                <w:kern w:val="2"/>
                <w:sz w:val="18"/>
                <w:szCs w:val="18"/>
                <w:highlight w:val="none"/>
                <w:lang w:eastAsia="zh-CN"/>
              </w:rPr>
              <w:t>报价（</w:t>
            </w:r>
            <w:r>
              <w:rPr>
                <w:rFonts w:hint="eastAsia" w:ascii="等线" w:hAnsi="等线" w:eastAsia="宋体" w:cs="Times New Roman"/>
                <w:color w:val="auto"/>
                <w:kern w:val="2"/>
                <w:sz w:val="18"/>
                <w:szCs w:val="18"/>
                <w:highlight w:val="none"/>
                <w:lang w:val="en-US" w:eastAsia="zh-CN"/>
              </w:rPr>
              <w:t>元）</w:t>
            </w:r>
          </w:p>
        </w:tc>
        <w:tc>
          <w:tcPr>
            <w:tcW w:w="5453"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9" w:hRule="atLeast"/>
        </w:trPr>
        <w:tc>
          <w:tcPr>
            <w:tcW w:w="733"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等线" w:hAnsi="等线" w:eastAsia="宋体" w:cs="Times New Roman"/>
                <w:color w:val="auto"/>
                <w:kern w:val="2"/>
                <w:sz w:val="18"/>
                <w:szCs w:val="18"/>
                <w:highlight w:val="none"/>
                <w:lang w:val="zh-CN" w:eastAsia="zh-CN"/>
              </w:rPr>
            </w:pPr>
            <w:r>
              <w:rPr>
                <w:rFonts w:hint="eastAsia" w:cs="Times New Roman"/>
                <w:color w:val="auto"/>
                <w:kern w:val="2"/>
                <w:sz w:val="18"/>
                <w:szCs w:val="18"/>
                <w:highlight w:val="none"/>
                <w:lang w:val="en-US" w:eastAsia="zh-CN"/>
              </w:rPr>
              <w:t>1</w:t>
            </w:r>
          </w:p>
        </w:tc>
        <w:tc>
          <w:tcPr>
            <w:tcW w:w="1584" w:type="dxa"/>
            <w:vMerge w:val="restart"/>
            <w:tcBorders>
              <w:top w:val="single" w:color="000000" w:sz="4" w:space="0"/>
              <w:left w:val="single" w:color="000000" w:sz="4" w:space="0"/>
              <w:right w:val="single" w:color="auto" w:sz="4" w:space="0"/>
            </w:tcBorders>
            <w:vAlign w:val="center"/>
          </w:tcPr>
          <w:p>
            <w:pPr>
              <w:spacing w:line="240" w:lineRule="auto"/>
              <w:jc w:val="center"/>
              <w:rPr>
                <w:rFonts w:hint="default" w:ascii="等线" w:hAnsi="等线" w:cs="Times New Roman"/>
                <w:color w:val="auto"/>
                <w:kern w:val="2"/>
                <w:sz w:val="18"/>
                <w:szCs w:val="18"/>
                <w:highlight w:val="none"/>
                <w:lang w:val="en-US"/>
              </w:rPr>
            </w:pPr>
            <w:r>
              <w:rPr>
                <w:rFonts w:hint="eastAsia" w:ascii="宋体" w:hAnsi="宋体" w:cs="宋体"/>
                <w:color w:val="auto"/>
                <w:kern w:val="0"/>
                <w:sz w:val="21"/>
                <w:szCs w:val="21"/>
                <w:highlight w:val="none"/>
              </w:rPr>
              <w:t>道路保洁费</w:t>
            </w:r>
          </w:p>
        </w:tc>
        <w:tc>
          <w:tcPr>
            <w:tcW w:w="1658" w:type="dxa"/>
            <w:tcBorders>
              <w:top w:val="single" w:color="000000" w:sz="4" w:space="0"/>
              <w:left w:val="single" w:color="auto" w:sz="4" w:space="0"/>
              <w:right w:val="single" w:color="auto" w:sz="4" w:space="0"/>
            </w:tcBorders>
            <w:vAlign w:val="center"/>
          </w:tcPr>
          <w:p>
            <w:pPr>
              <w:spacing w:line="240" w:lineRule="auto"/>
              <w:jc w:val="center"/>
              <w:rPr>
                <w:rFonts w:hint="default" w:ascii="等线" w:hAnsi="等线"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日常保洁人员工资</w:t>
            </w:r>
          </w:p>
        </w:tc>
        <w:tc>
          <w:tcPr>
            <w:tcW w:w="1020" w:type="dxa"/>
            <w:tcBorders>
              <w:top w:val="single" w:color="000000" w:sz="4" w:space="0"/>
              <w:left w:val="single" w:color="auto" w:sz="4" w:space="0"/>
              <w:right w:val="single" w:color="auto" w:sz="4" w:space="0"/>
            </w:tcBorders>
            <w:vAlign w:val="center"/>
          </w:tcPr>
          <w:p>
            <w:pPr>
              <w:spacing w:line="240" w:lineRule="auto"/>
              <w:jc w:val="center"/>
              <w:rPr>
                <w:rFonts w:hint="default"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2年</w:t>
            </w:r>
          </w:p>
        </w:tc>
        <w:tc>
          <w:tcPr>
            <w:tcW w:w="2010" w:type="dxa"/>
            <w:tcBorders>
              <w:top w:val="single" w:color="000000" w:sz="4" w:space="0"/>
              <w:left w:val="single" w:color="auto" w:sz="4" w:space="0"/>
              <w:right w:val="single" w:color="000000" w:sz="4" w:space="0"/>
            </w:tcBorders>
            <w:vAlign w:val="center"/>
          </w:tcPr>
          <w:p>
            <w:pPr>
              <w:spacing w:line="360" w:lineRule="auto"/>
              <w:jc w:val="center"/>
              <w:rPr>
                <w:rFonts w:hint="default" w:cs="Times New Roman"/>
                <w:color w:val="auto"/>
                <w:kern w:val="2"/>
                <w:sz w:val="18"/>
                <w:szCs w:val="18"/>
                <w:highlight w:val="none"/>
                <w:lang w:val="en-US" w:eastAsia="zh-CN"/>
              </w:rPr>
            </w:pPr>
            <w:r>
              <w:rPr>
                <w:rFonts w:hint="eastAsia" w:ascii="宋体" w:hAnsi="宋体"/>
                <w:color w:val="auto"/>
                <w:sz w:val="24"/>
                <w:highlight w:val="none"/>
              </w:rPr>
              <w:t>（小写）</w:t>
            </w:r>
          </w:p>
        </w:tc>
        <w:tc>
          <w:tcPr>
            <w:tcW w:w="1732" w:type="dxa"/>
            <w:tcBorders>
              <w:top w:val="single" w:color="000000" w:sz="4" w:space="0"/>
              <w:left w:val="single" w:color="000000" w:sz="4" w:space="0"/>
              <w:right w:val="single" w:color="000000" w:sz="4" w:space="0"/>
            </w:tcBorders>
            <w:vAlign w:val="center"/>
          </w:tcPr>
          <w:p>
            <w:pPr>
              <w:spacing w:line="360" w:lineRule="auto"/>
              <w:jc w:val="center"/>
              <w:rPr>
                <w:rFonts w:ascii="等线" w:hAnsi="等线" w:cs="Times New Roman"/>
                <w:color w:val="auto"/>
                <w:kern w:val="2"/>
                <w:sz w:val="18"/>
                <w:szCs w:val="18"/>
                <w:highlight w:val="none"/>
                <w:lang w:val="zh-CN"/>
              </w:rPr>
            </w:pPr>
            <w:r>
              <w:rPr>
                <w:rFonts w:hint="eastAsia" w:ascii="宋体" w:hAnsi="宋体"/>
                <w:color w:val="auto"/>
                <w:sz w:val="24"/>
                <w:highlight w:val="none"/>
              </w:rPr>
              <w:t>（小写）</w:t>
            </w:r>
          </w:p>
        </w:tc>
        <w:tc>
          <w:tcPr>
            <w:tcW w:w="545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等线" w:hAnsi="等线" w:cs="Times New Roman"/>
                <w:b/>
                <w:bCs/>
                <w:color w:val="auto"/>
                <w:kern w:val="2"/>
                <w:sz w:val="18"/>
                <w:szCs w:val="18"/>
                <w:highlight w:val="none"/>
                <w:lang w:val="zh-CN"/>
              </w:rPr>
            </w:pPr>
            <w:r>
              <w:rPr>
                <w:rFonts w:ascii="等线" w:hAnsi="等线" w:cs="Times New Roman"/>
                <w:b/>
                <w:bCs/>
                <w:color w:val="auto"/>
                <w:kern w:val="2"/>
                <w:sz w:val="18"/>
                <w:szCs w:val="18"/>
                <w:highlight w:val="none"/>
                <w:lang w:val="zh-CN"/>
              </w:rPr>
              <w:t>人员不得少于</w:t>
            </w:r>
            <w:r>
              <w:rPr>
                <w:rFonts w:hint="eastAsia" w:ascii="等线" w:hAnsi="等线" w:cs="Times New Roman"/>
                <w:b/>
                <w:bCs/>
                <w:color w:val="auto"/>
                <w:kern w:val="2"/>
                <w:sz w:val="18"/>
                <w:szCs w:val="18"/>
                <w:highlight w:val="none"/>
                <w:lang w:val="en-US" w:eastAsia="zh-CN"/>
              </w:rPr>
              <w:t>77</w:t>
            </w:r>
            <w:r>
              <w:rPr>
                <w:rFonts w:ascii="等线" w:hAnsi="等线" w:cs="Times New Roman"/>
                <w:b/>
                <w:bCs/>
                <w:color w:val="auto"/>
                <w:kern w:val="2"/>
                <w:sz w:val="18"/>
                <w:szCs w:val="18"/>
                <w:highlight w:val="none"/>
                <w:lang w:val="zh-CN"/>
              </w:rPr>
              <w:t>人，</w:t>
            </w:r>
            <w:r>
              <w:rPr>
                <w:rFonts w:hint="eastAsia" w:ascii="等线" w:hAnsi="等线" w:eastAsia="宋体" w:cs="Times New Roman"/>
                <w:b/>
                <w:bCs/>
                <w:color w:val="auto"/>
                <w:kern w:val="2"/>
                <w:sz w:val="18"/>
                <w:szCs w:val="18"/>
                <w:highlight w:val="none"/>
                <w:lang w:val="zh-CN"/>
              </w:rPr>
              <w:t>人员工资不得低于杭州市最低工资标</w:t>
            </w:r>
            <w:r>
              <w:rPr>
                <w:rFonts w:hint="eastAsia" w:ascii="等线" w:hAnsi="等线" w:cs="Times New Roman"/>
                <w:b/>
                <w:bCs/>
                <w:color w:val="auto"/>
                <w:kern w:val="2"/>
                <w:sz w:val="18"/>
                <w:szCs w:val="18"/>
                <w:highlight w:val="none"/>
                <w:lang w:val="zh-CN"/>
              </w:rPr>
              <w:t>，</w:t>
            </w:r>
          </w:p>
          <w:p>
            <w:pPr>
              <w:spacing w:line="240" w:lineRule="auto"/>
              <w:jc w:val="center"/>
              <w:rPr>
                <w:rFonts w:ascii="等线" w:hAnsi="等线" w:cs="Times New Roman"/>
                <w:color w:val="auto"/>
                <w:kern w:val="2"/>
                <w:sz w:val="18"/>
                <w:szCs w:val="18"/>
                <w:highlight w:val="none"/>
                <w:lang w:val="zh-CN"/>
              </w:rPr>
            </w:pPr>
            <w:r>
              <w:rPr>
                <w:rFonts w:ascii="等线" w:hAnsi="等线" w:cs="Times New Roman"/>
                <w:b/>
                <w:bCs/>
                <w:color w:val="auto"/>
                <w:kern w:val="2"/>
                <w:sz w:val="18"/>
                <w:szCs w:val="18"/>
                <w:highlight w:val="none"/>
                <w:lang w:val="zh-CN"/>
              </w:rPr>
              <w:t xml:space="preserve">服务期 </w:t>
            </w:r>
            <w:r>
              <w:rPr>
                <w:rFonts w:hint="eastAsia" w:ascii="等线" w:hAnsi="等线" w:cs="Times New Roman"/>
                <w:b/>
                <w:bCs/>
                <w:color w:val="auto"/>
                <w:kern w:val="2"/>
                <w:sz w:val="18"/>
                <w:szCs w:val="18"/>
                <w:highlight w:val="none"/>
                <w:lang w:val="en-US" w:eastAsia="zh-CN"/>
              </w:rPr>
              <w:t>2</w:t>
            </w:r>
            <w:r>
              <w:rPr>
                <w:rFonts w:ascii="等线" w:hAnsi="等线" w:cs="Times New Roman"/>
                <w:b/>
                <w:bCs/>
                <w:color w:val="auto"/>
                <w:kern w:val="2"/>
                <w:sz w:val="18"/>
                <w:szCs w:val="18"/>
                <w:highlight w:val="none"/>
                <w:lang w:val="zh-CN"/>
              </w:rPr>
              <w:t xml:space="preserve">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74" w:hRule="atLeast"/>
        </w:trPr>
        <w:tc>
          <w:tcPr>
            <w:tcW w:w="733" w:type="dxa"/>
            <w:vMerge w:val="continue"/>
            <w:tcBorders>
              <w:left w:val="single" w:color="000000" w:sz="4" w:space="0"/>
              <w:right w:val="single" w:color="000000" w:sz="4" w:space="0"/>
            </w:tcBorders>
            <w:vAlign w:val="center"/>
          </w:tcPr>
          <w:p>
            <w:pPr>
              <w:spacing w:line="240" w:lineRule="auto"/>
              <w:jc w:val="center"/>
              <w:rPr>
                <w:rFonts w:hint="eastAsia" w:cs="Times New Roman"/>
                <w:color w:val="auto"/>
                <w:kern w:val="2"/>
                <w:sz w:val="18"/>
                <w:szCs w:val="18"/>
                <w:highlight w:val="none"/>
                <w:lang w:val="en-US" w:eastAsia="zh-CN"/>
              </w:rPr>
            </w:pPr>
          </w:p>
        </w:tc>
        <w:tc>
          <w:tcPr>
            <w:tcW w:w="1584" w:type="dxa"/>
            <w:vMerge w:val="continue"/>
            <w:tcBorders>
              <w:left w:val="single" w:color="000000" w:sz="4" w:space="0"/>
              <w:right w:val="single" w:color="auto" w:sz="4" w:space="0"/>
            </w:tcBorders>
            <w:vAlign w:val="center"/>
          </w:tcPr>
          <w:p>
            <w:pPr>
              <w:spacing w:line="240" w:lineRule="auto"/>
              <w:jc w:val="center"/>
              <w:rPr>
                <w:rFonts w:hint="eastAsia" w:ascii="等线" w:hAnsi="等线" w:cs="Times New Roman"/>
                <w:color w:val="auto"/>
                <w:kern w:val="2"/>
                <w:sz w:val="18"/>
                <w:szCs w:val="18"/>
                <w:highlight w:val="none"/>
                <w:lang w:val="zh-CN" w:eastAsia="zh-CN"/>
              </w:rPr>
            </w:pPr>
          </w:p>
        </w:tc>
        <w:tc>
          <w:tcPr>
            <w:tcW w:w="1658" w:type="dxa"/>
            <w:tcBorders>
              <w:top w:val="single" w:color="000000" w:sz="4" w:space="0"/>
              <w:left w:val="single" w:color="auto" w:sz="4" w:space="0"/>
              <w:right w:val="single" w:color="auto" w:sz="4" w:space="0"/>
            </w:tcBorders>
            <w:vAlign w:val="center"/>
          </w:tcPr>
          <w:p>
            <w:pPr>
              <w:spacing w:line="240" w:lineRule="auto"/>
              <w:jc w:val="center"/>
              <w:rPr>
                <w:rFonts w:hint="default" w:ascii="等线" w:hAnsi="等线"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设备投入费用</w:t>
            </w:r>
          </w:p>
        </w:tc>
        <w:tc>
          <w:tcPr>
            <w:tcW w:w="1020" w:type="dxa"/>
            <w:tcBorders>
              <w:top w:val="single" w:color="000000" w:sz="4" w:space="0"/>
              <w:left w:val="single" w:color="auto" w:sz="4" w:space="0"/>
              <w:right w:val="single" w:color="auto" w:sz="4" w:space="0"/>
            </w:tcBorders>
            <w:vAlign w:val="center"/>
          </w:tcPr>
          <w:p>
            <w:pPr>
              <w:spacing w:line="240" w:lineRule="auto"/>
              <w:jc w:val="center"/>
              <w:rPr>
                <w:rFonts w:hint="eastAsia"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2年</w:t>
            </w:r>
          </w:p>
        </w:tc>
        <w:tc>
          <w:tcPr>
            <w:tcW w:w="2010" w:type="dxa"/>
            <w:tcBorders>
              <w:top w:val="single" w:color="000000" w:sz="4" w:space="0"/>
              <w:left w:val="single" w:color="auto" w:sz="4" w:space="0"/>
              <w:right w:val="single" w:color="000000" w:sz="4" w:space="0"/>
            </w:tcBorders>
            <w:vAlign w:val="center"/>
          </w:tcPr>
          <w:p>
            <w:pPr>
              <w:spacing w:line="360" w:lineRule="auto"/>
              <w:jc w:val="center"/>
              <w:rPr>
                <w:rFonts w:hint="eastAsia" w:cs="Times New Roman"/>
                <w:color w:val="auto"/>
                <w:kern w:val="2"/>
                <w:sz w:val="18"/>
                <w:szCs w:val="18"/>
                <w:highlight w:val="none"/>
                <w:lang w:val="en-US" w:eastAsia="zh-CN"/>
              </w:rPr>
            </w:pPr>
            <w:r>
              <w:rPr>
                <w:rFonts w:hint="eastAsia" w:ascii="宋体" w:hAnsi="宋体"/>
                <w:color w:val="auto"/>
                <w:sz w:val="24"/>
                <w:highlight w:val="none"/>
              </w:rPr>
              <w:t>（小写）</w:t>
            </w:r>
          </w:p>
        </w:tc>
        <w:tc>
          <w:tcPr>
            <w:tcW w:w="1732" w:type="dxa"/>
            <w:tcBorders>
              <w:top w:val="single" w:color="000000" w:sz="4" w:space="0"/>
              <w:left w:val="single" w:color="000000" w:sz="4" w:space="0"/>
              <w:right w:val="single" w:color="000000" w:sz="4" w:space="0"/>
            </w:tcBorders>
            <w:vAlign w:val="center"/>
          </w:tcPr>
          <w:p>
            <w:pPr>
              <w:spacing w:line="360" w:lineRule="auto"/>
              <w:jc w:val="center"/>
              <w:rPr>
                <w:rFonts w:ascii="等线" w:hAnsi="等线" w:cs="Times New Roman"/>
                <w:color w:val="auto"/>
                <w:kern w:val="2"/>
                <w:sz w:val="18"/>
                <w:szCs w:val="18"/>
                <w:highlight w:val="none"/>
                <w:lang w:val="zh-CN"/>
              </w:rPr>
            </w:pPr>
            <w:r>
              <w:rPr>
                <w:rFonts w:hint="eastAsia" w:ascii="宋体" w:hAnsi="宋体"/>
                <w:color w:val="auto"/>
                <w:sz w:val="24"/>
                <w:highlight w:val="none"/>
              </w:rPr>
              <w:t>（小写）</w:t>
            </w:r>
          </w:p>
        </w:tc>
        <w:tc>
          <w:tcPr>
            <w:tcW w:w="545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等线" w:hAnsi="等线" w:cs="Times New Roman"/>
                <w:color w:val="auto"/>
                <w:kern w:val="2"/>
                <w:sz w:val="18"/>
                <w:szCs w:val="18"/>
                <w:highlight w:val="none"/>
                <w:lang w:val="zh-CN"/>
              </w:rPr>
            </w:pPr>
            <w:r>
              <w:rPr>
                <w:rFonts w:hint="eastAsia" w:ascii="宋体" w:hAnsi="宋体" w:eastAsia="宋体" w:cs="宋体"/>
                <w:b/>
                <w:bCs/>
                <w:color w:val="auto"/>
                <w:sz w:val="18"/>
                <w:szCs w:val="18"/>
                <w:highlight w:val="none"/>
                <w:lang w:val="en-US" w:eastAsia="zh-CN"/>
              </w:rPr>
              <w:t>不</w:t>
            </w:r>
            <w:r>
              <w:rPr>
                <w:rFonts w:ascii="宋体" w:hAnsi="宋体" w:eastAsia="宋体" w:cs="宋体"/>
                <w:b/>
                <w:bCs/>
                <w:color w:val="auto"/>
                <w:sz w:val="18"/>
                <w:szCs w:val="18"/>
                <w:highlight w:val="none"/>
              </w:rPr>
              <w:t>得低于道路保洁费</w:t>
            </w:r>
            <w:r>
              <w:rPr>
                <w:rFonts w:hint="eastAsia" w:ascii="宋体" w:hAnsi="宋体" w:eastAsia="宋体" w:cs="宋体"/>
                <w:b/>
                <w:bCs/>
                <w:color w:val="auto"/>
                <w:sz w:val="18"/>
                <w:szCs w:val="18"/>
                <w:highlight w:val="none"/>
                <w:lang w:val="en-US" w:eastAsia="zh-CN"/>
              </w:rPr>
              <w:t>的</w:t>
            </w:r>
            <w:r>
              <w:rPr>
                <w:rFonts w:hint="eastAsia" w:ascii="宋体" w:hAnsi="宋体" w:cs="宋体"/>
                <w:b/>
                <w:bCs/>
                <w:color w:val="auto"/>
                <w:sz w:val="18"/>
                <w:szCs w:val="18"/>
                <w:highlight w:val="none"/>
                <w:lang w:val="en-US" w:eastAsia="zh-CN"/>
              </w:rPr>
              <w:t>25</w:t>
            </w:r>
            <w:r>
              <w:rPr>
                <w:rFonts w:ascii="宋体" w:hAnsi="宋体" w:eastAsia="宋体" w:cs="宋体"/>
                <w:b/>
                <w:bCs/>
                <w:color w:val="auto"/>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12" w:hRule="atLeast"/>
        </w:trPr>
        <w:tc>
          <w:tcPr>
            <w:tcW w:w="733" w:type="dxa"/>
            <w:tcBorders>
              <w:top w:val="single" w:color="000000" w:sz="4" w:space="0"/>
              <w:left w:val="single" w:color="000000" w:sz="4" w:space="0"/>
              <w:right w:val="single" w:color="000000" w:sz="4" w:space="0"/>
            </w:tcBorders>
            <w:vAlign w:val="top"/>
          </w:tcPr>
          <w:p>
            <w:pPr>
              <w:spacing w:line="240" w:lineRule="auto"/>
              <w:jc w:val="center"/>
              <w:rPr>
                <w:rFonts w:hint="eastAsia" w:cs="Times New Roman"/>
                <w:color w:val="auto"/>
                <w:kern w:val="2"/>
                <w:sz w:val="18"/>
                <w:szCs w:val="18"/>
                <w:highlight w:val="none"/>
                <w:lang w:val="en-US" w:eastAsia="zh-CN"/>
              </w:rPr>
            </w:pPr>
          </w:p>
          <w:p>
            <w:pPr>
              <w:spacing w:line="240" w:lineRule="auto"/>
              <w:jc w:val="center"/>
              <w:rPr>
                <w:rFonts w:hint="eastAsia" w:cs="Times New Roman"/>
                <w:color w:val="auto"/>
                <w:kern w:val="2"/>
                <w:sz w:val="18"/>
                <w:szCs w:val="18"/>
                <w:highlight w:val="none"/>
                <w:lang w:val="en-US" w:eastAsia="zh-CN"/>
              </w:rPr>
            </w:pPr>
          </w:p>
          <w:p>
            <w:pPr>
              <w:spacing w:line="240" w:lineRule="auto"/>
              <w:jc w:val="center"/>
              <w:rPr>
                <w:rFonts w:hint="default"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2</w:t>
            </w:r>
          </w:p>
        </w:tc>
        <w:tc>
          <w:tcPr>
            <w:tcW w:w="1584" w:type="dxa"/>
            <w:tcBorders>
              <w:top w:val="single" w:color="000000" w:sz="4" w:space="0"/>
              <w:left w:val="single" w:color="000000" w:sz="4" w:space="0"/>
              <w:right w:val="single" w:color="000000" w:sz="4" w:space="0"/>
            </w:tcBorders>
            <w:vAlign w:val="top"/>
          </w:tcPr>
          <w:p>
            <w:pPr>
              <w:spacing w:line="240" w:lineRule="auto"/>
              <w:jc w:val="center"/>
              <w:rPr>
                <w:rFonts w:hint="eastAsia" w:ascii="等线" w:hAnsi="等线" w:cs="Times New Roman"/>
                <w:color w:val="auto"/>
                <w:kern w:val="2"/>
                <w:sz w:val="18"/>
                <w:szCs w:val="18"/>
                <w:highlight w:val="none"/>
                <w:lang w:val="en-US"/>
              </w:rPr>
            </w:pPr>
          </w:p>
          <w:p>
            <w:pPr>
              <w:spacing w:line="240" w:lineRule="auto"/>
              <w:jc w:val="center"/>
              <w:rPr>
                <w:rFonts w:hint="default" w:eastAsia="宋体"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公厕</w:t>
            </w:r>
          </w:p>
        </w:tc>
        <w:tc>
          <w:tcPr>
            <w:tcW w:w="1658" w:type="dxa"/>
            <w:tcBorders>
              <w:top w:val="single" w:color="000000" w:sz="4" w:space="0"/>
              <w:left w:val="single" w:color="000000" w:sz="4" w:space="0"/>
              <w:right w:val="single" w:color="000000" w:sz="4" w:space="0"/>
            </w:tcBorders>
            <w:vAlign w:val="top"/>
          </w:tcPr>
          <w:p>
            <w:pPr>
              <w:spacing w:line="240" w:lineRule="auto"/>
              <w:jc w:val="center"/>
              <w:rPr>
                <w:rFonts w:hint="eastAsia" w:cs="Times New Roman"/>
                <w:color w:val="auto"/>
                <w:kern w:val="2"/>
                <w:sz w:val="18"/>
                <w:szCs w:val="18"/>
                <w:highlight w:val="none"/>
                <w:lang w:val="en-US" w:eastAsia="zh-CN"/>
              </w:rPr>
            </w:pPr>
          </w:p>
          <w:p>
            <w:pPr>
              <w:spacing w:line="240" w:lineRule="auto"/>
              <w:jc w:val="center"/>
              <w:rPr>
                <w:rFonts w:hint="eastAsia" w:cs="Times New Roman"/>
                <w:color w:val="auto"/>
                <w:kern w:val="2"/>
                <w:sz w:val="18"/>
                <w:szCs w:val="18"/>
                <w:highlight w:val="none"/>
                <w:lang w:val="en-US" w:eastAsia="zh-CN"/>
              </w:rPr>
            </w:pPr>
          </w:p>
          <w:p>
            <w:pPr>
              <w:spacing w:line="240" w:lineRule="auto"/>
              <w:jc w:val="center"/>
              <w:rPr>
                <w:rFonts w:hint="eastAsia" w:cs="Times New Roman"/>
                <w:color w:val="auto"/>
                <w:kern w:val="2"/>
                <w:sz w:val="18"/>
                <w:szCs w:val="18"/>
                <w:highlight w:val="none"/>
                <w:lang w:val="zh-CN" w:eastAsia="zh-CN"/>
              </w:rPr>
            </w:pPr>
            <w:r>
              <w:rPr>
                <w:rFonts w:hint="eastAsia" w:cs="Times New Roman"/>
                <w:color w:val="auto"/>
                <w:kern w:val="2"/>
                <w:sz w:val="18"/>
                <w:szCs w:val="18"/>
                <w:highlight w:val="none"/>
                <w:lang w:val="en-US" w:eastAsia="zh-CN"/>
              </w:rPr>
              <w:t>日常保洁人员工资</w:t>
            </w:r>
          </w:p>
        </w:tc>
        <w:tc>
          <w:tcPr>
            <w:tcW w:w="1020" w:type="dxa"/>
            <w:tcBorders>
              <w:top w:val="single" w:color="000000" w:sz="4" w:space="0"/>
              <w:left w:val="single" w:color="000000" w:sz="4" w:space="0"/>
              <w:right w:val="single" w:color="000000" w:sz="4" w:space="0"/>
            </w:tcBorders>
            <w:vAlign w:val="top"/>
          </w:tcPr>
          <w:p>
            <w:pPr>
              <w:spacing w:line="240" w:lineRule="auto"/>
              <w:jc w:val="center"/>
              <w:rPr>
                <w:rFonts w:hint="eastAsia" w:cs="Times New Roman"/>
                <w:color w:val="auto"/>
                <w:kern w:val="2"/>
                <w:sz w:val="18"/>
                <w:szCs w:val="18"/>
                <w:highlight w:val="none"/>
                <w:lang w:val="en-US" w:eastAsia="zh-CN"/>
              </w:rPr>
            </w:pPr>
          </w:p>
          <w:p>
            <w:pPr>
              <w:spacing w:line="240" w:lineRule="auto"/>
              <w:jc w:val="center"/>
              <w:rPr>
                <w:rFonts w:hint="eastAsia" w:cs="Times New Roman"/>
                <w:color w:val="auto"/>
                <w:kern w:val="2"/>
                <w:sz w:val="18"/>
                <w:szCs w:val="18"/>
                <w:highlight w:val="none"/>
                <w:lang w:val="en-US" w:eastAsia="zh-CN"/>
              </w:rPr>
            </w:pPr>
          </w:p>
          <w:p>
            <w:pPr>
              <w:spacing w:line="240" w:lineRule="auto"/>
              <w:jc w:val="center"/>
              <w:rPr>
                <w:rFonts w:hint="eastAsia" w:cs="Times New Roman"/>
                <w:color w:val="auto"/>
                <w:kern w:val="2"/>
                <w:sz w:val="18"/>
                <w:szCs w:val="18"/>
                <w:highlight w:val="none"/>
                <w:lang w:val="zh-CN" w:eastAsia="zh-CN"/>
              </w:rPr>
            </w:pPr>
            <w:r>
              <w:rPr>
                <w:rFonts w:hint="eastAsia" w:cs="Times New Roman"/>
                <w:color w:val="auto"/>
                <w:kern w:val="2"/>
                <w:sz w:val="18"/>
                <w:szCs w:val="18"/>
                <w:highlight w:val="none"/>
                <w:lang w:val="en-US" w:eastAsia="zh-CN"/>
              </w:rPr>
              <w:t>2年</w:t>
            </w:r>
          </w:p>
        </w:tc>
        <w:tc>
          <w:tcPr>
            <w:tcW w:w="2010" w:type="dxa"/>
            <w:tcBorders>
              <w:top w:val="single" w:color="000000" w:sz="4" w:space="0"/>
              <w:left w:val="single" w:color="000000" w:sz="4" w:space="0"/>
              <w:right w:val="single" w:color="000000" w:sz="4" w:space="0"/>
            </w:tcBorders>
            <w:vAlign w:val="top"/>
          </w:tcPr>
          <w:p>
            <w:pPr>
              <w:spacing w:line="240" w:lineRule="auto"/>
              <w:jc w:val="center"/>
              <w:rPr>
                <w:rFonts w:hint="eastAsia" w:ascii="宋体" w:hAnsi="宋体"/>
                <w:color w:val="auto"/>
                <w:sz w:val="24"/>
                <w:highlight w:val="none"/>
              </w:rPr>
            </w:pPr>
          </w:p>
          <w:p>
            <w:pPr>
              <w:spacing w:line="240" w:lineRule="auto"/>
              <w:ind w:firstLine="480" w:firstLineChars="200"/>
              <w:jc w:val="both"/>
              <w:rPr>
                <w:rFonts w:hint="eastAsia" w:cs="Times New Roman"/>
                <w:color w:val="auto"/>
                <w:kern w:val="2"/>
                <w:sz w:val="18"/>
                <w:szCs w:val="18"/>
                <w:highlight w:val="none"/>
                <w:lang w:val="zh-CN" w:eastAsia="zh-CN"/>
              </w:rPr>
            </w:pPr>
            <w:r>
              <w:rPr>
                <w:rFonts w:hint="eastAsia" w:ascii="宋体" w:hAnsi="宋体"/>
                <w:color w:val="auto"/>
                <w:sz w:val="24"/>
                <w:highlight w:val="none"/>
              </w:rPr>
              <w:t>（小写）</w:t>
            </w:r>
          </w:p>
        </w:tc>
        <w:tc>
          <w:tcPr>
            <w:tcW w:w="1732" w:type="dxa"/>
            <w:tcBorders>
              <w:top w:val="single" w:color="000000" w:sz="4" w:space="0"/>
              <w:left w:val="single" w:color="000000" w:sz="4" w:space="0"/>
              <w:right w:val="single" w:color="000000" w:sz="4" w:space="0"/>
            </w:tcBorders>
            <w:vAlign w:val="center"/>
          </w:tcPr>
          <w:p>
            <w:pPr>
              <w:spacing w:line="240" w:lineRule="auto"/>
              <w:jc w:val="center"/>
              <w:rPr>
                <w:rFonts w:hint="eastAsia" w:cs="Times New Roman"/>
                <w:color w:val="auto"/>
                <w:kern w:val="2"/>
                <w:sz w:val="18"/>
                <w:szCs w:val="18"/>
                <w:highlight w:val="none"/>
                <w:lang w:val="zh-CN" w:eastAsia="zh-CN"/>
              </w:rPr>
            </w:pPr>
            <w:r>
              <w:rPr>
                <w:rFonts w:hint="eastAsia" w:ascii="宋体" w:hAnsi="宋体"/>
                <w:color w:val="auto"/>
                <w:sz w:val="24"/>
                <w:highlight w:val="none"/>
              </w:rPr>
              <w:t>（小写）</w:t>
            </w:r>
          </w:p>
        </w:tc>
        <w:tc>
          <w:tcPr>
            <w:tcW w:w="5453" w:type="dxa"/>
            <w:tcBorders>
              <w:top w:val="single" w:color="000000" w:sz="4" w:space="0"/>
              <w:left w:val="single" w:color="000000" w:sz="4" w:space="0"/>
              <w:bottom w:val="single" w:color="auto" w:sz="4" w:space="0"/>
              <w:right w:val="single" w:color="000000" w:sz="4" w:space="0"/>
            </w:tcBorders>
            <w:vAlign w:val="center"/>
          </w:tcPr>
          <w:p>
            <w:pPr>
              <w:spacing w:line="240" w:lineRule="auto"/>
              <w:jc w:val="center"/>
              <w:rPr>
                <w:rFonts w:hint="eastAsia" w:ascii="等线" w:hAnsi="等线" w:eastAsia="宋体" w:cs="Times New Roman"/>
                <w:b/>
                <w:bCs/>
                <w:color w:val="auto"/>
                <w:kern w:val="2"/>
                <w:sz w:val="18"/>
                <w:szCs w:val="18"/>
                <w:highlight w:val="none"/>
                <w:lang w:val="zh-CN"/>
              </w:rPr>
            </w:pPr>
            <w:r>
              <w:rPr>
                <w:rFonts w:ascii="等线" w:hAnsi="等线" w:cs="Times New Roman"/>
                <w:b/>
                <w:bCs/>
                <w:color w:val="auto"/>
                <w:kern w:val="2"/>
                <w:sz w:val="18"/>
                <w:szCs w:val="18"/>
                <w:highlight w:val="none"/>
                <w:lang w:val="zh-CN"/>
              </w:rPr>
              <w:t>人员不得</w:t>
            </w:r>
            <w:r>
              <w:rPr>
                <w:rFonts w:ascii="等线" w:hAnsi="等线" w:eastAsia="宋体" w:cs="Times New Roman"/>
                <w:b/>
                <w:bCs/>
                <w:color w:val="auto"/>
                <w:kern w:val="2"/>
                <w:sz w:val="18"/>
                <w:szCs w:val="18"/>
                <w:highlight w:val="none"/>
                <w:lang w:val="zh-CN"/>
              </w:rPr>
              <w:t>少于</w:t>
            </w:r>
            <w:r>
              <w:rPr>
                <w:rFonts w:hint="eastAsia" w:ascii="等线" w:hAnsi="等线" w:cs="Times New Roman"/>
                <w:b/>
                <w:bCs/>
                <w:color w:val="auto"/>
                <w:kern w:val="2"/>
                <w:sz w:val="18"/>
                <w:szCs w:val="18"/>
                <w:highlight w:val="none"/>
                <w:lang w:val="en-US" w:eastAsia="zh-CN"/>
              </w:rPr>
              <w:t>9</w:t>
            </w:r>
            <w:r>
              <w:rPr>
                <w:rFonts w:ascii="等线" w:hAnsi="等线" w:eastAsia="宋体" w:cs="Times New Roman"/>
                <w:b/>
                <w:bCs/>
                <w:color w:val="auto"/>
                <w:kern w:val="2"/>
                <w:sz w:val="18"/>
                <w:szCs w:val="18"/>
                <w:highlight w:val="none"/>
                <w:lang w:val="zh-CN"/>
              </w:rPr>
              <w:t>人，</w:t>
            </w:r>
            <w:r>
              <w:rPr>
                <w:rFonts w:hint="eastAsia" w:ascii="等线" w:hAnsi="等线" w:eastAsia="宋体" w:cs="Times New Roman"/>
                <w:b/>
                <w:bCs/>
                <w:color w:val="auto"/>
                <w:kern w:val="2"/>
                <w:sz w:val="18"/>
                <w:szCs w:val="18"/>
                <w:highlight w:val="none"/>
                <w:lang w:val="zh-CN"/>
              </w:rPr>
              <w:t>人员工资不得低于杭州市最低工资标</w:t>
            </w:r>
            <w:r>
              <w:rPr>
                <w:rFonts w:hint="eastAsia" w:ascii="等线" w:hAnsi="等线" w:cs="Times New Roman"/>
                <w:b/>
                <w:bCs/>
                <w:color w:val="auto"/>
                <w:kern w:val="2"/>
                <w:sz w:val="18"/>
                <w:szCs w:val="18"/>
                <w:highlight w:val="none"/>
                <w:lang w:val="zh-CN"/>
              </w:rPr>
              <w:t>，</w:t>
            </w:r>
          </w:p>
          <w:p>
            <w:pPr>
              <w:spacing w:line="240" w:lineRule="auto"/>
              <w:jc w:val="center"/>
              <w:rPr>
                <w:rFonts w:hint="eastAsia" w:cs="Times New Roman"/>
                <w:color w:val="auto"/>
                <w:kern w:val="2"/>
                <w:sz w:val="18"/>
                <w:szCs w:val="18"/>
                <w:highlight w:val="none"/>
                <w:lang w:val="zh-CN" w:eastAsia="zh-CN"/>
              </w:rPr>
            </w:pPr>
            <w:r>
              <w:rPr>
                <w:rFonts w:ascii="等线" w:hAnsi="等线" w:cs="Times New Roman"/>
                <w:b/>
                <w:bCs/>
                <w:color w:val="auto"/>
                <w:kern w:val="2"/>
                <w:sz w:val="18"/>
                <w:szCs w:val="18"/>
                <w:highlight w:val="none"/>
                <w:lang w:val="zh-CN"/>
              </w:rPr>
              <w:t xml:space="preserve">服务期 </w:t>
            </w:r>
            <w:r>
              <w:rPr>
                <w:rFonts w:hint="eastAsia" w:cs="Times New Roman"/>
                <w:b/>
                <w:bCs/>
                <w:color w:val="auto"/>
                <w:kern w:val="2"/>
                <w:sz w:val="18"/>
                <w:szCs w:val="18"/>
                <w:highlight w:val="none"/>
                <w:lang w:val="en-US" w:eastAsia="zh-CN"/>
              </w:rPr>
              <w:t>2</w:t>
            </w:r>
            <w:r>
              <w:rPr>
                <w:rFonts w:ascii="等线" w:hAnsi="等线" w:cs="Times New Roman"/>
                <w:b/>
                <w:bCs/>
                <w:color w:val="auto"/>
                <w:kern w:val="2"/>
                <w:sz w:val="18"/>
                <w:szCs w:val="18"/>
                <w:highlight w:val="none"/>
                <w:lang w:val="zh-CN"/>
              </w:rPr>
              <w:t xml:space="preserve">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4" w:hRule="atLeast"/>
        </w:trPr>
        <w:tc>
          <w:tcPr>
            <w:tcW w:w="7005" w:type="dxa"/>
            <w:gridSpan w:val="5"/>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合计总价</w:t>
            </w:r>
          </w:p>
        </w:tc>
        <w:tc>
          <w:tcPr>
            <w:tcW w:w="1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小写</w:t>
            </w:r>
            <w:r>
              <w:rPr>
                <w:rFonts w:hint="eastAsia" w:cs="Times New Roman"/>
                <w:color w:val="auto"/>
                <w:kern w:val="2"/>
                <w:sz w:val="18"/>
                <w:szCs w:val="18"/>
                <w:highlight w:val="none"/>
                <w:lang w:val="zh-CN"/>
              </w:rPr>
              <w:t>（元）</w:t>
            </w:r>
          </w:p>
        </w:tc>
        <w:tc>
          <w:tcPr>
            <w:tcW w:w="5453" w:type="dxa"/>
            <w:tcBorders>
              <w:top w:val="single" w:color="000000" w:sz="4" w:space="0"/>
              <w:left w:val="single" w:color="000000" w:sz="4" w:space="0"/>
              <w:bottom w:val="single" w:color="auto"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4" w:hRule="atLeast"/>
        </w:trPr>
        <w:tc>
          <w:tcPr>
            <w:tcW w:w="7005"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p>
        </w:tc>
        <w:tc>
          <w:tcPr>
            <w:tcW w:w="1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大写</w:t>
            </w:r>
            <w:r>
              <w:rPr>
                <w:rFonts w:hint="eastAsia" w:cs="Times New Roman"/>
                <w:color w:val="auto"/>
                <w:kern w:val="2"/>
                <w:sz w:val="18"/>
                <w:szCs w:val="18"/>
                <w:highlight w:val="none"/>
                <w:lang w:val="zh-CN"/>
              </w:rPr>
              <w:t>（元）</w:t>
            </w:r>
          </w:p>
        </w:tc>
        <w:tc>
          <w:tcPr>
            <w:tcW w:w="5453" w:type="dxa"/>
            <w:tcBorders>
              <w:top w:val="single" w:color="auto" w:sz="4" w:space="0"/>
              <w:left w:val="single" w:color="000000" w:sz="4" w:space="0"/>
              <w:right w:val="single" w:color="000000" w:sz="4" w:space="0"/>
            </w:tcBorders>
            <w:vAlign w:val="center"/>
          </w:tcPr>
          <w:p>
            <w:pPr>
              <w:spacing w:line="240" w:lineRule="auto"/>
              <w:jc w:val="left"/>
              <w:rPr>
                <w:rFonts w:ascii="等线" w:hAnsi="等线" w:cs="Times New Roman"/>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9" w:hRule="atLeast"/>
        </w:trPr>
        <w:tc>
          <w:tcPr>
            <w:tcW w:w="14190"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sz w:val="18"/>
                <w:szCs w:val="18"/>
                <w:highlight w:val="none"/>
                <w:lang w:val="zh-CN"/>
              </w:rPr>
            </w:pPr>
            <w:r>
              <w:rPr>
                <w:rFonts w:ascii="等线" w:hAnsi="等线" w:cs="Times New Roman"/>
                <w:color w:val="auto"/>
                <w:kern w:val="2"/>
                <w:sz w:val="18"/>
                <w:szCs w:val="18"/>
                <w:highlight w:val="none"/>
                <w:lang w:val="zh-CN"/>
              </w:rPr>
              <w:t>说明：</w:t>
            </w:r>
            <w:r>
              <w:rPr>
                <w:rFonts w:hint="eastAsia" w:cs="Times New Roman"/>
                <w:color w:val="auto"/>
                <w:kern w:val="2"/>
                <w:sz w:val="18"/>
                <w:szCs w:val="18"/>
                <w:highlight w:val="none"/>
                <w:lang w:val="zh-CN"/>
              </w:rPr>
              <w:t>（</w:t>
            </w:r>
            <w:r>
              <w:rPr>
                <w:rFonts w:hint="eastAsia" w:cs="Times New Roman"/>
                <w:color w:val="auto"/>
                <w:kern w:val="2"/>
                <w:sz w:val="18"/>
                <w:szCs w:val="18"/>
                <w:highlight w:val="none"/>
                <w:lang w:val="en-US" w:eastAsia="zh-CN"/>
              </w:rPr>
              <w:t>1</w:t>
            </w:r>
            <w:r>
              <w:rPr>
                <w:rFonts w:hint="eastAsia" w:cs="Times New Roman"/>
                <w:color w:val="auto"/>
                <w:kern w:val="2"/>
                <w:sz w:val="18"/>
                <w:szCs w:val="18"/>
                <w:highlight w:val="none"/>
                <w:lang w:val="zh-CN"/>
              </w:rPr>
              <w:t>）</w:t>
            </w:r>
            <w:r>
              <w:rPr>
                <w:rFonts w:ascii="等线" w:hAnsi="等线" w:cs="Times New Roman"/>
                <w:color w:val="auto"/>
                <w:kern w:val="2"/>
                <w:sz w:val="18"/>
                <w:szCs w:val="18"/>
                <w:highlight w:val="none"/>
                <w:lang w:val="zh-CN"/>
              </w:rPr>
              <w:t>投标报价四舍五入到元。</w:t>
            </w:r>
          </w:p>
        </w:tc>
      </w:tr>
    </w:tbl>
    <w:p>
      <w:pPr>
        <w:pStyle w:val="3"/>
        <w:spacing w:line="360" w:lineRule="exact"/>
        <w:rPr>
          <w:rFonts w:hint="eastAsia" w:ascii="华文仿宋" w:hAnsi="华文仿宋" w:eastAsia="华文仿宋" w:cs="仿宋_GB2312"/>
          <w:b/>
          <w:bCs/>
          <w:color w:val="auto"/>
          <w:kern w:val="0"/>
          <w:sz w:val="24"/>
          <w:highlight w:val="none"/>
          <w:lang w:val="en-US"/>
        </w:rPr>
      </w:pPr>
      <w:r>
        <w:rPr>
          <w:rFonts w:hint="eastAsia" w:ascii="仿宋_GB2312" w:hAnsi="仿宋" w:eastAsia="仿宋_GB2312" w:cs="仿宋_GB2312"/>
          <w:b/>
          <w:color w:val="auto"/>
          <w:kern w:val="0"/>
          <w:sz w:val="24"/>
          <w:highlight w:val="none"/>
          <w:lang w:val="zh-CN"/>
        </w:rPr>
        <w:t>注：</w:t>
      </w:r>
      <w:r>
        <w:rPr>
          <w:rFonts w:ascii="仿宋_GB2312" w:hAnsi="仿宋" w:eastAsia="仿宋_GB2312" w:cs="仿宋_GB2312"/>
          <w:b/>
          <w:bCs/>
          <w:color w:val="auto"/>
          <w:kern w:val="0"/>
          <w:sz w:val="24"/>
          <w:highlight w:val="none"/>
          <w:lang w:val="zh-CN"/>
        </w:rPr>
        <w:t>1、</w:t>
      </w:r>
      <w:r>
        <w:rPr>
          <w:rFonts w:hint="eastAsia" w:ascii="仿宋_GB2312" w:hAnsi="仿宋" w:eastAsia="仿宋_GB2312" w:cs="仿宋_GB2312"/>
          <w:b/>
          <w:bCs/>
          <w:color w:val="auto"/>
          <w:kern w:val="0"/>
          <w:sz w:val="24"/>
          <w:highlight w:val="none"/>
          <w:lang w:val="zh-CN"/>
        </w:rPr>
        <w:t>▲本次招标最低人员工资不得低于47986.92元/年•人</w:t>
      </w:r>
      <w:r>
        <w:rPr>
          <w:rFonts w:hint="eastAsia" w:ascii="华文仿宋" w:hAnsi="华文仿宋" w:eastAsia="华文仿宋" w:cs="仿宋_GB2312"/>
          <w:b/>
          <w:bCs/>
          <w:color w:val="auto"/>
          <w:kern w:val="0"/>
          <w:sz w:val="24"/>
          <w:highlight w:val="none"/>
          <w:lang w:val="en-US"/>
        </w:rPr>
        <w:t>。</w:t>
      </w:r>
    </w:p>
    <w:p>
      <w:pPr>
        <w:snapToGrid w:val="0"/>
        <w:spacing w:line="360" w:lineRule="auto"/>
        <w:rPr>
          <w:rFonts w:hint="eastAsia" w:ascii="仿宋_GB2312" w:hAnsi="仿宋" w:eastAsia="仿宋_GB2312" w:cs="仿宋_GB2312"/>
          <w:b/>
          <w:color w:val="auto"/>
          <w:kern w:val="0"/>
          <w:sz w:val="24"/>
          <w:highlight w:val="none"/>
          <w:lang w:val="zh-CN"/>
        </w:rPr>
      </w:pPr>
    </w:p>
    <w:p>
      <w:pPr>
        <w:snapToGrid w:val="0"/>
        <w:spacing w:line="360" w:lineRule="auto"/>
        <w:rPr>
          <w:rFonts w:hint="eastAsia" w:ascii="仿宋_GB2312" w:hAnsi="仿宋" w:eastAsia="仿宋_GB2312" w:cs="仿宋_GB2312"/>
          <w:b/>
          <w:color w:val="auto"/>
          <w:kern w:val="0"/>
          <w:sz w:val="24"/>
          <w:highlight w:val="none"/>
          <w:lang w:val="zh-CN"/>
        </w:rPr>
      </w:pPr>
    </w:p>
    <w:p>
      <w:pPr>
        <w:snapToGrid w:val="0"/>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2</w:t>
      </w:r>
      <w:r>
        <w:rPr>
          <w:rFonts w:ascii="仿宋_GB2312" w:hAnsi="仿宋" w:eastAsia="仿宋_GB2312" w:cs="仿宋_GB2312"/>
          <w:color w:val="auto"/>
          <w:kern w:val="0"/>
          <w:sz w:val="24"/>
          <w:highlight w:val="none"/>
          <w:lang w:val="zh-CN"/>
        </w:rPr>
        <w:t>、投标人需按本表格式填写，不得自行更改。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3</w:t>
      </w:r>
      <w:r>
        <w:rPr>
          <w:rFonts w:ascii="仿宋_GB2312" w:hAnsi="仿宋" w:eastAsia="仿宋_GB2312" w:cs="仿宋_GB2312"/>
          <w:color w:val="auto"/>
          <w:kern w:val="0"/>
          <w:sz w:val="24"/>
          <w:highlight w:val="none"/>
          <w:lang w:val="zh-CN"/>
        </w:rPr>
        <w:t>、有关本项目实施所涉及的一切费用均计入报价。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4</w:t>
      </w:r>
      <w:r>
        <w:rPr>
          <w:rFonts w:ascii="仿宋_GB2312" w:hAnsi="仿宋" w:eastAsia="仿宋_GB2312" w:cs="仿宋_GB2312"/>
          <w:color w:val="auto"/>
          <w:kern w:val="0"/>
          <w:sz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5</w:t>
      </w:r>
      <w:r>
        <w:rPr>
          <w:rFonts w:ascii="仿宋_GB2312" w:hAnsi="仿宋" w:eastAsia="仿宋_GB2312" w:cs="仿宋_GB2312"/>
          <w:color w:val="auto"/>
          <w:kern w:val="0"/>
          <w:sz w:val="24"/>
          <w:highlight w:val="none"/>
          <w:lang w:val="zh-CN"/>
        </w:rPr>
        <w:t>、特别提示：采购机构将对项目名称和项目编号，中标供应商名称、地址和中标金额，主要中标标的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szCs w:val="22"/>
          <w:highlight w:val="none"/>
          <w:lang w:val="en-US" w:eastAsia="zh-CN"/>
        </w:rPr>
        <w:t>6</w:t>
      </w:r>
      <w:r>
        <w:rPr>
          <w:rFonts w:ascii="仿宋_GB2312" w:hAnsi="仿宋" w:eastAsia="仿宋_GB2312" w:cs="仿宋_GB2312"/>
          <w:color w:val="auto"/>
          <w:kern w:val="0"/>
          <w:sz w:val="24"/>
          <w:szCs w:val="22"/>
          <w:highlight w:val="none"/>
          <w:lang w:val="zh-CN"/>
        </w:rPr>
        <w:t>、</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color w:val="auto"/>
          <w:kern w:val="0"/>
          <w:sz w:val="24"/>
          <w:highlight w:val="none"/>
        </w:rPr>
      </w:pPr>
    </w:p>
    <w:p>
      <w:pPr>
        <w:pStyle w:val="378"/>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snapToGrid w:val="0"/>
        <w:spacing w:line="360" w:lineRule="auto"/>
        <w:ind w:firstLine="482" w:firstLineChars="200"/>
        <w:jc w:val="right"/>
        <w:rPr>
          <w:rFonts w:hint="eastAsia" w:ascii="仿宋" w:hAnsi="仿宋" w:eastAsia="仿宋" w:cs="仿宋"/>
          <w:b/>
          <w:color w:val="auto"/>
          <w:kern w:val="0"/>
          <w:sz w:val="24"/>
          <w:highlight w:val="none"/>
        </w:rPr>
      </w:pPr>
    </w:p>
    <w:p>
      <w:pPr>
        <w:spacing w:line="360" w:lineRule="auto"/>
        <w:ind w:right="960" w:firstLine="10440" w:firstLineChars="435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48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pStyle w:val="378"/>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ageBreakBefore/>
        <w:shd w:val="clear" w:color="auto" w:fill="FFFFFF"/>
        <w:snapToGrid w:val="0"/>
        <w:spacing w:line="360" w:lineRule="auto"/>
        <w:ind w:firstLine="482" w:firstLineChars="200"/>
        <w:jc w:val="center"/>
        <w:outlineLvl w:val="2"/>
        <w:rPr>
          <w:rFonts w:hint="eastAsia" w:ascii="宋体" w:hAnsi="宋体" w:cs="宋体"/>
          <w:b/>
          <w:color w:val="auto"/>
          <w:sz w:val="24"/>
          <w:highlight w:val="none"/>
        </w:rPr>
      </w:pPr>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rPr>
        <w:t>、报价明细清单</w:t>
      </w:r>
      <w:bookmarkEnd w:id="394"/>
    </w:p>
    <w:p>
      <w:pPr>
        <w:pStyle w:val="36"/>
        <w:snapToGrid w:val="0"/>
        <w:spacing w:line="360" w:lineRule="auto"/>
        <w:rPr>
          <w:rFonts w:hint="eastAsia" w:hAnsi="宋体" w:cs="宋体"/>
          <w:color w:val="auto"/>
          <w:kern w:val="0"/>
          <w:sz w:val="24"/>
          <w:highlight w:val="none"/>
          <w:lang w:val="zh-CN"/>
        </w:rPr>
      </w:pPr>
    </w:p>
    <w:p>
      <w:pPr>
        <w:pStyle w:val="36"/>
        <w:snapToGrid w:val="0"/>
        <w:spacing w:line="360" w:lineRule="auto"/>
        <w:rPr>
          <w:rFonts w:hint="eastAsia" w:hAnsi="宋体" w:cs="宋体"/>
          <w:color w:val="auto"/>
          <w:sz w:val="24"/>
          <w:highlight w:val="none"/>
        </w:rPr>
      </w:pPr>
      <w:r>
        <w:rPr>
          <w:rFonts w:hint="eastAsia" w:hAnsi="宋体" w:cs="宋体"/>
          <w:color w:val="auto"/>
          <w:kern w:val="0"/>
          <w:sz w:val="24"/>
          <w:highlight w:val="none"/>
          <w:lang w:val="zh-CN"/>
        </w:rPr>
        <w:t>注：</w:t>
      </w:r>
      <w:r>
        <w:rPr>
          <w:rFonts w:hint="eastAsia" w:hAnsi="宋体" w:cs="宋体"/>
          <w:color w:val="auto"/>
          <w:sz w:val="24"/>
          <w:highlight w:val="none"/>
        </w:rPr>
        <w:t>可根据具体情况调整报价明细清单格式，但应包括项目涉及的一切相关税、费等费用。</w:t>
      </w:r>
    </w:p>
    <w:p>
      <w:pPr>
        <w:pStyle w:val="36"/>
        <w:snapToGrid w:val="0"/>
        <w:spacing w:line="360" w:lineRule="auto"/>
        <w:rPr>
          <w:rFonts w:hint="eastAsia" w:hAnsi="宋体" w:cs="宋体"/>
          <w:color w:val="auto"/>
          <w:sz w:val="24"/>
          <w:highlight w:val="none"/>
        </w:rPr>
      </w:pPr>
    </w:p>
    <w:p>
      <w:pPr>
        <w:pStyle w:val="36"/>
        <w:snapToGrid w:val="0"/>
        <w:spacing w:line="360" w:lineRule="auto"/>
        <w:rPr>
          <w:rFonts w:hint="eastAsia" w:hAnsi="宋体" w:cs="宋体"/>
          <w:color w:val="auto"/>
          <w:sz w:val="24"/>
          <w:highlight w:val="none"/>
        </w:rPr>
      </w:pPr>
    </w:p>
    <w:p>
      <w:pPr>
        <w:pStyle w:val="36"/>
        <w:snapToGrid w:val="0"/>
        <w:spacing w:line="360" w:lineRule="auto"/>
        <w:rPr>
          <w:rFonts w:hint="eastAsia" w:hAnsi="宋体" w:cs="宋体"/>
          <w:color w:val="auto"/>
          <w:sz w:val="24"/>
          <w:highlight w:val="none"/>
        </w:rPr>
      </w:pPr>
    </w:p>
    <w:p>
      <w:pPr>
        <w:shd w:val="clear" w:color="auto" w:fill="FFFFFF"/>
        <w:snapToGrid w:val="0"/>
        <w:spacing w:line="360" w:lineRule="auto"/>
        <w:ind w:firstLine="2400" w:firstLineChars="1000"/>
        <w:rPr>
          <w:rFonts w:hint="eastAsia" w:ascii="宋体" w:hAnsi="宋体" w:cs="宋体"/>
          <w:color w:val="auto"/>
          <w:sz w:val="24"/>
          <w:highlight w:val="none"/>
        </w:rPr>
      </w:pPr>
      <w:r>
        <w:rPr>
          <w:rFonts w:hint="eastAsia" w:ascii="宋体" w:hAnsi="宋体" w:cs="宋体"/>
          <w:color w:val="auto"/>
          <w:sz w:val="24"/>
          <w:highlight w:val="none"/>
        </w:rPr>
        <w:t>投标人名称(公章)：</w:t>
      </w:r>
    </w:p>
    <w:p>
      <w:pPr>
        <w:shd w:val="clear" w:color="auto" w:fill="FFFFFF"/>
        <w:snapToGrid w:val="0"/>
        <w:spacing w:line="360" w:lineRule="auto"/>
        <w:ind w:firstLine="2400" w:firstLineChars="1000"/>
        <w:rPr>
          <w:rFonts w:ascii="宋体" w:hAnsi="宋体" w:cs="宋体"/>
          <w:color w:val="auto"/>
          <w:sz w:val="24"/>
          <w:highlight w:val="none"/>
        </w:rPr>
      </w:pPr>
      <w:r>
        <w:rPr>
          <w:rFonts w:hint="eastAsia" w:ascii="宋体" w:hAnsi="宋体" w:cs="宋体"/>
          <w:color w:val="auto"/>
          <w:sz w:val="24"/>
          <w:highlight w:val="none"/>
        </w:rPr>
        <w:t>授权代表人(签字)：</w:t>
      </w:r>
    </w:p>
    <w:p>
      <w:pPr>
        <w:pStyle w:val="26"/>
        <w:ind w:firstLine="643"/>
        <w:rPr>
          <w:rFonts w:hint="eastAsia" w:ascii="仿宋_GB2312" w:eastAsia="仿宋_GB2312"/>
          <w:b/>
          <w:color w:val="auto"/>
          <w:sz w:val="32"/>
          <w:szCs w:val="32"/>
          <w:highlight w:val="none"/>
        </w:rPr>
      </w:pPr>
    </w:p>
    <w:p>
      <w:pPr>
        <w:shd w:val="clear" w:color="auto" w:fill="FFFFFF"/>
        <w:snapToGrid w:val="0"/>
        <w:spacing w:line="360" w:lineRule="auto"/>
        <w:ind w:firstLine="5040" w:firstLineChars="2100"/>
        <w:rPr>
          <w:rFonts w:hint="eastAsia" w:ascii="宋体" w:hAnsi="宋体" w:cs="宋体"/>
          <w:color w:val="auto"/>
          <w:sz w:val="24"/>
          <w:highlight w:val="none"/>
        </w:rPr>
      </w:pPr>
      <w:r>
        <w:rPr>
          <w:rFonts w:hint="eastAsia" w:ascii="宋体" w:hAnsi="宋体" w:cs="宋体"/>
          <w:color w:val="auto"/>
          <w:sz w:val="24"/>
          <w:highlight w:val="none"/>
        </w:rPr>
        <w:t>日期：    年  月   日</w:t>
      </w:r>
    </w:p>
    <w:p>
      <w:pPr>
        <w:pStyle w:val="524"/>
        <w:tabs>
          <w:tab w:val="clear" w:pos="8268"/>
        </w:tabs>
        <w:rPr>
          <w:rFonts w:hint="eastAsia"/>
          <w:color w:val="auto"/>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378"/>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lang w:val="en-US" w:eastAsia="zh-CN"/>
        </w:rPr>
        <w:t>三</w:t>
      </w:r>
      <w:r>
        <w:rPr>
          <w:rFonts w:hint="eastAsia" w:ascii="仿宋_GB2312" w:hAnsi="仿宋" w:eastAsia="仿宋_GB2312" w:cs="仿宋_GB2312"/>
          <w:color w:val="auto"/>
          <w:kern w:val="2"/>
          <w:sz w:val="32"/>
          <w:szCs w:val="32"/>
          <w:highlight w:val="none"/>
        </w:rPr>
        <w:t>、</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pStyle w:val="378"/>
        <w:tabs>
          <w:tab w:val="clear" w:pos="720"/>
        </w:tabs>
        <w:snapToGrid w:val="0"/>
        <w:spacing w:before="120" w:after="120"/>
        <w:ind w:firstLine="643"/>
        <w:outlineLvl w:val="9"/>
        <w:rPr>
          <w:rFonts w:ascii="仿宋_GB2312" w:hAnsi="宋体" w:eastAsia="仿宋_GB2312"/>
          <w:b w:val="0"/>
          <w:color w:val="auto"/>
          <w:sz w:val="32"/>
          <w:szCs w:val="32"/>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3"/>
        <w:numPr>
          <w:ilvl w:val="0"/>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3"/>
        <w:numPr>
          <w:ilvl w:val="0"/>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2"/>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bookmarkStart w:id="395" w:name="_Toc465665161"/>
      <w:r>
        <w:rPr>
          <w:rFonts w:hint="eastAsia" w:ascii="仿宋_GB2312" w:hAnsi="仿宋" w:eastAsia="仿宋_GB2312"/>
          <w:color w:val="auto"/>
          <w:highlight w:val="none"/>
        </w:rPr>
        <w:t>附件</w:t>
      </w:r>
      <w:bookmarkEnd w:id="395"/>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396" w:name="OLE_LINK14"/>
      <w:bookmarkStart w:id="397" w:name="OLE_LINK13"/>
      <w:r>
        <w:rPr>
          <w:rFonts w:hint="eastAsia" w:ascii="仿宋_GB2312" w:hAnsi="仿宋" w:eastAsia="仿宋_GB2312"/>
          <w:b/>
          <w:color w:val="auto"/>
          <w:spacing w:val="6"/>
          <w:sz w:val="32"/>
          <w:szCs w:val="32"/>
          <w:highlight w:val="none"/>
        </w:rPr>
        <w:t>残疾人福利性单位声明函</w:t>
      </w:r>
    </w:p>
    <w:bookmarkEnd w:id="396"/>
    <w:bookmarkEnd w:id="397"/>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cs="Times New Roman"/>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6"/>
        <w:spacing w:line="360" w:lineRule="auto"/>
        <w:ind w:firstLine="0" w:firstLineChars="0"/>
        <w:jc w:val="center"/>
        <w:rPr>
          <w:rFonts w:hint="eastAsia"/>
          <w:b/>
          <w:color w:val="auto"/>
          <w:sz w:val="44"/>
          <w:szCs w:val="44"/>
          <w:highlight w:val="none"/>
        </w:rPr>
      </w:pPr>
    </w:p>
    <w:p>
      <w:pPr>
        <w:pStyle w:val="26"/>
        <w:spacing w:line="360" w:lineRule="auto"/>
        <w:ind w:firstLine="0" w:firstLineChars="0"/>
        <w:jc w:val="center"/>
        <w:rPr>
          <w:rFonts w:hint="eastAsia"/>
          <w:b/>
          <w:color w:val="auto"/>
          <w:sz w:val="44"/>
          <w:szCs w:val="44"/>
          <w:highlight w:val="none"/>
        </w:rPr>
      </w:pPr>
    </w:p>
    <w:p>
      <w:pPr>
        <w:pStyle w:val="26"/>
        <w:spacing w:line="360" w:lineRule="auto"/>
        <w:ind w:firstLine="0" w:firstLineChars="0"/>
        <w:jc w:val="both"/>
        <w:rPr>
          <w:rFonts w:hint="eastAsia"/>
          <w:b/>
          <w:color w:val="auto"/>
          <w:sz w:val="21"/>
          <w:szCs w:val="21"/>
          <w:highlight w:val="none"/>
          <w:lang w:val="en-US" w:eastAsia="zh-CN"/>
        </w:rPr>
      </w:pPr>
    </w:p>
    <w:p>
      <w:pPr>
        <w:pStyle w:val="26"/>
        <w:spacing w:line="360" w:lineRule="auto"/>
        <w:ind w:firstLine="0" w:firstLineChars="0"/>
        <w:jc w:val="center"/>
        <w:rPr>
          <w:b/>
          <w:color w:val="auto"/>
          <w:sz w:val="44"/>
          <w:szCs w:val="44"/>
          <w:highlight w:val="none"/>
        </w:rPr>
      </w:pPr>
      <w:r>
        <w:rPr>
          <w:rFonts w:hint="eastAsia"/>
          <w:b/>
          <w:color w:val="auto"/>
          <w:sz w:val="44"/>
          <w:szCs w:val="44"/>
          <w:highlight w:val="none"/>
        </w:rPr>
        <w:t>电子投标文件与纸质投标文件内容一致承诺书（投标时无需提供）</w:t>
      </w:r>
    </w:p>
    <w:p>
      <w:pPr>
        <w:spacing w:line="360" w:lineRule="auto"/>
        <w:rPr>
          <w:rFonts w:ascii="宋体" w:hAnsi="宋体" w:cs="宋体"/>
          <w:b/>
          <w:bCs/>
          <w:color w:val="auto"/>
          <w:sz w:val="24"/>
          <w:highlight w:val="none"/>
        </w:rPr>
      </w:pPr>
    </w:p>
    <w:p>
      <w:pPr>
        <w:snapToGrid w:val="0"/>
        <w:spacing w:line="360" w:lineRule="auto"/>
        <w:rPr>
          <w:rFonts w:hint="eastAsia" w:ascii="宋体" w:hAnsi="宋体" w:cs="宋体"/>
          <w:color w:val="auto"/>
          <w:sz w:val="28"/>
          <w:szCs w:val="28"/>
          <w:highlight w:val="none"/>
        </w:rPr>
      </w:pPr>
    </w:p>
    <w:p>
      <w:pPr>
        <w:snapToGrid w:val="0"/>
        <w:spacing w:line="360" w:lineRule="auto"/>
        <w:rPr>
          <w:rFonts w:hint="eastAsia" w:ascii="宋体" w:hAnsi="宋体" w:cs="宋体"/>
          <w:color w:val="auto"/>
          <w:sz w:val="28"/>
          <w:szCs w:val="28"/>
          <w:highlight w:val="none"/>
        </w:rPr>
      </w:pPr>
      <w:r>
        <w:rPr>
          <w:rFonts w:hint="eastAsia" w:ascii="宋体" w:hAnsi="宋体" w:cs="宋体"/>
          <w:color w:val="auto"/>
          <w:sz w:val="28"/>
          <w:szCs w:val="28"/>
          <w:highlight w:val="none"/>
        </w:rPr>
        <w:t>致:</w:t>
      </w:r>
      <w:r>
        <w:rPr>
          <w:rFonts w:hint="eastAsia" w:ascii="宋体" w:hAnsi="宋体" w:cs="宋体"/>
          <w:bCs/>
          <w:color w:val="auto"/>
          <w:sz w:val="28"/>
          <w:szCs w:val="28"/>
          <w:highlight w:val="none"/>
          <w:lang w:val="en-US" w:eastAsia="zh-CN"/>
        </w:rPr>
        <w:t>杭州市临平区人民政府运河街道办事处</w:t>
      </w:r>
      <w:r>
        <w:rPr>
          <w:rFonts w:hint="eastAsia" w:ascii="宋体" w:hAnsi="宋体" w:cs="宋体"/>
          <w:color w:val="auto"/>
          <w:sz w:val="28"/>
          <w:szCs w:val="28"/>
          <w:highlight w:val="none"/>
        </w:rPr>
        <w:t>、</w:t>
      </w:r>
    </w:p>
    <w:p>
      <w:pPr>
        <w:snapToGrid w:val="0"/>
        <w:spacing w:line="360" w:lineRule="auto"/>
        <w:rPr>
          <w:rFonts w:hint="eastAsia" w:ascii="宋体" w:hAnsi="宋体" w:cs="宋体"/>
          <w:color w:val="auto"/>
          <w:sz w:val="28"/>
          <w:szCs w:val="28"/>
          <w:highlight w:val="none"/>
        </w:rPr>
      </w:pPr>
      <w:r>
        <w:rPr>
          <w:rFonts w:hint="eastAsia" w:ascii="宋体" w:hAnsi="宋体" w:cs="宋体"/>
          <w:color w:val="auto"/>
          <w:sz w:val="28"/>
          <w:szCs w:val="28"/>
          <w:highlight w:val="none"/>
          <w:lang w:eastAsia="zh-CN"/>
        </w:rPr>
        <w:t>杭州正鸿工程咨询有限公司</w:t>
      </w:r>
      <w:r>
        <w:rPr>
          <w:rFonts w:hint="eastAsia" w:ascii="宋体" w:hAnsi="宋体" w:cs="宋体"/>
          <w:color w:val="auto"/>
          <w:kern w:val="0"/>
          <w:sz w:val="28"/>
          <w:szCs w:val="28"/>
          <w:highlight w:val="none"/>
          <w:lang w:val="zh-CN"/>
        </w:rPr>
        <w:t>：</w:t>
      </w:r>
    </w:p>
    <w:p>
      <w:pPr>
        <w:pStyle w:val="26"/>
        <w:spacing w:line="360" w:lineRule="auto"/>
        <w:ind w:firstLine="420" w:firstLineChars="150"/>
        <w:rPr>
          <w:rFonts w:hint="eastAsia" w:cs="宋体"/>
          <w:color w:val="auto"/>
          <w:sz w:val="28"/>
          <w:szCs w:val="28"/>
          <w:highlight w:val="none"/>
        </w:rPr>
      </w:pPr>
      <w:r>
        <w:rPr>
          <w:rFonts w:hint="eastAsia" w:cs="宋体"/>
          <w:color w:val="auto"/>
          <w:sz w:val="28"/>
          <w:szCs w:val="28"/>
          <w:highlight w:val="none"/>
        </w:rPr>
        <w:t>兹有</w:t>
      </w:r>
      <w:r>
        <w:rPr>
          <w:rFonts w:hint="eastAsia" w:cs="宋体"/>
          <w:color w:val="auto"/>
          <w:sz w:val="28"/>
          <w:szCs w:val="28"/>
          <w:highlight w:val="none"/>
          <w:u w:val="single"/>
        </w:rPr>
        <w:t xml:space="preserve">                       项目</w:t>
      </w:r>
      <w:r>
        <w:rPr>
          <w:rFonts w:hint="eastAsia" w:cs="宋体"/>
          <w:color w:val="auto"/>
          <w:sz w:val="28"/>
          <w:szCs w:val="28"/>
          <w:highlight w:val="none"/>
        </w:rPr>
        <w:t>，我单位在政采云系统中上传的电子投标文件与本次提供的纸质投标文件内容一致。</w:t>
      </w:r>
    </w:p>
    <w:p>
      <w:pPr>
        <w:pStyle w:val="26"/>
        <w:spacing w:line="360" w:lineRule="auto"/>
        <w:ind w:firstLine="420" w:firstLineChars="150"/>
        <w:rPr>
          <w:rFonts w:hint="eastAsia" w:cs="宋体"/>
          <w:color w:val="auto"/>
          <w:sz w:val="28"/>
          <w:szCs w:val="28"/>
          <w:highlight w:val="none"/>
        </w:rPr>
      </w:pPr>
      <w:r>
        <w:rPr>
          <w:rFonts w:hint="eastAsia" w:cs="宋体"/>
          <w:color w:val="auto"/>
          <w:sz w:val="28"/>
          <w:szCs w:val="28"/>
          <w:highlight w:val="none"/>
        </w:rPr>
        <w:t>特此承诺！</w:t>
      </w:r>
    </w:p>
    <w:p>
      <w:pPr>
        <w:pStyle w:val="26"/>
        <w:spacing w:line="360" w:lineRule="auto"/>
        <w:ind w:firstLine="560"/>
        <w:rPr>
          <w:rFonts w:hint="eastAsia" w:cs="宋体"/>
          <w:color w:val="auto"/>
          <w:sz w:val="28"/>
          <w:szCs w:val="28"/>
          <w:highlight w:val="none"/>
        </w:rPr>
      </w:pPr>
    </w:p>
    <w:p>
      <w:pPr>
        <w:spacing w:line="360" w:lineRule="auto"/>
        <w:ind w:firstLine="5320" w:firstLineChars="1900"/>
        <w:rPr>
          <w:rFonts w:hint="eastAsia" w:ascii="宋体" w:hAnsi="宋体" w:cs="宋体"/>
          <w:color w:val="auto"/>
          <w:sz w:val="28"/>
          <w:szCs w:val="28"/>
          <w:highlight w:val="none"/>
        </w:rPr>
      </w:pPr>
      <w:r>
        <w:rPr>
          <w:rFonts w:hint="eastAsia" w:ascii="宋体" w:hAnsi="宋体" w:cs="宋体"/>
          <w:color w:val="auto"/>
          <w:sz w:val="28"/>
          <w:szCs w:val="28"/>
          <w:highlight w:val="none"/>
        </w:rPr>
        <w:t>投标人:(盖章)</w:t>
      </w:r>
    </w:p>
    <w:p>
      <w:pPr>
        <w:spacing w:line="360" w:lineRule="auto"/>
        <w:ind w:firstLine="560" w:firstLineChars="200"/>
        <w:rPr>
          <w:rFonts w:hint="eastAsia" w:ascii="宋体" w:hAnsi="宋体" w:cs="宋体"/>
          <w:color w:val="auto"/>
          <w:sz w:val="28"/>
          <w:szCs w:val="28"/>
          <w:highlight w:val="none"/>
        </w:rPr>
      </w:pPr>
    </w:p>
    <w:p>
      <w:pPr>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                                 法定代表人: (签字)</w:t>
      </w:r>
    </w:p>
    <w:p>
      <w:pPr>
        <w:spacing w:line="360" w:lineRule="auto"/>
        <w:ind w:firstLine="560" w:firstLineChars="200"/>
        <w:rPr>
          <w:rFonts w:hint="eastAsia" w:ascii="宋体" w:hAnsi="宋体" w:cs="宋体"/>
          <w:color w:val="auto"/>
          <w:sz w:val="28"/>
          <w:szCs w:val="28"/>
          <w:highlight w:val="none"/>
        </w:rPr>
      </w:pPr>
    </w:p>
    <w:p>
      <w:pPr>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                                 日期:20  年  月    日</w:t>
      </w:r>
    </w:p>
    <w:p>
      <w:pPr>
        <w:pStyle w:val="2"/>
        <w:rPr>
          <w:color w:val="auto"/>
          <w:highlight w:val="none"/>
        </w:rPr>
      </w:pPr>
    </w:p>
    <w:p>
      <w:pPr>
        <w:pStyle w:val="3"/>
        <w:rPr>
          <w:color w:val="auto"/>
          <w:highlight w:val="none"/>
          <w:lang w:val="en-US"/>
        </w:rPr>
      </w:pPr>
    </w:p>
    <w:p>
      <w:pPr>
        <w:spacing w:line="360" w:lineRule="auto"/>
        <w:ind w:right="420"/>
        <w:rPr>
          <w:color w:val="auto"/>
          <w:highlight w:val="none"/>
        </w:rPr>
      </w:pPr>
    </w:p>
    <w:p>
      <w:pPr>
        <w:spacing w:line="360" w:lineRule="auto"/>
        <w:rPr>
          <w:rFonts w:ascii="仿宋" w:hAnsi="仿宋" w:eastAsia="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Century Gothic">
    <w:altName w:val="ksdb"/>
    <w:panose1 w:val="020B0502020202020204"/>
    <w:charset w:val="00"/>
    <w:family w:val="auto"/>
    <w:pitch w:val="default"/>
    <w:sig w:usb0="00000000" w:usb1="00000000" w:usb2="00000000" w:usb3="00000000" w:csb0="2000009F" w:csb1="DFD70000"/>
  </w:font>
  <w:font w:name="ksdb">
    <w:panose1 w:val="02000500000000000000"/>
    <w:charset w:val="00"/>
    <w:family w:val="auto"/>
    <w:pitch w:val="default"/>
    <w:sig w:usb0="00000001" w:usb1="00000000" w:usb2="00000000" w:usb3="00000000" w:csb0="00000001"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华文仿宋">
    <w:altName w:val="仿宋"/>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8" w:name="_Toc164085800"/>
    <w:bookmarkStart w:id="399" w:name="_Toc91899912"/>
    <w:bookmarkStart w:id="400" w:name="_Toc36110187"/>
    <w:bookmarkStart w:id="401" w:name="_Toc131845147"/>
    <w:r>
      <w:rPr>
        <w:rFonts w:hint="eastAsia" w:ascii="仿宋_GB2312" w:eastAsia="仿宋_GB2312"/>
        <w:kern w:val="0"/>
        <w:szCs w:val="21"/>
      </w:rPr>
      <w:t xml:space="preserve"> 页</w:t>
    </w:r>
    <w:bookmarkEnd w:id="398"/>
    <w:bookmarkEnd w:id="399"/>
    <w:bookmarkEnd w:id="400"/>
    <w:bookmarkEnd w:id="40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6CE6CD"/>
    <w:multiLevelType w:val="singleLevel"/>
    <w:tmpl w:val="986CE6CD"/>
    <w:lvl w:ilvl="0" w:tentative="0">
      <w:start w:val="8"/>
      <w:numFmt w:val="decimal"/>
      <w:suff w:val="nothing"/>
      <w:lvlText w:val="%1、"/>
      <w:lvlJc w:val="left"/>
    </w:lvl>
  </w:abstractNum>
  <w:abstractNum w:abstractNumId="1">
    <w:nsid w:val="BF8CCEEF"/>
    <w:multiLevelType w:val="singleLevel"/>
    <w:tmpl w:val="BF8CCEEF"/>
    <w:lvl w:ilvl="0" w:tentative="0">
      <w:start w:val="6"/>
      <w:numFmt w:val="decimal"/>
      <w:suff w:val="nothing"/>
      <w:lvlText w:val="%1、"/>
      <w:lvlJc w:val="left"/>
    </w:lvl>
  </w:abstractNum>
  <w:abstractNum w:abstractNumId="2">
    <w:nsid w:val="F0B53C1B"/>
    <w:multiLevelType w:val="singleLevel"/>
    <w:tmpl w:val="F0B53C1B"/>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MzMzM2M4NDNjM2RkNzE1OWE0NTE1MjgwZTIwNG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60D"/>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597"/>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1F9"/>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3E26"/>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1812"/>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4B182D"/>
    <w:rsid w:val="018F2EE2"/>
    <w:rsid w:val="019F7441"/>
    <w:rsid w:val="01B37585"/>
    <w:rsid w:val="01D55165"/>
    <w:rsid w:val="01DF6BF8"/>
    <w:rsid w:val="01EC2C57"/>
    <w:rsid w:val="020A2568"/>
    <w:rsid w:val="02217FDE"/>
    <w:rsid w:val="02427F54"/>
    <w:rsid w:val="026B2E25"/>
    <w:rsid w:val="026D3223"/>
    <w:rsid w:val="02824D4D"/>
    <w:rsid w:val="02A4476B"/>
    <w:rsid w:val="02DC4B10"/>
    <w:rsid w:val="02DD76CE"/>
    <w:rsid w:val="02E5725D"/>
    <w:rsid w:val="02F36323"/>
    <w:rsid w:val="02F5619C"/>
    <w:rsid w:val="03174F3D"/>
    <w:rsid w:val="0326446A"/>
    <w:rsid w:val="032D5555"/>
    <w:rsid w:val="034A70C0"/>
    <w:rsid w:val="036634D2"/>
    <w:rsid w:val="03920A67"/>
    <w:rsid w:val="03A8028B"/>
    <w:rsid w:val="03BE360A"/>
    <w:rsid w:val="03DD35E4"/>
    <w:rsid w:val="03DD6186"/>
    <w:rsid w:val="03EA2651"/>
    <w:rsid w:val="04076900"/>
    <w:rsid w:val="041A5A3B"/>
    <w:rsid w:val="042311BA"/>
    <w:rsid w:val="042518DB"/>
    <w:rsid w:val="042B157A"/>
    <w:rsid w:val="044C6E68"/>
    <w:rsid w:val="04504BAA"/>
    <w:rsid w:val="046C3066"/>
    <w:rsid w:val="048F763B"/>
    <w:rsid w:val="049C1B9D"/>
    <w:rsid w:val="049F330E"/>
    <w:rsid w:val="04AA775C"/>
    <w:rsid w:val="04AF1889"/>
    <w:rsid w:val="04BE5FB8"/>
    <w:rsid w:val="04F66F48"/>
    <w:rsid w:val="051931EE"/>
    <w:rsid w:val="051E6A56"/>
    <w:rsid w:val="05251E14"/>
    <w:rsid w:val="0548762F"/>
    <w:rsid w:val="05571F68"/>
    <w:rsid w:val="056B2C48"/>
    <w:rsid w:val="056B77C2"/>
    <w:rsid w:val="057448C8"/>
    <w:rsid w:val="059B00A7"/>
    <w:rsid w:val="05A16594"/>
    <w:rsid w:val="05A7762D"/>
    <w:rsid w:val="05DB66F5"/>
    <w:rsid w:val="060E5941"/>
    <w:rsid w:val="06110FAF"/>
    <w:rsid w:val="06493CA7"/>
    <w:rsid w:val="065A6178"/>
    <w:rsid w:val="066F1CF3"/>
    <w:rsid w:val="06930BB8"/>
    <w:rsid w:val="06BC02D5"/>
    <w:rsid w:val="06CA7539"/>
    <w:rsid w:val="06D724C4"/>
    <w:rsid w:val="06E36237"/>
    <w:rsid w:val="07041C7C"/>
    <w:rsid w:val="07230354"/>
    <w:rsid w:val="07245D42"/>
    <w:rsid w:val="07264C62"/>
    <w:rsid w:val="075C5614"/>
    <w:rsid w:val="07742EA5"/>
    <w:rsid w:val="0779354C"/>
    <w:rsid w:val="07D7113E"/>
    <w:rsid w:val="08061376"/>
    <w:rsid w:val="083D5445"/>
    <w:rsid w:val="08452D77"/>
    <w:rsid w:val="08582A2C"/>
    <w:rsid w:val="086401F8"/>
    <w:rsid w:val="08751CAA"/>
    <w:rsid w:val="087E4C40"/>
    <w:rsid w:val="089963F4"/>
    <w:rsid w:val="08A70B11"/>
    <w:rsid w:val="08D66AD6"/>
    <w:rsid w:val="08DA33A3"/>
    <w:rsid w:val="08E80F13"/>
    <w:rsid w:val="09335624"/>
    <w:rsid w:val="0944690F"/>
    <w:rsid w:val="09535675"/>
    <w:rsid w:val="095F057D"/>
    <w:rsid w:val="09642282"/>
    <w:rsid w:val="09733572"/>
    <w:rsid w:val="09772C16"/>
    <w:rsid w:val="098353B5"/>
    <w:rsid w:val="0992356F"/>
    <w:rsid w:val="09A92330"/>
    <w:rsid w:val="09B06B87"/>
    <w:rsid w:val="09BE121B"/>
    <w:rsid w:val="09C06B05"/>
    <w:rsid w:val="09C13146"/>
    <w:rsid w:val="09CD0765"/>
    <w:rsid w:val="09DB4F16"/>
    <w:rsid w:val="09E04166"/>
    <w:rsid w:val="09ED69F7"/>
    <w:rsid w:val="0A12645E"/>
    <w:rsid w:val="0A1C0718"/>
    <w:rsid w:val="0A3E7710"/>
    <w:rsid w:val="0A4A3E4A"/>
    <w:rsid w:val="0A4F320E"/>
    <w:rsid w:val="0A5B7E63"/>
    <w:rsid w:val="0A9D041D"/>
    <w:rsid w:val="0AA374A5"/>
    <w:rsid w:val="0AAB7649"/>
    <w:rsid w:val="0ABC5606"/>
    <w:rsid w:val="0B2E376B"/>
    <w:rsid w:val="0B30404E"/>
    <w:rsid w:val="0B4C6C14"/>
    <w:rsid w:val="0B5331D2"/>
    <w:rsid w:val="0B57681E"/>
    <w:rsid w:val="0B631A88"/>
    <w:rsid w:val="0B683D45"/>
    <w:rsid w:val="0B7F3F11"/>
    <w:rsid w:val="0B884417"/>
    <w:rsid w:val="0BA8707A"/>
    <w:rsid w:val="0BB27EF8"/>
    <w:rsid w:val="0BF24799"/>
    <w:rsid w:val="0BF6188C"/>
    <w:rsid w:val="0BF73C91"/>
    <w:rsid w:val="0C170175"/>
    <w:rsid w:val="0C571A41"/>
    <w:rsid w:val="0C5C1171"/>
    <w:rsid w:val="0C5E1CBC"/>
    <w:rsid w:val="0C615B50"/>
    <w:rsid w:val="0C655C90"/>
    <w:rsid w:val="0C8445DA"/>
    <w:rsid w:val="0C87121B"/>
    <w:rsid w:val="0CC007F7"/>
    <w:rsid w:val="0CC7352F"/>
    <w:rsid w:val="0CF12CA2"/>
    <w:rsid w:val="0CFE707A"/>
    <w:rsid w:val="0D063BDA"/>
    <w:rsid w:val="0D08375F"/>
    <w:rsid w:val="0D184CFB"/>
    <w:rsid w:val="0D4A7419"/>
    <w:rsid w:val="0D6C2329"/>
    <w:rsid w:val="0D827401"/>
    <w:rsid w:val="0D84094E"/>
    <w:rsid w:val="0D8A00E9"/>
    <w:rsid w:val="0D8D589E"/>
    <w:rsid w:val="0DA01C73"/>
    <w:rsid w:val="0DA35174"/>
    <w:rsid w:val="0DB241E0"/>
    <w:rsid w:val="0DD63300"/>
    <w:rsid w:val="0DF50604"/>
    <w:rsid w:val="0DF702FE"/>
    <w:rsid w:val="0E060E51"/>
    <w:rsid w:val="0E5434E9"/>
    <w:rsid w:val="0E5604B2"/>
    <w:rsid w:val="0E617C94"/>
    <w:rsid w:val="0E6D5D79"/>
    <w:rsid w:val="0E7476E7"/>
    <w:rsid w:val="0E76345F"/>
    <w:rsid w:val="0E9D0089"/>
    <w:rsid w:val="0EB43F87"/>
    <w:rsid w:val="0EB803EE"/>
    <w:rsid w:val="0EE973A4"/>
    <w:rsid w:val="0EF34AB0"/>
    <w:rsid w:val="0EF94D4B"/>
    <w:rsid w:val="0F07055B"/>
    <w:rsid w:val="0F16254C"/>
    <w:rsid w:val="0F3155D8"/>
    <w:rsid w:val="0F362BEE"/>
    <w:rsid w:val="0F4958DC"/>
    <w:rsid w:val="0F502321"/>
    <w:rsid w:val="0F515DF7"/>
    <w:rsid w:val="0F596BA8"/>
    <w:rsid w:val="0F6248D2"/>
    <w:rsid w:val="0F693536"/>
    <w:rsid w:val="0F7B0511"/>
    <w:rsid w:val="0F7B76D9"/>
    <w:rsid w:val="0F816ACD"/>
    <w:rsid w:val="0F9832DB"/>
    <w:rsid w:val="0FBF3FD2"/>
    <w:rsid w:val="0FBF7FF3"/>
    <w:rsid w:val="0FF94348"/>
    <w:rsid w:val="10646583"/>
    <w:rsid w:val="107D4B15"/>
    <w:rsid w:val="10853E2D"/>
    <w:rsid w:val="108A3C80"/>
    <w:rsid w:val="109C2F25"/>
    <w:rsid w:val="10B22749"/>
    <w:rsid w:val="10B4201D"/>
    <w:rsid w:val="10C26171"/>
    <w:rsid w:val="10C55FD8"/>
    <w:rsid w:val="10ED3781"/>
    <w:rsid w:val="10EF12A7"/>
    <w:rsid w:val="10F33360"/>
    <w:rsid w:val="10FC16EA"/>
    <w:rsid w:val="10FD39C4"/>
    <w:rsid w:val="110F1D40"/>
    <w:rsid w:val="111156C1"/>
    <w:rsid w:val="11230F50"/>
    <w:rsid w:val="11266F33"/>
    <w:rsid w:val="11511F61"/>
    <w:rsid w:val="11681E32"/>
    <w:rsid w:val="118963A1"/>
    <w:rsid w:val="11C6522A"/>
    <w:rsid w:val="11D566EF"/>
    <w:rsid w:val="11D861DF"/>
    <w:rsid w:val="11E104CC"/>
    <w:rsid w:val="11E20309"/>
    <w:rsid w:val="12255233"/>
    <w:rsid w:val="12530213"/>
    <w:rsid w:val="12753A2E"/>
    <w:rsid w:val="127723A9"/>
    <w:rsid w:val="12862074"/>
    <w:rsid w:val="12883966"/>
    <w:rsid w:val="129A3494"/>
    <w:rsid w:val="129E45B4"/>
    <w:rsid w:val="12A7620A"/>
    <w:rsid w:val="12C91E2D"/>
    <w:rsid w:val="12CD5618"/>
    <w:rsid w:val="12D81596"/>
    <w:rsid w:val="12EE333C"/>
    <w:rsid w:val="13072A44"/>
    <w:rsid w:val="134170F2"/>
    <w:rsid w:val="13464EA3"/>
    <w:rsid w:val="135F4BE2"/>
    <w:rsid w:val="1379754E"/>
    <w:rsid w:val="137F4B64"/>
    <w:rsid w:val="13954387"/>
    <w:rsid w:val="139B1A0A"/>
    <w:rsid w:val="139D25C7"/>
    <w:rsid w:val="13BA3DEE"/>
    <w:rsid w:val="13BF3CE4"/>
    <w:rsid w:val="13D03611"/>
    <w:rsid w:val="13D34EB0"/>
    <w:rsid w:val="13F84916"/>
    <w:rsid w:val="14027543"/>
    <w:rsid w:val="141008D8"/>
    <w:rsid w:val="14125FE6"/>
    <w:rsid w:val="14294AD0"/>
    <w:rsid w:val="143516C6"/>
    <w:rsid w:val="14423DE3"/>
    <w:rsid w:val="1457163D"/>
    <w:rsid w:val="146D271E"/>
    <w:rsid w:val="14720225"/>
    <w:rsid w:val="14926B19"/>
    <w:rsid w:val="149503B7"/>
    <w:rsid w:val="14982588"/>
    <w:rsid w:val="149A5AD9"/>
    <w:rsid w:val="14A7619D"/>
    <w:rsid w:val="14B940A6"/>
    <w:rsid w:val="14BD1E65"/>
    <w:rsid w:val="14EB1BED"/>
    <w:rsid w:val="150536C3"/>
    <w:rsid w:val="150C1963"/>
    <w:rsid w:val="151447A0"/>
    <w:rsid w:val="151C4634"/>
    <w:rsid w:val="154A6454"/>
    <w:rsid w:val="154C316C"/>
    <w:rsid w:val="155E2E9F"/>
    <w:rsid w:val="15762120"/>
    <w:rsid w:val="158E72E0"/>
    <w:rsid w:val="15B66837"/>
    <w:rsid w:val="15C01464"/>
    <w:rsid w:val="160475A2"/>
    <w:rsid w:val="162E2871"/>
    <w:rsid w:val="162E461F"/>
    <w:rsid w:val="163A7468"/>
    <w:rsid w:val="164976AB"/>
    <w:rsid w:val="165A18B8"/>
    <w:rsid w:val="166938A9"/>
    <w:rsid w:val="1681529F"/>
    <w:rsid w:val="16A10D7E"/>
    <w:rsid w:val="16A8729C"/>
    <w:rsid w:val="16AE07B1"/>
    <w:rsid w:val="16B234A2"/>
    <w:rsid w:val="16B33777"/>
    <w:rsid w:val="16BC70A7"/>
    <w:rsid w:val="16BE3BF5"/>
    <w:rsid w:val="16C6339E"/>
    <w:rsid w:val="16CF2352"/>
    <w:rsid w:val="16F47617"/>
    <w:rsid w:val="170F61FF"/>
    <w:rsid w:val="171C091C"/>
    <w:rsid w:val="172F2D79"/>
    <w:rsid w:val="17321856"/>
    <w:rsid w:val="17557BEF"/>
    <w:rsid w:val="176F6C9D"/>
    <w:rsid w:val="17795D6E"/>
    <w:rsid w:val="17947575"/>
    <w:rsid w:val="179901BE"/>
    <w:rsid w:val="17AF79E2"/>
    <w:rsid w:val="17BB0135"/>
    <w:rsid w:val="17D349C1"/>
    <w:rsid w:val="17F11DA8"/>
    <w:rsid w:val="18023FB5"/>
    <w:rsid w:val="180A2E6A"/>
    <w:rsid w:val="181D494B"/>
    <w:rsid w:val="181E4074"/>
    <w:rsid w:val="1830729E"/>
    <w:rsid w:val="184C5231"/>
    <w:rsid w:val="1870062C"/>
    <w:rsid w:val="18817102"/>
    <w:rsid w:val="18830A15"/>
    <w:rsid w:val="18852B28"/>
    <w:rsid w:val="188B5321"/>
    <w:rsid w:val="188D1AD1"/>
    <w:rsid w:val="189270E7"/>
    <w:rsid w:val="18A4506D"/>
    <w:rsid w:val="19037FE5"/>
    <w:rsid w:val="19063631"/>
    <w:rsid w:val="19410B0E"/>
    <w:rsid w:val="19553B50"/>
    <w:rsid w:val="19597C05"/>
    <w:rsid w:val="195B397D"/>
    <w:rsid w:val="196D36B1"/>
    <w:rsid w:val="19836A30"/>
    <w:rsid w:val="198C7FDB"/>
    <w:rsid w:val="19932372"/>
    <w:rsid w:val="19A03A86"/>
    <w:rsid w:val="19A20DD5"/>
    <w:rsid w:val="19AE03F1"/>
    <w:rsid w:val="19CA0B03"/>
    <w:rsid w:val="19DB686C"/>
    <w:rsid w:val="19F93196"/>
    <w:rsid w:val="1A071A03"/>
    <w:rsid w:val="1A1F16AE"/>
    <w:rsid w:val="1A27385F"/>
    <w:rsid w:val="1A3B5C77"/>
    <w:rsid w:val="1A400DC5"/>
    <w:rsid w:val="1A815666"/>
    <w:rsid w:val="1A984BAD"/>
    <w:rsid w:val="1AA11864"/>
    <w:rsid w:val="1AA17AB6"/>
    <w:rsid w:val="1AB8220E"/>
    <w:rsid w:val="1AD803E9"/>
    <w:rsid w:val="1ADF05DE"/>
    <w:rsid w:val="1AE4166C"/>
    <w:rsid w:val="1AF06CFB"/>
    <w:rsid w:val="1AF11B8D"/>
    <w:rsid w:val="1AFE6CB6"/>
    <w:rsid w:val="1B11359C"/>
    <w:rsid w:val="1B2A271F"/>
    <w:rsid w:val="1B414DF5"/>
    <w:rsid w:val="1B522B5E"/>
    <w:rsid w:val="1B530544"/>
    <w:rsid w:val="1B60171F"/>
    <w:rsid w:val="1B713184"/>
    <w:rsid w:val="1B724FAE"/>
    <w:rsid w:val="1B813443"/>
    <w:rsid w:val="1B9E3FF5"/>
    <w:rsid w:val="1BA209CF"/>
    <w:rsid w:val="1BB11F7A"/>
    <w:rsid w:val="1BB4777D"/>
    <w:rsid w:val="1BD75AB8"/>
    <w:rsid w:val="1BE340FE"/>
    <w:rsid w:val="1BEF4851"/>
    <w:rsid w:val="1C0459C2"/>
    <w:rsid w:val="1C1B3B4A"/>
    <w:rsid w:val="1C202C5C"/>
    <w:rsid w:val="1C314E69"/>
    <w:rsid w:val="1C35495A"/>
    <w:rsid w:val="1C760ACE"/>
    <w:rsid w:val="1C7D00AF"/>
    <w:rsid w:val="1C876837"/>
    <w:rsid w:val="1C88086E"/>
    <w:rsid w:val="1C980A44"/>
    <w:rsid w:val="1CF758EF"/>
    <w:rsid w:val="1D061E52"/>
    <w:rsid w:val="1D1C1676"/>
    <w:rsid w:val="1D266CE1"/>
    <w:rsid w:val="1D3963AF"/>
    <w:rsid w:val="1D4330A6"/>
    <w:rsid w:val="1D570900"/>
    <w:rsid w:val="1D5A219E"/>
    <w:rsid w:val="1D6A673C"/>
    <w:rsid w:val="1D9247AE"/>
    <w:rsid w:val="1DAC0C4B"/>
    <w:rsid w:val="1DB567EC"/>
    <w:rsid w:val="1DE657E0"/>
    <w:rsid w:val="1DE877AA"/>
    <w:rsid w:val="1DF51A98"/>
    <w:rsid w:val="1E312EFF"/>
    <w:rsid w:val="1E3D060F"/>
    <w:rsid w:val="1E3F7D2E"/>
    <w:rsid w:val="1E4134E4"/>
    <w:rsid w:val="1E5062B3"/>
    <w:rsid w:val="1E523514"/>
    <w:rsid w:val="1E641526"/>
    <w:rsid w:val="1E714A66"/>
    <w:rsid w:val="1E802593"/>
    <w:rsid w:val="1E8A0861"/>
    <w:rsid w:val="1EA703CC"/>
    <w:rsid w:val="1EAE09F3"/>
    <w:rsid w:val="1EB7330C"/>
    <w:rsid w:val="1F0A0FF3"/>
    <w:rsid w:val="1F100D66"/>
    <w:rsid w:val="1F1F71FB"/>
    <w:rsid w:val="1F42113B"/>
    <w:rsid w:val="1F444EB4"/>
    <w:rsid w:val="1F5771FF"/>
    <w:rsid w:val="1F9C084C"/>
    <w:rsid w:val="1FB07A6C"/>
    <w:rsid w:val="1FB21F74"/>
    <w:rsid w:val="1FBC4A4A"/>
    <w:rsid w:val="1FCB2EDF"/>
    <w:rsid w:val="1FE868A9"/>
    <w:rsid w:val="1FED554B"/>
    <w:rsid w:val="1FED72F9"/>
    <w:rsid w:val="20034907"/>
    <w:rsid w:val="20173E4B"/>
    <w:rsid w:val="202F16C0"/>
    <w:rsid w:val="203D202F"/>
    <w:rsid w:val="204E48BC"/>
    <w:rsid w:val="20827A42"/>
    <w:rsid w:val="20887022"/>
    <w:rsid w:val="208921B3"/>
    <w:rsid w:val="20973DEB"/>
    <w:rsid w:val="20AA343C"/>
    <w:rsid w:val="20B26522"/>
    <w:rsid w:val="20B44310"/>
    <w:rsid w:val="20B6593D"/>
    <w:rsid w:val="20CC6F0F"/>
    <w:rsid w:val="20E56222"/>
    <w:rsid w:val="210C1A01"/>
    <w:rsid w:val="211116EB"/>
    <w:rsid w:val="21231A15"/>
    <w:rsid w:val="213C22E6"/>
    <w:rsid w:val="21505D92"/>
    <w:rsid w:val="216133FC"/>
    <w:rsid w:val="218912A4"/>
    <w:rsid w:val="21CD2F3E"/>
    <w:rsid w:val="21D00C81"/>
    <w:rsid w:val="21D20555"/>
    <w:rsid w:val="21D56769"/>
    <w:rsid w:val="21E52EF3"/>
    <w:rsid w:val="21F7445F"/>
    <w:rsid w:val="21FB5D7B"/>
    <w:rsid w:val="220B1C3D"/>
    <w:rsid w:val="221D1D20"/>
    <w:rsid w:val="22334A87"/>
    <w:rsid w:val="22394A78"/>
    <w:rsid w:val="224D22D1"/>
    <w:rsid w:val="224E3AA0"/>
    <w:rsid w:val="22574EFE"/>
    <w:rsid w:val="226A2E83"/>
    <w:rsid w:val="226D64CF"/>
    <w:rsid w:val="22916662"/>
    <w:rsid w:val="229E110F"/>
    <w:rsid w:val="22A53EBB"/>
    <w:rsid w:val="22B56F98"/>
    <w:rsid w:val="22BE6801"/>
    <w:rsid w:val="22CC31F6"/>
    <w:rsid w:val="22CD6F6E"/>
    <w:rsid w:val="22D60519"/>
    <w:rsid w:val="22EE5862"/>
    <w:rsid w:val="230010F2"/>
    <w:rsid w:val="233500BF"/>
    <w:rsid w:val="23377FF7"/>
    <w:rsid w:val="236B425F"/>
    <w:rsid w:val="23836192"/>
    <w:rsid w:val="238E0DF3"/>
    <w:rsid w:val="23901F29"/>
    <w:rsid w:val="239C0061"/>
    <w:rsid w:val="23A37038"/>
    <w:rsid w:val="23B048C6"/>
    <w:rsid w:val="23B908A4"/>
    <w:rsid w:val="23CB1357"/>
    <w:rsid w:val="23E95BEF"/>
    <w:rsid w:val="23FD0064"/>
    <w:rsid w:val="2409047A"/>
    <w:rsid w:val="245375B0"/>
    <w:rsid w:val="24642C0A"/>
    <w:rsid w:val="247C0C4C"/>
    <w:rsid w:val="24864B8F"/>
    <w:rsid w:val="24B22173"/>
    <w:rsid w:val="24B95AD9"/>
    <w:rsid w:val="24BE24DA"/>
    <w:rsid w:val="24CF5825"/>
    <w:rsid w:val="24D34D10"/>
    <w:rsid w:val="24D663E6"/>
    <w:rsid w:val="24D77F2B"/>
    <w:rsid w:val="24E76A0D"/>
    <w:rsid w:val="24FD7FDE"/>
    <w:rsid w:val="250208DE"/>
    <w:rsid w:val="25205A7B"/>
    <w:rsid w:val="253F4153"/>
    <w:rsid w:val="25583467"/>
    <w:rsid w:val="256516E0"/>
    <w:rsid w:val="258B00E2"/>
    <w:rsid w:val="25A917A6"/>
    <w:rsid w:val="25B52667"/>
    <w:rsid w:val="25BE27CC"/>
    <w:rsid w:val="25E60A73"/>
    <w:rsid w:val="25F74A5C"/>
    <w:rsid w:val="26127ABA"/>
    <w:rsid w:val="2628662C"/>
    <w:rsid w:val="262D45DE"/>
    <w:rsid w:val="263537A8"/>
    <w:rsid w:val="2657371E"/>
    <w:rsid w:val="2661634B"/>
    <w:rsid w:val="2685748B"/>
    <w:rsid w:val="26A53EF9"/>
    <w:rsid w:val="26A94201"/>
    <w:rsid w:val="26AC274F"/>
    <w:rsid w:val="26E66850"/>
    <w:rsid w:val="27044A29"/>
    <w:rsid w:val="27135897"/>
    <w:rsid w:val="271635D9"/>
    <w:rsid w:val="271D34C8"/>
    <w:rsid w:val="27602AA7"/>
    <w:rsid w:val="276142BF"/>
    <w:rsid w:val="276F6846"/>
    <w:rsid w:val="27783712"/>
    <w:rsid w:val="27907362"/>
    <w:rsid w:val="27AB1F74"/>
    <w:rsid w:val="27EB0DC5"/>
    <w:rsid w:val="27F154AD"/>
    <w:rsid w:val="28333E1D"/>
    <w:rsid w:val="283A32F8"/>
    <w:rsid w:val="28454BD6"/>
    <w:rsid w:val="28455253"/>
    <w:rsid w:val="28551971"/>
    <w:rsid w:val="285B1C53"/>
    <w:rsid w:val="289F7086"/>
    <w:rsid w:val="28A560D5"/>
    <w:rsid w:val="28C32028"/>
    <w:rsid w:val="28CC490F"/>
    <w:rsid w:val="28DE40AA"/>
    <w:rsid w:val="291458F7"/>
    <w:rsid w:val="29345E77"/>
    <w:rsid w:val="293470A9"/>
    <w:rsid w:val="294361DC"/>
    <w:rsid w:val="294C65AD"/>
    <w:rsid w:val="29806583"/>
    <w:rsid w:val="298B3C4C"/>
    <w:rsid w:val="29973066"/>
    <w:rsid w:val="29D82DC8"/>
    <w:rsid w:val="29E277A3"/>
    <w:rsid w:val="29E4176D"/>
    <w:rsid w:val="29F26D24"/>
    <w:rsid w:val="2A15033F"/>
    <w:rsid w:val="2A1662C1"/>
    <w:rsid w:val="2A1C7367"/>
    <w:rsid w:val="2A2815FA"/>
    <w:rsid w:val="2A6D6092"/>
    <w:rsid w:val="2A7D76B4"/>
    <w:rsid w:val="2A8E16D9"/>
    <w:rsid w:val="2A9A6937"/>
    <w:rsid w:val="2AB4113F"/>
    <w:rsid w:val="2AE01F34"/>
    <w:rsid w:val="2AE8703B"/>
    <w:rsid w:val="2B2C5A27"/>
    <w:rsid w:val="2B400C25"/>
    <w:rsid w:val="2B437463"/>
    <w:rsid w:val="2B4F3221"/>
    <w:rsid w:val="2B7807EE"/>
    <w:rsid w:val="2BBF00EC"/>
    <w:rsid w:val="2BC37CFD"/>
    <w:rsid w:val="2BD5237F"/>
    <w:rsid w:val="2BDB26FC"/>
    <w:rsid w:val="2BE536CE"/>
    <w:rsid w:val="2BE758D9"/>
    <w:rsid w:val="2BF612E4"/>
    <w:rsid w:val="2C09049E"/>
    <w:rsid w:val="2C0A653C"/>
    <w:rsid w:val="2C161986"/>
    <w:rsid w:val="2C191F85"/>
    <w:rsid w:val="2C257460"/>
    <w:rsid w:val="2C4E7372"/>
    <w:rsid w:val="2C66290D"/>
    <w:rsid w:val="2CA01AF4"/>
    <w:rsid w:val="2CA24B61"/>
    <w:rsid w:val="2CD605AC"/>
    <w:rsid w:val="2CDF7FCA"/>
    <w:rsid w:val="2CE82D6F"/>
    <w:rsid w:val="2D343236"/>
    <w:rsid w:val="2D6B7AAF"/>
    <w:rsid w:val="2D7746A6"/>
    <w:rsid w:val="2DA3549B"/>
    <w:rsid w:val="2DD15014"/>
    <w:rsid w:val="2DF72DE4"/>
    <w:rsid w:val="2E0220AF"/>
    <w:rsid w:val="2E3D31FA"/>
    <w:rsid w:val="2E4B082A"/>
    <w:rsid w:val="2E5D4E86"/>
    <w:rsid w:val="2E5D790B"/>
    <w:rsid w:val="2E8B665B"/>
    <w:rsid w:val="2E960B5C"/>
    <w:rsid w:val="2E9A3C18"/>
    <w:rsid w:val="2EA414CB"/>
    <w:rsid w:val="2EBB0FEE"/>
    <w:rsid w:val="2EC35DF5"/>
    <w:rsid w:val="2EC63002"/>
    <w:rsid w:val="2EE30245"/>
    <w:rsid w:val="2EF73CF0"/>
    <w:rsid w:val="2F034C03"/>
    <w:rsid w:val="2F0A6B38"/>
    <w:rsid w:val="2F176141"/>
    <w:rsid w:val="2F5527C5"/>
    <w:rsid w:val="2F946CCB"/>
    <w:rsid w:val="2F963509"/>
    <w:rsid w:val="2FA63021"/>
    <w:rsid w:val="2FA84FEB"/>
    <w:rsid w:val="2FD25781"/>
    <w:rsid w:val="2FE06533"/>
    <w:rsid w:val="2FF26266"/>
    <w:rsid w:val="2FFD7934"/>
    <w:rsid w:val="3034062C"/>
    <w:rsid w:val="303636D2"/>
    <w:rsid w:val="303D5733"/>
    <w:rsid w:val="30550CCF"/>
    <w:rsid w:val="30733ACD"/>
    <w:rsid w:val="3075311F"/>
    <w:rsid w:val="30760C45"/>
    <w:rsid w:val="307D1FD3"/>
    <w:rsid w:val="308C3862"/>
    <w:rsid w:val="309379D8"/>
    <w:rsid w:val="30A270F7"/>
    <w:rsid w:val="30D047F9"/>
    <w:rsid w:val="30D140CD"/>
    <w:rsid w:val="30D836AE"/>
    <w:rsid w:val="30DF1478"/>
    <w:rsid w:val="30EC586F"/>
    <w:rsid w:val="310B5831"/>
    <w:rsid w:val="314F1BC2"/>
    <w:rsid w:val="315076E8"/>
    <w:rsid w:val="3163741B"/>
    <w:rsid w:val="31662A68"/>
    <w:rsid w:val="31723B02"/>
    <w:rsid w:val="317C04DD"/>
    <w:rsid w:val="31905D36"/>
    <w:rsid w:val="319C6071"/>
    <w:rsid w:val="31A11CF2"/>
    <w:rsid w:val="31AC537E"/>
    <w:rsid w:val="31E3679B"/>
    <w:rsid w:val="31E732FD"/>
    <w:rsid w:val="31FA213D"/>
    <w:rsid w:val="32517576"/>
    <w:rsid w:val="327F0285"/>
    <w:rsid w:val="32BC3287"/>
    <w:rsid w:val="32BD0DAD"/>
    <w:rsid w:val="32BE5C2C"/>
    <w:rsid w:val="32C5465E"/>
    <w:rsid w:val="32D14858"/>
    <w:rsid w:val="32E20814"/>
    <w:rsid w:val="32E71EAB"/>
    <w:rsid w:val="32FB6478"/>
    <w:rsid w:val="33263B3F"/>
    <w:rsid w:val="33266952"/>
    <w:rsid w:val="332E5807"/>
    <w:rsid w:val="33354DE7"/>
    <w:rsid w:val="335E433E"/>
    <w:rsid w:val="33653315"/>
    <w:rsid w:val="336963EB"/>
    <w:rsid w:val="337376BE"/>
    <w:rsid w:val="33816EEB"/>
    <w:rsid w:val="338D69D1"/>
    <w:rsid w:val="33B95A18"/>
    <w:rsid w:val="33DC34B5"/>
    <w:rsid w:val="33DE547F"/>
    <w:rsid w:val="33EB55CD"/>
    <w:rsid w:val="33EC4C02"/>
    <w:rsid w:val="33EC7B9C"/>
    <w:rsid w:val="340D2360"/>
    <w:rsid w:val="3410665D"/>
    <w:rsid w:val="34211214"/>
    <w:rsid w:val="342E63AB"/>
    <w:rsid w:val="346C2A8B"/>
    <w:rsid w:val="34853EAB"/>
    <w:rsid w:val="34950E68"/>
    <w:rsid w:val="34986E94"/>
    <w:rsid w:val="349D2C44"/>
    <w:rsid w:val="34AF62C9"/>
    <w:rsid w:val="34CB4388"/>
    <w:rsid w:val="34FA6E12"/>
    <w:rsid w:val="3502519D"/>
    <w:rsid w:val="350607E9"/>
    <w:rsid w:val="35153C60"/>
    <w:rsid w:val="351F7AFD"/>
    <w:rsid w:val="3558300F"/>
    <w:rsid w:val="356B4464"/>
    <w:rsid w:val="358B0CEF"/>
    <w:rsid w:val="358D5588"/>
    <w:rsid w:val="35F965A0"/>
    <w:rsid w:val="361A58E1"/>
    <w:rsid w:val="363A3B40"/>
    <w:rsid w:val="363C648D"/>
    <w:rsid w:val="365302AE"/>
    <w:rsid w:val="36607A0A"/>
    <w:rsid w:val="366E227C"/>
    <w:rsid w:val="366F2E0D"/>
    <w:rsid w:val="367B6A5C"/>
    <w:rsid w:val="36857E34"/>
    <w:rsid w:val="36A74ADA"/>
    <w:rsid w:val="36AD60D5"/>
    <w:rsid w:val="36B224F9"/>
    <w:rsid w:val="36B773E0"/>
    <w:rsid w:val="36E903C3"/>
    <w:rsid w:val="36EC0CC9"/>
    <w:rsid w:val="37052D23"/>
    <w:rsid w:val="372633C5"/>
    <w:rsid w:val="373F410B"/>
    <w:rsid w:val="3757357E"/>
    <w:rsid w:val="375D66BB"/>
    <w:rsid w:val="37D7646D"/>
    <w:rsid w:val="37EE7094"/>
    <w:rsid w:val="3805122C"/>
    <w:rsid w:val="381C675D"/>
    <w:rsid w:val="38217669"/>
    <w:rsid w:val="38296C89"/>
    <w:rsid w:val="383002EB"/>
    <w:rsid w:val="38327B47"/>
    <w:rsid w:val="384C6E5B"/>
    <w:rsid w:val="38586797"/>
    <w:rsid w:val="389D76B7"/>
    <w:rsid w:val="38AC5B4C"/>
    <w:rsid w:val="38BC0149"/>
    <w:rsid w:val="38D87D1C"/>
    <w:rsid w:val="38DE45A4"/>
    <w:rsid w:val="38E47094"/>
    <w:rsid w:val="38E928FC"/>
    <w:rsid w:val="38FB43DD"/>
    <w:rsid w:val="39131727"/>
    <w:rsid w:val="39227BBC"/>
    <w:rsid w:val="39276F80"/>
    <w:rsid w:val="393022D9"/>
    <w:rsid w:val="39636459"/>
    <w:rsid w:val="396B7F6C"/>
    <w:rsid w:val="398762A8"/>
    <w:rsid w:val="39AB7BB1"/>
    <w:rsid w:val="39B417A9"/>
    <w:rsid w:val="39BD78E5"/>
    <w:rsid w:val="39C96289"/>
    <w:rsid w:val="39D07618"/>
    <w:rsid w:val="39D92970"/>
    <w:rsid w:val="39F23A32"/>
    <w:rsid w:val="39F5707E"/>
    <w:rsid w:val="39FC5695"/>
    <w:rsid w:val="3A006D8E"/>
    <w:rsid w:val="3A217E73"/>
    <w:rsid w:val="3A3651E5"/>
    <w:rsid w:val="3A744481"/>
    <w:rsid w:val="3A8C7BEF"/>
    <w:rsid w:val="3A906246"/>
    <w:rsid w:val="3AA52853"/>
    <w:rsid w:val="3ABB3E24"/>
    <w:rsid w:val="3AE25855"/>
    <w:rsid w:val="3AEE244B"/>
    <w:rsid w:val="3AF61300"/>
    <w:rsid w:val="3AF70BD4"/>
    <w:rsid w:val="3B0357CB"/>
    <w:rsid w:val="3B2349B7"/>
    <w:rsid w:val="3B3B4F65"/>
    <w:rsid w:val="3B6049CB"/>
    <w:rsid w:val="3B616CFF"/>
    <w:rsid w:val="3B6259F6"/>
    <w:rsid w:val="3B6A75F8"/>
    <w:rsid w:val="3B7010B2"/>
    <w:rsid w:val="3B820DE6"/>
    <w:rsid w:val="3B893F22"/>
    <w:rsid w:val="3B9052B1"/>
    <w:rsid w:val="3B976654"/>
    <w:rsid w:val="3BBD1E1E"/>
    <w:rsid w:val="3BC01EFC"/>
    <w:rsid w:val="3BC62A80"/>
    <w:rsid w:val="3BCA786A"/>
    <w:rsid w:val="3BD056AD"/>
    <w:rsid w:val="3BD31E2F"/>
    <w:rsid w:val="3BF15831"/>
    <w:rsid w:val="3C105946"/>
    <w:rsid w:val="3C28373B"/>
    <w:rsid w:val="3C406CD7"/>
    <w:rsid w:val="3C471448"/>
    <w:rsid w:val="3C5938F5"/>
    <w:rsid w:val="3C5F759A"/>
    <w:rsid w:val="3C65673D"/>
    <w:rsid w:val="3C6A3D54"/>
    <w:rsid w:val="3C6C525A"/>
    <w:rsid w:val="3C7E15AD"/>
    <w:rsid w:val="3CA8662A"/>
    <w:rsid w:val="3CB13731"/>
    <w:rsid w:val="3CBE4D47"/>
    <w:rsid w:val="3CCE23CB"/>
    <w:rsid w:val="3CD17D17"/>
    <w:rsid w:val="3CD411CD"/>
    <w:rsid w:val="3CE60F00"/>
    <w:rsid w:val="3CE77152"/>
    <w:rsid w:val="3CFE449C"/>
    <w:rsid w:val="3D255ECD"/>
    <w:rsid w:val="3D3C7F39"/>
    <w:rsid w:val="3D3E0D3C"/>
    <w:rsid w:val="3D3F6F8E"/>
    <w:rsid w:val="3D404AB5"/>
    <w:rsid w:val="3D440F09"/>
    <w:rsid w:val="3D4504A0"/>
    <w:rsid w:val="3D532A3A"/>
    <w:rsid w:val="3D695DB9"/>
    <w:rsid w:val="3D8734BB"/>
    <w:rsid w:val="3D9A11D4"/>
    <w:rsid w:val="3DA16D89"/>
    <w:rsid w:val="3DA364BE"/>
    <w:rsid w:val="3DA52B6A"/>
    <w:rsid w:val="3DBA4867"/>
    <w:rsid w:val="3DE041CB"/>
    <w:rsid w:val="3E0D48F6"/>
    <w:rsid w:val="3E1868B4"/>
    <w:rsid w:val="3E1A5306"/>
    <w:rsid w:val="3E2D5039"/>
    <w:rsid w:val="3E377251"/>
    <w:rsid w:val="3E3C527C"/>
    <w:rsid w:val="3E42664B"/>
    <w:rsid w:val="3E483C21"/>
    <w:rsid w:val="3E515CA9"/>
    <w:rsid w:val="3E5527E2"/>
    <w:rsid w:val="3E5A7334"/>
    <w:rsid w:val="3E611186"/>
    <w:rsid w:val="3E79027E"/>
    <w:rsid w:val="3E7B5D6B"/>
    <w:rsid w:val="3E843E66"/>
    <w:rsid w:val="3E8F51FE"/>
    <w:rsid w:val="3E926F87"/>
    <w:rsid w:val="3E9450B8"/>
    <w:rsid w:val="3E9A59DE"/>
    <w:rsid w:val="3EAF4836"/>
    <w:rsid w:val="3EB43064"/>
    <w:rsid w:val="3EBD7BD9"/>
    <w:rsid w:val="3EC33DFA"/>
    <w:rsid w:val="3ECF60F0"/>
    <w:rsid w:val="3F060E16"/>
    <w:rsid w:val="3F0D6C18"/>
    <w:rsid w:val="3F185CE9"/>
    <w:rsid w:val="3F1D1096"/>
    <w:rsid w:val="3F2F0234"/>
    <w:rsid w:val="3F375A43"/>
    <w:rsid w:val="3F43088C"/>
    <w:rsid w:val="3F544847"/>
    <w:rsid w:val="3F6031EC"/>
    <w:rsid w:val="3F6363FE"/>
    <w:rsid w:val="3F756B8F"/>
    <w:rsid w:val="3F80563C"/>
    <w:rsid w:val="3F95482B"/>
    <w:rsid w:val="3FA806EF"/>
    <w:rsid w:val="3FDA11F0"/>
    <w:rsid w:val="3FEC4A80"/>
    <w:rsid w:val="40026051"/>
    <w:rsid w:val="40030C42"/>
    <w:rsid w:val="40091AAF"/>
    <w:rsid w:val="40093884"/>
    <w:rsid w:val="4019356B"/>
    <w:rsid w:val="40324B88"/>
    <w:rsid w:val="40592157"/>
    <w:rsid w:val="40662A84"/>
    <w:rsid w:val="40672358"/>
    <w:rsid w:val="406E1CAE"/>
    <w:rsid w:val="407E2422"/>
    <w:rsid w:val="40874B77"/>
    <w:rsid w:val="40A0133A"/>
    <w:rsid w:val="40C31A53"/>
    <w:rsid w:val="40ED32DF"/>
    <w:rsid w:val="40FF545D"/>
    <w:rsid w:val="410067C8"/>
    <w:rsid w:val="412D0F69"/>
    <w:rsid w:val="41807B75"/>
    <w:rsid w:val="418F0D2A"/>
    <w:rsid w:val="419B050B"/>
    <w:rsid w:val="41AE6491"/>
    <w:rsid w:val="41C537DA"/>
    <w:rsid w:val="41D01505"/>
    <w:rsid w:val="41E974C9"/>
    <w:rsid w:val="41EC3710"/>
    <w:rsid w:val="41FB71FC"/>
    <w:rsid w:val="420C1409"/>
    <w:rsid w:val="420E6F2F"/>
    <w:rsid w:val="423544BC"/>
    <w:rsid w:val="42474939"/>
    <w:rsid w:val="424C3C57"/>
    <w:rsid w:val="42613FF3"/>
    <w:rsid w:val="42660D96"/>
    <w:rsid w:val="428667D2"/>
    <w:rsid w:val="428C60A6"/>
    <w:rsid w:val="42BA2C13"/>
    <w:rsid w:val="42C10446"/>
    <w:rsid w:val="42CD1CE0"/>
    <w:rsid w:val="42E1381E"/>
    <w:rsid w:val="42ED6459"/>
    <w:rsid w:val="42FE58DD"/>
    <w:rsid w:val="43174B3D"/>
    <w:rsid w:val="43397FDC"/>
    <w:rsid w:val="434B790E"/>
    <w:rsid w:val="4360274F"/>
    <w:rsid w:val="436D5ED7"/>
    <w:rsid w:val="43911BC6"/>
    <w:rsid w:val="43917E18"/>
    <w:rsid w:val="43923B90"/>
    <w:rsid w:val="43977AB6"/>
    <w:rsid w:val="43A3342B"/>
    <w:rsid w:val="43C77C27"/>
    <w:rsid w:val="43D321DE"/>
    <w:rsid w:val="43DE09EE"/>
    <w:rsid w:val="43E4263E"/>
    <w:rsid w:val="43E837B0"/>
    <w:rsid w:val="44002FAD"/>
    <w:rsid w:val="442E38B9"/>
    <w:rsid w:val="44745E39"/>
    <w:rsid w:val="448654A3"/>
    <w:rsid w:val="449101DD"/>
    <w:rsid w:val="4496320C"/>
    <w:rsid w:val="44BA514C"/>
    <w:rsid w:val="44DC3315"/>
    <w:rsid w:val="44DE1391"/>
    <w:rsid w:val="44E65F41"/>
    <w:rsid w:val="451B225C"/>
    <w:rsid w:val="452410C9"/>
    <w:rsid w:val="45246A6A"/>
    <w:rsid w:val="452D1DC2"/>
    <w:rsid w:val="452D3B70"/>
    <w:rsid w:val="452F78E8"/>
    <w:rsid w:val="45317DFB"/>
    <w:rsid w:val="456D3CE4"/>
    <w:rsid w:val="4579042C"/>
    <w:rsid w:val="457A48DC"/>
    <w:rsid w:val="457F0571"/>
    <w:rsid w:val="45851176"/>
    <w:rsid w:val="45A100BA"/>
    <w:rsid w:val="45C63B94"/>
    <w:rsid w:val="45DB7954"/>
    <w:rsid w:val="460E7DA5"/>
    <w:rsid w:val="462C207A"/>
    <w:rsid w:val="46422483"/>
    <w:rsid w:val="4659254A"/>
    <w:rsid w:val="465B0637"/>
    <w:rsid w:val="465E3F0D"/>
    <w:rsid w:val="466A16E6"/>
    <w:rsid w:val="466C691A"/>
    <w:rsid w:val="46753A21"/>
    <w:rsid w:val="46893F2B"/>
    <w:rsid w:val="468C2B19"/>
    <w:rsid w:val="46C4686E"/>
    <w:rsid w:val="4714323A"/>
    <w:rsid w:val="47341AA2"/>
    <w:rsid w:val="477B778F"/>
    <w:rsid w:val="478203EC"/>
    <w:rsid w:val="47863A0C"/>
    <w:rsid w:val="47975C19"/>
    <w:rsid w:val="47A86B82"/>
    <w:rsid w:val="47B025FA"/>
    <w:rsid w:val="47C36A0E"/>
    <w:rsid w:val="47CA1B4A"/>
    <w:rsid w:val="47D227AD"/>
    <w:rsid w:val="47DC362C"/>
    <w:rsid w:val="47ED6C89"/>
    <w:rsid w:val="4809698F"/>
    <w:rsid w:val="4811697D"/>
    <w:rsid w:val="485D41B8"/>
    <w:rsid w:val="487A3E25"/>
    <w:rsid w:val="4888456B"/>
    <w:rsid w:val="488B5503"/>
    <w:rsid w:val="48937E21"/>
    <w:rsid w:val="489A0361"/>
    <w:rsid w:val="489D725F"/>
    <w:rsid w:val="48B94FF3"/>
    <w:rsid w:val="48C20A74"/>
    <w:rsid w:val="48E37AAB"/>
    <w:rsid w:val="48F14EB5"/>
    <w:rsid w:val="48FD4B4C"/>
    <w:rsid w:val="490A68E0"/>
    <w:rsid w:val="491055FE"/>
    <w:rsid w:val="491F7C74"/>
    <w:rsid w:val="492E6109"/>
    <w:rsid w:val="4933371F"/>
    <w:rsid w:val="495F5B3E"/>
    <w:rsid w:val="496F77D7"/>
    <w:rsid w:val="49757894"/>
    <w:rsid w:val="497654FD"/>
    <w:rsid w:val="499E503D"/>
    <w:rsid w:val="49B05850"/>
    <w:rsid w:val="49B64211"/>
    <w:rsid w:val="49CD0194"/>
    <w:rsid w:val="49F6167F"/>
    <w:rsid w:val="4A064FA0"/>
    <w:rsid w:val="4A16615C"/>
    <w:rsid w:val="4A2A4B22"/>
    <w:rsid w:val="4A4424D7"/>
    <w:rsid w:val="4A55426B"/>
    <w:rsid w:val="4AB82D0F"/>
    <w:rsid w:val="4ABD5996"/>
    <w:rsid w:val="4AD131F0"/>
    <w:rsid w:val="4AEB7664"/>
    <w:rsid w:val="4AFD7C19"/>
    <w:rsid w:val="4B0567D1"/>
    <w:rsid w:val="4B0B6702"/>
    <w:rsid w:val="4B133808"/>
    <w:rsid w:val="4B236AAE"/>
    <w:rsid w:val="4B3774F7"/>
    <w:rsid w:val="4B707271"/>
    <w:rsid w:val="4B9739F7"/>
    <w:rsid w:val="4BEE2503"/>
    <w:rsid w:val="4C245A30"/>
    <w:rsid w:val="4C910E89"/>
    <w:rsid w:val="4CB6685F"/>
    <w:rsid w:val="4CC367FE"/>
    <w:rsid w:val="4CD11285"/>
    <w:rsid w:val="4CE25674"/>
    <w:rsid w:val="4D077F3C"/>
    <w:rsid w:val="4D123355"/>
    <w:rsid w:val="4D2A3B31"/>
    <w:rsid w:val="4D312C52"/>
    <w:rsid w:val="4D905305"/>
    <w:rsid w:val="4D964A72"/>
    <w:rsid w:val="4D9C1254"/>
    <w:rsid w:val="4D9F75D5"/>
    <w:rsid w:val="4DCB03CA"/>
    <w:rsid w:val="4E0F475B"/>
    <w:rsid w:val="4E2D4BE1"/>
    <w:rsid w:val="4E4361B3"/>
    <w:rsid w:val="4E4A7541"/>
    <w:rsid w:val="4E691E66"/>
    <w:rsid w:val="4E793892"/>
    <w:rsid w:val="4E800872"/>
    <w:rsid w:val="4E9B1B4B"/>
    <w:rsid w:val="4EC569ED"/>
    <w:rsid w:val="4ED212E5"/>
    <w:rsid w:val="4ED50EA1"/>
    <w:rsid w:val="4EEC050C"/>
    <w:rsid w:val="4EFA0F67"/>
    <w:rsid w:val="4F104EC3"/>
    <w:rsid w:val="4F1D07B2"/>
    <w:rsid w:val="4F2D4448"/>
    <w:rsid w:val="4F47354A"/>
    <w:rsid w:val="4F846A83"/>
    <w:rsid w:val="4F911C54"/>
    <w:rsid w:val="4FA17635"/>
    <w:rsid w:val="4FD572DE"/>
    <w:rsid w:val="4FE625E0"/>
    <w:rsid w:val="4FFE6835"/>
    <w:rsid w:val="500478DE"/>
    <w:rsid w:val="5021480F"/>
    <w:rsid w:val="503A5994"/>
    <w:rsid w:val="50827760"/>
    <w:rsid w:val="508F3931"/>
    <w:rsid w:val="50962ECB"/>
    <w:rsid w:val="50A42E38"/>
    <w:rsid w:val="50A4577F"/>
    <w:rsid w:val="50B73D1F"/>
    <w:rsid w:val="50BD5BC9"/>
    <w:rsid w:val="50C11EEE"/>
    <w:rsid w:val="50D77086"/>
    <w:rsid w:val="50D92DFE"/>
    <w:rsid w:val="50E97CFC"/>
    <w:rsid w:val="50F934A0"/>
    <w:rsid w:val="50FA4028"/>
    <w:rsid w:val="510D65B7"/>
    <w:rsid w:val="51100A1F"/>
    <w:rsid w:val="511157AB"/>
    <w:rsid w:val="513242BC"/>
    <w:rsid w:val="5142540C"/>
    <w:rsid w:val="516E3547"/>
    <w:rsid w:val="518832C8"/>
    <w:rsid w:val="519B6306"/>
    <w:rsid w:val="51A0432A"/>
    <w:rsid w:val="51A86090"/>
    <w:rsid w:val="51B7396D"/>
    <w:rsid w:val="522E4CC3"/>
    <w:rsid w:val="52302EF2"/>
    <w:rsid w:val="52397FF8"/>
    <w:rsid w:val="5244713B"/>
    <w:rsid w:val="524B7D2C"/>
    <w:rsid w:val="52615633"/>
    <w:rsid w:val="52636E23"/>
    <w:rsid w:val="527A5E46"/>
    <w:rsid w:val="52943481"/>
    <w:rsid w:val="52977FD4"/>
    <w:rsid w:val="52A25790"/>
    <w:rsid w:val="52A96B6F"/>
    <w:rsid w:val="52B45975"/>
    <w:rsid w:val="52B4767F"/>
    <w:rsid w:val="52BB0A0D"/>
    <w:rsid w:val="52D41ACF"/>
    <w:rsid w:val="52D752CA"/>
    <w:rsid w:val="52D94AA4"/>
    <w:rsid w:val="52E837CD"/>
    <w:rsid w:val="52EA3A62"/>
    <w:rsid w:val="52F50BB8"/>
    <w:rsid w:val="530302C4"/>
    <w:rsid w:val="53097272"/>
    <w:rsid w:val="53231825"/>
    <w:rsid w:val="53544462"/>
    <w:rsid w:val="535D1AC5"/>
    <w:rsid w:val="538E1C7E"/>
    <w:rsid w:val="5397158E"/>
    <w:rsid w:val="53B536AF"/>
    <w:rsid w:val="53B84F4D"/>
    <w:rsid w:val="53DB0C3B"/>
    <w:rsid w:val="54013861"/>
    <w:rsid w:val="5402266C"/>
    <w:rsid w:val="54136627"/>
    <w:rsid w:val="542720D3"/>
    <w:rsid w:val="542E3461"/>
    <w:rsid w:val="5438608E"/>
    <w:rsid w:val="54487265"/>
    <w:rsid w:val="544D6070"/>
    <w:rsid w:val="5452714F"/>
    <w:rsid w:val="54605E1E"/>
    <w:rsid w:val="54B3506A"/>
    <w:rsid w:val="54CA0D16"/>
    <w:rsid w:val="54DD4057"/>
    <w:rsid w:val="54E7490F"/>
    <w:rsid w:val="54F226E1"/>
    <w:rsid w:val="55004DFD"/>
    <w:rsid w:val="550764A4"/>
    <w:rsid w:val="550B2BF6"/>
    <w:rsid w:val="55142657"/>
    <w:rsid w:val="55214EB5"/>
    <w:rsid w:val="55364EFD"/>
    <w:rsid w:val="553700F3"/>
    <w:rsid w:val="554C0043"/>
    <w:rsid w:val="555B64D8"/>
    <w:rsid w:val="555D4828"/>
    <w:rsid w:val="55610808"/>
    <w:rsid w:val="557A4C8B"/>
    <w:rsid w:val="558931E1"/>
    <w:rsid w:val="55923347"/>
    <w:rsid w:val="55925180"/>
    <w:rsid w:val="55983B1B"/>
    <w:rsid w:val="55A8376B"/>
    <w:rsid w:val="55BF0815"/>
    <w:rsid w:val="55DC29B6"/>
    <w:rsid w:val="55DD4241"/>
    <w:rsid w:val="55FC3817"/>
    <w:rsid w:val="561B17C3"/>
    <w:rsid w:val="565C42B5"/>
    <w:rsid w:val="56665134"/>
    <w:rsid w:val="566B6D1E"/>
    <w:rsid w:val="569C2904"/>
    <w:rsid w:val="56BA5480"/>
    <w:rsid w:val="56E83918"/>
    <w:rsid w:val="57032A2C"/>
    <w:rsid w:val="570F5219"/>
    <w:rsid w:val="57357EFC"/>
    <w:rsid w:val="57362D58"/>
    <w:rsid w:val="574F3C5A"/>
    <w:rsid w:val="575D12B5"/>
    <w:rsid w:val="57610A87"/>
    <w:rsid w:val="577B1140"/>
    <w:rsid w:val="577B7F21"/>
    <w:rsid w:val="577F181B"/>
    <w:rsid w:val="57882E88"/>
    <w:rsid w:val="57921984"/>
    <w:rsid w:val="579737F0"/>
    <w:rsid w:val="57AB7B30"/>
    <w:rsid w:val="57AF5251"/>
    <w:rsid w:val="57B26373"/>
    <w:rsid w:val="57B63F04"/>
    <w:rsid w:val="57CD20C2"/>
    <w:rsid w:val="57D32355"/>
    <w:rsid w:val="57D675AB"/>
    <w:rsid w:val="57D95FDD"/>
    <w:rsid w:val="57DA7B88"/>
    <w:rsid w:val="580746F5"/>
    <w:rsid w:val="58240E03"/>
    <w:rsid w:val="58917D2F"/>
    <w:rsid w:val="5894085C"/>
    <w:rsid w:val="58953AAF"/>
    <w:rsid w:val="58AE4F0C"/>
    <w:rsid w:val="58B85899"/>
    <w:rsid w:val="58BF0B2C"/>
    <w:rsid w:val="58DC16DE"/>
    <w:rsid w:val="58E363A9"/>
    <w:rsid w:val="5900361E"/>
    <w:rsid w:val="591A3FB4"/>
    <w:rsid w:val="592B4413"/>
    <w:rsid w:val="594A6647"/>
    <w:rsid w:val="59592D2E"/>
    <w:rsid w:val="595E1678"/>
    <w:rsid w:val="596D5BD4"/>
    <w:rsid w:val="597933D0"/>
    <w:rsid w:val="597E3DD8"/>
    <w:rsid w:val="59A3044D"/>
    <w:rsid w:val="59B91A1F"/>
    <w:rsid w:val="59C81C62"/>
    <w:rsid w:val="59DD570D"/>
    <w:rsid w:val="59F80043"/>
    <w:rsid w:val="59FD5DAF"/>
    <w:rsid w:val="5A09252F"/>
    <w:rsid w:val="5A0B2778"/>
    <w:rsid w:val="5A1D3D5C"/>
    <w:rsid w:val="5A2A7C7B"/>
    <w:rsid w:val="5A3E2560"/>
    <w:rsid w:val="5A5D3B6E"/>
    <w:rsid w:val="5A637A76"/>
    <w:rsid w:val="5A6978F4"/>
    <w:rsid w:val="5A6D33BA"/>
    <w:rsid w:val="5A792B1F"/>
    <w:rsid w:val="5A874767"/>
    <w:rsid w:val="5A8913F1"/>
    <w:rsid w:val="5AAD6F28"/>
    <w:rsid w:val="5ACB7C5C"/>
    <w:rsid w:val="5AD63A24"/>
    <w:rsid w:val="5AF56A87"/>
    <w:rsid w:val="5B0867BA"/>
    <w:rsid w:val="5B172EA1"/>
    <w:rsid w:val="5B231846"/>
    <w:rsid w:val="5B2E1A1D"/>
    <w:rsid w:val="5B3C46B5"/>
    <w:rsid w:val="5B5248A0"/>
    <w:rsid w:val="5B5F03A4"/>
    <w:rsid w:val="5B623723"/>
    <w:rsid w:val="5B6A7475"/>
    <w:rsid w:val="5B843A1C"/>
    <w:rsid w:val="5B873E3F"/>
    <w:rsid w:val="5B8F6EDB"/>
    <w:rsid w:val="5B9E711E"/>
    <w:rsid w:val="5BAC183B"/>
    <w:rsid w:val="5BB52415"/>
    <w:rsid w:val="5BBE156E"/>
    <w:rsid w:val="5BE2525D"/>
    <w:rsid w:val="5C02690E"/>
    <w:rsid w:val="5C0276AD"/>
    <w:rsid w:val="5C196DA7"/>
    <w:rsid w:val="5C2A048C"/>
    <w:rsid w:val="5C2C472A"/>
    <w:rsid w:val="5C69772C"/>
    <w:rsid w:val="5C6F7AEE"/>
    <w:rsid w:val="5C7E0331"/>
    <w:rsid w:val="5C80234E"/>
    <w:rsid w:val="5C8A680C"/>
    <w:rsid w:val="5CD8040E"/>
    <w:rsid w:val="5CDD3C76"/>
    <w:rsid w:val="5D041203"/>
    <w:rsid w:val="5D064F7B"/>
    <w:rsid w:val="5D066D29"/>
    <w:rsid w:val="5D0C4701"/>
    <w:rsid w:val="5D0F0395"/>
    <w:rsid w:val="5D177188"/>
    <w:rsid w:val="5D221076"/>
    <w:rsid w:val="5D375134"/>
    <w:rsid w:val="5D397964"/>
    <w:rsid w:val="5D595B2D"/>
    <w:rsid w:val="5D5A391C"/>
    <w:rsid w:val="5D5F10C0"/>
    <w:rsid w:val="5D891B7B"/>
    <w:rsid w:val="5DA402F0"/>
    <w:rsid w:val="5DA6050C"/>
    <w:rsid w:val="5DAD3649"/>
    <w:rsid w:val="5DAD38EE"/>
    <w:rsid w:val="5DCB1D21"/>
    <w:rsid w:val="5DF179D9"/>
    <w:rsid w:val="5DF41277"/>
    <w:rsid w:val="5DF52328"/>
    <w:rsid w:val="5E006862"/>
    <w:rsid w:val="5E0207B9"/>
    <w:rsid w:val="5E1834A1"/>
    <w:rsid w:val="5E261785"/>
    <w:rsid w:val="5E4A7017"/>
    <w:rsid w:val="5E552BBA"/>
    <w:rsid w:val="5E611C10"/>
    <w:rsid w:val="5E800D5D"/>
    <w:rsid w:val="5E88169C"/>
    <w:rsid w:val="5E8F0FA0"/>
    <w:rsid w:val="5E9B7945"/>
    <w:rsid w:val="5EC46E9C"/>
    <w:rsid w:val="5EF62DCD"/>
    <w:rsid w:val="5EF86B45"/>
    <w:rsid w:val="5EFC7377"/>
    <w:rsid w:val="5F06174D"/>
    <w:rsid w:val="5F3A3602"/>
    <w:rsid w:val="5F4E49B7"/>
    <w:rsid w:val="5F6277C6"/>
    <w:rsid w:val="5F6D0B1D"/>
    <w:rsid w:val="5F8D0B82"/>
    <w:rsid w:val="5FBB029F"/>
    <w:rsid w:val="5FC03B07"/>
    <w:rsid w:val="5FCC5339"/>
    <w:rsid w:val="5FCD3B2E"/>
    <w:rsid w:val="5FD17AC2"/>
    <w:rsid w:val="5FE34A5B"/>
    <w:rsid w:val="5FE86BBA"/>
    <w:rsid w:val="5FFE1E36"/>
    <w:rsid w:val="5FFE462F"/>
    <w:rsid w:val="60232584"/>
    <w:rsid w:val="602D0A71"/>
    <w:rsid w:val="604858AA"/>
    <w:rsid w:val="607330CE"/>
    <w:rsid w:val="607E751E"/>
    <w:rsid w:val="60822B6A"/>
    <w:rsid w:val="60825176"/>
    <w:rsid w:val="6085265B"/>
    <w:rsid w:val="609D79A4"/>
    <w:rsid w:val="609F2AC4"/>
    <w:rsid w:val="60F4333C"/>
    <w:rsid w:val="60FA2EE8"/>
    <w:rsid w:val="60FB0B6F"/>
    <w:rsid w:val="61054A27"/>
    <w:rsid w:val="610A52BC"/>
    <w:rsid w:val="61171478"/>
    <w:rsid w:val="611D2366"/>
    <w:rsid w:val="612260FC"/>
    <w:rsid w:val="61421856"/>
    <w:rsid w:val="615227C4"/>
    <w:rsid w:val="61654E3F"/>
    <w:rsid w:val="6182292A"/>
    <w:rsid w:val="618648DC"/>
    <w:rsid w:val="619F7F92"/>
    <w:rsid w:val="61A66D2D"/>
    <w:rsid w:val="61A91D7E"/>
    <w:rsid w:val="61AB60F1"/>
    <w:rsid w:val="61DE64C6"/>
    <w:rsid w:val="61F94C26"/>
    <w:rsid w:val="61FE02CD"/>
    <w:rsid w:val="62000E56"/>
    <w:rsid w:val="622814F0"/>
    <w:rsid w:val="62375BD7"/>
    <w:rsid w:val="624F3E49"/>
    <w:rsid w:val="62632286"/>
    <w:rsid w:val="62885958"/>
    <w:rsid w:val="62E573E1"/>
    <w:rsid w:val="62F40B65"/>
    <w:rsid w:val="62F45876"/>
    <w:rsid w:val="62FC2CFE"/>
    <w:rsid w:val="63024505"/>
    <w:rsid w:val="63472497"/>
    <w:rsid w:val="635B1DB5"/>
    <w:rsid w:val="63711FED"/>
    <w:rsid w:val="638766EA"/>
    <w:rsid w:val="63880DDC"/>
    <w:rsid w:val="638D750D"/>
    <w:rsid w:val="63911317"/>
    <w:rsid w:val="63AC6CC0"/>
    <w:rsid w:val="63BC2837"/>
    <w:rsid w:val="63C055FF"/>
    <w:rsid w:val="63C60FC0"/>
    <w:rsid w:val="63DC07E4"/>
    <w:rsid w:val="64055776"/>
    <w:rsid w:val="640970FF"/>
    <w:rsid w:val="64240056"/>
    <w:rsid w:val="642D103F"/>
    <w:rsid w:val="643E143A"/>
    <w:rsid w:val="644B7717"/>
    <w:rsid w:val="64610CE9"/>
    <w:rsid w:val="647749B0"/>
    <w:rsid w:val="6488096B"/>
    <w:rsid w:val="648B6EEF"/>
    <w:rsid w:val="64B11C70"/>
    <w:rsid w:val="64C158BF"/>
    <w:rsid w:val="64CE2EAA"/>
    <w:rsid w:val="64D771FD"/>
    <w:rsid w:val="64F46001"/>
    <w:rsid w:val="653C3090"/>
    <w:rsid w:val="65717652"/>
    <w:rsid w:val="657D7DA4"/>
    <w:rsid w:val="65854376"/>
    <w:rsid w:val="658767BE"/>
    <w:rsid w:val="65892531"/>
    <w:rsid w:val="65CC6636"/>
    <w:rsid w:val="66154481"/>
    <w:rsid w:val="66195831"/>
    <w:rsid w:val="662E75B1"/>
    <w:rsid w:val="66342B59"/>
    <w:rsid w:val="66342C2E"/>
    <w:rsid w:val="663E784C"/>
    <w:rsid w:val="664D3C1B"/>
    <w:rsid w:val="665723A3"/>
    <w:rsid w:val="666D7E19"/>
    <w:rsid w:val="668B6A45"/>
    <w:rsid w:val="66A31A8D"/>
    <w:rsid w:val="66A575B3"/>
    <w:rsid w:val="66B141AA"/>
    <w:rsid w:val="66D165FA"/>
    <w:rsid w:val="66E3632D"/>
    <w:rsid w:val="66F033E8"/>
    <w:rsid w:val="670D5158"/>
    <w:rsid w:val="672F3F24"/>
    <w:rsid w:val="673E055F"/>
    <w:rsid w:val="67430B7A"/>
    <w:rsid w:val="67551CE3"/>
    <w:rsid w:val="67584625"/>
    <w:rsid w:val="67753429"/>
    <w:rsid w:val="679B09B6"/>
    <w:rsid w:val="67A05FCC"/>
    <w:rsid w:val="67A22552"/>
    <w:rsid w:val="67B22DCC"/>
    <w:rsid w:val="67BE71AA"/>
    <w:rsid w:val="67D90273"/>
    <w:rsid w:val="67DE5875"/>
    <w:rsid w:val="67E1286C"/>
    <w:rsid w:val="67E55852"/>
    <w:rsid w:val="67EB1AB4"/>
    <w:rsid w:val="67F73E3E"/>
    <w:rsid w:val="67F87BB6"/>
    <w:rsid w:val="67FA1285"/>
    <w:rsid w:val="68541290"/>
    <w:rsid w:val="68551F4F"/>
    <w:rsid w:val="685F3791"/>
    <w:rsid w:val="687C10C9"/>
    <w:rsid w:val="68840C16"/>
    <w:rsid w:val="68876EFB"/>
    <w:rsid w:val="68884654"/>
    <w:rsid w:val="688D02FE"/>
    <w:rsid w:val="689F444F"/>
    <w:rsid w:val="68AD6BF3"/>
    <w:rsid w:val="68B96DBB"/>
    <w:rsid w:val="68CA2805"/>
    <w:rsid w:val="68E937A3"/>
    <w:rsid w:val="690D143F"/>
    <w:rsid w:val="6918664C"/>
    <w:rsid w:val="691E4967"/>
    <w:rsid w:val="69270753"/>
    <w:rsid w:val="692D1AE1"/>
    <w:rsid w:val="693E15D3"/>
    <w:rsid w:val="69531548"/>
    <w:rsid w:val="695D1E46"/>
    <w:rsid w:val="69627681"/>
    <w:rsid w:val="6977531D"/>
    <w:rsid w:val="69992CD3"/>
    <w:rsid w:val="69C752EC"/>
    <w:rsid w:val="69CC2BFF"/>
    <w:rsid w:val="69DB32EB"/>
    <w:rsid w:val="69FD55B8"/>
    <w:rsid w:val="6A002D52"/>
    <w:rsid w:val="6A0B1C62"/>
    <w:rsid w:val="6A2406C8"/>
    <w:rsid w:val="6A2B6021"/>
    <w:rsid w:val="6AAB7162"/>
    <w:rsid w:val="6AC50223"/>
    <w:rsid w:val="6ADE0BD1"/>
    <w:rsid w:val="6AE96859"/>
    <w:rsid w:val="6B0625EA"/>
    <w:rsid w:val="6B147746"/>
    <w:rsid w:val="6B24787C"/>
    <w:rsid w:val="6B573233"/>
    <w:rsid w:val="6B5B6274"/>
    <w:rsid w:val="6B5E41D4"/>
    <w:rsid w:val="6B685053"/>
    <w:rsid w:val="6B7D6789"/>
    <w:rsid w:val="6B935D53"/>
    <w:rsid w:val="6BF30DC0"/>
    <w:rsid w:val="6C196F71"/>
    <w:rsid w:val="6C226FCB"/>
    <w:rsid w:val="6C31226F"/>
    <w:rsid w:val="6C3A079D"/>
    <w:rsid w:val="6C552F0B"/>
    <w:rsid w:val="6C7255C7"/>
    <w:rsid w:val="6C8C67B7"/>
    <w:rsid w:val="6C8E6D3B"/>
    <w:rsid w:val="6C9D744C"/>
    <w:rsid w:val="6CCB17B2"/>
    <w:rsid w:val="6D167928"/>
    <w:rsid w:val="6D1F1741"/>
    <w:rsid w:val="6D26299B"/>
    <w:rsid w:val="6D4772EC"/>
    <w:rsid w:val="6D543AE1"/>
    <w:rsid w:val="6D577CE7"/>
    <w:rsid w:val="6D667370"/>
    <w:rsid w:val="6D9078AF"/>
    <w:rsid w:val="6DA305C4"/>
    <w:rsid w:val="6DAA3FEF"/>
    <w:rsid w:val="6DC0172B"/>
    <w:rsid w:val="6DCB690C"/>
    <w:rsid w:val="6DD41A5B"/>
    <w:rsid w:val="6DF43C2E"/>
    <w:rsid w:val="6DF51CA3"/>
    <w:rsid w:val="6E511DCE"/>
    <w:rsid w:val="6E5D69C5"/>
    <w:rsid w:val="6E8335BD"/>
    <w:rsid w:val="6E8E12EF"/>
    <w:rsid w:val="6E972936"/>
    <w:rsid w:val="6EA2087C"/>
    <w:rsid w:val="6EB8009F"/>
    <w:rsid w:val="6EBD1212"/>
    <w:rsid w:val="6EC6456A"/>
    <w:rsid w:val="6ED446C5"/>
    <w:rsid w:val="6EEA46FD"/>
    <w:rsid w:val="6F046E40"/>
    <w:rsid w:val="6F2A7D94"/>
    <w:rsid w:val="6F2B0871"/>
    <w:rsid w:val="6F8331F1"/>
    <w:rsid w:val="6FAE1A09"/>
    <w:rsid w:val="6FCD6331"/>
    <w:rsid w:val="6FD75BF8"/>
    <w:rsid w:val="6FE0165C"/>
    <w:rsid w:val="700C2451"/>
    <w:rsid w:val="70335C2F"/>
    <w:rsid w:val="707723D0"/>
    <w:rsid w:val="70814BED"/>
    <w:rsid w:val="70B34FC2"/>
    <w:rsid w:val="70F03B20"/>
    <w:rsid w:val="70F12908"/>
    <w:rsid w:val="70F5661B"/>
    <w:rsid w:val="710B44B6"/>
    <w:rsid w:val="710E21F8"/>
    <w:rsid w:val="712D08D1"/>
    <w:rsid w:val="71360107"/>
    <w:rsid w:val="713B688E"/>
    <w:rsid w:val="715F6C37"/>
    <w:rsid w:val="71946BA2"/>
    <w:rsid w:val="71A60683"/>
    <w:rsid w:val="71AD37BF"/>
    <w:rsid w:val="71D43752"/>
    <w:rsid w:val="71E80C9B"/>
    <w:rsid w:val="71EB4541"/>
    <w:rsid w:val="71F1796A"/>
    <w:rsid w:val="7205184D"/>
    <w:rsid w:val="72154626"/>
    <w:rsid w:val="72262B5D"/>
    <w:rsid w:val="72283FF7"/>
    <w:rsid w:val="722E7212"/>
    <w:rsid w:val="723A0474"/>
    <w:rsid w:val="725620A9"/>
    <w:rsid w:val="725923E4"/>
    <w:rsid w:val="7265409A"/>
    <w:rsid w:val="726A16B0"/>
    <w:rsid w:val="726F4F19"/>
    <w:rsid w:val="72864BF7"/>
    <w:rsid w:val="729023FC"/>
    <w:rsid w:val="72A050D2"/>
    <w:rsid w:val="72AE77EF"/>
    <w:rsid w:val="72DD6326"/>
    <w:rsid w:val="73092C77"/>
    <w:rsid w:val="733610D9"/>
    <w:rsid w:val="73682094"/>
    <w:rsid w:val="737A5923"/>
    <w:rsid w:val="737E0A93"/>
    <w:rsid w:val="739509AF"/>
    <w:rsid w:val="73995CF9"/>
    <w:rsid w:val="73A3131E"/>
    <w:rsid w:val="73BC23E0"/>
    <w:rsid w:val="73C0646E"/>
    <w:rsid w:val="73E07E7C"/>
    <w:rsid w:val="74177616"/>
    <w:rsid w:val="742222F5"/>
    <w:rsid w:val="742C30C1"/>
    <w:rsid w:val="742F2BB2"/>
    <w:rsid w:val="74363F40"/>
    <w:rsid w:val="74476126"/>
    <w:rsid w:val="74640AAD"/>
    <w:rsid w:val="74687E72"/>
    <w:rsid w:val="746960C4"/>
    <w:rsid w:val="74706664"/>
    <w:rsid w:val="747F3682"/>
    <w:rsid w:val="749869A9"/>
    <w:rsid w:val="749C4185"/>
    <w:rsid w:val="74BA06CD"/>
    <w:rsid w:val="74C23A26"/>
    <w:rsid w:val="74EE65C9"/>
    <w:rsid w:val="75061B64"/>
    <w:rsid w:val="75067759"/>
    <w:rsid w:val="75120509"/>
    <w:rsid w:val="751F1BAF"/>
    <w:rsid w:val="75241FEA"/>
    <w:rsid w:val="752E6DCD"/>
    <w:rsid w:val="7551380D"/>
    <w:rsid w:val="755328D0"/>
    <w:rsid w:val="75600BE5"/>
    <w:rsid w:val="7564475C"/>
    <w:rsid w:val="7571179E"/>
    <w:rsid w:val="7583797F"/>
    <w:rsid w:val="75BC0475"/>
    <w:rsid w:val="75D20F1D"/>
    <w:rsid w:val="75DA2C18"/>
    <w:rsid w:val="75DB4D9F"/>
    <w:rsid w:val="75E874BC"/>
    <w:rsid w:val="75F54412"/>
    <w:rsid w:val="75F776FF"/>
    <w:rsid w:val="76116A13"/>
    <w:rsid w:val="761D08E0"/>
    <w:rsid w:val="76320737"/>
    <w:rsid w:val="76326989"/>
    <w:rsid w:val="76366479"/>
    <w:rsid w:val="76397D18"/>
    <w:rsid w:val="764352BD"/>
    <w:rsid w:val="764861AD"/>
    <w:rsid w:val="765D347C"/>
    <w:rsid w:val="767E572A"/>
    <w:rsid w:val="76826699"/>
    <w:rsid w:val="76C87133"/>
    <w:rsid w:val="76CD08D5"/>
    <w:rsid w:val="76D40F1D"/>
    <w:rsid w:val="76D96E05"/>
    <w:rsid w:val="76DB4B92"/>
    <w:rsid w:val="76FF686B"/>
    <w:rsid w:val="77052AA4"/>
    <w:rsid w:val="77136511"/>
    <w:rsid w:val="77340A39"/>
    <w:rsid w:val="77351FD0"/>
    <w:rsid w:val="77472422"/>
    <w:rsid w:val="774E5F67"/>
    <w:rsid w:val="77560455"/>
    <w:rsid w:val="77756B2D"/>
    <w:rsid w:val="77770AF7"/>
    <w:rsid w:val="777F31F2"/>
    <w:rsid w:val="77C41863"/>
    <w:rsid w:val="77D1700D"/>
    <w:rsid w:val="77D862D4"/>
    <w:rsid w:val="77EC04CC"/>
    <w:rsid w:val="782567A5"/>
    <w:rsid w:val="78491F11"/>
    <w:rsid w:val="7872306D"/>
    <w:rsid w:val="78775729"/>
    <w:rsid w:val="788323D4"/>
    <w:rsid w:val="78874D6A"/>
    <w:rsid w:val="788A2AAC"/>
    <w:rsid w:val="788D7EA7"/>
    <w:rsid w:val="789C633C"/>
    <w:rsid w:val="78A42DB0"/>
    <w:rsid w:val="78A656AB"/>
    <w:rsid w:val="78A91184"/>
    <w:rsid w:val="78B2245C"/>
    <w:rsid w:val="78C95383"/>
    <w:rsid w:val="78E172CC"/>
    <w:rsid w:val="78EA1D1F"/>
    <w:rsid w:val="7904172F"/>
    <w:rsid w:val="790F7E27"/>
    <w:rsid w:val="791800B8"/>
    <w:rsid w:val="792A231A"/>
    <w:rsid w:val="79316829"/>
    <w:rsid w:val="79404D6B"/>
    <w:rsid w:val="797E66A9"/>
    <w:rsid w:val="7993773F"/>
    <w:rsid w:val="799E5223"/>
    <w:rsid w:val="79A97383"/>
    <w:rsid w:val="79E24222"/>
    <w:rsid w:val="79E27E8B"/>
    <w:rsid w:val="79F850CE"/>
    <w:rsid w:val="79FD443C"/>
    <w:rsid w:val="7A0643B5"/>
    <w:rsid w:val="7A0A5C53"/>
    <w:rsid w:val="7A0F14BB"/>
    <w:rsid w:val="7A102B3D"/>
    <w:rsid w:val="7A1D1975"/>
    <w:rsid w:val="7A291E51"/>
    <w:rsid w:val="7A37456E"/>
    <w:rsid w:val="7A3B22B0"/>
    <w:rsid w:val="7A3E5150"/>
    <w:rsid w:val="7A4670D6"/>
    <w:rsid w:val="7A4F7B0A"/>
    <w:rsid w:val="7A534B63"/>
    <w:rsid w:val="7A615382"/>
    <w:rsid w:val="7A67303B"/>
    <w:rsid w:val="7A8377B3"/>
    <w:rsid w:val="7A9B4AFD"/>
    <w:rsid w:val="7AAB1D04"/>
    <w:rsid w:val="7ABA4368"/>
    <w:rsid w:val="7AC73B44"/>
    <w:rsid w:val="7AD05746"/>
    <w:rsid w:val="7B0B57C8"/>
    <w:rsid w:val="7B220D7A"/>
    <w:rsid w:val="7B257FFD"/>
    <w:rsid w:val="7B343476"/>
    <w:rsid w:val="7B452CBB"/>
    <w:rsid w:val="7B4C229B"/>
    <w:rsid w:val="7B5A2978"/>
    <w:rsid w:val="7B5A7E4C"/>
    <w:rsid w:val="7B667AF9"/>
    <w:rsid w:val="7B7468F8"/>
    <w:rsid w:val="7B803CF3"/>
    <w:rsid w:val="7B9F4C48"/>
    <w:rsid w:val="7BB0282A"/>
    <w:rsid w:val="7BCE0F02"/>
    <w:rsid w:val="7BD83B2F"/>
    <w:rsid w:val="7BEE0103"/>
    <w:rsid w:val="7C0A0FE4"/>
    <w:rsid w:val="7C134B67"/>
    <w:rsid w:val="7C254906"/>
    <w:rsid w:val="7C55517F"/>
    <w:rsid w:val="7C590818"/>
    <w:rsid w:val="7C604430"/>
    <w:rsid w:val="7C7C10F6"/>
    <w:rsid w:val="7C853BEA"/>
    <w:rsid w:val="7C881368"/>
    <w:rsid w:val="7CB00608"/>
    <w:rsid w:val="7CE27788"/>
    <w:rsid w:val="7D006E99"/>
    <w:rsid w:val="7D0C32F1"/>
    <w:rsid w:val="7D0C7F34"/>
    <w:rsid w:val="7D0F408D"/>
    <w:rsid w:val="7D1C3715"/>
    <w:rsid w:val="7D221505"/>
    <w:rsid w:val="7D2D1C58"/>
    <w:rsid w:val="7D2F777E"/>
    <w:rsid w:val="7D3D00ED"/>
    <w:rsid w:val="7D491C6C"/>
    <w:rsid w:val="7D496A92"/>
    <w:rsid w:val="7D52090D"/>
    <w:rsid w:val="7D5429C0"/>
    <w:rsid w:val="7D6E6D43"/>
    <w:rsid w:val="7D7519F1"/>
    <w:rsid w:val="7D755AD9"/>
    <w:rsid w:val="7D851A94"/>
    <w:rsid w:val="7D8555F0"/>
    <w:rsid w:val="7D9B7217"/>
    <w:rsid w:val="7D9F4904"/>
    <w:rsid w:val="7DB57A34"/>
    <w:rsid w:val="7DC73E5B"/>
    <w:rsid w:val="7DCB0D9E"/>
    <w:rsid w:val="7DE467BB"/>
    <w:rsid w:val="7DE60973"/>
    <w:rsid w:val="7DEF0916"/>
    <w:rsid w:val="7DF10ED8"/>
    <w:rsid w:val="7E105802"/>
    <w:rsid w:val="7E1E5218"/>
    <w:rsid w:val="7E235535"/>
    <w:rsid w:val="7E5665C8"/>
    <w:rsid w:val="7E695800"/>
    <w:rsid w:val="7E7F1D06"/>
    <w:rsid w:val="7E9975A5"/>
    <w:rsid w:val="7E9A4E1F"/>
    <w:rsid w:val="7EA7723A"/>
    <w:rsid w:val="7EAB019B"/>
    <w:rsid w:val="7EAF0B77"/>
    <w:rsid w:val="7EC860DC"/>
    <w:rsid w:val="7ECF2FC7"/>
    <w:rsid w:val="7ED95BF4"/>
    <w:rsid w:val="7EE051D4"/>
    <w:rsid w:val="7EE66563"/>
    <w:rsid w:val="7EF56FBB"/>
    <w:rsid w:val="7F0768EB"/>
    <w:rsid w:val="7F0D1D41"/>
    <w:rsid w:val="7F143BEC"/>
    <w:rsid w:val="7F220BCE"/>
    <w:rsid w:val="7F4A6AF1"/>
    <w:rsid w:val="7F4C286A"/>
    <w:rsid w:val="7F625BE9"/>
    <w:rsid w:val="7F715AF2"/>
    <w:rsid w:val="7F7678E7"/>
    <w:rsid w:val="7F7B2C88"/>
    <w:rsid w:val="7F886E69"/>
    <w:rsid w:val="7F9B559F"/>
    <w:rsid w:val="7FC95C68"/>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5">
    <w:name w:val="Normal Indent"/>
    <w:basedOn w:val="1"/>
    <w:next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6"/>
    <w:qFormat/>
    <w:uiPriority w:val="0"/>
    <w:pPr>
      <w:shd w:val="clear" w:color="auto" w:fill="000080"/>
    </w:pPr>
  </w:style>
  <w:style w:type="paragraph" w:styleId="19">
    <w:name w:val="annotation text"/>
    <w:basedOn w:val="1"/>
    <w:link w:val="854"/>
    <w:qFormat/>
    <w:uiPriority w:val="99"/>
    <w:pPr>
      <w:jc w:val="left"/>
    </w:pPr>
  </w:style>
  <w:style w:type="paragraph" w:styleId="20">
    <w:name w:val="Salutation"/>
    <w:basedOn w:val="1"/>
    <w:next w:val="1"/>
    <w:link w:val="814"/>
    <w:qFormat/>
    <w:uiPriority w:val="0"/>
    <w:rPr>
      <w:rFonts w:ascii="仿宋_GB2312" w:eastAsia="仿宋_GB2312"/>
      <w:sz w:val="28"/>
      <w:szCs w:val="20"/>
    </w:rPr>
  </w:style>
  <w:style w:type="paragraph" w:styleId="21">
    <w:name w:val="Body Text 3"/>
    <w:basedOn w:val="1"/>
    <w:link w:val="842"/>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1"/>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833"/>
    <w:qFormat/>
    <w:uiPriority w:val="0"/>
    <w:pPr>
      <w:ind w:firstLine="420"/>
    </w:pPr>
    <w:rPr>
      <w:rFonts w:hAnsi="Calibri" w:cs="Times New Roman"/>
      <w:szCs w:val="20"/>
    </w:rPr>
  </w:style>
  <w:style w:type="paragraph" w:styleId="25">
    <w:name w:val="toc 6"/>
    <w:basedOn w:val="1"/>
    <w:next w:val="1"/>
    <w:qFormat/>
    <w:uiPriority w:val="0"/>
    <w:pPr>
      <w:ind w:left="2100" w:leftChars="1000"/>
    </w:pPr>
  </w:style>
  <w:style w:type="paragraph" w:styleId="26">
    <w:name w:val="Body Text Indent"/>
    <w:basedOn w:val="1"/>
    <w:next w:val="27"/>
    <w:link w:val="782"/>
    <w:qFormat/>
    <w:uiPriority w:val="0"/>
    <w:pPr>
      <w:spacing w:line="480" w:lineRule="exact"/>
      <w:ind w:firstLine="480" w:firstLineChars="200"/>
    </w:pPr>
    <w:rPr>
      <w:rFonts w:ascii="宋体" w:hAnsi="宋体"/>
      <w:sz w:val="24"/>
    </w:rPr>
  </w:style>
  <w:style w:type="paragraph" w:customStyle="1" w:styleId="27">
    <w:name w:val="正文文本首行缩进 2"/>
    <w:basedOn w:val="28"/>
    <w:qFormat/>
    <w:uiPriority w:val="99"/>
    <w:pPr>
      <w:spacing w:line="200" w:lineRule="atLeast"/>
      <w:ind w:firstLine="420"/>
    </w:pPr>
    <w:rPr>
      <w:rFonts w:ascii="宋体" w:hAnsi="Courier New"/>
      <w:spacing w:val="-4"/>
      <w:sz w:val="18"/>
    </w:rPr>
  </w:style>
  <w:style w:type="paragraph" w:customStyle="1" w:styleId="28">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658"/>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708"/>
    <w:qFormat/>
    <w:uiPriority w:val="0"/>
    <w:pPr>
      <w:ind w:left="100" w:leftChars="2500"/>
    </w:pPr>
    <w:rPr>
      <w:rFonts w:ascii="宋体"/>
      <w:sz w:val="24"/>
      <w:szCs w:val="21"/>
      <w:lang w:val="zh-CN"/>
    </w:rPr>
  </w:style>
  <w:style w:type="paragraph" w:styleId="40">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1">
    <w:name w:val="endnote text"/>
    <w:basedOn w:val="1"/>
    <w:link w:val="939"/>
    <w:qFormat/>
    <w:uiPriority w:val="0"/>
    <w:rPr>
      <w:lang w:val="zh-CN"/>
    </w:rPr>
  </w:style>
  <w:style w:type="paragraph" w:styleId="42">
    <w:name w:val="Balloon Text"/>
    <w:basedOn w:val="1"/>
    <w:link w:val="715"/>
    <w:qFormat/>
    <w:uiPriority w:val="0"/>
    <w:rPr>
      <w:sz w:val="18"/>
      <w:szCs w:val="18"/>
    </w:rPr>
  </w:style>
  <w:style w:type="paragraph" w:styleId="43">
    <w:name w:val="footer"/>
    <w:basedOn w:val="1"/>
    <w:link w:val="890"/>
    <w:qFormat/>
    <w:uiPriority w:val="99"/>
    <w:pPr>
      <w:tabs>
        <w:tab w:val="center" w:pos="4153"/>
        <w:tab w:val="right" w:pos="8306"/>
      </w:tabs>
      <w:snapToGrid w:val="0"/>
      <w:jc w:val="left"/>
    </w:pPr>
    <w:rPr>
      <w:sz w:val="18"/>
      <w:szCs w:val="18"/>
    </w:rPr>
  </w:style>
  <w:style w:type="paragraph" w:styleId="44">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5"/>
    <w:link w:val="824"/>
    <w:qFormat/>
    <w:uiPriority w:val="0"/>
    <w:pPr>
      <w:adjustRightInd/>
      <w:snapToGrid/>
      <w:spacing w:before="60" w:after="60" w:line="300" w:lineRule="exact"/>
      <w:ind w:firstLine="0"/>
    </w:pPr>
    <w:rPr>
      <w:rFonts w:ascii="Calibri"/>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8"/>
    <w:qFormat/>
    <w:uiPriority w:val="0"/>
    <w:pPr>
      <w:spacing w:after="120" w:line="480" w:lineRule="auto"/>
    </w:pPr>
  </w:style>
  <w:style w:type="paragraph" w:styleId="59">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802"/>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19"/>
    <w:next w:val="19"/>
    <w:link w:val="631"/>
    <w:qFormat/>
    <w:uiPriority w:val="0"/>
    <w:rPr>
      <w:b/>
      <w:bCs/>
    </w:rPr>
  </w:style>
  <w:style w:type="paragraph" w:styleId="63">
    <w:name w:val="Body Text First Indent 2"/>
    <w:basedOn w:val="26"/>
    <w:link w:val="654"/>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qFormat/>
    <w:uiPriority w:val="0"/>
    <w:rPr>
      <w:rFonts w:ascii="Courier New" w:hAnsi="Courier New"/>
    </w:rPr>
  </w:style>
  <w:style w:type="paragraph" w:customStyle="1" w:styleId="82">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3"/>
    <w:qFormat/>
    <w:uiPriority w:val="0"/>
    <w:pPr>
      <w:spacing w:before="156" w:line="360" w:lineRule="auto"/>
      <w:ind w:firstLine="510" w:firstLineChars="200"/>
    </w:pPr>
    <w:rPr>
      <w:sz w:val="24"/>
      <w:szCs w:val="20"/>
    </w:rPr>
  </w:style>
  <w:style w:type="paragraph" w:customStyle="1" w:styleId="88">
    <w:name w:val="无间隔1"/>
    <w:link w:val="671"/>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79"/>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3"/>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4"/>
    <w:qFormat/>
    <w:uiPriority w:val="0"/>
    <w:pPr>
      <w:ind w:left="0" w:right="466" w:firstLine="288"/>
    </w:pPr>
    <w:rPr>
      <w:rFonts w:hAnsi="宋体"/>
    </w:rPr>
  </w:style>
  <w:style w:type="paragraph" w:customStyle="1" w:styleId="95">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6"/>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6"/>
    <w:qFormat/>
    <w:uiPriority w:val="0"/>
    <w:pPr>
      <w:adjustRightInd/>
      <w:spacing w:line="360" w:lineRule="auto"/>
      <w:ind w:firstLine="480" w:firstLineChars="200"/>
    </w:pPr>
    <w:rPr>
      <w:kern w:val="0"/>
      <w:sz w:val="24"/>
    </w:rPr>
  </w:style>
  <w:style w:type="paragraph" w:customStyle="1" w:styleId="100">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List Paragraph"/>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7"/>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19"/>
    <w:qFormat/>
    <w:uiPriority w:val="0"/>
    <w:pPr>
      <w:tabs>
        <w:tab w:val="left" w:pos="2356"/>
      </w:tabs>
    </w:pPr>
  </w:style>
  <w:style w:type="paragraph" w:customStyle="1" w:styleId="105">
    <w:name w:val="样式 标题 4h4H4Fab-4T5Ref Heading 1rh1Heading sqlsect 1.2.3...."/>
    <w:basedOn w:val="6"/>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2"/>
    <w:qFormat/>
    <w:uiPriority w:val="0"/>
    <w:pPr>
      <w:adjustRightInd/>
    </w:pPr>
    <w:rPr>
      <w:rFonts w:ascii="宋体" w:hAnsi="Courier New"/>
      <w:kern w:val="0"/>
      <w:sz w:val="20"/>
      <w:szCs w:val="20"/>
    </w:rPr>
  </w:style>
  <w:style w:type="paragraph" w:customStyle="1" w:styleId="108">
    <w:name w:val="正文说明"/>
    <w:basedOn w:val="1"/>
    <w:link w:val="844"/>
    <w:qFormat/>
    <w:uiPriority w:val="0"/>
    <w:pPr>
      <w:adjustRightInd/>
      <w:spacing w:line="360" w:lineRule="auto"/>
    </w:pPr>
    <w:rPr>
      <w:kern w:val="0"/>
      <w:sz w:val="24"/>
    </w:rPr>
  </w:style>
  <w:style w:type="paragraph" w:customStyle="1" w:styleId="109">
    <w:name w:val="Table Text"/>
    <w:basedOn w:val="1"/>
    <w:link w:val="850"/>
    <w:qFormat/>
    <w:uiPriority w:val="0"/>
    <w:pPr>
      <w:widowControl/>
      <w:spacing w:before="60" w:after="60"/>
      <w:jc w:val="left"/>
    </w:pPr>
    <w:rPr>
      <w:kern w:val="0"/>
      <w:sz w:val="24"/>
    </w:rPr>
  </w:style>
  <w:style w:type="paragraph" w:customStyle="1" w:styleId="110">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5">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5"/>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6"/>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312"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0"/>
    <w:rPr>
      <w:rFonts w:ascii="仿宋_GB2312" w:eastAsia="仿宋_GB2312"/>
      <w:b/>
      <w:sz w:val="32"/>
      <w:szCs w:val="32"/>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qFormat/>
    <w:uiPriority w:val="0"/>
    <w:pPr>
      <w:keepNext/>
      <w:tabs>
        <w:tab w:val="left" w:pos="360"/>
      </w:tabs>
      <w:spacing w:before="0" w:after="0"/>
      <w:outlineLvl w:val="5"/>
    </w:pPr>
  </w:style>
  <w:style w:type="paragraph" w:customStyle="1" w:styleId="159">
    <w:name w:val="5级标题"/>
    <w:basedOn w:val="160"/>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0">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qFormat/>
    <w:uiPriority w:val="0"/>
    <w:pPr>
      <w:adjustRightInd/>
      <w:ind w:left="420" w:leftChars="200"/>
      <w:jc w:val="left"/>
    </w:pPr>
    <w:rPr>
      <w:sz w:val="28"/>
      <w:szCs w:val="20"/>
      <w:lang w:eastAsia="zh-TW"/>
    </w:rPr>
  </w:style>
  <w:style w:type="paragraph" w:customStyle="1" w:styleId="162">
    <w:name w:val="Char2 Char Char"/>
    <w:basedOn w:val="1"/>
    <w:qFormat/>
    <w:uiPriority w:val="0"/>
    <w:pPr>
      <w:adjustRightInd/>
    </w:pPr>
    <w:rPr>
      <w:rFonts w:ascii="Tahoma" w:hAnsi="Tahoma"/>
      <w:sz w:val="24"/>
      <w:szCs w:val="20"/>
    </w:rPr>
  </w:style>
  <w:style w:type="paragraph" w:customStyle="1" w:styleId="163">
    <w:name w:val="_Style 11"/>
    <w:basedOn w:val="1"/>
    <w:qFormat/>
    <w:uiPriority w:val="34"/>
    <w:pPr>
      <w:adjustRightInd/>
      <w:ind w:firstLine="420" w:firstLineChars="200"/>
    </w:pPr>
    <w:rPr>
      <w:rFonts w:eastAsia="仿宋_GB2312"/>
      <w:sz w:val="28"/>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No Spacing"/>
    <w:basedOn w:val="1"/>
    <w:link w:val="940"/>
    <w:qFormat/>
    <w:uiPriority w:val="99"/>
    <w:rPr>
      <w:szCs w:val="22"/>
    </w:rPr>
  </w:style>
  <w:style w:type="paragraph" w:customStyle="1" w:styleId="16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qFormat/>
    <w:uiPriority w:val="6"/>
    <w:rPr>
      <w:rFonts w:ascii="Tahoma" w:hAnsi="Tahoma" w:cs="仿宋_GB2312"/>
      <w:sz w:val="24"/>
      <w:szCs w:val="20"/>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qFormat/>
    <w:uiPriority w:val="0"/>
    <w:pPr>
      <w:adjustRightInd/>
    </w:pPr>
  </w:style>
  <w:style w:type="paragraph" w:customStyle="1" w:styleId="176">
    <w:name w:val="Char5"/>
    <w:basedOn w:val="1"/>
    <w:qFormat/>
    <w:uiPriority w:val="0"/>
    <w:rPr>
      <w:rFonts w:ascii="仿宋_GB2312" w:eastAsia="仿宋_GB2312"/>
      <w:b/>
      <w:sz w:val="32"/>
      <w:szCs w:val="32"/>
    </w:rPr>
  </w:style>
  <w:style w:type="paragraph" w:customStyle="1" w:styleId="177">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qFormat/>
    <w:uiPriority w:val="0"/>
    <w:rPr>
      <w:rFonts w:ascii="仿宋_GB2312" w:eastAsia="仿宋_GB2312"/>
      <w:b/>
      <w:sz w:val="32"/>
      <w:szCs w:val="32"/>
    </w:rPr>
  </w:style>
  <w:style w:type="paragraph" w:customStyle="1" w:styleId="181">
    <w:name w:val="数字标题3"/>
    <w:basedOn w:val="4"/>
    <w:next w:val="1"/>
    <w:qFormat/>
    <w:uiPriority w:val="0"/>
    <w:pPr>
      <w:spacing w:line="240" w:lineRule="auto"/>
    </w:pPr>
    <w:rPr>
      <w:sz w:val="28"/>
      <w:szCs w:val="28"/>
    </w:rPr>
  </w:style>
  <w:style w:type="paragraph" w:customStyle="1" w:styleId="182">
    <w:name w:val="FA正文"/>
    <w:basedOn w:val="1"/>
    <w:qFormat/>
    <w:uiPriority w:val="0"/>
    <w:pPr>
      <w:spacing w:line="360" w:lineRule="auto"/>
      <w:ind w:firstLine="480" w:firstLineChars="200"/>
    </w:pPr>
    <w:rPr>
      <w:rFonts w:hAnsi="宋体"/>
      <w:sz w:val="24"/>
      <w:szCs w:val="20"/>
    </w:rPr>
  </w:style>
  <w:style w:type="paragraph" w:customStyle="1" w:styleId="183">
    <w:name w:val="MM Topic 5"/>
    <w:basedOn w:val="7"/>
    <w:qFormat/>
    <w:uiPriority w:val="0"/>
    <w:pPr>
      <w:tabs>
        <w:tab w:val="left" w:pos="2520"/>
        <w:tab w:val="clear" w:pos="1008"/>
      </w:tabs>
      <w:adjustRightInd/>
      <w:ind w:left="2520" w:hanging="420"/>
    </w:pPr>
  </w:style>
  <w:style w:type="paragraph" w:customStyle="1" w:styleId="184">
    <w:name w:val="Char Char Char Char Char Char Char Char Char Char1"/>
    <w:basedOn w:val="1"/>
    <w:qFormat/>
    <w:uiPriority w:val="0"/>
    <w:rPr>
      <w:rFonts w:ascii="仿宋_GB2312" w:eastAsia="仿宋_GB2312"/>
      <w:b/>
      <w:sz w:val="32"/>
      <w:szCs w:val="32"/>
    </w:rPr>
  </w:style>
  <w:style w:type="paragraph" w:customStyle="1" w:styleId="18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qFormat/>
    <w:uiPriority w:val="0"/>
    <w:rPr>
      <w:rFonts w:ascii="仿宋_GB2312" w:eastAsia="仿宋_GB2312"/>
      <w:b/>
      <w:sz w:val="32"/>
      <w:szCs w:val="32"/>
    </w:rPr>
  </w:style>
  <w:style w:type="paragraph" w:customStyle="1" w:styleId="188">
    <w:name w:val="Char2 Char Char Char1"/>
    <w:basedOn w:val="1"/>
    <w:qFormat/>
    <w:uiPriority w:val="6"/>
    <w:rPr>
      <w:rFonts w:ascii="仿宋_GB2312" w:eastAsia="仿宋_GB2312"/>
      <w:b/>
      <w:sz w:val="32"/>
      <w:szCs w:val="32"/>
    </w:rPr>
  </w:style>
  <w:style w:type="paragraph" w:customStyle="1" w:styleId="189">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qFormat/>
    <w:uiPriority w:val="0"/>
    <w:pPr>
      <w:snapToGrid w:val="0"/>
      <w:spacing w:line="0" w:lineRule="atLeast"/>
      <w:ind w:firstLine="200" w:firstLineChars="200"/>
      <w:jc w:val="center"/>
    </w:pPr>
    <w:rPr>
      <w:sz w:val="24"/>
      <w:szCs w:val="20"/>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4"/>
    <w:qFormat/>
    <w:uiPriority w:val="0"/>
    <w:pPr>
      <w:tabs>
        <w:tab w:val="left" w:pos="1680"/>
        <w:tab w:val="clear" w:pos="900"/>
      </w:tabs>
      <w:adjustRightInd/>
      <w:ind w:left="1680" w:hanging="420"/>
    </w:pPr>
  </w:style>
  <w:style w:type="paragraph" w:customStyle="1" w:styleId="193">
    <w:name w:val="标准小四"/>
    <w:basedOn w:val="1"/>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qFormat/>
    <w:uiPriority w:val="0"/>
    <w:pPr>
      <w:adjustRightInd/>
      <w:snapToGrid w:val="0"/>
      <w:spacing w:line="300" w:lineRule="auto"/>
    </w:pPr>
    <w:rPr>
      <w:rFonts w:eastAsia="仿宋"/>
      <w:szCs w:val="21"/>
    </w:rPr>
  </w:style>
  <w:style w:type="paragraph" w:customStyle="1" w:styleId="19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qFormat/>
    <w:uiPriority w:val="6"/>
    <w:pPr>
      <w:adjustRightInd/>
    </w:pPr>
    <w:rPr>
      <w:rFonts w:ascii="Tahoma" w:hAnsi="Tahoma"/>
      <w:sz w:val="24"/>
      <w:szCs w:val="20"/>
    </w:rPr>
  </w:style>
  <w:style w:type="paragraph" w:customStyle="1" w:styleId="198">
    <w:name w:val="列出段落5"/>
    <w:basedOn w:val="1"/>
    <w:qFormat/>
    <w:uiPriority w:val="0"/>
    <w:pPr>
      <w:spacing w:line="360" w:lineRule="auto"/>
      <w:ind w:firstLine="200" w:firstLineChars="200"/>
    </w:pPr>
    <w:rPr>
      <w:rFonts w:eastAsia="楷体_GB2312" w:cs="Lucida Sans"/>
      <w:sz w:val="24"/>
    </w:rPr>
  </w:style>
  <w:style w:type="paragraph" w:customStyle="1" w:styleId="19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adjustRightInd/>
      <w:ind w:firstLine="420" w:firstLineChars="200"/>
    </w:pPr>
    <w:rPr>
      <w:rFonts w:eastAsia="仿宋_GB2312"/>
      <w:sz w:val="28"/>
    </w:rPr>
  </w:style>
  <w:style w:type="paragraph" w:customStyle="1" w:styleId="20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adjustRightInd/>
      <w:ind w:firstLine="200" w:firstLineChars="200"/>
      <w:jc w:val="right"/>
    </w:p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正文1.25"/>
    <w:basedOn w:val="1"/>
    <w:qFormat/>
    <w:uiPriority w:val="0"/>
    <w:pPr>
      <w:adjustRightInd/>
      <w:spacing w:line="300" w:lineRule="auto"/>
      <w:ind w:firstLine="480" w:firstLineChars="200"/>
    </w:pPr>
    <w:rPr>
      <w:sz w:val="24"/>
      <w:szCs w:val="20"/>
    </w:rPr>
  </w:style>
  <w:style w:type="paragraph" w:customStyle="1" w:styleId="21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rPr>
      <w:rFonts w:ascii="仿宋_GB2312" w:eastAsia="仿宋_GB2312"/>
      <w:b/>
      <w:sz w:val="32"/>
      <w:szCs w:val="20"/>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qFormat/>
    <w:uiPriority w:val="0"/>
    <w:rPr>
      <w:rFonts w:eastAsia="仿宋_GB2312"/>
      <w:sz w:val="28"/>
      <w:szCs w:val="20"/>
    </w:rPr>
  </w:style>
  <w:style w:type="paragraph" w:customStyle="1" w:styleId="21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6"/>
    <w:qFormat/>
    <w:uiPriority w:val="0"/>
    <w:pPr>
      <w:widowControl/>
      <w:jc w:val="left"/>
    </w:pPr>
    <w:rPr>
      <w:rFonts w:cs="宋体"/>
      <w:sz w:val="24"/>
      <w:szCs w:val="20"/>
    </w:rPr>
  </w:style>
  <w:style w:type="paragraph" w:customStyle="1" w:styleId="220">
    <w:name w:val="彩色列表 - 强调文字颜色 11"/>
    <w:basedOn w:val="1"/>
    <w:qFormat/>
    <w:uiPriority w:val="0"/>
    <w:pPr>
      <w:adjustRightInd/>
      <w:ind w:firstLine="420" w:firstLineChars="200"/>
    </w:pPr>
    <w:rPr>
      <w:rFonts w:ascii="Calibri" w:hAnsi="Calibri"/>
      <w:szCs w:val="22"/>
    </w:rPr>
  </w:style>
  <w:style w:type="paragraph" w:customStyle="1" w:styleId="22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qFormat/>
    <w:uiPriority w:val="6"/>
    <w:rPr>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8"/>
    <w:next w:val="98"/>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8"/>
    <w:next w:val="98"/>
    <w:qFormat/>
    <w:uiPriority w:val="0"/>
    <w:rPr>
      <w:rFonts w:ascii="宋体" w:eastAsia="宋体" w:cs="Times New Roman"/>
      <w:color w:val="auto"/>
    </w:rPr>
  </w:style>
  <w:style w:type="paragraph" w:customStyle="1" w:styleId="235">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rPr>
      <w:rFonts w:ascii="仿宋_GB2312" w:eastAsia="仿宋_GB2312"/>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qFormat/>
    <w:uiPriority w:val="0"/>
    <w:pPr>
      <w:spacing w:line="360" w:lineRule="auto"/>
    </w:pPr>
    <w:rPr>
      <w:szCs w:val="20"/>
    </w:rPr>
  </w:style>
  <w:style w:type="paragraph" w:customStyle="1" w:styleId="240">
    <w:name w:val="Char"/>
    <w:basedOn w:val="1"/>
    <w:qFormat/>
    <w:uiPriority w:val="0"/>
    <w:rPr>
      <w:rFonts w:ascii="仿宋_GB2312" w:eastAsia="仿宋_GB2312"/>
      <w:b/>
      <w:sz w:val="32"/>
      <w:szCs w:val="32"/>
    </w:rPr>
  </w:style>
  <w:style w:type="paragraph" w:customStyle="1" w:styleId="24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rPr>
      <w:szCs w:val="20"/>
    </w:rPr>
  </w:style>
  <w:style w:type="paragraph" w:customStyle="1" w:styleId="244">
    <w:name w:val="正文标准"/>
    <w:basedOn w:val="1"/>
    <w:qFormat/>
    <w:uiPriority w:val="0"/>
    <w:pPr>
      <w:adjustRightInd/>
      <w:spacing w:line="360" w:lineRule="auto"/>
      <w:ind w:firstLine="200" w:firstLineChars="200"/>
    </w:pPr>
    <w:rPr>
      <w:rFonts w:ascii="宋体" w:hAnsi="Calibri"/>
      <w:sz w:val="24"/>
    </w:rPr>
  </w:style>
  <w:style w:type="paragraph" w:customStyle="1" w:styleId="24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9">
    <w:name w:val="_正文段落"/>
    <w:basedOn w:val="1"/>
    <w:qFormat/>
    <w:uiPriority w:val="0"/>
    <w:pPr>
      <w:adjustRightInd/>
      <w:ind w:firstLine="560"/>
    </w:pPr>
    <w:rPr>
      <w:rFonts w:ascii="仿宋_GB2312" w:hAnsi="仿宋" w:eastAsia="仿宋_GB2312"/>
      <w:kern w:val="0"/>
      <w:sz w:val="28"/>
      <w:szCs w:val="28"/>
    </w:rPr>
  </w:style>
  <w:style w:type="paragraph" w:customStyle="1" w:styleId="26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rPr>
      <w:szCs w:val="20"/>
    </w:rPr>
  </w:style>
  <w:style w:type="paragraph" w:customStyle="1" w:styleId="2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rPr>
      <w:rFonts w:ascii="Tahoma" w:hAnsi="Tahoma"/>
      <w:sz w:val="24"/>
      <w:szCs w:val="20"/>
    </w:rPr>
  </w:style>
  <w:style w:type="paragraph" w:customStyle="1" w:styleId="269">
    <w:name w:val="标题五"/>
    <w:basedOn w:val="1"/>
    <w:qFormat/>
    <w:uiPriority w:val="0"/>
    <w:pPr>
      <w:adjustRightInd/>
      <w:spacing w:before="156"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pPr>
      <w:adjustRightInd/>
    </w:pPr>
    <w:rPr>
      <w:sz w:val="18"/>
      <w:szCs w:val="20"/>
    </w:rPr>
  </w:style>
  <w:style w:type="paragraph" w:customStyle="1" w:styleId="28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4">
    <w:name w:val="索引 11"/>
    <w:basedOn w:val="1"/>
    <w:next w:val="1"/>
    <w:qFormat/>
    <w:uiPriority w:val="99"/>
    <w:pPr>
      <w:adjustRightInd/>
      <w:spacing w:line="360" w:lineRule="auto"/>
    </w:pPr>
    <w:rPr>
      <w:rFonts w:ascii="仿宋_GB2312" w:eastAsia="仿宋_GB2312"/>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8"/>
    <w:qFormat/>
    <w:uiPriority w:val="0"/>
    <w:pPr>
      <w:snapToGrid w:val="0"/>
      <w:spacing w:line="360" w:lineRule="auto"/>
    </w:pPr>
    <w:rPr>
      <w:rFonts w:ascii="宋体"/>
      <w:b/>
      <w:sz w:val="24"/>
      <w:szCs w:val="20"/>
    </w:rPr>
  </w:style>
  <w:style w:type="paragraph" w:customStyle="1" w:styleId="2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1">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pPr>
      <w:adjustRightInd/>
    </w:pPr>
    <w:rPr>
      <w:rFonts w:ascii="宋体" w:hAnsi="Courier New"/>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qFormat/>
    <w:uiPriority w:val="0"/>
    <w:pPr>
      <w:widowControl/>
      <w:adjustRightInd/>
      <w:spacing w:after="160" w:line="240" w:lineRule="exact"/>
      <w:jc w:val="left"/>
    </w:pPr>
    <w:rPr>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qFormat/>
    <w:uiPriority w:val="0"/>
    <w:rPr>
      <w:rFonts w:ascii="仿宋_GB2312" w:eastAsia="仿宋_GB2312"/>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spacing w:line="360" w:lineRule="auto"/>
    </w:pPr>
    <w:rPr>
      <w:szCs w:val="20"/>
    </w:rPr>
  </w:style>
  <w:style w:type="paragraph" w:customStyle="1" w:styleId="30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0">
    <w:name w:val="MM Topic 1"/>
    <w:basedOn w:val="2"/>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spacing w:line="360" w:lineRule="auto"/>
      <w:ind w:firstLine="200" w:firstLineChars="200"/>
    </w:pPr>
    <w:rPr>
      <w:kern w:val="0"/>
      <w:sz w:val="24"/>
      <w:szCs w:val="20"/>
    </w:rPr>
  </w:style>
  <w:style w:type="paragraph" w:customStyle="1" w:styleId="313">
    <w:name w:val="表格"/>
    <w:basedOn w:val="1"/>
    <w:qFormat/>
    <w:uiPriority w:val="0"/>
    <w:pPr>
      <w:snapToGrid w:val="0"/>
      <w:ind w:firstLine="42" w:firstLineChars="21"/>
    </w:pPr>
    <w:rPr>
      <w:rFonts w:ascii="宋体" w:hAnsi="宋体"/>
      <w:kern w:val="0"/>
      <w:sz w:val="20"/>
      <w:szCs w:val="20"/>
    </w:rPr>
  </w:style>
  <w:style w:type="paragraph" w:customStyle="1" w:styleId="314">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32"/>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adjustRightInd/>
      <w:spacing w:line="300" w:lineRule="auto"/>
      <w:jc w:val="center"/>
    </w:pPr>
  </w:style>
  <w:style w:type="paragraph" w:customStyle="1" w:styleId="319">
    <w:name w:val="_Style 6"/>
    <w:basedOn w:val="1"/>
    <w:qFormat/>
    <w:uiPriority w:val="34"/>
    <w:pPr>
      <w:adjustRightInd/>
      <w:ind w:firstLine="420" w:firstLineChars="200"/>
    </w:pPr>
    <w:rPr>
      <w:rFonts w:eastAsia="仿宋_GB2312"/>
      <w:sz w:val="28"/>
    </w:rPr>
  </w:style>
  <w:style w:type="paragraph" w:customStyle="1" w:styleId="3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qFormat/>
    <w:uiPriority w:val="0"/>
    <w:rPr>
      <w:rFonts w:ascii="仿宋_GB2312" w:eastAsia="仿宋_GB2312"/>
      <w:b/>
      <w:sz w:val="32"/>
      <w:szCs w:val="20"/>
    </w:rPr>
  </w:style>
  <w:style w:type="paragraph" w:customStyle="1" w:styleId="33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qFormat/>
    <w:uiPriority w:val="0"/>
    <w:pPr>
      <w:adjustRightInd/>
      <w:ind w:firstLine="200" w:firstLineChars="200"/>
    </w:pPr>
    <w:rPr>
      <w:rFonts w:ascii="Tahoma" w:hAnsi="Tahoma"/>
      <w:sz w:val="24"/>
      <w:szCs w:val="20"/>
    </w:rPr>
  </w:style>
  <w:style w:type="paragraph" w:customStyle="1" w:styleId="332">
    <w:name w:val="a1"/>
    <w:basedOn w:val="1"/>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qFormat/>
    <w:uiPriority w:val="0"/>
    <w:pPr>
      <w:spacing w:after="156" w:afterLines="50"/>
      <w:jc w:val="left"/>
      <w:outlineLvl w:val="3"/>
    </w:pPr>
    <w:rPr>
      <w:sz w:val="24"/>
      <w:szCs w:val="24"/>
    </w:rPr>
  </w:style>
  <w:style w:type="paragraph" w:customStyle="1" w:styleId="3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pPr>
      <w:adjustRightInd/>
    </w:pPr>
    <w:rPr>
      <w:rFonts w:ascii="Tahoma" w:hAnsi="Tahoma"/>
      <w:sz w:val="24"/>
      <w:szCs w:val="20"/>
    </w:rPr>
  </w:style>
  <w:style w:type="paragraph" w:customStyle="1" w:styleId="33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0" w:beforeLines="0" w:after="0" w:afterLines="0"/>
      <w:ind w:left="1680"/>
      <w:outlineLvl w:val="2"/>
    </w:pPr>
  </w:style>
  <w:style w:type="paragraph" w:customStyle="1" w:styleId="343">
    <w:name w:val="章标题"/>
    <w:next w:val="325"/>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qFormat/>
    <w:uiPriority w:val="6"/>
    <w:pPr>
      <w:widowControl/>
      <w:adjustRightInd/>
      <w:ind w:left="720" w:hanging="720"/>
    </w:pPr>
    <w:rPr>
      <w:color w:val="000000"/>
      <w:kern w:val="0"/>
      <w:sz w:val="24"/>
      <w:szCs w:val="20"/>
    </w:rPr>
  </w:style>
  <w:style w:type="paragraph" w:customStyle="1" w:styleId="353">
    <w:name w:val="表1"/>
    <w:basedOn w:val="1"/>
    <w:qFormat/>
    <w:uiPriority w:val="0"/>
    <w:pPr>
      <w:tabs>
        <w:tab w:val="left" w:pos="703"/>
      </w:tabs>
      <w:adjustRightInd/>
      <w:spacing w:line="360" w:lineRule="auto"/>
      <w:ind w:left="703"/>
      <w:jc w:val="center"/>
    </w:p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qFormat/>
    <w:uiPriority w:val="0"/>
    <w:pPr>
      <w:tabs>
        <w:tab w:val="left" w:pos="840"/>
      </w:tabs>
      <w:adjustRightInd/>
      <w:ind w:left="840" w:hanging="420"/>
    </w:pPr>
  </w:style>
  <w:style w:type="paragraph" w:customStyle="1" w:styleId="3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6"/>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4">
    <w:name w:val="Char Char11 Char Char Char Char Char Char Char Char Char1"/>
    <w:basedOn w:val="1"/>
    <w:qFormat/>
    <w:uiPriority w:val="6"/>
    <w:pPr>
      <w:spacing w:line="360" w:lineRule="auto"/>
    </w:pPr>
    <w:rPr>
      <w:szCs w:val="20"/>
    </w:rPr>
  </w:style>
  <w:style w:type="paragraph" w:customStyle="1" w:styleId="37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0"/>
    <w:pPr>
      <w:adjustRightInd/>
      <w:spacing w:line="360" w:lineRule="auto"/>
      <w:jc w:val="center"/>
    </w:pPr>
    <w:rPr>
      <w:sz w:val="24"/>
    </w:rPr>
  </w:style>
  <w:style w:type="paragraph" w:customStyle="1" w:styleId="38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rPr>
      <w:rFonts w:ascii="仿宋_GB2312" w:eastAsia="仿宋_GB2312"/>
      <w:b/>
      <w:sz w:val="32"/>
      <w:szCs w:val="32"/>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40"/>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4"/>
    <w:qFormat/>
    <w:uiPriority w:val="0"/>
    <w:pPr>
      <w:spacing w:before="0" w:after="0" w:line="240" w:lineRule="auto"/>
      <w:jc w:val="left"/>
    </w:pPr>
    <w:rPr>
      <w:rFonts w:cs="宋体"/>
      <w:sz w:val="21"/>
      <w:szCs w:val="20"/>
    </w:rPr>
  </w:style>
  <w:style w:type="paragraph" w:customStyle="1" w:styleId="41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qFormat/>
    <w:uiPriority w:val="0"/>
    <w:rPr>
      <w:rFonts w:ascii="仿宋_GB2312" w:eastAsia="仿宋_GB2312"/>
      <w:b/>
      <w:sz w:val="32"/>
      <w:szCs w:val="20"/>
    </w:rPr>
  </w:style>
  <w:style w:type="paragraph" w:customStyle="1" w:styleId="41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qFormat/>
    <w:uiPriority w:val="0"/>
    <w:rPr>
      <w:rFonts w:ascii="仿宋_GB2312" w:eastAsia="仿宋_GB2312"/>
      <w:b/>
      <w:sz w:val="32"/>
      <w:szCs w:val="32"/>
    </w:rPr>
  </w:style>
  <w:style w:type="paragraph" w:customStyle="1" w:styleId="420">
    <w:name w:val="Char3 Char Char Char1"/>
    <w:basedOn w:val="1"/>
    <w:qFormat/>
    <w:uiPriority w:val="6"/>
    <w:pPr>
      <w:widowControl/>
      <w:adjustRightInd/>
      <w:spacing w:after="160" w:line="240" w:lineRule="exact"/>
      <w:jc w:val="left"/>
    </w:pPr>
    <w:rPr>
      <w:szCs w:val="20"/>
    </w:rPr>
  </w:style>
  <w:style w:type="paragraph" w:customStyle="1" w:styleId="421">
    <w:name w:val="Char1 Char Char Char21"/>
    <w:basedOn w:val="1"/>
    <w:qFormat/>
    <w:uiPriority w:val="0"/>
    <w:rPr>
      <w:rFonts w:ascii="Tahoma" w:hAnsi="Tahoma"/>
      <w:sz w:val="24"/>
      <w:szCs w:val="20"/>
    </w:rPr>
  </w:style>
  <w:style w:type="paragraph" w:customStyle="1" w:styleId="42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qFormat/>
    <w:uiPriority w:val="0"/>
    <w:pPr>
      <w:spacing w:line="360" w:lineRule="auto"/>
      <w:ind w:firstLine="200" w:firstLineChars="200"/>
    </w:pPr>
    <w:rPr>
      <w:sz w:val="24"/>
    </w:rPr>
  </w:style>
  <w:style w:type="paragraph" w:customStyle="1" w:styleId="4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qFormat/>
    <w:uiPriority w:val="0"/>
    <w:pPr>
      <w:adjustRightInd/>
      <w:ind w:firstLine="200" w:firstLineChars="200"/>
    </w:pPr>
    <w:rPr>
      <w:rFonts w:ascii="Tahoma" w:hAnsi="Tahoma"/>
      <w:sz w:val="24"/>
      <w:szCs w:val="20"/>
    </w:rPr>
  </w:style>
  <w:style w:type="paragraph" w:customStyle="1" w:styleId="430">
    <w:name w:val="_标题2"/>
    <w:basedOn w:val="397"/>
    <w:next w:val="39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qFormat/>
    <w:uiPriority w:val="0"/>
    <w:pPr>
      <w:adjustRightInd/>
      <w:spacing w:line="360" w:lineRule="auto"/>
    </w:pPr>
    <w:rPr>
      <w:rFonts w:ascii="宋体" w:hAnsi="宋体"/>
      <w:szCs w:val="20"/>
    </w:rPr>
  </w:style>
  <w:style w:type="paragraph" w:customStyle="1" w:styleId="43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qFormat/>
    <w:uiPriority w:val="0"/>
    <w:pPr>
      <w:adjustRightInd/>
    </w:pPr>
    <w:rPr>
      <w:rFonts w:ascii="Tahoma" w:hAnsi="Tahoma"/>
      <w:sz w:val="24"/>
    </w:rPr>
  </w:style>
  <w:style w:type="paragraph" w:customStyle="1" w:styleId="438">
    <w:name w:val="Char Char Char Char11"/>
    <w:basedOn w:val="1"/>
    <w:qFormat/>
    <w:uiPriority w:val="0"/>
    <w:rPr>
      <w:rFonts w:ascii="Tahoma" w:hAnsi="Tahoma"/>
      <w:sz w:val="24"/>
      <w:szCs w:val="20"/>
    </w:rPr>
  </w:style>
  <w:style w:type="paragraph" w:customStyle="1" w:styleId="43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qFormat/>
    <w:uiPriority w:val="0"/>
    <w:rPr>
      <w:rFonts w:ascii="Tahoma" w:hAnsi="Tahoma"/>
      <w:sz w:val="24"/>
      <w:szCs w:val="20"/>
    </w:rPr>
  </w:style>
  <w:style w:type="paragraph" w:customStyle="1" w:styleId="44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qFormat/>
    <w:uiPriority w:val="0"/>
    <w:pPr>
      <w:adjustRightInd/>
    </w:pPr>
    <w:rPr>
      <w:szCs w:val="20"/>
    </w:rPr>
  </w:style>
  <w:style w:type="paragraph" w:customStyle="1" w:styleId="4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qFormat/>
    <w:uiPriority w:val="34"/>
    <w:pPr>
      <w:adjustRightInd/>
      <w:ind w:firstLine="420" w:firstLineChars="200"/>
    </w:pPr>
    <w:rPr>
      <w:rFonts w:eastAsia="仿宋_GB2312"/>
      <w:sz w:val="28"/>
    </w:rPr>
  </w:style>
  <w:style w:type="paragraph" w:customStyle="1" w:styleId="44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23"/>
    <w:qFormat/>
    <w:uiPriority w:val="0"/>
    <w:pPr>
      <w:snapToGrid w:val="0"/>
      <w:ind w:firstLine="480" w:firstLineChars="200"/>
    </w:pPr>
    <w:rPr>
      <w:rFonts w:ascii="Times New Roman"/>
      <w:szCs w:val="24"/>
      <w:lang w:val="en-US"/>
    </w:rPr>
  </w:style>
  <w:style w:type="paragraph" w:customStyle="1" w:styleId="45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qFormat/>
    <w:uiPriority w:val="0"/>
    <w:rPr>
      <w:rFonts w:ascii="宋体" w:hAnsi="Times New Roman" w:eastAsia="宋体" w:cs="Times New Roman"/>
      <w:kern w:val="2"/>
      <w:lang w:val="en-US" w:eastAsia="zh-CN" w:bidi="ar-SA"/>
    </w:rPr>
  </w:style>
  <w:style w:type="paragraph" w:customStyle="1" w:styleId="456">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qFormat/>
    <w:uiPriority w:val="0"/>
    <w:pPr>
      <w:tabs>
        <w:tab w:val="left" w:pos="360"/>
      </w:tabs>
    </w:pPr>
    <w:rPr>
      <w:sz w:val="24"/>
      <w:szCs w:val="20"/>
    </w:rPr>
  </w:style>
  <w:style w:type="paragraph" w:customStyle="1" w:styleId="46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p0"/>
    <w:basedOn w:val="1"/>
    <w:qFormat/>
    <w:uiPriority w:val="0"/>
    <w:pPr>
      <w:widowControl/>
      <w:adjustRightInd/>
    </w:pPr>
    <w:rPr>
      <w:kern w:val="0"/>
      <w:szCs w:val="21"/>
    </w:rPr>
  </w:style>
  <w:style w:type="paragraph" w:customStyle="1" w:styleId="469">
    <w:name w:val="Char6"/>
    <w:basedOn w:val="1"/>
    <w:qFormat/>
    <w:uiPriority w:val="0"/>
    <w:rPr>
      <w:rFonts w:ascii="仿宋_GB2312" w:eastAsia="仿宋_GB2312"/>
      <w:b/>
      <w:sz w:val="32"/>
      <w:szCs w:val="32"/>
    </w:rPr>
  </w:style>
  <w:style w:type="paragraph" w:customStyle="1" w:styleId="470">
    <w:name w:val="Char111"/>
    <w:basedOn w:val="1"/>
    <w:qFormat/>
    <w:uiPriority w:val="0"/>
    <w:rPr>
      <w:rFonts w:ascii="仿宋_GB2312" w:eastAsia="仿宋_GB2312"/>
      <w:b/>
      <w:sz w:val="32"/>
      <w:szCs w:val="32"/>
    </w:rPr>
  </w:style>
  <w:style w:type="paragraph" w:customStyle="1" w:styleId="471">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qFormat/>
    <w:uiPriority w:val="0"/>
    <w:pPr>
      <w:adjustRightInd/>
      <w:ind w:firstLine="200" w:firstLineChars="200"/>
    </w:pPr>
    <w:rPr>
      <w:rFonts w:ascii="Tahoma" w:hAnsi="Tahoma"/>
      <w:sz w:val="24"/>
      <w:szCs w:val="20"/>
    </w:rPr>
  </w:style>
  <w:style w:type="paragraph" w:customStyle="1" w:styleId="47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qFormat/>
    <w:uiPriority w:val="0"/>
    <w:rPr>
      <w:rFonts w:ascii="仿宋_GB2312" w:eastAsia="仿宋_GB2312"/>
      <w:b/>
      <w:sz w:val="32"/>
      <w:szCs w:val="32"/>
    </w:rPr>
  </w:style>
  <w:style w:type="paragraph" w:customStyle="1" w:styleId="478">
    <w:name w:val="五级条标题"/>
    <w:basedOn w:val="479"/>
    <w:next w:val="325"/>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40"/>
    <w:next w:val="325"/>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qFormat/>
    <w:uiPriority w:val="0"/>
    <w:rPr>
      <w:rFonts w:ascii="仿宋_GB2312" w:eastAsia="仿宋_GB2312"/>
      <w:b/>
      <w:sz w:val="32"/>
      <w:szCs w:val="32"/>
    </w:rPr>
  </w:style>
  <w:style w:type="paragraph" w:customStyle="1" w:styleId="48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6">
    <w:name w:val="单元格左对齐"/>
    <w:basedOn w:val="1"/>
    <w:qFormat/>
    <w:uiPriority w:val="0"/>
    <w:pPr>
      <w:adjustRightInd/>
      <w:spacing w:line="360" w:lineRule="auto"/>
    </w:pPr>
    <w:rPr>
      <w:sz w:val="24"/>
    </w:rPr>
  </w:style>
  <w:style w:type="paragraph" w:customStyle="1" w:styleId="487">
    <w:name w:val="正文主体"/>
    <w:basedOn w:val="309"/>
    <w:qFormat/>
    <w:uiPriority w:val="0"/>
  </w:style>
  <w:style w:type="paragraph" w:customStyle="1" w:styleId="48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qFormat/>
    <w:uiPriority w:val="0"/>
    <w:pPr>
      <w:adjustRightInd/>
      <w:spacing w:line="360" w:lineRule="auto"/>
      <w:ind w:firstLine="480" w:firstLineChars="200"/>
    </w:pPr>
    <w:rPr>
      <w:sz w:val="24"/>
      <w:szCs w:val="20"/>
    </w:rPr>
  </w:style>
  <w:style w:type="paragraph" w:customStyle="1" w:styleId="492">
    <w:name w:val="P1"/>
    <w:basedOn w:val="1"/>
    <w:qFormat/>
    <w:uiPriority w:val="0"/>
    <w:pPr>
      <w:adjustRightInd/>
      <w:spacing w:line="288" w:lineRule="auto"/>
      <w:ind w:firstLine="425" w:firstLineChars="200"/>
    </w:pPr>
  </w:style>
  <w:style w:type="paragraph" w:customStyle="1" w:styleId="493">
    <w:name w:val="列表内容"/>
    <w:basedOn w:val="1"/>
    <w:next w:val="1"/>
    <w:qFormat/>
    <w:uiPriority w:val="0"/>
    <w:pPr>
      <w:widowControl/>
      <w:tabs>
        <w:tab w:val="left" w:pos="840"/>
      </w:tabs>
      <w:ind w:left="840" w:hanging="420"/>
      <w:jc w:val="left"/>
    </w:pPr>
    <w:rPr>
      <w:kern w:val="0"/>
      <w:sz w:val="18"/>
    </w:rPr>
  </w:style>
  <w:style w:type="paragraph" w:customStyle="1" w:styleId="494">
    <w:name w:val="Char Char11 Char Char Char1"/>
    <w:basedOn w:val="1"/>
    <w:qFormat/>
    <w:uiPriority w:val="6"/>
    <w:pPr>
      <w:spacing w:line="360" w:lineRule="auto"/>
    </w:pPr>
    <w:rPr>
      <w:szCs w:val="20"/>
    </w:rPr>
  </w:style>
  <w:style w:type="paragraph" w:customStyle="1" w:styleId="4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6">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qFormat/>
    <w:uiPriority w:val="0"/>
    <w:pPr>
      <w:spacing w:line="360" w:lineRule="auto"/>
    </w:pPr>
    <w:rPr>
      <w:szCs w:val="20"/>
    </w:rPr>
  </w:style>
  <w:style w:type="paragraph" w:customStyle="1" w:styleId="50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qFormat/>
    <w:uiPriority w:val="0"/>
    <w:rPr>
      <w:rFonts w:ascii="仿宋_GB2312" w:eastAsia="仿宋_GB2312"/>
      <w:b/>
      <w:sz w:val="32"/>
      <w:szCs w:val="32"/>
    </w:rPr>
  </w:style>
  <w:style w:type="paragraph" w:customStyle="1" w:styleId="50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qFormat/>
    <w:uiPriority w:val="0"/>
    <w:pPr>
      <w:adjustRightInd/>
      <w:spacing w:line="360" w:lineRule="auto"/>
      <w:ind w:firstLine="480"/>
    </w:pPr>
    <w:rPr>
      <w:rFonts w:cs="宋体"/>
      <w:sz w:val="24"/>
      <w:szCs w:val="20"/>
    </w:rPr>
  </w:style>
  <w:style w:type="paragraph" w:customStyle="1" w:styleId="507">
    <w:name w:val="Char Char4 Char Char"/>
    <w:basedOn w:val="1"/>
    <w:qFormat/>
    <w:uiPriority w:val="0"/>
    <w:pPr>
      <w:widowControl/>
      <w:adjustRightInd/>
      <w:spacing w:after="160" w:line="240" w:lineRule="exact"/>
      <w:jc w:val="left"/>
    </w:pPr>
  </w:style>
  <w:style w:type="paragraph" w:customStyle="1" w:styleId="5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qFormat/>
    <w:uiPriority w:val="0"/>
    <w:pPr>
      <w:spacing w:line="360" w:lineRule="auto"/>
    </w:pPr>
    <w:rPr>
      <w:szCs w:val="20"/>
    </w:rPr>
  </w:style>
  <w:style w:type="paragraph" w:customStyle="1" w:styleId="5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0"/>
    <w:pPr>
      <w:adjustRightInd/>
      <w:ind w:firstLine="200" w:firstLineChars="200"/>
    </w:pPr>
    <w:rPr>
      <w:rFonts w:ascii="Tahoma" w:hAnsi="Tahoma"/>
      <w:sz w:val="24"/>
      <w:szCs w:val="20"/>
    </w:rPr>
  </w:style>
  <w:style w:type="paragraph" w:customStyle="1" w:styleId="517">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qFormat/>
    <w:uiPriority w:val="0"/>
    <w:pPr>
      <w:tabs>
        <w:tab w:val="left" w:pos="0"/>
      </w:tabs>
      <w:ind w:left="900" w:firstLine="0" w:firstLineChars="0"/>
    </w:pPr>
  </w:style>
  <w:style w:type="paragraph" w:customStyle="1" w:styleId="520">
    <w:name w:val="Bulleted List"/>
    <w:basedOn w:val="1"/>
    <w:qFormat/>
    <w:uiPriority w:val="0"/>
    <w:pPr>
      <w:tabs>
        <w:tab w:val="left" w:pos="1260"/>
      </w:tabs>
      <w:adjustRightInd/>
      <w:ind w:left="1260" w:hanging="420"/>
    </w:pPr>
  </w:style>
  <w:style w:type="paragraph" w:customStyle="1" w:styleId="521">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qFormat/>
    <w:uiPriority w:val="0"/>
    <w:rPr>
      <w:rFonts w:ascii="Tahoma" w:hAnsi="Tahoma" w:cs="仿宋_GB2312"/>
      <w:sz w:val="24"/>
      <w:szCs w:val="20"/>
    </w:rPr>
  </w:style>
  <w:style w:type="paragraph" w:customStyle="1" w:styleId="524">
    <w:name w:val="正文1"/>
    <w:basedOn w:val="35"/>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18"/>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7"/>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3"/>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3"/>
    <w:qFormat/>
    <w:uiPriority w:val="0"/>
    <w:rPr>
      <w:b w:val="0"/>
      <w:sz w:val="20"/>
    </w:rPr>
  </w:style>
  <w:style w:type="paragraph" w:customStyle="1" w:styleId="578">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7"/>
    <w:next w:val="1"/>
    <w:qFormat/>
    <w:uiPriority w:val="0"/>
    <w:pPr>
      <w:tabs>
        <w:tab w:val="left" w:pos="1080"/>
        <w:tab w:val="clear" w:pos="1008"/>
      </w:tabs>
      <w:ind w:left="1080" w:hanging="1080"/>
    </w:pPr>
  </w:style>
  <w:style w:type="paragraph" w:customStyle="1" w:styleId="581">
    <w:name w:val="数字标题1"/>
    <w:basedOn w:val="2"/>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8"/>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7"/>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7">
    <w:name w:val="_Style 947"/>
    <w:basedOn w:val="1"/>
    <w:next w:val="102"/>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620">
    <w:name w:val="表格非标题文字 Char"/>
    <w:link w:val="82"/>
    <w:qFormat/>
    <w:uiPriority w:val="0"/>
    <w:rPr>
      <w:rFonts w:ascii="Futura Bk" w:hAnsi="Futura Bk"/>
      <w:kern w:val="2"/>
      <w:sz w:val="18"/>
      <w:szCs w:val="21"/>
      <w:lang w:val="en-US" w:eastAsia="zh-CN" w:bidi="ar-SA"/>
    </w:rPr>
  </w:style>
  <w:style w:type="character" w:customStyle="1" w:styleId="621">
    <w:name w:val="*正文 Char"/>
    <w:link w:val="83"/>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4"/>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2"/>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5"/>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6"/>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63"/>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1"/>
    <w:qFormat/>
    <w:uiPriority w:val="0"/>
    <w:rPr>
      <w:rFonts w:ascii="Arial" w:hAnsi="Arial" w:eastAsia="黑体" w:cs="Arial"/>
      <w:snapToGrid w:val="0"/>
      <w:kern w:val="0"/>
      <w:szCs w:val="21"/>
    </w:rPr>
  </w:style>
  <w:style w:type="character" w:customStyle="1" w:styleId="658">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7"/>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50"/>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8"/>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8"/>
    <w:qFormat/>
    <w:uiPriority w:val="0"/>
    <w:rPr>
      <w:rFonts w:ascii="Arial" w:hAnsi="Arial" w:eastAsia="黑体"/>
      <w:b/>
      <w:bCs/>
      <w:kern w:val="2"/>
      <w:sz w:val="24"/>
      <w:szCs w:val="24"/>
    </w:rPr>
  </w:style>
  <w:style w:type="character" w:customStyle="1" w:styleId="679">
    <w:name w:val="纯文本 Char_0"/>
    <w:link w:val="89"/>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1"/>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2"/>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9"/>
    <w:qFormat/>
    <w:uiPriority w:val="0"/>
    <w:rPr>
      <w:rFonts w:ascii="宋体"/>
      <w:kern w:val="2"/>
      <w:sz w:val="24"/>
      <w:szCs w:val="21"/>
      <w:lang w:val="zh-CN"/>
    </w:rPr>
  </w:style>
  <w:style w:type="character" w:customStyle="1" w:styleId="709">
    <w:name w:val="标题 9 Char"/>
    <w:link w:val="11"/>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2"/>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3"/>
    <w:qFormat/>
    <w:locked/>
    <w:uiPriority w:val="0"/>
    <w:rPr>
      <w:rFonts w:ascii="Tahoma" w:hAnsi="Tahoma"/>
      <w:sz w:val="24"/>
      <w:szCs w:val="24"/>
    </w:rPr>
  </w:style>
  <w:style w:type="character" w:customStyle="1" w:styleId="719">
    <w:name w:val="正文缩进 Char2"/>
    <w:link w:val="5"/>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4"/>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18"/>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1"/>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3"/>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6"/>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7"/>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6"/>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8"/>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9"/>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0"/>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1"/>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6"/>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3"/>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2"/>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1"/>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7"/>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0"/>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9"/>
    <w:qFormat/>
    <w:uiPriority w:val="0"/>
    <w:rPr>
      <w:rFonts w:ascii="黑体" w:hAnsi="Courier New" w:eastAsia="黑体"/>
    </w:rPr>
  </w:style>
  <w:style w:type="character" w:customStyle="1" w:styleId="818">
    <w:name w:val="正文文本 2 Char1"/>
    <w:link w:val="58"/>
    <w:qFormat/>
    <w:uiPriority w:val="0"/>
    <w:rPr>
      <w:kern w:val="2"/>
      <w:sz w:val="21"/>
      <w:szCs w:val="24"/>
    </w:rPr>
  </w:style>
  <w:style w:type="character" w:customStyle="1" w:styleId="819">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9"/>
    <w:qFormat/>
    <w:uiPriority w:val="0"/>
    <w:rPr>
      <w:b/>
      <w:bCs/>
      <w:kern w:val="2"/>
      <w:sz w:val="24"/>
      <w:szCs w:val="24"/>
    </w:rPr>
  </w:style>
  <w:style w:type="character" w:customStyle="1" w:styleId="822">
    <w:name w:val="正文文本缩进 2 Char"/>
    <w:link w:val="40"/>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3"/>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6"/>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7"/>
    <w:qFormat/>
    <w:uiPriority w:val="0"/>
    <w:rPr>
      <w:rFonts w:ascii="宋体" w:hAnsi="Courier New"/>
    </w:rPr>
  </w:style>
  <w:style w:type="character" w:customStyle="1" w:styleId="833">
    <w:name w:val="正文首行缩进 Char"/>
    <w:link w:val="24"/>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6"/>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1"/>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8"/>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9"/>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19"/>
    <w:qFormat/>
    <w:uiPriority w:val="0"/>
    <w:rPr>
      <w:kern w:val="2"/>
      <w:sz w:val="21"/>
      <w:szCs w:val="24"/>
    </w:rPr>
  </w:style>
  <w:style w:type="character" w:customStyle="1" w:styleId="855">
    <w:name w:val="签名 Char"/>
    <w:link w:val="45"/>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0"/>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1"/>
    <w:qFormat/>
    <w:uiPriority w:val="0"/>
    <w:rPr>
      <w:rFonts w:ascii="宋体"/>
    </w:rPr>
  </w:style>
  <w:style w:type="character" w:customStyle="1" w:styleId="866">
    <w:name w:val="标题 8 Char"/>
    <w:link w:val="10"/>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5"/>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2"/>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3"/>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3"/>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4"/>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4"/>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5"/>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6"/>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7"/>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1"/>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8"/>
    <w:qFormat/>
    <w:uiPriority w:val="0"/>
    <w:rPr>
      <w:rFonts w:cs="宋体"/>
      <w:kern w:val="2"/>
      <w:sz w:val="24"/>
    </w:rPr>
  </w:style>
  <w:style w:type="character" w:customStyle="1" w:styleId="931">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2">
    <w:name w:val="gray6"/>
    <w:basedOn w:val="71"/>
    <w:qFormat/>
    <w:uiPriority w:val="0"/>
    <w:rPr>
      <w:rFonts w:ascii="Arial" w:hAnsi="Arial" w:eastAsia="黑体" w:cs="Arial"/>
      <w:snapToGrid w:val="0"/>
      <w:kern w:val="0"/>
      <w:szCs w:val="21"/>
    </w:rPr>
  </w:style>
  <w:style w:type="character" w:customStyle="1" w:styleId="933">
    <w:name w:val="hui"/>
    <w:basedOn w:val="71"/>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41"/>
    <w:qFormat/>
    <w:uiPriority w:val="0"/>
    <w:rPr>
      <w:kern w:val="2"/>
      <w:sz w:val="21"/>
      <w:szCs w:val="24"/>
      <w:lang w:val="zh-CN"/>
    </w:rPr>
  </w:style>
  <w:style w:type="character" w:customStyle="1" w:styleId="940">
    <w:name w:val="无间隔 Char"/>
    <w:link w:val="168"/>
    <w:qFormat/>
    <w:uiPriority w:val="99"/>
    <w:rPr>
      <w:kern w:val="2"/>
      <w:sz w:val="21"/>
      <w:szCs w:val="22"/>
    </w:rPr>
  </w:style>
  <w:style w:type="character" w:customStyle="1" w:styleId="941">
    <w:name w:val="标准文本 Char Char"/>
    <w:link w:val="606"/>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1"/>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character" w:customStyle="1" w:styleId="958">
    <w:name w:val="fontstyle01"/>
    <w:basedOn w:val="71"/>
    <w:qFormat/>
    <w:uiPriority w:val="0"/>
    <w:rPr>
      <w:rFonts w:hint="eastAsia" w:ascii="宋体" w:hAnsi="宋体" w:eastAsia="宋体" w:cs="宋体"/>
      <w:color w:val="000000"/>
      <w:sz w:val="36"/>
      <w:szCs w:val="36"/>
    </w:rPr>
  </w:style>
  <w:style w:type="table" w:customStyle="1" w:styleId="95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88</Pages>
  <Words>40747</Words>
  <Characters>43161</Characters>
  <Lines>287</Lines>
  <Paragraphs>81</Paragraphs>
  <TotalTime>3</TotalTime>
  <ScaleCrop>false</ScaleCrop>
  <LinksUpToDate>false</LinksUpToDate>
  <CharactersWithSpaces>49214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清水无影</cp:lastModifiedBy>
  <cp:lastPrinted>2022-11-21T14:20:00Z</cp:lastPrinted>
  <dcterms:modified xsi:type="dcterms:W3CDTF">2022-12-08T02:39:06Z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CD6A248C84214148B44EF49D8B5E01E4</vt:lpwstr>
  </property>
</Properties>
</file>