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ind w:left="0" w:leftChars="0" w:firstLine="0" w:firstLineChars="0"/>
        <w:rPr>
          <w:rFonts w:ascii="仿宋" w:hAnsi="仿宋" w:eastAsia="仿宋" w:cs="仿宋_GB2312"/>
          <w:b/>
          <w:color w:val="auto"/>
          <w:sz w:val="24"/>
          <w:highlight w:val="none"/>
        </w:rPr>
      </w:pPr>
    </w:p>
    <w:p>
      <w:pPr>
        <w:pStyle w:val="28"/>
        <w:ind w:firstLine="482"/>
        <w:rPr>
          <w:rFonts w:ascii="仿宋" w:hAnsi="仿宋" w:eastAsia="仿宋" w:cs="仿宋_GB2312"/>
          <w:b/>
          <w:color w:val="auto"/>
          <w:sz w:val="24"/>
          <w:highlight w:val="none"/>
        </w:rPr>
      </w:pPr>
    </w:p>
    <w:p>
      <w:pPr>
        <w:pStyle w:val="28"/>
        <w:ind w:firstLine="482"/>
        <w:rPr>
          <w:rFonts w:ascii="仿宋" w:hAnsi="仿宋" w:eastAsia="仿宋" w:cs="仿宋_GB2312"/>
          <w:b/>
          <w:color w:val="auto"/>
          <w:sz w:val="24"/>
          <w:highlight w:val="none"/>
        </w:rPr>
      </w:pPr>
    </w:p>
    <w:p>
      <w:pPr>
        <w:shd w:val="clear" w:color="auto" w:fill="FFFFFF"/>
        <w:tabs>
          <w:tab w:val="left" w:pos="4500"/>
        </w:tabs>
        <w:snapToGrid w:val="0"/>
        <w:spacing w:line="360" w:lineRule="auto"/>
        <w:jc w:val="center"/>
        <w:textAlignment w:val="bottom"/>
        <w:rPr>
          <w:rFonts w:ascii="仿宋" w:hAnsi="仿宋" w:eastAsia="仿宋" w:cs="宋体"/>
          <w:b/>
          <w:bCs/>
          <w:color w:val="auto"/>
          <w:sz w:val="52"/>
          <w:szCs w:val="52"/>
          <w:highlight w:val="none"/>
        </w:rPr>
      </w:pPr>
      <w:r>
        <w:rPr>
          <w:rFonts w:hint="eastAsia" w:ascii="仿宋" w:hAnsi="仿宋" w:eastAsia="仿宋" w:cs="宋体"/>
          <w:b/>
          <w:bCs/>
          <w:color w:val="auto"/>
          <w:sz w:val="52"/>
          <w:szCs w:val="52"/>
          <w:highlight w:val="none"/>
          <w:lang w:eastAsia="zh-CN"/>
        </w:rPr>
        <w:t>闲林街道市政养护项目</w:t>
      </w:r>
    </w:p>
    <w:p>
      <w:pPr>
        <w:pStyle w:val="27"/>
        <w:rPr>
          <w:color w:val="auto"/>
          <w:highlight w:val="none"/>
        </w:rPr>
      </w:pPr>
    </w:p>
    <w:p>
      <w:pPr>
        <w:shd w:val="clear" w:color="auto" w:fill="FFFFFF"/>
        <w:tabs>
          <w:tab w:val="left" w:pos="4500"/>
        </w:tabs>
        <w:snapToGrid w:val="0"/>
        <w:spacing w:line="360" w:lineRule="auto"/>
        <w:jc w:val="center"/>
        <w:textAlignment w:val="bottom"/>
        <w:rPr>
          <w:rFonts w:ascii="仿宋" w:hAnsi="仿宋" w:eastAsia="仿宋" w:cs="宋体"/>
          <w:b/>
          <w:bCs/>
          <w:color w:val="auto"/>
          <w:sz w:val="72"/>
          <w:szCs w:val="72"/>
          <w:highlight w:val="none"/>
        </w:rPr>
      </w:pPr>
      <w:r>
        <w:rPr>
          <w:rFonts w:hint="eastAsia" w:ascii="仿宋" w:hAnsi="仿宋" w:eastAsia="仿宋" w:cs="宋体"/>
          <w:b/>
          <w:bCs/>
          <w:color w:val="auto"/>
          <w:sz w:val="72"/>
          <w:szCs w:val="72"/>
          <w:highlight w:val="none"/>
        </w:rPr>
        <w:t>公开招标采购文件</w:t>
      </w:r>
    </w:p>
    <w:p>
      <w:pPr>
        <w:widowControl/>
        <w:snapToGrid w:val="0"/>
        <w:spacing w:line="360" w:lineRule="auto"/>
        <w:jc w:val="center"/>
        <w:rPr>
          <w:rFonts w:ascii="仿宋" w:hAnsi="仿宋" w:eastAsia="仿宋" w:cs="宋体"/>
          <w:color w:val="auto"/>
          <w:highlight w:val="none"/>
        </w:rPr>
      </w:pPr>
      <w:r>
        <w:rPr>
          <w:rFonts w:hint="eastAsia" w:ascii="仿宋" w:hAnsi="仿宋" w:eastAsia="仿宋" w:cs="宋体"/>
          <w:b/>
          <w:color w:val="auto"/>
          <w:sz w:val="36"/>
          <w:highlight w:val="none"/>
        </w:rPr>
        <w:t>（电子化招投标）</w:t>
      </w:r>
    </w:p>
    <w:p>
      <w:pPr>
        <w:widowControl/>
        <w:snapToGrid w:val="0"/>
        <w:spacing w:line="360" w:lineRule="auto"/>
        <w:jc w:val="center"/>
        <w:rPr>
          <w:rFonts w:ascii="仿宋" w:hAnsi="仿宋" w:eastAsia="仿宋" w:cs="宋体"/>
          <w:color w:val="auto"/>
          <w:highlight w:val="none"/>
        </w:rPr>
      </w:pPr>
    </w:p>
    <w:p>
      <w:pPr>
        <w:shd w:val="clear" w:color="auto" w:fill="FFFFFF"/>
        <w:snapToGrid w:val="0"/>
        <w:spacing w:line="360" w:lineRule="auto"/>
        <w:jc w:val="center"/>
        <w:rPr>
          <w:rFonts w:hint="eastAsia" w:ascii="仿宋" w:hAnsi="仿宋" w:eastAsia="仿宋" w:cs="宋体"/>
          <w:b/>
          <w:bCs/>
          <w:color w:val="auto"/>
          <w:sz w:val="36"/>
          <w:szCs w:val="36"/>
          <w:highlight w:val="none"/>
        </w:rPr>
      </w:pPr>
    </w:p>
    <w:p>
      <w:pPr>
        <w:pStyle w:val="2"/>
        <w:rPr>
          <w:rFonts w:hint="eastAsia" w:ascii="仿宋" w:hAnsi="仿宋" w:eastAsia="仿宋" w:cs="宋体"/>
          <w:b/>
          <w:bCs/>
          <w:color w:val="auto"/>
          <w:sz w:val="36"/>
          <w:szCs w:val="36"/>
          <w:highlight w:val="none"/>
        </w:rPr>
      </w:pPr>
    </w:p>
    <w:p>
      <w:pPr>
        <w:pStyle w:val="2"/>
        <w:rPr>
          <w:rFonts w:hint="eastAsia" w:ascii="仿宋" w:hAnsi="仿宋" w:eastAsia="仿宋" w:cs="宋体"/>
          <w:b/>
          <w:bCs/>
          <w:color w:val="auto"/>
          <w:sz w:val="36"/>
          <w:szCs w:val="36"/>
          <w:highlight w:val="none"/>
        </w:rPr>
      </w:pPr>
    </w:p>
    <w:p>
      <w:pPr>
        <w:pStyle w:val="2"/>
        <w:rPr>
          <w:rFonts w:hint="eastAsia" w:ascii="仿宋" w:hAnsi="仿宋" w:eastAsia="仿宋" w:cs="宋体"/>
          <w:b/>
          <w:bCs/>
          <w:color w:val="auto"/>
          <w:sz w:val="36"/>
          <w:szCs w:val="36"/>
          <w:highlight w:val="none"/>
        </w:rPr>
      </w:pPr>
      <w:r>
        <w:rPr>
          <w:rFonts w:hint="eastAsia" w:ascii="宋体" w:hAnsi="宋体" w:eastAsia="宋体" w:cs="Times New Roman"/>
          <w:color w:val="000000"/>
          <w:kern w:val="2"/>
          <w:sz w:val="84"/>
          <w:szCs w:val="84"/>
          <w:lang w:val="en-US" w:eastAsia="zh-CN" w:bidi="ar-SA"/>
        </w:rPr>
        <w:drawing>
          <wp:anchor distT="0" distB="0" distL="114300" distR="114300" simplePos="0" relativeHeight="251662336" behindDoc="1" locked="0" layoutInCell="1" allowOverlap="1">
            <wp:simplePos x="0" y="0"/>
            <wp:positionH relativeFrom="column">
              <wp:posOffset>490855</wp:posOffset>
            </wp:positionH>
            <wp:positionV relativeFrom="paragraph">
              <wp:posOffset>-1214755</wp:posOffset>
            </wp:positionV>
            <wp:extent cx="4641850" cy="3831590"/>
            <wp:effectExtent l="0" t="0" r="6350" b="16510"/>
            <wp:wrapNone/>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29">
                      <a:lum/>
                    </a:blip>
                    <a:stretch>
                      <a:fillRect/>
                    </a:stretch>
                  </pic:blipFill>
                  <pic:spPr>
                    <a:xfrm>
                      <a:off x="0" y="0"/>
                      <a:ext cx="4641850" cy="3831590"/>
                    </a:xfrm>
                    <a:prstGeom prst="rect">
                      <a:avLst/>
                    </a:prstGeom>
                    <a:noFill/>
                    <a:ln>
                      <a:noFill/>
                    </a:ln>
                  </pic:spPr>
                </pic:pic>
              </a:graphicData>
            </a:graphic>
          </wp:anchor>
        </w:drawing>
      </w:r>
    </w:p>
    <w:p>
      <w:pPr>
        <w:pStyle w:val="2"/>
        <w:rPr>
          <w:rFonts w:hint="eastAsia" w:ascii="仿宋" w:hAnsi="仿宋" w:eastAsia="仿宋" w:cs="宋体"/>
          <w:b/>
          <w:bCs/>
          <w:color w:val="auto"/>
          <w:sz w:val="36"/>
          <w:szCs w:val="36"/>
          <w:highlight w:val="none"/>
        </w:rPr>
      </w:pPr>
    </w:p>
    <w:p>
      <w:pPr>
        <w:pStyle w:val="2"/>
        <w:rPr>
          <w:rFonts w:hint="eastAsia" w:ascii="仿宋" w:hAnsi="仿宋" w:eastAsia="仿宋" w:cs="宋体"/>
          <w:b/>
          <w:bCs/>
          <w:color w:val="auto"/>
          <w:sz w:val="36"/>
          <w:szCs w:val="36"/>
          <w:highlight w:val="none"/>
        </w:rPr>
      </w:pPr>
    </w:p>
    <w:p>
      <w:pPr>
        <w:pStyle w:val="2"/>
        <w:rPr>
          <w:rFonts w:hint="eastAsia" w:ascii="仿宋" w:hAnsi="仿宋" w:eastAsia="仿宋" w:cs="宋体"/>
          <w:b/>
          <w:bCs/>
          <w:color w:val="auto"/>
          <w:sz w:val="36"/>
          <w:szCs w:val="36"/>
          <w:highlight w:val="none"/>
        </w:rPr>
      </w:pPr>
    </w:p>
    <w:p>
      <w:pPr>
        <w:pStyle w:val="2"/>
        <w:rPr>
          <w:rFonts w:hint="eastAsia" w:ascii="仿宋" w:hAnsi="仿宋" w:eastAsia="仿宋" w:cs="宋体"/>
          <w:b/>
          <w:bCs/>
          <w:color w:val="auto"/>
          <w:sz w:val="36"/>
          <w:szCs w:val="36"/>
          <w:highlight w:val="none"/>
        </w:rPr>
      </w:pPr>
    </w:p>
    <w:p>
      <w:pPr>
        <w:pStyle w:val="2"/>
        <w:rPr>
          <w:rFonts w:hint="eastAsia" w:ascii="仿宋" w:hAnsi="仿宋" w:eastAsia="仿宋" w:cs="宋体"/>
          <w:b/>
          <w:bCs/>
          <w:color w:val="auto"/>
          <w:sz w:val="36"/>
          <w:szCs w:val="36"/>
          <w:highlight w:val="none"/>
        </w:rPr>
      </w:pPr>
    </w:p>
    <w:p>
      <w:pPr>
        <w:pStyle w:val="2"/>
        <w:rPr>
          <w:rFonts w:hint="eastAsia" w:ascii="仿宋" w:hAnsi="仿宋" w:eastAsia="仿宋" w:cs="宋体"/>
          <w:b/>
          <w:bCs/>
          <w:color w:val="auto"/>
          <w:sz w:val="36"/>
          <w:szCs w:val="36"/>
          <w:highlight w:val="none"/>
        </w:rPr>
      </w:pPr>
    </w:p>
    <w:p>
      <w:pPr>
        <w:shd w:val="clear" w:color="auto" w:fill="FFFFFF"/>
        <w:snapToGrid w:val="0"/>
        <w:spacing w:line="360" w:lineRule="auto"/>
        <w:jc w:val="center"/>
        <w:rPr>
          <w:rFonts w:hint="default" w:ascii="仿宋" w:hAnsi="仿宋" w:eastAsia="仿宋" w:cs="宋体"/>
          <w:b/>
          <w:bCs/>
          <w:color w:val="auto"/>
          <w:sz w:val="36"/>
          <w:szCs w:val="36"/>
          <w:highlight w:val="none"/>
          <w:lang w:val="en-US" w:eastAsia="zh-CN"/>
        </w:rPr>
      </w:pPr>
      <w:r>
        <w:rPr>
          <w:rFonts w:hint="eastAsia" w:ascii="仿宋" w:hAnsi="仿宋" w:eastAsia="仿宋" w:cs="宋体"/>
          <w:b/>
          <w:bCs/>
          <w:color w:val="auto"/>
          <w:sz w:val="36"/>
          <w:szCs w:val="36"/>
          <w:highlight w:val="none"/>
        </w:rPr>
        <w:t>招标编号：</w:t>
      </w:r>
      <w:r>
        <w:rPr>
          <w:rFonts w:hint="eastAsia" w:ascii="仿宋" w:hAnsi="仿宋" w:eastAsia="仿宋" w:cs="宋体"/>
          <w:b/>
          <w:bCs/>
          <w:color w:val="auto"/>
          <w:sz w:val="36"/>
          <w:szCs w:val="36"/>
          <w:highlight w:val="none"/>
          <w:lang w:eastAsia="zh-CN"/>
        </w:rPr>
        <w:t>HZZHCG2022-060</w:t>
      </w:r>
    </w:p>
    <w:p>
      <w:pPr>
        <w:shd w:val="clear" w:color="auto" w:fill="FFFFFF"/>
        <w:snapToGrid w:val="0"/>
        <w:spacing w:line="360" w:lineRule="auto"/>
        <w:textAlignment w:val="bottom"/>
        <w:rPr>
          <w:rFonts w:ascii="仿宋" w:hAnsi="仿宋" w:eastAsia="仿宋" w:cs="宋体"/>
          <w:b/>
          <w:bCs/>
          <w:color w:val="auto"/>
          <w:sz w:val="48"/>
          <w:szCs w:val="48"/>
          <w:highlight w:val="none"/>
        </w:rPr>
      </w:pPr>
      <w:r>
        <w:rPr>
          <w:rFonts w:ascii="仿宋" w:hAnsi="仿宋" w:eastAsia="仿宋" w:cs="宋体"/>
          <w:color w:val="auto"/>
          <w:kern w:val="2"/>
          <w:sz w:val="48"/>
          <w:szCs w:val="48"/>
          <w:highlight w:val="none"/>
          <w:lang w:val="en-US" w:eastAsia="zh-CN" w:bidi="ar-SA"/>
        </w:rPr>
        <mc:AlternateContent>
          <mc:Choice Requires="wps">
            <w:drawing>
              <wp:anchor distT="0" distB="0" distL="114300" distR="114300" simplePos="0" relativeHeight="251661312" behindDoc="0" locked="0" layoutInCell="0" allowOverlap="1">
                <wp:simplePos x="0" y="0"/>
                <wp:positionH relativeFrom="column">
                  <wp:posOffset>4191000</wp:posOffset>
                </wp:positionH>
                <wp:positionV relativeFrom="paragraph">
                  <wp:posOffset>73025</wp:posOffset>
                </wp:positionV>
                <wp:extent cx="635" cy="635"/>
                <wp:effectExtent l="0" t="0" r="0" b="0"/>
                <wp:wrapSquare wrapText="bothSides"/>
                <wp:docPr id="3" name="直接连接符 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1" o:spid="_x0000_s1026" o:spt="20" style="position:absolute;left:0pt;margin-left:330pt;margin-top:5.75pt;height:0.05pt;width:0.05pt;mso-wrap-distance-bottom:0pt;mso-wrap-distance-left:9pt;mso-wrap-distance-right:9pt;mso-wrap-distance-top:0pt;z-index:251661312;mso-width-relative:page;mso-height-relative:page;" filled="f" stroked="t" coordsize="21600,21600" o:allowincell="f" o:gfxdata="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6AajNUAAAAJAQAADwAAAAAAAAABACAAAAAiAAAAZHJzL2Rvd25yZXYueG1sUEsBAhQAFAAAAAgA&#10;h07iQJzPZQrvAQAA4gMAAA4AAAAAAAAAAQAgAAAAJAEAAGRycy9lMm9Eb2MueG1sUEsFBgAAAAAG&#10;AAYAWQEAAIUFAAAAAA==&#10;">
                <v:fill on="f" focussize="0,0"/>
                <v:stroke color="#000000" joinstyle="round"/>
                <v:imagedata o:title=""/>
                <o:lock v:ext="edit" aspectratio="f"/>
                <w10:wrap type="square"/>
              </v:line>
            </w:pict>
          </mc:Fallback>
        </mc:AlternateContent>
      </w:r>
    </w:p>
    <w:p>
      <w:pPr>
        <w:shd w:val="clear" w:color="auto" w:fill="FFFFFF"/>
        <w:snapToGrid w:val="0"/>
        <w:spacing w:line="360" w:lineRule="auto"/>
        <w:ind w:firstLine="426"/>
        <w:jc w:val="center"/>
        <w:textAlignment w:val="bottom"/>
        <w:rPr>
          <w:rFonts w:hint="eastAsia" w:ascii="仿宋" w:hAnsi="仿宋" w:eastAsia="仿宋" w:cs="宋体"/>
          <w:b/>
          <w:bCs/>
          <w:color w:val="auto"/>
          <w:sz w:val="30"/>
          <w:szCs w:val="30"/>
          <w:highlight w:val="none"/>
          <w:lang w:eastAsia="zh-CN"/>
        </w:rPr>
      </w:pPr>
      <w:r>
        <w:rPr>
          <w:rFonts w:hint="eastAsia" w:ascii="仿宋" w:hAnsi="仿宋" w:eastAsia="仿宋" w:cs="宋体"/>
          <w:b/>
          <w:bCs/>
          <w:color w:val="auto"/>
          <w:sz w:val="30"/>
          <w:szCs w:val="30"/>
          <w:highlight w:val="none"/>
        </w:rPr>
        <w:t>招 标 人：</w:t>
      </w:r>
      <w:r>
        <w:rPr>
          <w:rFonts w:ascii="仿宋" w:hAnsi="仿宋" w:eastAsia="仿宋" w:cs="宋体"/>
          <w:b/>
          <w:bCs/>
          <w:color w:val="auto"/>
          <w:sz w:val="30"/>
          <w:szCs w:val="30"/>
          <w:highlight w:val="none"/>
        </w:rPr>
        <w:t xml:space="preserve"> </w:t>
      </w:r>
      <w:r>
        <w:rPr>
          <w:rFonts w:hint="eastAsia" w:ascii="仿宋" w:hAnsi="仿宋" w:eastAsia="仿宋" w:cs="宋体"/>
          <w:b/>
          <w:bCs/>
          <w:color w:val="auto"/>
          <w:spacing w:val="-24"/>
          <w:sz w:val="30"/>
          <w:szCs w:val="30"/>
          <w:highlight w:val="none"/>
          <w:lang w:eastAsia="zh-CN"/>
        </w:rPr>
        <w:t>杭州市余杭区人民政府闲林街道办事处</w:t>
      </w:r>
    </w:p>
    <w:p>
      <w:pPr>
        <w:shd w:val="clear" w:color="auto" w:fill="FFFFFF"/>
        <w:snapToGrid w:val="0"/>
        <w:spacing w:line="360" w:lineRule="auto"/>
        <w:ind w:firstLine="426"/>
        <w:jc w:val="center"/>
        <w:textAlignment w:val="bottom"/>
        <w:rPr>
          <w:rFonts w:hint="eastAsia" w:ascii="仿宋" w:hAnsi="仿宋" w:eastAsia="仿宋" w:cs="宋体"/>
          <w:b/>
          <w:bCs/>
          <w:color w:val="auto"/>
          <w:sz w:val="30"/>
          <w:szCs w:val="30"/>
          <w:highlight w:val="none"/>
          <w:lang w:eastAsia="zh-CN"/>
        </w:rPr>
      </w:pPr>
      <w:r>
        <w:rPr>
          <w:rFonts w:hint="eastAsia" w:ascii="仿宋" w:hAnsi="仿宋" w:eastAsia="仿宋" w:cs="宋体"/>
          <w:b/>
          <w:bCs/>
          <w:color w:val="auto"/>
          <w:sz w:val="30"/>
          <w:szCs w:val="30"/>
          <w:highlight w:val="none"/>
        </w:rPr>
        <w:t>招标代理机构：</w:t>
      </w:r>
      <w:r>
        <w:rPr>
          <w:rFonts w:hint="eastAsia" w:ascii="仿宋" w:hAnsi="仿宋" w:eastAsia="仿宋" w:cs="宋体"/>
          <w:b/>
          <w:bCs/>
          <w:color w:val="auto"/>
          <w:sz w:val="30"/>
          <w:szCs w:val="30"/>
          <w:highlight w:val="none"/>
          <w:lang w:eastAsia="zh-CN"/>
        </w:rPr>
        <w:t>杭州正鸿工程咨询有限公司</w:t>
      </w:r>
    </w:p>
    <w:p>
      <w:pPr>
        <w:shd w:val="clear" w:color="auto" w:fill="FFFFFF"/>
        <w:snapToGrid w:val="0"/>
        <w:spacing w:line="360" w:lineRule="auto"/>
        <w:ind w:firstLine="426"/>
        <w:jc w:val="center"/>
        <w:textAlignment w:val="bottom"/>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二O二二年</w:t>
      </w:r>
      <w:r>
        <w:rPr>
          <w:rFonts w:hint="eastAsia" w:ascii="仿宋" w:hAnsi="仿宋" w:eastAsia="仿宋" w:cs="宋体"/>
          <w:b/>
          <w:bCs/>
          <w:color w:val="auto"/>
          <w:sz w:val="30"/>
          <w:szCs w:val="30"/>
          <w:highlight w:val="none"/>
          <w:lang w:val="en-US" w:eastAsia="zh-CN"/>
        </w:rPr>
        <w:t>十二月</w:t>
      </w:r>
    </w:p>
    <w:p>
      <w:pPr>
        <w:rPr>
          <w:rFonts w:ascii="仿宋" w:hAnsi="仿宋" w:eastAsia="仿宋" w:cs="仿宋_GB2312"/>
          <w:b/>
          <w:color w:val="auto"/>
          <w:sz w:val="48"/>
          <w:szCs w:val="48"/>
          <w:highlight w:val="none"/>
        </w:rPr>
      </w:pPr>
      <w:bookmarkStart w:id="0" w:name="_Hlt67893495"/>
      <w:bookmarkEnd w:id="0"/>
      <w:r>
        <w:rPr>
          <w:rFonts w:hint="eastAsia" w:ascii="仿宋" w:hAnsi="仿宋" w:eastAsia="仿宋" w:cs="仿宋_GB2312"/>
          <w:b/>
          <w:color w:val="auto"/>
          <w:sz w:val="48"/>
          <w:szCs w:val="48"/>
          <w:highlight w:val="none"/>
        </w:rPr>
        <w:br w:type="page"/>
      </w: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adjustRightInd/>
        <w:spacing w:line="360" w:lineRule="auto"/>
        <w:jc w:val="center"/>
        <w:outlineLvl w:val="0"/>
        <w:rPr>
          <w:rFonts w:ascii="仿宋" w:hAnsi="仿宋" w:eastAsia="仿宋"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 w:hAnsi="仿宋" w:eastAsia="仿宋" w:cs="仿宋_GB2312"/>
          <w:b/>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auto"/>
          <w:sz w:val="24"/>
          <w:highlight w:val="none"/>
          <w:u w:val="single"/>
        </w:rPr>
      </w:pPr>
      <w:r>
        <w:rPr>
          <w:rFonts w:hint="eastAsia" w:ascii="宋体" w:hAnsi="宋体" w:eastAsia="仿宋" w:cs="宋体"/>
          <w:color w:val="auto"/>
          <w:sz w:val="24"/>
          <w:highlight w:val="none"/>
          <w:lang w:eastAsia="zh-CN"/>
        </w:rPr>
        <w:t>闲林街道市政养护项目</w:t>
      </w:r>
      <w:r>
        <w:rPr>
          <w:rFonts w:hint="eastAsia" w:ascii="仿宋" w:hAnsi="仿宋" w:eastAsia="仿宋"/>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"https://www.zcygov.cn/）获取（下载）招标文件，并于2022年2月%20%20日9点0分00秒" </w:instrText>
      </w:r>
      <w:r>
        <w:rPr>
          <w:color w:val="auto"/>
          <w:highlight w:val="none"/>
        </w:rPr>
        <w:fldChar w:fldCharType="separate"/>
      </w:r>
      <w:r>
        <w:rPr>
          <w:rStyle w:val="77"/>
          <w:rFonts w:ascii="仿宋" w:hAnsi="仿宋" w:eastAsia="仿宋" w:cs="Times New Roman"/>
          <w:color w:val="auto"/>
          <w:kern w:val="2"/>
          <w:sz w:val="24"/>
          <w:szCs w:val="24"/>
          <w:highlight w:val="none"/>
        </w:rPr>
        <w:t>https://www.zcygov.cn/）获取（下载）招标文件，并于</w:t>
      </w:r>
      <w:r>
        <w:rPr>
          <w:rFonts w:hint="eastAsia" w:ascii="仿宋" w:hAnsi="仿宋" w:eastAsia="仿宋"/>
          <w:color w:val="auto"/>
          <w:sz w:val="24"/>
          <w:highlight w:val="none"/>
          <w:u w:val="single"/>
        </w:rPr>
        <w:t>2022</w:t>
      </w:r>
      <w:r>
        <w:rPr>
          <w:rFonts w:ascii="仿宋" w:hAnsi="仿宋" w:eastAsia="仿宋"/>
          <w:color w:val="auto"/>
          <w:sz w:val="24"/>
          <w:highlight w:val="none"/>
          <w:u w:val="single"/>
        </w:rPr>
        <w:t>年</w:t>
      </w:r>
      <w:r>
        <w:rPr>
          <w:rFonts w:hint="eastAsia" w:ascii="仿宋" w:hAnsi="仿宋" w:eastAsia="仿宋"/>
          <w:color w:val="auto"/>
          <w:sz w:val="24"/>
          <w:highlight w:val="none"/>
          <w:u w:val="single"/>
          <w:lang w:val="en-US" w:eastAsia="zh-CN"/>
        </w:rPr>
        <w:t>12</w:t>
      </w:r>
      <w:r>
        <w:rPr>
          <w:rFonts w:hint="eastAsia" w:ascii="仿宋" w:hAnsi="仿宋" w:eastAsia="仿宋"/>
          <w:color w:val="auto"/>
          <w:sz w:val="24"/>
          <w:highlight w:val="none"/>
          <w:u w:val="single"/>
        </w:rPr>
        <w:t>月</w:t>
      </w:r>
      <w:r>
        <w:rPr>
          <w:rFonts w:hint="eastAsia" w:ascii="仿宋" w:hAnsi="仿宋" w:eastAsia="仿宋"/>
          <w:color w:val="auto"/>
          <w:sz w:val="24"/>
          <w:highlight w:val="none"/>
          <w:u w:val="single"/>
          <w:lang w:val="en-US" w:eastAsia="zh-CN"/>
        </w:rPr>
        <w:t>23</w:t>
      </w:r>
      <w:r>
        <w:rPr>
          <w:rFonts w:hint="eastAsia" w:ascii="仿宋" w:hAnsi="仿宋" w:eastAsia="仿宋"/>
          <w:color w:val="auto"/>
          <w:sz w:val="24"/>
          <w:highlight w:val="none"/>
          <w:u w:val="single"/>
        </w:rPr>
        <w:t>日</w:t>
      </w:r>
      <w:r>
        <w:rPr>
          <w:rFonts w:hint="eastAsia" w:ascii="仿宋" w:hAnsi="仿宋" w:eastAsia="仿宋"/>
          <w:color w:val="auto"/>
          <w:sz w:val="24"/>
          <w:highlight w:val="none"/>
          <w:u w:val="single"/>
          <w:lang w:val="en-US" w:eastAsia="zh-CN"/>
        </w:rPr>
        <w:t>14</w:t>
      </w:r>
      <w:r>
        <w:rPr>
          <w:rFonts w:hint="eastAsia" w:ascii="仿宋" w:hAnsi="仿宋" w:eastAsia="仿宋"/>
          <w:color w:val="auto"/>
          <w:sz w:val="24"/>
          <w:highlight w:val="none"/>
          <w:u w:val="single"/>
        </w:rPr>
        <w:t>点</w:t>
      </w:r>
      <w:r>
        <w:rPr>
          <w:rFonts w:hint="eastAsia" w:ascii="仿宋" w:hAnsi="仿宋" w:eastAsia="仿宋"/>
          <w:color w:val="auto"/>
          <w:sz w:val="24"/>
          <w:highlight w:val="none"/>
          <w:u w:val="single"/>
          <w:lang w:val="en-US" w:eastAsia="zh-CN"/>
        </w:rPr>
        <w:t xml:space="preserve">00 </w:t>
      </w:r>
      <w:r>
        <w:rPr>
          <w:rFonts w:hint="eastAsia" w:ascii="仿宋" w:hAnsi="仿宋" w:eastAsia="仿宋"/>
          <w:color w:val="auto"/>
          <w:sz w:val="24"/>
          <w:highlight w:val="none"/>
          <w:u w:val="single"/>
        </w:rPr>
        <w:t>分</w:t>
      </w:r>
      <w:r>
        <w:rPr>
          <w:rStyle w:val="77"/>
          <w:rFonts w:hint="eastAsia" w:ascii="仿宋" w:hAnsi="仿宋" w:eastAsia="仿宋" w:cs="Times New Roman"/>
          <w:bCs/>
          <w:color w:val="auto"/>
          <w:kern w:val="2"/>
          <w:sz w:val="24"/>
          <w:szCs w:val="24"/>
          <w:highlight w:val="none"/>
        </w:rPr>
        <w:fldChar w:fldCharType="end"/>
      </w:r>
      <w:r>
        <w:rPr>
          <w:rFonts w:hint="eastAsia" w:ascii="仿宋" w:hAnsi="仿宋" w:eastAsia="仿宋"/>
          <w:bCs/>
          <w:color w:val="auto"/>
          <w:sz w:val="24"/>
          <w:highlight w:val="none"/>
        </w:rPr>
        <w:t>（北京时间）前</w:t>
      </w:r>
      <w:r>
        <w:rPr>
          <w:rFonts w:hint="eastAsia" w:ascii="仿宋" w:hAnsi="仿宋" w:eastAsia="仿宋"/>
          <w:color w:val="auto"/>
          <w:sz w:val="24"/>
          <w:highlight w:val="none"/>
        </w:rPr>
        <w:t>递交（上传）投标文件。</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一、项目基本情况</w:t>
      </w:r>
      <w:r>
        <w:rPr>
          <w:rFonts w:ascii="仿宋" w:hAnsi="仿宋" w:eastAsia="仿宋"/>
          <w:b/>
          <w:color w:val="auto"/>
          <w:sz w:val="24"/>
          <w:highlight w:val="none"/>
        </w:rPr>
        <w:t xml:space="preserve">                                            </w:t>
      </w:r>
    </w:p>
    <w:p>
      <w:pPr>
        <w:spacing w:line="360" w:lineRule="auto"/>
        <w:rPr>
          <w:rFonts w:hint="default" w:ascii="仿宋" w:hAnsi="仿宋" w:eastAsia="仿宋"/>
          <w:color w:val="auto"/>
          <w:sz w:val="24"/>
          <w:highlight w:val="none"/>
          <w:lang w:val="en-US" w:eastAsia="zh-CN"/>
        </w:rPr>
      </w:pPr>
      <w:r>
        <w:rPr>
          <w:rFonts w:ascii="仿宋" w:hAnsi="仿宋" w:eastAsia="仿宋"/>
          <w:color w:val="auto"/>
          <w:sz w:val="24"/>
          <w:highlight w:val="none"/>
        </w:rPr>
        <w:t xml:space="preserve">    </w:t>
      </w:r>
      <w:r>
        <w:rPr>
          <w:rFonts w:hint="eastAsia" w:ascii="仿宋" w:hAnsi="仿宋" w:eastAsia="仿宋"/>
          <w:b/>
          <w:color w:val="auto"/>
          <w:sz w:val="24"/>
          <w:highlight w:val="none"/>
        </w:rPr>
        <w:t>项目编号：</w:t>
      </w:r>
      <w:r>
        <w:rPr>
          <w:rFonts w:hint="eastAsia" w:ascii="仿宋" w:hAnsi="仿宋" w:eastAsia="仿宋"/>
          <w:color w:val="auto"/>
          <w:sz w:val="24"/>
          <w:highlight w:val="none"/>
          <w:lang w:eastAsia="zh-CN"/>
        </w:rPr>
        <w:t>HZZHCG2022-060</w:t>
      </w:r>
    </w:p>
    <w:p>
      <w:pPr>
        <w:spacing w:line="360" w:lineRule="auto"/>
        <w:rPr>
          <w:rFonts w:hint="eastAsia" w:ascii="仿宋" w:hAnsi="仿宋" w:eastAsia="仿宋"/>
          <w:b/>
          <w:color w:val="auto"/>
          <w:sz w:val="24"/>
          <w:highlight w:val="none"/>
          <w:lang w:eastAsia="zh-CN"/>
        </w:rPr>
      </w:pPr>
      <w:r>
        <w:rPr>
          <w:rFonts w:ascii="仿宋" w:hAnsi="仿宋" w:eastAsia="仿宋"/>
          <w:color w:val="auto"/>
          <w:sz w:val="24"/>
          <w:highlight w:val="none"/>
        </w:rPr>
        <w:t xml:space="preserve">   </w:t>
      </w:r>
      <w:r>
        <w:rPr>
          <w:rFonts w:ascii="仿宋" w:hAnsi="仿宋" w:eastAsia="仿宋"/>
          <w:b/>
          <w:color w:val="auto"/>
          <w:sz w:val="24"/>
          <w:highlight w:val="none"/>
        </w:rPr>
        <w:t xml:space="preserve"> </w:t>
      </w:r>
      <w:r>
        <w:rPr>
          <w:rFonts w:hint="eastAsia" w:ascii="仿宋" w:hAnsi="仿宋" w:eastAsia="仿宋"/>
          <w:b/>
          <w:color w:val="auto"/>
          <w:sz w:val="24"/>
          <w:highlight w:val="none"/>
        </w:rPr>
        <w:t>项目名称：</w:t>
      </w:r>
      <w:r>
        <w:rPr>
          <w:rFonts w:hint="eastAsia" w:ascii="仿宋" w:hAnsi="仿宋" w:eastAsia="仿宋"/>
          <w:b/>
          <w:color w:val="auto"/>
          <w:sz w:val="24"/>
          <w:highlight w:val="none"/>
          <w:lang w:eastAsia="zh-CN"/>
        </w:rPr>
        <w:t>闲林街道市政养护项目</w:t>
      </w:r>
    </w:p>
    <w:p>
      <w:pPr>
        <w:spacing w:line="360" w:lineRule="auto"/>
        <w:rPr>
          <w:rFonts w:hint="default" w:ascii="仿宋" w:hAnsi="仿宋" w:eastAsia="仿宋" w:cs="仿宋_GB2312"/>
          <w:color w:val="auto"/>
          <w:sz w:val="24"/>
          <w:highlight w:val="none"/>
          <w:lang w:val="en-US" w:eastAsia="zh-CN"/>
        </w:rPr>
      </w:pPr>
      <w:r>
        <w:rPr>
          <w:rFonts w:ascii="仿宋" w:hAnsi="仿宋" w:eastAsia="仿宋"/>
          <w:color w:val="auto"/>
          <w:sz w:val="24"/>
          <w:highlight w:val="none"/>
        </w:rPr>
        <w:t xml:space="preserve">   </w:t>
      </w:r>
      <w:r>
        <w:rPr>
          <w:rFonts w:ascii="仿宋" w:hAnsi="仿宋" w:eastAsia="仿宋"/>
          <w:b/>
          <w:color w:val="auto"/>
          <w:sz w:val="24"/>
          <w:highlight w:val="none"/>
        </w:rPr>
        <w:t xml:space="preserve"> 预算金额（元）：</w:t>
      </w:r>
      <w:r>
        <w:rPr>
          <w:rFonts w:hint="eastAsia" w:ascii="仿宋" w:hAnsi="仿宋" w:eastAsia="仿宋"/>
          <w:b/>
          <w:color w:val="auto"/>
          <w:sz w:val="24"/>
          <w:highlight w:val="none"/>
          <w:lang w:val="en-US" w:eastAsia="zh-CN"/>
        </w:rPr>
        <w:t>20000000</w:t>
      </w:r>
    </w:p>
    <w:p>
      <w:pPr>
        <w:spacing w:line="360" w:lineRule="auto"/>
        <w:ind w:firstLine="480"/>
        <w:rPr>
          <w:rFonts w:hint="default" w:ascii="仿宋" w:hAnsi="仿宋" w:eastAsia="仿宋" w:cs="仿宋_GB2312"/>
          <w:color w:val="auto"/>
          <w:sz w:val="24"/>
          <w:highlight w:val="none"/>
          <w:lang w:val="en-US" w:eastAsia="zh-CN"/>
        </w:rPr>
      </w:pPr>
      <w:r>
        <w:rPr>
          <w:rFonts w:hint="eastAsia" w:ascii="仿宋" w:hAnsi="仿宋" w:eastAsia="仿宋"/>
          <w:b/>
          <w:color w:val="auto"/>
          <w:sz w:val="24"/>
          <w:highlight w:val="none"/>
        </w:rPr>
        <w:t>最高限价（元）：</w:t>
      </w:r>
      <w:r>
        <w:rPr>
          <w:rFonts w:hint="eastAsia" w:ascii="仿宋" w:hAnsi="仿宋" w:eastAsia="仿宋"/>
          <w:b/>
          <w:color w:val="auto"/>
          <w:sz w:val="24"/>
          <w:highlight w:val="none"/>
          <w:lang w:val="en-US" w:eastAsia="zh-CN"/>
        </w:rPr>
        <w:t>20000000</w:t>
      </w:r>
      <w:bookmarkStart w:id="515" w:name="_GoBack"/>
      <w:bookmarkEnd w:id="515"/>
    </w:p>
    <w:p>
      <w:pPr>
        <w:spacing w:line="360" w:lineRule="auto"/>
        <w:ind w:firstLine="480"/>
        <w:rPr>
          <w:rFonts w:hint="eastAsia" w:ascii="仿宋" w:hAnsi="仿宋" w:eastAsia="仿宋"/>
          <w:b/>
          <w:color w:val="auto"/>
          <w:sz w:val="24"/>
          <w:highlight w:val="none"/>
        </w:rPr>
      </w:pPr>
      <w:r>
        <w:rPr>
          <w:rFonts w:hint="eastAsia" w:ascii="仿宋" w:hAnsi="仿宋" w:eastAsia="仿宋"/>
          <w:b/>
          <w:color w:val="auto"/>
          <w:sz w:val="24"/>
          <w:highlight w:val="none"/>
        </w:rPr>
        <w:t>    主要内容： 本次招标项目为</w:t>
      </w:r>
      <w:r>
        <w:rPr>
          <w:rFonts w:hint="eastAsia" w:ascii="仿宋" w:hAnsi="仿宋" w:eastAsia="仿宋"/>
          <w:b/>
          <w:color w:val="auto"/>
          <w:sz w:val="24"/>
          <w:highlight w:val="none"/>
          <w:lang w:val="en-US" w:eastAsia="zh-CN"/>
        </w:rPr>
        <w:t>闲林街道市政养护项目</w:t>
      </w:r>
      <w:r>
        <w:rPr>
          <w:rFonts w:hint="eastAsia" w:ascii="仿宋" w:hAnsi="仿宋" w:eastAsia="仿宋"/>
          <w:b/>
          <w:color w:val="auto"/>
          <w:sz w:val="24"/>
          <w:highlight w:val="none"/>
          <w:lang w:eastAsia="zh-CN"/>
        </w:rPr>
        <w:t>，</w:t>
      </w:r>
      <w:r>
        <w:rPr>
          <w:rFonts w:hint="eastAsia" w:ascii="仿宋" w:hAnsi="仿宋" w:eastAsia="仿宋"/>
          <w:b/>
          <w:color w:val="auto"/>
          <w:sz w:val="24"/>
          <w:highlight w:val="none"/>
        </w:rPr>
        <w:t>详见招标文件第三部分采购需求。</w:t>
      </w:r>
    </w:p>
    <w:p>
      <w:pPr>
        <w:spacing w:line="360" w:lineRule="auto"/>
        <w:ind w:firstLine="480"/>
        <w:rPr>
          <w:rFonts w:hint="eastAsia" w:ascii="仿宋" w:hAnsi="仿宋" w:eastAsia="仿宋"/>
          <w:b/>
          <w:color w:val="auto"/>
          <w:sz w:val="24"/>
          <w:highlight w:val="none"/>
        </w:rPr>
      </w:pPr>
      <w:r>
        <w:rPr>
          <w:rFonts w:hint="eastAsia" w:ascii="仿宋" w:hAnsi="仿宋" w:eastAsia="仿宋"/>
          <w:b/>
          <w:color w:val="auto"/>
          <w:sz w:val="24"/>
          <w:highlight w:val="none"/>
        </w:rPr>
        <w:t>备注：</w:t>
      </w:r>
    </w:p>
    <w:p>
      <w:pPr>
        <w:spacing w:line="360" w:lineRule="auto"/>
        <w:ind w:firstLine="480"/>
        <w:rPr>
          <w:rFonts w:hint="eastAsia" w:ascii="仿宋" w:hAnsi="仿宋" w:eastAsia="仿宋"/>
          <w:b/>
          <w:color w:val="auto"/>
          <w:sz w:val="24"/>
          <w:highlight w:val="none"/>
          <w:lang w:eastAsia="zh-CN"/>
        </w:rPr>
      </w:pPr>
      <w:r>
        <w:rPr>
          <w:rFonts w:hint="eastAsia" w:ascii="仿宋" w:hAnsi="仿宋" w:eastAsia="仿宋"/>
          <w:b/>
          <w:color w:val="auto"/>
          <w:sz w:val="24"/>
          <w:highlight w:val="none"/>
        </w:rPr>
        <w:t>合同履约期限：</w:t>
      </w:r>
      <w:r>
        <w:rPr>
          <w:rFonts w:hint="eastAsia" w:ascii="仿宋" w:hAnsi="仿宋" w:eastAsia="仿宋"/>
          <w:b/>
          <w:color w:val="auto"/>
          <w:sz w:val="24"/>
          <w:highlight w:val="none"/>
          <w:lang w:val="en-US" w:eastAsia="zh-CN"/>
        </w:rPr>
        <w:t>2年</w:t>
      </w:r>
      <w:r>
        <w:rPr>
          <w:rFonts w:hint="eastAsia" w:ascii="仿宋" w:hAnsi="仿宋" w:eastAsia="仿宋"/>
          <w:b/>
          <w:color w:val="auto"/>
          <w:sz w:val="24"/>
          <w:highlight w:val="none"/>
          <w:lang w:eastAsia="zh-CN"/>
        </w:rPr>
        <w:t>。</w:t>
      </w:r>
    </w:p>
    <w:p>
      <w:pPr>
        <w:pStyle w:val="6"/>
        <w:spacing w:line="360" w:lineRule="auto"/>
        <w:ind w:firstLine="480"/>
        <w:rPr>
          <w:rFonts w:ascii="仿宋" w:hAnsi="仿宋" w:eastAsia="仿宋"/>
          <w:b/>
          <w:color w:val="auto"/>
          <w:sz w:val="24"/>
          <w:highlight w:val="none"/>
        </w:rPr>
      </w:pPr>
      <w:r>
        <w:rPr>
          <w:rFonts w:hint="eastAsia" w:ascii="仿宋" w:hAnsi="仿宋" w:eastAsia="仿宋"/>
          <w:b/>
          <w:color w:val="auto"/>
          <w:sz w:val="24"/>
          <w:highlight w:val="none"/>
        </w:rPr>
        <w:t>本项目接受联合体投标：</w:t>
      </w:r>
      <w:r>
        <w:rPr>
          <w:rFonts w:hint="eastAsia" w:ascii="Wingdings" w:hAnsi="Wingdings" w:eastAsia="仿宋" w:cs="Arial"/>
          <w:color w:val="auto"/>
          <w:kern w:val="0"/>
          <w:sz w:val="24"/>
          <w:highlight w:val="none"/>
        </w:rPr>
        <w:t>þ</w:t>
      </w:r>
      <w:r>
        <w:rPr>
          <w:rFonts w:hint="eastAsia" w:ascii="仿宋" w:hAnsi="仿宋" w:eastAsia="仿宋"/>
          <w:b/>
          <w:color w:val="auto"/>
          <w:sz w:val="24"/>
          <w:highlight w:val="none"/>
        </w:rPr>
        <w:t>是，</w:t>
      </w:r>
      <w:r>
        <w:rPr>
          <w:rFonts w:ascii="Segoe UI Symbol" w:hAnsi="Segoe UI Symbol" w:eastAsia="仿宋" w:cs="Segoe UI Symbol"/>
          <w:color w:val="auto"/>
          <w:kern w:val="0"/>
          <w:sz w:val="24"/>
          <w:highlight w:val="none"/>
        </w:rPr>
        <w:t>☐</w:t>
      </w:r>
      <w:r>
        <w:rPr>
          <w:rFonts w:hint="eastAsia" w:ascii="仿宋" w:hAnsi="仿宋" w:eastAsia="仿宋"/>
          <w:b/>
          <w:color w:val="auto"/>
          <w:sz w:val="24"/>
          <w:highlight w:val="none"/>
        </w:rPr>
        <w:t>否</w:t>
      </w:r>
      <w:r>
        <w:rPr>
          <w:rFonts w:hint="eastAsia" w:ascii="仿宋" w:hAnsi="仿宋" w:eastAsia="仿宋" w:cs="Arial"/>
          <w:color w:val="auto"/>
          <w:kern w:val="0"/>
          <w:sz w:val="24"/>
          <w:highlight w:val="none"/>
        </w:rPr>
        <w:t>。</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二、申请人的资格要求：</w:t>
      </w:r>
    </w:p>
    <w:p>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hint="eastAsia" w:ascii="仿宋" w:hAnsi="仿宋" w:eastAsia="仿宋" w:cs="仿宋_GB2312"/>
          <w:snapToGrid w:val="0"/>
          <w:color w:val="auto"/>
          <w:kern w:val="28"/>
          <w:sz w:val="24"/>
          <w:szCs w:val="20"/>
          <w:highlight w:val="none"/>
          <w:lang w:val="en-US" w:eastAsia="zh-CN"/>
        </w:rPr>
      </w:pPr>
      <w:r>
        <w:rPr>
          <w:rFonts w:ascii="仿宋" w:hAnsi="仿宋" w:eastAsia="仿宋" w:cs="仿宋_GB2312"/>
          <w:snapToGrid w:val="0"/>
          <w:color w:val="auto"/>
          <w:kern w:val="28"/>
          <w:sz w:val="24"/>
          <w:szCs w:val="20"/>
          <w:highlight w:val="none"/>
        </w:rPr>
        <w:t>2.</w:t>
      </w:r>
      <w:r>
        <w:rPr>
          <w:rFonts w:hint="eastAsia" w:ascii="仿宋" w:hAnsi="仿宋" w:eastAsia="仿宋" w:cs="仿宋_GB2312"/>
          <w:snapToGrid w:val="0"/>
          <w:color w:val="auto"/>
          <w:kern w:val="28"/>
          <w:sz w:val="24"/>
          <w:szCs w:val="20"/>
          <w:highlight w:val="none"/>
        </w:rPr>
        <w:t>落实政府采购政策需满足的资格要求：</w:t>
      </w:r>
      <w:r>
        <w:rPr>
          <w:rFonts w:hint="eastAsia" w:ascii="仿宋" w:hAnsi="仿宋" w:eastAsia="仿宋" w:cs="仿宋_GB2312"/>
          <w:snapToGrid w:val="0"/>
          <w:color w:val="auto"/>
          <w:kern w:val="28"/>
          <w:sz w:val="24"/>
          <w:szCs w:val="20"/>
          <w:highlight w:val="none"/>
          <w:lang w:val="en-US" w:eastAsia="zh-CN"/>
        </w:rPr>
        <w:t>无</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t>☐</w:t>
      </w:r>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r>
        <w:rPr>
          <w:rFonts w:ascii="MS Gothic" w:hAnsi="MS Gothic" w:eastAsia="MS Gothic" w:cs="Arial"/>
          <w:kern w:val="0"/>
          <w:sz w:val="24"/>
        </w:rPr>
        <w:sym w:font="Wingdings" w:char="00A8"/>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rPr>
          <w:rFonts w:ascii="仿宋" w:hAnsi="仿宋" w:eastAsia="仿宋" w:cs="仿宋_GB2312"/>
          <w:snapToGrid w:val="0"/>
          <w:color w:val="auto"/>
          <w:kern w:val="28"/>
          <w:sz w:val="24"/>
          <w:szCs w:val="20"/>
          <w:highlight w:val="none"/>
        </w:rPr>
      </w:pPr>
      <w:r>
        <w:rPr>
          <w:rFonts w:hint="eastAsia" w:ascii="仿宋" w:hAnsi="仿宋" w:eastAsia="仿宋" w:cs="仿宋_GB2312"/>
          <w:snapToGrid w:val="0"/>
          <w:color w:val="auto"/>
          <w:kern w:val="28"/>
          <w:sz w:val="24"/>
          <w:szCs w:val="20"/>
          <w:highlight w:val="none"/>
          <w:lang w:val="en-US" w:eastAsia="zh-CN"/>
        </w:rPr>
        <w:t>3</w:t>
      </w:r>
      <w:r>
        <w:rPr>
          <w:rFonts w:ascii="仿宋" w:hAnsi="仿宋" w:eastAsia="仿宋" w:cs="仿宋_GB2312"/>
          <w:snapToGrid w:val="0"/>
          <w:color w:val="auto"/>
          <w:kern w:val="28"/>
          <w:sz w:val="24"/>
          <w:szCs w:val="20"/>
          <w:highlight w:val="none"/>
        </w:rPr>
        <w:t>.</w:t>
      </w:r>
      <w:r>
        <w:rPr>
          <w:rFonts w:hint="default" w:ascii="仿宋" w:hAnsi="仿宋" w:eastAsia="仿宋" w:cs="仿宋_GB2312"/>
          <w:snapToGrid w:val="0"/>
          <w:color w:val="auto"/>
          <w:kern w:val="28"/>
          <w:sz w:val="24"/>
          <w:szCs w:val="20"/>
          <w:highlight w:val="none"/>
        </w:rPr>
        <w:t>单位负责人为同一人或者存在直接控股、管理关系的不同供应商，不得参加同一合同项下的政府采购活动；</w:t>
      </w:r>
      <w:r>
        <w:rPr>
          <w:rFonts w:ascii="仿宋" w:hAnsi="仿宋" w:eastAsia="仿宋" w:cs="仿宋_GB2312"/>
          <w:snapToGrid w:val="0"/>
          <w:color w:val="auto"/>
          <w:kern w:val="28"/>
          <w:sz w:val="24"/>
          <w:szCs w:val="20"/>
          <w:highlight w:val="none"/>
        </w:rPr>
        <w:t>为采购项目提供整体设计、规范编制或者项目管理、监理、检测等服务后</w:t>
      </w:r>
      <w:r>
        <w:rPr>
          <w:rFonts w:hint="default" w:ascii="仿宋" w:hAnsi="仿宋" w:eastAsia="仿宋" w:cs="仿宋_GB2312"/>
          <w:snapToGrid w:val="0"/>
          <w:color w:val="auto"/>
          <w:kern w:val="28"/>
          <w:sz w:val="24"/>
          <w:szCs w:val="20"/>
          <w:highlight w:val="none"/>
        </w:rPr>
        <w:t>不得</w:t>
      </w:r>
      <w:r>
        <w:rPr>
          <w:rFonts w:ascii="仿宋" w:hAnsi="仿宋" w:eastAsia="仿宋" w:cs="仿宋_GB2312"/>
          <w:snapToGrid w:val="0"/>
          <w:color w:val="auto"/>
          <w:kern w:val="28"/>
          <w:sz w:val="24"/>
          <w:szCs w:val="20"/>
          <w:highlight w:val="none"/>
        </w:rPr>
        <w:t>再参加该采购项目的其他采购活动。</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三、获取招标文件</w:t>
      </w:r>
      <w:r>
        <w:rPr>
          <w:rFonts w:ascii="仿宋" w:hAnsi="仿宋" w:eastAsia="仿宋"/>
          <w:b/>
          <w:color w:val="auto"/>
          <w:sz w:val="24"/>
          <w:highlight w:val="none"/>
        </w:rPr>
        <w:t xml:space="preserve"> </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时间：</w:t>
      </w:r>
      <w:r>
        <w:rPr>
          <w:rFonts w:ascii="仿宋" w:hAnsi="仿宋" w:eastAsia="仿宋"/>
          <w:color w:val="auto"/>
          <w:sz w:val="24"/>
          <w:highlight w:val="none"/>
        </w:rPr>
        <w:t>/至</w:t>
      </w:r>
      <w:r>
        <w:rPr>
          <w:rFonts w:hint="eastAsia" w:ascii="仿宋" w:hAnsi="仿宋" w:eastAsia="仿宋"/>
          <w:color w:val="auto"/>
          <w:sz w:val="24"/>
          <w:highlight w:val="none"/>
          <w:u w:val="single"/>
        </w:rPr>
        <w:t>2022</w:t>
      </w:r>
      <w:r>
        <w:rPr>
          <w:rFonts w:ascii="仿宋" w:hAnsi="仿宋" w:eastAsia="仿宋"/>
          <w:color w:val="auto"/>
          <w:sz w:val="24"/>
          <w:highlight w:val="none"/>
          <w:u w:val="single"/>
        </w:rPr>
        <w:t>年</w:t>
      </w:r>
      <w:r>
        <w:rPr>
          <w:rFonts w:hint="eastAsia" w:ascii="仿宋" w:hAnsi="仿宋" w:eastAsia="仿宋"/>
          <w:color w:val="auto"/>
          <w:sz w:val="24"/>
          <w:highlight w:val="none"/>
          <w:u w:val="single"/>
          <w:lang w:val="en-US" w:eastAsia="zh-CN"/>
        </w:rPr>
        <w:t>12月23</w:t>
      </w:r>
      <w:r>
        <w:rPr>
          <w:rFonts w:ascii="仿宋" w:hAnsi="仿宋" w:eastAsia="仿宋"/>
          <w:color w:val="auto"/>
          <w:sz w:val="24"/>
          <w:highlight w:val="none"/>
          <w:u w:val="single"/>
        </w:rPr>
        <w:t>日</w:t>
      </w:r>
      <w:r>
        <w:rPr>
          <w:rFonts w:hint="eastAsia" w:ascii="仿宋" w:hAnsi="仿宋" w:eastAsia="仿宋"/>
          <w:color w:val="auto"/>
          <w:sz w:val="24"/>
          <w:highlight w:val="none"/>
        </w:rPr>
        <w:t>，每天上午</w:t>
      </w:r>
      <w:r>
        <w:rPr>
          <w:rFonts w:ascii="仿宋" w:hAnsi="仿宋" w:eastAsia="仿宋"/>
          <w:color w:val="auto"/>
          <w:sz w:val="24"/>
          <w:highlight w:val="none"/>
        </w:rPr>
        <w:t xml:space="preserve">00:00至12:00 </w:t>
      </w:r>
      <w:r>
        <w:rPr>
          <w:rFonts w:hint="eastAsia" w:ascii="仿宋" w:hAnsi="仿宋" w:eastAsia="仿宋"/>
          <w:color w:val="auto"/>
          <w:sz w:val="24"/>
          <w:highlight w:val="none"/>
        </w:rPr>
        <w:t>，下午</w:t>
      </w:r>
      <w:r>
        <w:rPr>
          <w:rFonts w:ascii="仿宋" w:hAnsi="仿宋" w:eastAsia="仿宋"/>
          <w:color w:val="auto"/>
          <w:sz w:val="24"/>
          <w:highlight w:val="none"/>
        </w:rPr>
        <w:t>12:00至23:59（北京时间，线上获取法定节假日均可，线下获取文件法定节假日除外）</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地点（网址）：</w:t>
      </w:r>
      <w:r>
        <w:rPr>
          <w:rFonts w:hint="eastAsia" w:ascii="仿宋" w:hAnsi="仿宋" w:eastAsia="仿宋"/>
          <w:color w:val="auto"/>
          <w:sz w:val="24"/>
          <w:highlight w:val="none"/>
        </w:rPr>
        <w:t>政采云平台（</w:t>
      </w:r>
      <w:r>
        <w:rPr>
          <w:rFonts w:ascii="仿宋" w:hAnsi="仿宋" w:eastAsia="仿宋"/>
          <w:color w:val="auto"/>
          <w:sz w:val="24"/>
          <w:highlight w:val="none"/>
        </w:rPr>
        <w:t xml:space="preserve">https://www.zcygov.cn/） </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方式：</w:t>
      </w:r>
      <w:r>
        <w:rPr>
          <w:rFonts w:hint="eastAsia" w:ascii="仿宋" w:hAnsi="仿宋" w:eastAsia="仿宋"/>
          <w:color w:val="auto"/>
          <w:sz w:val="24"/>
          <w:highlight w:val="none"/>
        </w:rPr>
        <w:t>供应商登录政采云平台</w:t>
      </w:r>
      <w:r>
        <w:rPr>
          <w:rFonts w:ascii="仿宋" w:hAnsi="仿宋" w:eastAsia="仿宋"/>
          <w:color w:val="auto"/>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售价（元）：</w:t>
      </w:r>
      <w:r>
        <w:rPr>
          <w:rFonts w:ascii="仿宋" w:hAnsi="仿宋" w:eastAsia="仿宋"/>
          <w:color w:val="auto"/>
          <w:sz w:val="24"/>
          <w:highlight w:val="none"/>
        </w:rPr>
        <w:t xml:space="preserve">0 </w:t>
      </w:r>
      <w:r>
        <w:rPr>
          <w:rFonts w:ascii="仿宋" w:hAnsi="仿宋" w:eastAsia="仿宋"/>
          <w:color w:val="auto"/>
          <w:sz w:val="24"/>
          <w:highlight w:val="none"/>
        </w:rPr>
        <w:tab/>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四、提交投标文件截止时间、开标时间和地点</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提交投标文件截止时间：</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2022</w:t>
      </w:r>
      <w:r>
        <w:rPr>
          <w:rFonts w:ascii="仿宋" w:hAnsi="仿宋" w:eastAsia="仿宋"/>
          <w:color w:val="auto"/>
          <w:sz w:val="24"/>
          <w:highlight w:val="none"/>
          <w:u w:val="single"/>
        </w:rPr>
        <w:t>年</w:t>
      </w:r>
      <w:r>
        <w:rPr>
          <w:rFonts w:hint="eastAsia" w:ascii="仿宋" w:hAnsi="仿宋" w:eastAsia="仿宋"/>
          <w:color w:val="auto"/>
          <w:sz w:val="24"/>
          <w:highlight w:val="none"/>
          <w:u w:val="single"/>
          <w:lang w:val="en-US" w:eastAsia="zh-CN"/>
        </w:rPr>
        <w:t>12</w:t>
      </w:r>
      <w:r>
        <w:rPr>
          <w:rFonts w:hint="eastAsia" w:ascii="仿宋" w:hAnsi="仿宋" w:eastAsia="仿宋"/>
          <w:color w:val="auto"/>
          <w:sz w:val="24"/>
          <w:highlight w:val="none"/>
          <w:u w:val="single"/>
        </w:rPr>
        <w:t>月</w:t>
      </w:r>
      <w:r>
        <w:rPr>
          <w:rFonts w:hint="eastAsia" w:ascii="仿宋" w:hAnsi="仿宋" w:eastAsia="仿宋"/>
          <w:color w:val="auto"/>
          <w:sz w:val="24"/>
          <w:highlight w:val="none"/>
          <w:u w:val="single"/>
          <w:lang w:val="en-US" w:eastAsia="zh-CN"/>
        </w:rPr>
        <w:t>23</w:t>
      </w:r>
      <w:r>
        <w:rPr>
          <w:rFonts w:hint="eastAsia" w:ascii="仿宋" w:hAnsi="仿宋" w:eastAsia="仿宋"/>
          <w:color w:val="auto"/>
          <w:sz w:val="24"/>
          <w:highlight w:val="none"/>
          <w:u w:val="single"/>
        </w:rPr>
        <w:t>日</w:t>
      </w:r>
      <w:r>
        <w:rPr>
          <w:rFonts w:hint="eastAsia" w:ascii="仿宋" w:hAnsi="仿宋" w:eastAsia="仿宋"/>
          <w:color w:val="auto"/>
          <w:sz w:val="24"/>
          <w:highlight w:val="none"/>
          <w:u w:val="single"/>
          <w:lang w:val="en-US" w:eastAsia="zh-CN"/>
        </w:rPr>
        <w:t>14</w:t>
      </w:r>
      <w:r>
        <w:rPr>
          <w:rFonts w:hint="eastAsia" w:ascii="仿宋" w:hAnsi="仿宋" w:eastAsia="仿宋"/>
          <w:color w:val="auto"/>
          <w:sz w:val="24"/>
          <w:highlight w:val="none"/>
          <w:u w:val="single"/>
        </w:rPr>
        <w:t>点</w:t>
      </w:r>
      <w:r>
        <w:rPr>
          <w:rFonts w:hint="eastAsia" w:ascii="仿宋" w:hAnsi="仿宋" w:eastAsia="仿宋"/>
          <w:color w:val="auto"/>
          <w:sz w:val="24"/>
          <w:highlight w:val="none"/>
          <w:u w:val="single"/>
          <w:lang w:val="en-US" w:eastAsia="zh-CN"/>
        </w:rPr>
        <w:t xml:space="preserve">00 </w:t>
      </w:r>
      <w:r>
        <w:rPr>
          <w:rFonts w:hint="eastAsia" w:ascii="仿宋" w:hAnsi="仿宋" w:eastAsia="仿宋"/>
          <w:color w:val="auto"/>
          <w:sz w:val="24"/>
          <w:highlight w:val="none"/>
          <w:u w:val="single"/>
        </w:rPr>
        <w:t>分</w:t>
      </w:r>
      <w:r>
        <w:rPr>
          <w:rFonts w:hint="eastAsia" w:ascii="仿宋" w:hAnsi="仿宋" w:eastAsia="仿宋"/>
          <w:bCs/>
          <w:color w:val="auto"/>
          <w:sz w:val="24"/>
          <w:highlight w:val="none"/>
          <w:u w:val="single"/>
        </w:rPr>
        <w:t xml:space="preserve"> </w:t>
      </w:r>
      <w:r>
        <w:rPr>
          <w:rFonts w:hint="eastAsia" w:ascii="仿宋" w:hAnsi="仿宋" w:eastAsia="仿宋"/>
          <w:color w:val="auto"/>
          <w:sz w:val="24"/>
          <w:highlight w:val="none"/>
        </w:rPr>
        <w:t>（北京时间）</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投标地点（网址）：</w:t>
      </w:r>
      <w:r>
        <w:rPr>
          <w:rFonts w:hint="eastAsia" w:ascii="仿宋" w:hAnsi="仿宋" w:eastAsia="仿宋"/>
          <w:color w:val="auto"/>
          <w:sz w:val="24"/>
          <w:highlight w:val="none"/>
        </w:rPr>
        <w:t>政采云平台（</w:t>
      </w:r>
      <w:r>
        <w:rPr>
          <w:rFonts w:ascii="仿宋" w:hAnsi="仿宋" w:eastAsia="仿宋"/>
          <w:color w:val="auto"/>
          <w:sz w:val="24"/>
          <w:highlight w:val="none"/>
        </w:rPr>
        <w:t xml:space="preserve">https://www.zcygov.cn/） </w:t>
      </w:r>
    </w:p>
    <w:p>
      <w:pPr>
        <w:spacing w:line="360" w:lineRule="auto"/>
        <w:ind w:firstLine="482" w:firstLineChars="200"/>
        <w:rPr>
          <w:rFonts w:ascii="仿宋" w:hAnsi="仿宋" w:eastAsia="仿宋"/>
          <w:bCs/>
          <w:color w:val="auto"/>
          <w:sz w:val="24"/>
          <w:highlight w:val="none"/>
          <w:u w:val="single"/>
        </w:rPr>
      </w:pPr>
      <w:r>
        <w:rPr>
          <w:rFonts w:hint="eastAsia" w:ascii="仿宋" w:hAnsi="仿宋" w:eastAsia="仿宋"/>
          <w:b/>
          <w:color w:val="auto"/>
          <w:sz w:val="24"/>
          <w:highlight w:val="none"/>
        </w:rPr>
        <w:t>开标时间：</w:t>
      </w:r>
      <w:r>
        <w:rPr>
          <w:rFonts w:hint="eastAsia" w:ascii="仿宋" w:hAnsi="仿宋" w:eastAsia="仿宋"/>
          <w:color w:val="auto"/>
          <w:sz w:val="24"/>
          <w:highlight w:val="none"/>
          <w:u w:val="single"/>
        </w:rPr>
        <w:t>2022</w:t>
      </w:r>
      <w:r>
        <w:rPr>
          <w:rFonts w:ascii="仿宋" w:hAnsi="仿宋" w:eastAsia="仿宋"/>
          <w:color w:val="auto"/>
          <w:sz w:val="24"/>
          <w:highlight w:val="none"/>
          <w:u w:val="single"/>
        </w:rPr>
        <w:t>年</w:t>
      </w:r>
      <w:r>
        <w:rPr>
          <w:rFonts w:hint="eastAsia" w:ascii="仿宋" w:hAnsi="仿宋" w:eastAsia="仿宋"/>
          <w:color w:val="auto"/>
          <w:sz w:val="24"/>
          <w:highlight w:val="none"/>
          <w:u w:val="single"/>
          <w:lang w:val="en-US" w:eastAsia="zh-CN"/>
        </w:rPr>
        <w:t>12</w:t>
      </w:r>
      <w:r>
        <w:rPr>
          <w:rFonts w:hint="eastAsia" w:ascii="仿宋" w:hAnsi="仿宋" w:eastAsia="仿宋"/>
          <w:color w:val="auto"/>
          <w:sz w:val="24"/>
          <w:highlight w:val="none"/>
          <w:u w:val="single"/>
        </w:rPr>
        <w:t>月</w:t>
      </w:r>
      <w:r>
        <w:rPr>
          <w:rFonts w:hint="eastAsia" w:ascii="仿宋" w:hAnsi="仿宋" w:eastAsia="仿宋"/>
          <w:color w:val="auto"/>
          <w:sz w:val="24"/>
          <w:highlight w:val="none"/>
          <w:u w:val="single"/>
          <w:lang w:val="en-US" w:eastAsia="zh-CN"/>
        </w:rPr>
        <w:t>23</w:t>
      </w:r>
      <w:r>
        <w:rPr>
          <w:rFonts w:hint="eastAsia" w:ascii="仿宋" w:hAnsi="仿宋" w:eastAsia="仿宋"/>
          <w:color w:val="auto"/>
          <w:sz w:val="24"/>
          <w:highlight w:val="none"/>
          <w:u w:val="single"/>
        </w:rPr>
        <w:t>日</w:t>
      </w:r>
      <w:r>
        <w:rPr>
          <w:rFonts w:hint="eastAsia" w:ascii="仿宋" w:hAnsi="仿宋" w:eastAsia="仿宋"/>
          <w:color w:val="auto"/>
          <w:sz w:val="24"/>
          <w:highlight w:val="none"/>
          <w:u w:val="single"/>
          <w:lang w:val="en-US" w:eastAsia="zh-CN"/>
        </w:rPr>
        <w:t>14</w:t>
      </w:r>
      <w:r>
        <w:rPr>
          <w:rFonts w:hint="eastAsia" w:ascii="仿宋" w:hAnsi="仿宋" w:eastAsia="仿宋"/>
          <w:color w:val="auto"/>
          <w:sz w:val="24"/>
          <w:highlight w:val="none"/>
          <w:u w:val="single"/>
        </w:rPr>
        <w:t>点</w:t>
      </w:r>
      <w:r>
        <w:rPr>
          <w:rFonts w:hint="eastAsia" w:ascii="仿宋" w:hAnsi="仿宋" w:eastAsia="仿宋"/>
          <w:color w:val="auto"/>
          <w:sz w:val="24"/>
          <w:highlight w:val="none"/>
          <w:u w:val="single"/>
          <w:lang w:val="en-US" w:eastAsia="zh-CN"/>
        </w:rPr>
        <w:t xml:space="preserve">00 </w:t>
      </w:r>
      <w:r>
        <w:rPr>
          <w:rFonts w:hint="eastAsia" w:ascii="仿宋" w:hAnsi="仿宋" w:eastAsia="仿宋"/>
          <w:color w:val="auto"/>
          <w:sz w:val="24"/>
          <w:highlight w:val="none"/>
          <w:u w:val="single"/>
        </w:rPr>
        <w:t>分</w:t>
      </w:r>
      <w:r>
        <w:rPr>
          <w:rFonts w:hint="eastAsia" w:ascii="仿宋" w:hAnsi="仿宋" w:eastAsia="仿宋"/>
          <w:bCs/>
          <w:color w:val="auto"/>
          <w:sz w:val="24"/>
          <w:highlight w:val="none"/>
          <w:u w:val="single"/>
        </w:rPr>
        <w:t xml:space="preserve"> </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开标地点（网址）：</w:t>
      </w:r>
      <w:r>
        <w:rPr>
          <w:rFonts w:ascii="仿宋" w:hAnsi="仿宋" w:eastAsia="仿宋"/>
          <w:color w:val="auto"/>
          <w:sz w:val="24"/>
          <w:highlight w:val="none"/>
        </w:rPr>
        <w:t>政</w:t>
      </w:r>
      <w:r>
        <w:rPr>
          <w:rFonts w:hint="eastAsia" w:ascii="仿宋" w:hAnsi="仿宋" w:eastAsia="仿宋"/>
          <w:color w:val="auto"/>
          <w:sz w:val="24"/>
          <w:highlight w:val="none"/>
        </w:rPr>
        <w:t>采云平台（</w:t>
      </w:r>
      <w:r>
        <w:rPr>
          <w:rFonts w:ascii="仿宋" w:hAnsi="仿宋" w:eastAsia="仿宋"/>
          <w:color w:val="auto"/>
          <w:sz w:val="24"/>
          <w:highlight w:val="none"/>
        </w:rPr>
        <w:t>https://www.zcygov.cn/）</w:t>
      </w:r>
      <w:r>
        <w:rPr>
          <w:rFonts w:hint="eastAsia" w:ascii="仿宋" w:hAnsi="仿宋" w:eastAsia="仿宋" w:cs="宋体"/>
          <w:bCs/>
          <w:color w:val="auto"/>
          <w:spacing w:val="-6"/>
          <w:kern w:val="0"/>
          <w:sz w:val="24"/>
          <w:highlight w:val="none"/>
        </w:rPr>
        <w:t>。</w:t>
      </w:r>
    </w:p>
    <w:p>
      <w:pPr>
        <w:snapToGrid w:val="0"/>
        <w:spacing w:line="360" w:lineRule="auto"/>
        <w:rPr>
          <w:rFonts w:ascii="仿宋" w:hAnsi="仿宋" w:eastAsia="仿宋"/>
          <w:color w:val="auto"/>
          <w:sz w:val="24"/>
          <w:highlight w:val="none"/>
        </w:rPr>
      </w:pPr>
      <w:r>
        <w:rPr>
          <w:rFonts w:hint="eastAsia" w:ascii="仿宋" w:hAnsi="仿宋" w:eastAsia="仿宋"/>
          <w:b/>
          <w:color w:val="auto"/>
          <w:sz w:val="24"/>
          <w:highlight w:val="none"/>
          <w:lang w:val="en-US" w:eastAsia="zh-CN"/>
        </w:rPr>
        <w:t>五</w:t>
      </w:r>
      <w:r>
        <w:rPr>
          <w:rFonts w:hint="eastAsia" w:ascii="仿宋" w:hAnsi="仿宋" w:eastAsia="仿宋"/>
          <w:b/>
          <w:color w:val="auto"/>
          <w:sz w:val="24"/>
          <w:highlight w:val="none"/>
        </w:rPr>
        <w:t>、公告期限</w:t>
      </w:r>
      <w:r>
        <w:rPr>
          <w:rFonts w:ascii="仿宋" w:hAnsi="仿宋" w:eastAsia="仿宋"/>
          <w:b/>
          <w:color w:val="auto"/>
          <w:sz w:val="24"/>
          <w:highlight w:val="none"/>
        </w:rPr>
        <w:t xml:space="preserve"> </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自本公告发布之日起</w:t>
      </w:r>
      <w:r>
        <w:rPr>
          <w:rFonts w:ascii="仿宋" w:hAnsi="仿宋" w:eastAsia="仿宋"/>
          <w:color w:val="auto"/>
          <w:sz w:val="24"/>
          <w:highlight w:val="none"/>
        </w:rPr>
        <w:t>5个工作日。</w:t>
      </w:r>
    </w:p>
    <w:p>
      <w:pP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lang w:val="en-US" w:eastAsia="zh-CN"/>
        </w:rPr>
        <w:t>六</w:t>
      </w:r>
      <w:r>
        <w:rPr>
          <w:rFonts w:hint="eastAsia" w:ascii="仿宋" w:hAnsi="仿宋" w:eastAsia="仿宋"/>
          <w:b/>
          <w:color w:val="auto"/>
          <w:sz w:val="24"/>
          <w:highlight w:val="none"/>
        </w:rPr>
        <w:t>、其他补充事宜</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 xml:space="preserve">    </w:t>
      </w:r>
      <w:r>
        <w:rPr>
          <w:rFonts w:hint="eastAsia" w:ascii="仿宋" w:hAnsi="仿宋" w:eastAsia="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 w:hAnsi="仿宋" w:eastAsia="仿宋"/>
          <w:color w:val="auto"/>
          <w:sz w:val="24"/>
          <w:highlight w:val="none"/>
        </w:rPr>
        <w:t>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.其他事项：</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（1）需要落实的政府采购政策：包括节约资源、保护环境、支持创新、促进中小企业发展等。详见招标文件的第二部分总则。</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电子招投标的说明：</w:t>
      </w:r>
      <w:r>
        <w:rPr>
          <w:rFonts w:hint="eastAsia" w:ascii="仿宋" w:hAnsi="仿宋" w:eastAsia="仿宋" w:cs="仿宋_GB2312"/>
          <w:color w:val="auto"/>
          <w:sz w:val="24"/>
          <w:highlight w:val="none"/>
        </w:rPr>
        <w:t>①</w:t>
      </w:r>
      <w:r>
        <w:rPr>
          <w:rFonts w:ascii="仿宋" w:hAnsi="仿宋" w:eastAsia="仿宋" w:cs="仿宋_GB2312"/>
          <w:color w:val="auto"/>
          <w:sz w:val="24"/>
          <w:highlight w:val="none"/>
        </w:rPr>
        <w:t>电子招投标：本项目以数据电文形式，依托“政府采购云平台（www.zcygov.cn）”进行招投标活动，不接受纸质投标文件</w:t>
      </w:r>
      <w:r>
        <w:rPr>
          <w:rFonts w:hint="eastAsia" w:ascii="仿宋" w:hAnsi="仿宋" w:eastAsia="仿宋" w:cs="仿宋_GB2312"/>
          <w:color w:val="auto"/>
          <w:sz w:val="24"/>
          <w:highlight w:val="none"/>
        </w:rPr>
        <w:t>；②</w:t>
      </w:r>
      <w:r>
        <w:rPr>
          <w:rFonts w:ascii="仿宋" w:hAnsi="仿宋" w:eastAsia="仿宋"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color w:val="auto"/>
          <w:sz w:val="24"/>
          <w:highlight w:val="none"/>
        </w:rPr>
        <w:t>采云电子交易客户端”</w:t>
      </w:r>
      <w:r>
        <w:rPr>
          <w:rFonts w:ascii="仿宋" w:hAnsi="仿宋" w:eastAsia="仿宋" w:cs="仿宋_GB2312"/>
          <w:color w:val="auto"/>
          <w:sz w:val="24"/>
          <w:highlight w:val="none"/>
        </w:rPr>
        <w:t>----前往“浙江政府采购网-下载专区-电子交易客户端”进行下载并安装</w:t>
      </w:r>
      <w:r>
        <w:rPr>
          <w:rFonts w:hint="eastAsia" w:ascii="仿宋" w:hAnsi="仿宋" w:eastAsia="仿宋" w:cs="仿宋_GB2312"/>
          <w:color w:val="auto"/>
          <w:sz w:val="24"/>
          <w:highlight w:val="none"/>
        </w:rPr>
        <w:t>；③</w:t>
      </w:r>
      <w:r>
        <w:rPr>
          <w:rFonts w:ascii="仿宋" w:hAnsi="仿宋" w:eastAsia="仿宋" w:cs="仿宋_GB2312"/>
          <w:color w:val="auto"/>
          <w:sz w:val="24"/>
          <w:highlight w:val="none"/>
        </w:rPr>
        <w:t>招标文件的获取：使用账号登录或者使用CA登录政</w:t>
      </w:r>
      <w:r>
        <w:rPr>
          <w:rFonts w:hint="eastAsia" w:ascii="仿宋" w:hAnsi="仿宋" w:eastAsia="仿宋" w:cs="仿宋_GB2312"/>
          <w:color w:val="auto"/>
          <w:sz w:val="24"/>
          <w:highlight w:val="none"/>
        </w:rPr>
        <w:t>采云平台；进入“项目采购”应用，在获取采购文件菜单中选择项目，获取招标文件；④</w:t>
      </w:r>
      <w:r>
        <w:rPr>
          <w:rFonts w:ascii="仿宋" w:hAnsi="仿宋" w:eastAsia="仿宋" w:cs="仿宋_GB2312"/>
          <w:color w:val="auto"/>
          <w:sz w:val="24"/>
          <w:highlight w:val="none"/>
        </w:rPr>
        <w:t>投标文件的制作：在“政</w:t>
      </w:r>
      <w:r>
        <w:rPr>
          <w:rFonts w:hint="eastAsia" w:ascii="仿宋" w:hAnsi="仿宋" w:eastAsia="仿宋" w:cs="仿宋_GB2312"/>
          <w:color w:val="auto"/>
          <w:sz w:val="24"/>
          <w:highlight w:val="none"/>
        </w:rPr>
        <w:t>采云电子交易客户端”中完成“填写基本信息”、“导入投标文件”、“标书关联”、“标书检查”、“电子签名”、“生成电子标书”等操作；</w:t>
      </w:r>
      <w:r>
        <w:rPr>
          <w:rFonts w:hint="eastAsia" w:ascii="仿宋" w:hAnsi="仿宋" w:eastAsia="仿宋"/>
          <w:color w:val="auto"/>
          <w:sz w:val="24"/>
          <w:highlight w:val="none"/>
        </w:rPr>
        <w:t>⑤</w:t>
      </w:r>
      <w:r>
        <w:rPr>
          <w:rFonts w:ascii="仿宋" w:hAnsi="仿宋" w:eastAsia="仿宋"/>
          <w:color w:val="auto"/>
          <w:sz w:val="24"/>
          <w:highlight w:val="none"/>
        </w:rPr>
        <w:t>采购人、采购代理机构将依托政</w:t>
      </w:r>
      <w:r>
        <w:rPr>
          <w:rFonts w:hint="eastAsia" w:ascii="仿宋" w:hAnsi="仿宋" w:eastAsia="仿宋"/>
          <w:color w:val="auto"/>
          <w:sz w:val="24"/>
          <w:highlight w:val="none"/>
        </w:rPr>
        <w:t>采云平台完成本项目的电子交易活动，平台不接受未按上述方式获取招标文件的供应商进行投标活动；</w:t>
      </w:r>
      <w:r>
        <w:rPr>
          <w:rFonts w:ascii="仿宋" w:hAnsi="仿宋" w:eastAsia="仿宋"/>
          <w:color w:val="auto"/>
          <w:sz w:val="24"/>
          <w:highlight w:val="none"/>
        </w:rPr>
        <w:t xml:space="preserve"> </w:t>
      </w:r>
      <w:r>
        <w:rPr>
          <w:rFonts w:hint="eastAsia" w:ascii="仿宋" w:hAnsi="仿宋" w:eastAsia="仿宋"/>
          <w:color w:val="auto"/>
          <w:sz w:val="24"/>
          <w:highlight w:val="none"/>
        </w:rPr>
        <w:t>⑥</w:t>
      </w:r>
      <w:r>
        <w:rPr>
          <w:rFonts w:ascii="仿宋" w:hAnsi="仿宋" w:eastAsia="仿宋"/>
          <w:color w:val="auto"/>
          <w:sz w:val="24"/>
          <w:highlight w:val="none"/>
        </w:rPr>
        <w:t>对未按上述方式获取招标文件的供应商对该文件提出的质疑，采购人或采购代理机构将</w:t>
      </w:r>
      <w:r>
        <w:rPr>
          <w:rFonts w:hint="eastAsia" w:ascii="仿宋" w:hAnsi="仿宋" w:eastAsia="仿宋"/>
          <w:color w:val="auto"/>
          <w:sz w:val="24"/>
          <w:highlight w:val="none"/>
        </w:rPr>
        <w:t>不予处理；⑦</w:t>
      </w:r>
      <w:r>
        <w:rPr>
          <w:rFonts w:ascii="仿宋" w:hAnsi="仿宋" w:eastAsia="仿宋"/>
          <w:color w:val="auto"/>
          <w:sz w:val="24"/>
          <w:highlight w:val="none"/>
        </w:rPr>
        <w:t>不提供招标文件纸质版</w:t>
      </w:r>
      <w:r>
        <w:rPr>
          <w:rFonts w:hint="eastAsia" w:ascii="仿宋" w:hAnsi="仿宋" w:eastAsia="仿宋"/>
          <w:color w:val="auto"/>
          <w:sz w:val="24"/>
          <w:highlight w:val="none"/>
        </w:rPr>
        <w:t>；</w:t>
      </w:r>
      <w:r>
        <w:rPr>
          <w:rFonts w:hint="eastAsia" w:ascii="仿宋" w:hAnsi="仿宋" w:eastAsia="仿宋" w:cs="仿宋_GB2312"/>
          <w:color w:val="auto"/>
          <w:sz w:val="24"/>
          <w:highlight w:val="none"/>
        </w:rPr>
        <w:t>⑧</w:t>
      </w:r>
      <w:r>
        <w:rPr>
          <w:rFonts w:ascii="仿宋" w:hAnsi="仿宋" w:eastAsia="仿宋"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_GB2312"/>
          <w:color w:val="auto"/>
          <w:sz w:val="24"/>
          <w:highlight w:val="none"/>
        </w:rPr>
        <w:t>；</w:t>
      </w:r>
      <w:r>
        <w:rPr>
          <w:rFonts w:hint="eastAsia" w:ascii="仿宋" w:hAnsi="仿宋" w:eastAsia="仿宋"/>
          <w:color w:val="auto"/>
          <w:sz w:val="24"/>
          <w:highlight w:val="none"/>
        </w:rPr>
        <w:t>⑨</w:t>
      </w:r>
      <w:r>
        <w:rPr>
          <w:rFonts w:hint="eastAsia" w:ascii="仿宋" w:hAnsi="仿宋" w:eastAsia="仿宋"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hAnsi="仿宋" w:eastAsia="仿宋" w:cs="仿宋_GB2312"/>
          <w:color w:val="auto"/>
          <w:sz w:val="24"/>
          <w:highlight w:val="none"/>
        </w:rPr>
        <w:t>具体操作指南：详见政</w:t>
      </w:r>
      <w:r>
        <w:rPr>
          <w:rFonts w:hint="eastAsia" w:ascii="仿宋" w:hAnsi="仿宋" w:eastAsia="仿宋" w:cs="仿宋_GB2312"/>
          <w:color w:val="auto"/>
          <w:sz w:val="24"/>
          <w:highlight w:val="none"/>
        </w:rPr>
        <w:t>采云平台“服务中心</w:t>
      </w:r>
      <w:r>
        <w:rPr>
          <w:rFonts w:ascii="仿宋" w:hAnsi="仿宋" w:eastAsia="仿宋" w:cs="仿宋_GB2312"/>
          <w:color w:val="auto"/>
          <w:sz w:val="24"/>
          <w:highlight w:val="none"/>
        </w:rPr>
        <w:t>-帮助文档-项目采购-操作流程-电子招投标-政府采购项目电子交易管理操作指南-供应商”。</w:t>
      </w:r>
    </w:p>
    <w:p>
      <w:pPr>
        <w:widowControl/>
        <w:spacing w:line="360" w:lineRule="auto"/>
        <w:ind w:firstLine="480" w:firstLineChars="200"/>
        <w:jc w:val="left"/>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 xml:space="preserve"> （3）</w:t>
      </w:r>
      <w:r>
        <w:rPr>
          <w:rFonts w:hint="eastAsia" w:ascii="仿宋" w:hAnsi="仿宋" w:eastAsia="仿宋" w:cs="仿宋_GB2312"/>
          <w:b w:val="0"/>
          <w:bCs w:val="0"/>
          <w:color w:val="auto"/>
          <w:kern w:val="2"/>
          <w:sz w:val="24"/>
          <w:szCs w:val="24"/>
          <w:highlight w:val="none"/>
          <w:lang w:val="en-US" w:eastAsia="zh-CN"/>
        </w:rPr>
        <w:t>本项目共有两个标项，投标人可选择其中一个或多个标项进行投标，但只能中一个标项，已经被确定为标项二的中标候选人，将不被推荐为标项一的中标候选人。</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lang w:val="en-US" w:eastAsia="zh-CN"/>
        </w:rPr>
        <w:t>七</w:t>
      </w:r>
      <w:r>
        <w:rPr>
          <w:rFonts w:hint="eastAsia" w:ascii="仿宋" w:hAnsi="仿宋" w:eastAsia="仿宋"/>
          <w:b/>
          <w:color w:val="auto"/>
          <w:sz w:val="24"/>
          <w:highlight w:val="none"/>
        </w:rPr>
        <w:t>、对本次采购提出询问、质疑、投诉，请按以下方式联系</w:t>
      </w:r>
    </w:p>
    <w:p>
      <w:pPr>
        <w:spacing w:line="360" w:lineRule="auto"/>
        <w:ind w:firstLine="480" w:firstLineChars="200"/>
        <w:rPr>
          <w:rFonts w:ascii="仿宋_GB2312" w:hAnsi="仿宋" w:eastAsia="仿宋_GB2312"/>
          <w:sz w:val="24"/>
        </w:rPr>
      </w:pPr>
      <w:r>
        <w:rPr>
          <w:rFonts w:ascii="仿宋_GB2312" w:hAnsi="仿宋" w:eastAsia="仿宋_GB2312"/>
          <w:sz w:val="24"/>
        </w:rPr>
        <w:t>1.采购人信息</w:t>
      </w:r>
    </w:p>
    <w:p>
      <w:pPr>
        <w:spacing w:line="360" w:lineRule="auto"/>
        <w:rPr>
          <w:rFonts w:hint="eastAsia" w:ascii="仿宋" w:hAnsi="仿宋" w:eastAsia="仿宋" w:cs="仿宋"/>
          <w:color w:val="auto"/>
          <w:sz w:val="24"/>
          <w:lang w:eastAsia="zh-CN"/>
        </w:rPr>
      </w:pPr>
      <w:r>
        <w:rPr>
          <w:rFonts w:ascii="仿宋_GB2312" w:hAnsi="仿宋" w:eastAsia="仿宋_GB2312"/>
          <w:sz w:val="24"/>
        </w:rPr>
        <w:t xml:space="preserve">    </w:t>
      </w:r>
      <w:r>
        <w:rPr>
          <w:rFonts w:ascii="仿宋_GB2312" w:hAnsi="仿宋" w:eastAsia="仿宋_GB2312"/>
          <w:color w:val="auto"/>
          <w:sz w:val="24"/>
        </w:rPr>
        <w:t xml:space="preserve">名   </w:t>
      </w:r>
      <w:r>
        <w:rPr>
          <w:rFonts w:hint="eastAsia" w:ascii="仿宋" w:hAnsi="仿宋" w:eastAsia="仿宋" w:cs="仿宋"/>
          <w:color w:val="auto"/>
          <w:sz w:val="24"/>
        </w:rPr>
        <w:t xml:space="preserve"> 称：</w:t>
      </w:r>
      <w:r>
        <w:rPr>
          <w:rFonts w:hint="eastAsia" w:ascii="仿宋" w:hAnsi="仿宋" w:eastAsia="仿宋" w:cs="仿宋"/>
          <w:color w:val="auto"/>
          <w:kern w:val="0"/>
          <w:sz w:val="24"/>
          <w:lang w:eastAsia="zh-CN"/>
        </w:rPr>
        <w:t>杭州市余杭区人民政府闲林街道办事处</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   杭州市余杭区</w:t>
      </w:r>
      <w:r>
        <w:rPr>
          <w:rFonts w:hint="eastAsia" w:ascii="仿宋" w:hAnsi="仿宋" w:eastAsia="仿宋" w:cs="仿宋"/>
          <w:color w:val="auto"/>
          <w:sz w:val="24"/>
          <w:lang w:val="en-US" w:eastAsia="zh-CN"/>
        </w:rPr>
        <w:t>闲富中路2号</w:t>
      </w:r>
      <w:r>
        <w:rPr>
          <w:rFonts w:hint="eastAsia" w:ascii="仿宋" w:hAnsi="仿宋" w:eastAsia="仿宋" w:cs="仿宋"/>
          <w:color w:val="auto"/>
          <w:kern w:val="0"/>
          <w:sz w:val="24"/>
        </w:rPr>
        <w:t xml:space="preserve"> </w:t>
      </w:r>
      <w:r>
        <w:rPr>
          <w:rFonts w:hint="eastAsia" w:ascii="仿宋" w:hAnsi="仿宋" w:eastAsia="仿宋" w:cs="仿宋"/>
          <w:color w:val="auto"/>
          <w:sz w:val="24"/>
        </w:rPr>
        <w:t xml:space="preserve">  </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传    真： /</w:t>
      </w:r>
    </w:p>
    <w:p>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 xml:space="preserve">项目联系人（询问）： </w:t>
      </w:r>
      <w:r>
        <w:rPr>
          <w:rFonts w:hint="eastAsia" w:hAnsi="宋体"/>
          <w:b w:val="0"/>
          <w:bCs/>
          <w:sz w:val="24"/>
          <w:szCs w:val="24"/>
          <w:lang w:val="en-US" w:eastAsia="zh-CN"/>
        </w:rPr>
        <w:t>廖</w:t>
      </w:r>
      <w:r>
        <w:rPr>
          <w:rFonts w:hAnsi="宋体"/>
          <w:b w:val="0"/>
          <w:bCs/>
          <w:sz w:val="24"/>
          <w:szCs w:val="24"/>
          <w:lang w:val="en-US" w:eastAsia="zh-CN"/>
        </w:rPr>
        <w:t>先生</w:t>
      </w: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项目联系方式（询问）：</w:t>
      </w:r>
      <w:r>
        <w:rPr>
          <w:rFonts w:hint="eastAsia" w:ascii="仿宋" w:hAnsi="仿宋" w:eastAsia="仿宋" w:cs="仿宋"/>
          <w:color w:val="auto"/>
          <w:sz w:val="24"/>
          <w:lang w:val="en-US" w:eastAsia="zh-CN"/>
        </w:rPr>
        <w:t xml:space="preserve"> 0571-88683281</w:t>
      </w:r>
    </w:p>
    <w:p>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 xml:space="preserve">    质疑联系人： </w:t>
      </w:r>
      <w:r>
        <w:rPr>
          <w:rFonts w:hint="eastAsia" w:ascii="仿宋" w:hAnsi="仿宋" w:eastAsia="仿宋" w:cs="仿宋"/>
          <w:color w:val="auto"/>
          <w:sz w:val="24"/>
          <w:lang w:val="en-US" w:eastAsia="zh-CN"/>
        </w:rPr>
        <w:t xml:space="preserve"> 徐工</w:t>
      </w:r>
    </w:p>
    <w:p>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 xml:space="preserve">    质疑联系方式：15988181075</w:t>
      </w:r>
      <w:r>
        <w:rPr>
          <w:rFonts w:hint="eastAsia" w:ascii="仿宋" w:hAnsi="仿宋" w:eastAsia="仿宋" w:cs="仿宋"/>
          <w:color w:val="auto"/>
          <w:sz w:val="24"/>
          <w:lang w:val="en-US" w:eastAsia="zh-CN"/>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pPr>
        <w:spacing w:line="360" w:lineRule="auto"/>
        <w:ind w:firstLine="480"/>
        <w:rPr>
          <w:rFonts w:hint="eastAsia" w:ascii="仿宋" w:hAnsi="仿宋" w:eastAsia="仿宋" w:cs="仿宋"/>
          <w:sz w:val="24"/>
        </w:rPr>
      </w:pPr>
      <w:r>
        <w:rPr>
          <w:rFonts w:hint="eastAsia" w:ascii="仿宋" w:hAnsi="仿宋" w:eastAsia="仿宋" w:cs="仿宋"/>
          <w:sz w:val="24"/>
        </w:rPr>
        <w:t>名    称：</w:t>
      </w:r>
      <w:r>
        <w:rPr>
          <w:rFonts w:hint="eastAsia" w:ascii="仿宋" w:hAnsi="仿宋" w:eastAsia="仿宋" w:cs="仿宋"/>
          <w:bCs w:val="0"/>
          <w:sz w:val="24"/>
          <w:lang w:eastAsia="zh-CN"/>
        </w:rPr>
        <w:t xml:space="preserve">杭州正鸿工程咨询有限公司 </w:t>
      </w:r>
    </w:p>
    <w:p>
      <w:pPr>
        <w:spacing w:line="360" w:lineRule="auto"/>
        <w:ind w:firstLine="480"/>
        <w:rPr>
          <w:rFonts w:hint="eastAsia" w:ascii="仿宋" w:hAnsi="仿宋" w:eastAsia="仿宋" w:cs="仿宋"/>
          <w:kern w:val="2"/>
          <w:sz w:val="24"/>
          <w:szCs w:val="24"/>
          <w:lang w:val="en-US" w:eastAsia="zh-CN" w:bidi="ar-SA"/>
        </w:rPr>
      </w:pPr>
      <w:r>
        <w:rPr>
          <w:rFonts w:hint="eastAsia" w:ascii="仿宋" w:hAnsi="仿宋" w:eastAsia="仿宋" w:cs="仿宋"/>
          <w:sz w:val="24"/>
        </w:rPr>
        <w:t xml:space="preserve">地    址： </w:t>
      </w:r>
      <w:r>
        <w:rPr>
          <w:rFonts w:hint="eastAsia" w:ascii="仿宋" w:hAnsi="仿宋" w:eastAsia="仿宋" w:cs="仿宋"/>
          <w:sz w:val="24"/>
          <w:lang w:eastAsia="zh-CN"/>
        </w:rPr>
        <w:t>浙江省杭州市余杭区瓶窑镇国辅路118号</w:t>
      </w:r>
      <w:r>
        <w:rPr>
          <w:rFonts w:hint="eastAsia" w:ascii="仿宋" w:hAnsi="仿宋" w:eastAsia="仿宋" w:cs="仿宋"/>
          <w:kern w:val="2"/>
          <w:sz w:val="24"/>
          <w:szCs w:val="24"/>
          <w:lang w:val="en-US" w:eastAsia="zh-CN" w:bidi="ar-SA"/>
        </w:rPr>
        <w:t xml:space="preserve"> </w:t>
      </w:r>
    </w:p>
    <w:p>
      <w:pPr>
        <w:spacing w:line="360" w:lineRule="auto"/>
        <w:ind w:firstLine="480"/>
        <w:rPr>
          <w:rFonts w:hint="eastAsia" w:ascii="仿宋" w:hAnsi="仿宋" w:eastAsia="仿宋" w:cs="仿宋"/>
          <w:sz w:val="24"/>
        </w:rPr>
      </w:pPr>
      <w:r>
        <w:rPr>
          <w:rFonts w:hint="eastAsia" w:ascii="仿宋" w:hAnsi="仿宋" w:eastAsia="仿宋" w:cs="仿宋"/>
          <w:sz w:val="24"/>
        </w:rPr>
        <w:t xml:space="preserve"> 传    真：/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eastAsia="zh-CN"/>
        </w:rPr>
        <w:t>贺胜杰</w:t>
      </w:r>
      <w:r>
        <w:rPr>
          <w:rFonts w:hint="eastAsia" w:ascii="仿宋" w:hAnsi="仿宋" w:eastAsia="仿宋" w:cs="仿宋"/>
          <w:sz w:val="24"/>
        </w:rPr>
        <w:t xml:space="preserve">        </w:t>
      </w:r>
    </w:p>
    <w:p>
      <w:pPr>
        <w:spacing w:line="360" w:lineRule="auto"/>
        <w:rPr>
          <w:rFonts w:hint="default" w:ascii="仿宋" w:hAnsi="仿宋" w:eastAsia="仿宋" w:cs="仿宋"/>
          <w:sz w:val="24"/>
          <w:lang w:val="en-US" w:eastAsia="zh-CN"/>
        </w:rPr>
      </w:pPr>
      <w:r>
        <w:rPr>
          <w:rFonts w:hint="eastAsia" w:ascii="仿宋" w:hAnsi="仿宋" w:eastAsia="仿宋" w:cs="仿宋"/>
          <w:sz w:val="24"/>
        </w:rPr>
        <w:t xml:space="preserve">    项目联系方式（询问）： </w:t>
      </w:r>
      <w:r>
        <w:rPr>
          <w:rFonts w:hint="eastAsia" w:ascii="仿宋" w:hAnsi="仿宋" w:eastAsia="仿宋" w:cs="仿宋"/>
          <w:sz w:val="24"/>
          <w:lang w:val="en-US" w:eastAsia="zh-CN"/>
        </w:rPr>
        <w:t>13738009078</w:t>
      </w:r>
    </w:p>
    <w:p>
      <w:pPr>
        <w:spacing w:line="360" w:lineRule="auto"/>
        <w:rPr>
          <w:rFonts w:hint="eastAsia"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eastAsia="zh-CN"/>
        </w:rPr>
        <w:t>俞侃</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质疑联系方式：15968172061 </w:t>
      </w:r>
      <w:r>
        <w:rPr>
          <w:rFonts w:hint="eastAsia" w:ascii="仿宋" w:hAnsi="仿宋" w:eastAsia="仿宋" w:cs="仿宋"/>
          <w:i w:val="0"/>
          <w:iCs w:val="0"/>
          <w:caps w:val="0"/>
          <w:spacing w:val="0"/>
          <w:sz w:val="24"/>
          <w:szCs w:val="24"/>
        </w:rPr>
        <w:t> </w:t>
      </w:r>
    </w:p>
    <w:p>
      <w:pPr>
        <w:numPr>
          <w:ilvl w:val="0"/>
          <w:numId w:val="1"/>
        </w:numPr>
        <w:spacing w:line="360" w:lineRule="auto"/>
        <w:rPr>
          <w:rFonts w:ascii="仿宋" w:hAnsi="仿宋" w:eastAsia="仿宋"/>
          <w:color w:val="auto"/>
          <w:sz w:val="24"/>
          <w:highlight w:val="none"/>
        </w:rPr>
      </w:pPr>
      <w:r>
        <w:rPr>
          <w:rFonts w:ascii="仿宋" w:hAnsi="仿宋" w:eastAsia="仿宋"/>
          <w:color w:val="auto"/>
          <w:sz w:val="24"/>
          <w:highlight w:val="none"/>
        </w:rPr>
        <w:t xml:space="preserve">同级政府采购监督管理部门            </w:t>
      </w:r>
      <w:bookmarkStart w:id="11" w:name="_Toc76824065"/>
    </w:p>
    <w:p>
      <w:pPr>
        <w:spacing w:line="360" w:lineRule="auto"/>
        <w:ind w:left="480"/>
        <w:rPr>
          <w:rFonts w:ascii="仿宋" w:hAnsi="仿宋" w:eastAsia="仿宋"/>
          <w:color w:val="auto"/>
          <w:sz w:val="24"/>
          <w:highlight w:val="none"/>
        </w:rPr>
      </w:pPr>
      <w:r>
        <w:rPr>
          <w:rFonts w:ascii="仿宋" w:hAnsi="仿宋" w:eastAsia="仿宋"/>
          <w:color w:val="auto"/>
          <w:sz w:val="24"/>
          <w:highlight w:val="none"/>
        </w:rPr>
        <w:t>名称：杭州市余杭区财政局</w:t>
      </w:r>
      <w:bookmarkEnd w:id="11"/>
      <w:r>
        <w:rPr>
          <w:rFonts w:ascii="仿宋" w:hAnsi="仿宋" w:eastAsia="仿宋"/>
          <w:color w:val="auto"/>
          <w:sz w:val="24"/>
          <w:highlight w:val="none"/>
        </w:rPr>
        <w:t> 　　　　　　　　　　　</w:t>
      </w:r>
    </w:p>
    <w:p>
      <w:pPr>
        <w:spacing w:line="360" w:lineRule="auto"/>
        <w:ind w:firstLine="480" w:firstLineChars="200"/>
        <w:rPr>
          <w:rFonts w:ascii="仿宋" w:hAnsi="仿宋" w:eastAsia="仿宋"/>
          <w:color w:val="auto"/>
          <w:sz w:val="24"/>
          <w:highlight w:val="none"/>
        </w:rPr>
      </w:pPr>
      <w:bookmarkStart w:id="12" w:name="_Toc76824066"/>
      <w:r>
        <w:rPr>
          <w:rFonts w:ascii="仿宋" w:hAnsi="仿宋" w:eastAsia="仿宋"/>
          <w:color w:val="auto"/>
          <w:sz w:val="24"/>
          <w:highlight w:val="none"/>
        </w:rPr>
        <w:t>地址：</w:t>
      </w:r>
      <w:bookmarkEnd w:id="12"/>
      <w:r>
        <w:rPr>
          <w:rFonts w:hint="eastAsia" w:ascii="仿宋" w:hAnsi="仿宋" w:eastAsia="仿宋"/>
          <w:color w:val="auto"/>
          <w:sz w:val="24"/>
          <w:highlight w:val="none"/>
        </w:rPr>
        <w:t>杭州市余杭区文一西路1500号8号楼1201室</w:t>
      </w:r>
      <w:r>
        <w:rPr>
          <w:rFonts w:ascii="仿宋" w:hAnsi="仿宋" w:eastAsia="仿宋"/>
          <w:color w:val="auto"/>
          <w:sz w:val="24"/>
          <w:highlight w:val="none"/>
        </w:rPr>
        <w:t>  　　　　　　　　　　　</w:t>
      </w:r>
    </w:p>
    <w:p>
      <w:pPr>
        <w:spacing w:line="360" w:lineRule="auto"/>
        <w:ind w:firstLine="480" w:firstLineChars="200"/>
        <w:rPr>
          <w:rFonts w:ascii="仿宋" w:hAnsi="仿宋" w:eastAsia="仿宋"/>
          <w:color w:val="auto"/>
          <w:sz w:val="24"/>
          <w:highlight w:val="none"/>
        </w:rPr>
      </w:pPr>
      <w:bookmarkStart w:id="13" w:name="_Toc76824067"/>
      <w:r>
        <w:rPr>
          <w:rFonts w:ascii="仿宋" w:hAnsi="仿宋" w:eastAsia="仿宋"/>
          <w:color w:val="auto"/>
          <w:sz w:val="24"/>
          <w:highlight w:val="none"/>
        </w:rPr>
        <w:t>传真：</w:t>
      </w:r>
      <w:r>
        <w:rPr>
          <w:rFonts w:hint="eastAsia" w:ascii="仿宋" w:hAnsi="仿宋" w:eastAsia="仿宋"/>
          <w:color w:val="auto"/>
          <w:sz w:val="24"/>
          <w:highlight w:val="none"/>
        </w:rPr>
        <w:t>/</w:t>
      </w:r>
      <w:bookmarkEnd w:id="13"/>
      <w:r>
        <w:rPr>
          <w:rFonts w:ascii="仿宋" w:hAnsi="仿宋" w:eastAsia="仿宋"/>
          <w:color w:val="auto"/>
          <w:sz w:val="24"/>
          <w:highlight w:val="none"/>
        </w:rPr>
        <w:t>　   </w:t>
      </w:r>
    </w:p>
    <w:p>
      <w:pPr>
        <w:spacing w:line="360" w:lineRule="auto"/>
        <w:ind w:firstLine="480" w:firstLineChars="200"/>
        <w:rPr>
          <w:rFonts w:ascii="仿宋" w:hAnsi="仿宋" w:eastAsia="仿宋"/>
          <w:color w:val="auto"/>
          <w:sz w:val="24"/>
          <w:highlight w:val="none"/>
        </w:rPr>
      </w:pPr>
      <w:bookmarkStart w:id="14" w:name="_Toc76824068"/>
      <w:r>
        <w:rPr>
          <w:rFonts w:ascii="仿宋" w:hAnsi="仿宋" w:eastAsia="仿宋"/>
          <w:color w:val="auto"/>
          <w:sz w:val="24"/>
          <w:highlight w:val="none"/>
        </w:rPr>
        <w:t>联系人 ：杜国强</w:t>
      </w:r>
      <w:bookmarkEnd w:id="14"/>
      <w:r>
        <w:rPr>
          <w:rFonts w:ascii="仿宋" w:hAnsi="仿宋" w:eastAsia="仿宋"/>
          <w:color w:val="auto"/>
          <w:sz w:val="24"/>
          <w:highlight w:val="none"/>
        </w:rPr>
        <w:t xml:space="preserve"> 　　　　　　　　　　　</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监督投诉电话：0571-88728858</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若对项目采购电子交易系统操作有疑问，可登录政采云（</w:t>
      </w:r>
      <w:r>
        <w:rPr>
          <w:rFonts w:ascii="仿宋" w:hAnsi="仿宋" w:eastAsia="仿宋"/>
          <w:color w:val="auto"/>
          <w:sz w:val="24"/>
          <w:highlight w:val="none"/>
        </w:rPr>
        <w:t>https://www.zcygov.cn/），点击右侧咨询小采，获取采小蜜智能服务管家帮助，或拨打政</w:t>
      </w:r>
      <w:r>
        <w:rPr>
          <w:rFonts w:hint="eastAsia" w:ascii="仿宋" w:hAnsi="仿宋" w:eastAsia="仿宋"/>
          <w:color w:val="auto"/>
          <w:sz w:val="24"/>
          <w:highlight w:val="none"/>
        </w:rPr>
        <w:t>采云服务热线</w:t>
      </w:r>
      <w:r>
        <w:rPr>
          <w:rFonts w:ascii="仿宋" w:hAnsi="仿宋" w:eastAsia="仿宋"/>
          <w:color w:val="auto"/>
          <w:sz w:val="24"/>
          <w:highlight w:val="none"/>
        </w:rPr>
        <w:t>400-881-7190获取热线服务帮助。</w:t>
      </w:r>
    </w:p>
    <w:p>
      <w:pPr>
        <w:spacing w:line="360" w:lineRule="auto"/>
        <w:ind w:firstLine="480" w:firstLineChars="200"/>
        <w:jc w:val="center"/>
        <w:rPr>
          <w:rFonts w:ascii="仿宋" w:hAnsi="仿宋" w:eastAsia="仿宋" w:cs="仿宋_GB2312"/>
          <w:b/>
          <w:color w:val="auto"/>
          <w:sz w:val="36"/>
          <w:szCs w:val="20"/>
          <w:highlight w:val="none"/>
        </w:rPr>
      </w:pPr>
      <w:r>
        <w:rPr>
          <w:rFonts w:ascii="仿宋" w:hAnsi="仿宋" w:eastAsia="仿宋"/>
          <w:color w:val="auto"/>
          <w:sz w:val="24"/>
          <w:highlight w:val="none"/>
        </w:rPr>
        <w:t>CA问题联系电话（人工）：</w:t>
      </w:r>
      <w:r>
        <w:rPr>
          <w:rFonts w:hint="eastAsia" w:ascii="仿宋" w:hAnsi="仿宋" w:eastAsia="仿宋"/>
          <w:color w:val="auto"/>
          <w:sz w:val="24"/>
          <w:highlight w:val="none"/>
        </w:rPr>
        <w:t>汇信</w:t>
      </w:r>
      <w:r>
        <w:rPr>
          <w:rFonts w:ascii="仿宋" w:hAnsi="仿宋" w:eastAsia="仿宋"/>
          <w:color w:val="auto"/>
          <w:sz w:val="24"/>
          <w:highlight w:val="none"/>
        </w:rPr>
        <w:t>CA 400-888-4636；天谷CA 400-087-8198。</w:t>
      </w: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投标人须知</w:t>
      </w:r>
      <w:bookmarkEnd w:id="9"/>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68"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_GB2312"/>
                <w:color w:val="auto"/>
                <w:sz w:val="24"/>
                <w:highlight w:val="none"/>
              </w:rPr>
            </w:pPr>
            <w:r>
              <w:rPr>
                <w:rFonts w:ascii="仿宋" w:hAnsi="仿宋" w:eastAsia="仿宋"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left"/>
              <w:rPr>
                <w:rFonts w:hint="default" w:ascii="仿宋" w:hAnsi="仿宋" w:eastAsia="仿宋" w:cs="仿宋_GB2312"/>
                <w:b/>
                <w:color w:val="auto"/>
                <w:kern w:val="0"/>
                <w:sz w:val="24"/>
                <w:highlight w:val="none"/>
                <w:lang w:val="en-US" w:eastAsia="zh-CN"/>
              </w:rPr>
            </w:pPr>
            <w:r>
              <w:rPr>
                <w:rFonts w:hint="eastAsia" w:ascii="仿宋" w:hAnsi="仿宋" w:eastAsia="仿宋"/>
                <w:color w:val="auto"/>
                <w:kern w:val="0"/>
                <w:sz w:val="24"/>
                <w:highlight w:val="none"/>
                <w:lang w:val="zh-CN"/>
              </w:rPr>
              <w:t>有关本项目实施所需的所有费用（含税费）均计入报价。</w:t>
            </w:r>
            <w:r>
              <w:rPr>
                <w:rFonts w:hint="eastAsia" w:ascii="仿宋" w:hAnsi="仿宋" w:eastAsia="仿宋" w:cs="仿宋_GB2312"/>
                <w:color w:val="auto"/>
                <w:sz w:val="24"/>
                <w:highlight w:val="none"/>
              </w:rPr>
              <w:t>开标一览表（报价表）</w:t>
            </w:r>
            <w:r>
              <w:rPr>
                <w:rFonts w:hint="eastAsia" w:ascii="仿宋" w:hAnsi="仿宋" w:eastAsia="仿宋"/>
                <w:color w:val="auto"/>
                <w:sz w:val="24"/>
                <w:highlight w:val="none"/>
              </w:rPr>
              <w:t>是报价的唯一载体</w:t>
            </w:r>
            <w:r>
              <w:rPr>
                <w:rFonts w:hint="eastAsia" w:ascii="仿宋" w:hAnsi="仿宋" w:eastAsia="仿宋" w:cs="仿宋_GB2312"/>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_GB2312"/>
                <w:color w:val="auto"/>
                <w:kern w:val="0"/>
                <w:sz w:val="24"/>
                <w:highlight w:val="none"/>
                <w:lang w:val="en-US" w:eastAsia="zh-CN"/>
              </w:rPr>
              <w:t>投标报价最高限价为按照结算价的</w:t>
            </w:r>
            <w:r>
              <w:rPr>
                <w:rFonts w:hint="eastAsia" w:ascii="仿宋" w:hAnsi="仿宋" w:eastAsia="仿宋" w:cs="仿宋_GB2312"/>
                <w:color w:val="auto"/>
                <w:kern w:val="0"/>
                <w:sz w:val="24"/>
                <w:highlight w:val="none"/>
                <w:u w:val="single"/>
                <w:lang w:val="en-US" w:eastAsia="zh-CN"/>
              </w:rPr>
              <w:t xml:space="preserve">  100 </w:t>
            </w:r>
            <w:r>
              <w:rPr>
                <w:rFonts w:hint="eastAsia" w:ascii="仿宋" w:hAnsi="仿宋" w:eastAsia="仿宋" w:cs="仿宋_GB2312"/>
                <w:color w:val="auto"/>
                <w:kern w:val="0"/>
                <w:sz w:val="24"/>
                <w:highlight w:val="none"/>
                <w:lang w:val="en-US" w:eastAsia="zh-CN"/>
              </w:rPr>
              <w:t>%结算</w:t>
            </w:r>
            <w:r>
              <w:rPr>
                <w:rFonts w:hint="eastAsia" w:ascii="仿宋" w:hAnsi="仿宋" w:eastAsia="仿宋" w:cs="仿宋_GB2312"/>
                <w:color w:val="auto"/>
                <w:kern w:val="0"/>
                <w:sz w:val="24"/>
                <w:highlight w:val="none"/>
                <w:lang w:val="en-US" w:eastAsia="zh-CN"/>
              </w:rPr>
              <w:t>。</w:t>
            </w:r>
          </w:p>
          <w:p>
            <w:pPr>
              <w:snapToGrid w:val="0"/>
              <w:spacing w:line="400" w:lineRule="exact"/>
              <w:jc w:val="left"/>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投标报价出现下列情形的，投标无效：</w:t>
            </w:r>
          </w:p>
          <w:p>
            <w:pPr>
              <w:numPr>
                <w:ilvl w:val="0"/>
                <w:numId w:val="2"/>
              </w:numPr>
              <w:snapToGrid w:val="0"/>
              <w:spacing w:line="400" w:lineRule="exact"/>
              <w:jc w:val="left"/>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投标文件出现不是唯一的、有选择性投标报价的；</w:t>
            </w:r>
          </w:p>
          <w:p>
            <w:pPr>
              <w:numPr>
                <w:ilvl w:val="0"/>
                <w:numId w:val="2"/>
              </w:numPr>
              <w:snapToGrid w:val="0"/>
              <w:spacing w:line="400" w:lineRule="exact"/>
              <w:jc w:val="left"/>
              <w:rPr>
                <w:rFonts w:ascii="仿宋" w:hAnsi="仿宋" w:eastAsia="仿宋"/>
                <w:b/>
                <w:color w:val="auto"/>
                <w:kern w:val="0"/>
                <w:sz w:val="24"/>
                <w:highlight w:val="none"/>
                <w:lang w:val="zh-CN"/>
              </w:rPr>
            </w:pPr>
            <w:r>
              <w:rPr>
                <w:rFonts w:hint="eastAsia" w:ascii="仿宋" w:hAnsi="仿宋" w:eastAsia="仿宋" w:cs="仿宋_GB2312"/>
                <w:b/>
                <w:color w:val="auto"/>
                <w:kern w:val="0"/>
                <w:sz w:val="24"/>
                <w:highlight w:val="none"/>
                <w:lang w:val="zh-CN"/>
              </w:rPr>
              <w:t>投标报价超过招标文件中规定的预算金额或者最高限价的</w:t>
            </w:r>
            <w:r>
              <w:rPr>
                <w:rFonts w:ascii="仿宋" w:hAnsi="仿宋" w:eastAsia="仿宋"/>
                <w:b/>
                <w:color w:val="auto"/>
                <w:kern w:val="0"/>
                <w:sz w:val="24"/>
                <w:highlight w:val="none"/>
                <w:lang w:val="zh-CN"/>
              </w:rPr>
              <w:t>;</w:t>
            </w:r>
          </w:p>
          <w:p>
            <w:pPr>
              <w:numPr>
                <w:ilvl w:val="0"/>
                <w:numId w:val="2"/>
              </w:numPr>
              <w:snapToGrid w:val="0"/>
              <w:spacing w:line="400" w:lineRule="exact"/>
              <w:rPr>
                <w:rFonts w:ascii="仿宋" w:hAnsi="仿宋" w:eastAsia="仿宋" w:cs="仿宋_GB2312"/>
                <w:b/>
                <w:color w:val="auto"/>
                <w:sz w:val="24"/>
                <w:highlight w:val="none"/>
              </w:rPr>
            </w:pPr>
            <w:r>
              <w:rPr>
                <w:rFonts w:hint="eastAsia" w:ascii="仿宋" w:hAnsi="仿宋" w:eastAsia="仿宋" w:cs="Arial"/>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_GB2312"/>
                <w:b/>
                <w:color w:val="auto"/>
                <w:sz w:val="24"/>
                <w:szCs w:val="21"/>
                <w:highlight w:val="none"/>
              </w:rPr>
              <w:t>;</w:t>
            </w:r>
          </w:p>
          <w:p>
            <w:pPr>
              <w:numPr>
                <w:ilvl w:val="0"/>
                <w:numId w:val="2"/>
              </w:numPr>
              <w:snapToGrid w:val="0"/>
              <w:spacing w:line="400" w:lineRule="exact"/>
              <w:rPr>
                <w:rFonts w:ascii="仿宋" w:hAnsi="仿宋" w:eastAsia="仿宋"/>
                <w:color w:val="auto"/>
                <w:sz w:val="24"/>
                <w:highlight w:val="none"/>
              </w:rPr>
            </w:pPr>
            <w:r>
              <w:rPr>
                <w:rFonts w:hint="eastAsia" w:ascii="仿宋" w:hAnsi="仿宋" w:eastAsia="仿宋" w:cs="Arial"/>
                <w:b/>
                <w:color w:val="auto"/>
                <w:kern w:val="0"/>
                <w:sz w:val="24"/>
                <w:highlight w:val="none"/>
              </w:rPr>
              <w:t>投标人对根据修正原则修正后的报价不确认的</w:t>
            </w:r>
            <w:r>
              <w:rPr>
                <w:rFonts w:hint="eastAsia" w:ascii="仿宋" w:hAnsi="仿宋" w:eastAsia="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分包、转包</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宋体"/>
                <w:color w:val="auto"/>
                <w:sz w:val="24"/>
                <w:highlight w:val="none"/>
              </w:rPr>
            </w:pPr>
            <w:r>
              <w:rPr>
                <w:rFonts w:ascii="Segoe UI Symbol" w:hAnsi="Segoe UI Symbol" w:eastAsia="仿宋" w:cs="Segoe UI Symbol"/>
                <w:color w:val="auto"/>
                <w:sz w:val="24"/>
                <w:highlight w:val="none"/>
              </w:rPr>
              <w:t>☐</w:t>
            </w:r>
            <w:r>
              <w:rPr>
                <w:rFonts w:ascii="仿宋" w:hAnsi="仿宋" w:eastAsia="仿宋" w:cs="宋体"/>
                <w:color w:val="auto"/>
                <w:sz w:val="24"/>
                <w:highlight w:val="none"/>
              </w:rPr>
              <w:t xml:space="preserve"> A</w:t>
            </w:r>
            <w:r>
              <w:rPr>
                <w:rFonts w:hint="eastAsia" w:ascii="仿宋" w:hAnsi="仿宋" w:eastAsia="仿宋" w:cs="宋体"/>
                <w:color w:val="auto"/>
                <w:sz w:val="24"/>
                <w:highlight w:val="none"/>
              </w:rPr>
              <w:t>同意将非主体、非关键性的</w:t>
            </w:r>
            <w:r>
              <w:rPr>
                <w:rFonts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工作分包。</w:t>
            </w:r>
          </w:p>
          <w:p>
            <w:pPr>
              <w:snapToGrid w:val="0"/>
              <w:spacing w:line="400" w:lineRule="exact"/>
              <w:rPr>
                <w:rFonts w:ascii="仿宋" w:hAnsi="仿宋" w:eastAsia="仿宋" w:cs="仿宋_GB2312"/>
                <w:color w:val="auto"/>
                <w:sz w:val="24"/>
                <w:highlight w:val="none"/>
              </w:rPr>
            </w:pPr>
            <w:r>
              <w:rPr>
                <w:rFonts w:ascii="仿宋" w:hAnsi="仿宋" w:eastAsia="仿宋" w:cs="宋体"/>
                <w:color w:val="auto"/>
                <w:sz w:val="24"/>
                <w:highlight w:val="none"/>
              </w:rPr>
              <w:sym w:font="Wingdings" w:char="F0FE"/>
            </w:r>
            <w:r>
              <w:rPr>
                <w:rFonts w:ascii="仿宋" w:hAnsi="仿宋" w:eastAsia="仿宋" w:cs="宋体"/>
                <w:color w:val="auto"/>
                <w:sz w:val="24"/>
                <w:highlight w:val="none"/>
              </w:rPr>
              <w:t xml:space="preserve"> B</w:t>
            </w:r>
            <w:r>
              <w:rPr>
                <w:rFonts w:hint="eastAsia" w:ascii="仿宋" w:hAnsi="仿宋" w:eastAsia="仿宋" w:cs="宋体"/>
                <w:color w:val="auto"/>
                <w:sz w:val="24"/>
                <w:highlight w:val="none"/>
              </w:rPr>
              <w:t>不同意分包（本项目为纯人工服务项目，服务内容均为项目主体、关键部分，无法分包）。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1）资格证明文件：见招标文件第二部分11.1。</w:t>
            </w:r>
          </w:p>
          <w:p>
            <w:pPr>
              <w:snapToGrid w:val="0"/>
              <w:spacing w:line="400" w:lineRule="exact"/>
              <w:rPr>
                <w:rFonts w:ascii="仿宋" w:hAnsi="仿宋" w:eastAsia="仿宋" w:cs="Arial"/>
                <w:snapToGrid w:val="0"/>
                <w:color w:val="auto"/>
                <w:kern w:val="0"/>
                <w:szCs w:val="21"/>
                <w:highlight w:val="none"/>
              </w:rPr>
            </w:pPr>
            <w:r>
              <w:rPr>
                <w:rFonts w:hint="eastAsia" w:ascii="仿宋" w:hAnsi="仿宋" w:eastAsia="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7"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_GB2312"/>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color w:val="auto"/>
                <w:kern w:val="0"/>
                <w:sz w:val="24"/>
                <w:highlight w:val="none"/>
              </w:rPr>
            </w:pPr>
            <w:r>
              <w:rPr>
                <w:rFonts w:hint="eastAsia" w:ascii="仿宋" w:hAnsi="仿宋" w:eastAsia="仿宋"/>
                <w:color w:val="auto"/>
                <w:kern w:val="0"/>
                <w:sz w:val="24"/>
                <w:highlight w:val="none"/>
              </w:rPr>
              <w:sym w:font="Wingdings" w:char="F0FE"/>
            </w:r>
            <w:r>
              <w:rPr>
                <w:rFonts w:ascii="仿宋" w:hAnsi="仿宋" w:eastAsia="仿宋"/>
                <w:color w:val="auto"/>
                <w:kern w:val="0"/>
                <w:sz w:val="24"/>
                <w:highlight w:val="none"/>
              </w:rPr>
              <w:t>A</w:t>
            </w:r>
            <w:r>
              <w:rPr>
                <w:rFonts w:hint="eastAsia" w:ascii="仿宋" w:hAnsi="仿宋" w:eastAsia="仿宋"/>
                <w:color w:val="auto"/>
                <w:kern w:val="0"/>
                <w:sz w:val="24"/>
                <w:highlight w:val="none"/>
              </w:rPr>
              <w:t>不组织。</w:t>
            </w:r>
          </w:p>
          <w:p>
            <w:pPr>
              <w:pStyle w:val="27"/>
              <w:ind w:firstLine="0" w:firstLineChars="0"/>
              <w:rPr>
                <w:color w:val="auto"/>
                <w:highlight w:val="none"/>
              </w:rPr>
            </w:pPr>
            <w:r>
              <w:rPr>
                <w:rFonts w:ascii="MS Gothic" w:hAnsi="MS Gothic" w:eastAsia="仿宋" w:cs="Segoe UI Symbol"/>
                <w:color w:val="auto"/>
                <w:kern w:val="0"/>
                <w:highlight w:val="none"/>
              </w:rPr>
              <w:t>☐</w:t>
            </w:r>
            <w:r>
              <w:rPr>
                <w:rFonts w:ascii="仿宋" w:hAnsi="仿宋" w:eastAsia="仿宋"/>
                <w:color w:val="auto"/>
                <w:kern w:val="0"/>
                <w:highlight w:val="none"/>
              </w:rPr>
              <w:t>B组织，</w:t>
            </w:r>
            <w:r>
              <w:rPr>
                <w:rFonts w:hint="eastAsia" w:ascii="仿宋" w:hAnsi="仿宋" w:eastAsia="仿宋"/>
                <w:color w:val="auto"/>
                <w:highlight w:val="none"/>
              </w:rPr>
              <w:t>时间：</w:t>
            </w:r>
            <w:r>
              <w:rPr>
                <w:rFonts w:ascii="仿宋" w:hAnsi="仿宋" w:eastAsia="仿宋"/>
                <w:color w:val="auto"/>
                <w:highlight w:val="none"/>
                <w:u w:val="single"/>
              </w:rPr>
              <w:t xml:space="preserve">      </w:t>
            </w:r>
            <w:r>
              <w:rPr>
                <w:rFonts w:ascii="仿宋" w:hAnsi="仿宋" w:eastAsia="仿宋"/>
                <w:color w:val="auto"/>
                <w:highlight w:val="none"/>
              </w:rPr>
              <w:t>,地点：</w:t>
            </w:r>
            <w:r>
              <w:rPr>
                <w:rFonts w:ascii="仿宋" w:hAnsi="仿宋" w:eastAsia="仿宋"/>
                <w:color w:val="auto"/>
                <w:highlight w:val="none"/>
                <w:u w:val="single"/>
              </w:rPr>
              <w:t xml:space="preserve">      </w:t>
            </w:r>
            <w:r>
              <w:rPr>
                <w:rFonts w:hint="eastAsia" w:ascii="仿宋" w:hAnsi="仿宋" w:eastAsia="仿宋"/>
                <w:color w:val="auto"/>
                <w:highlight w:val="none"/>
              </w:rPr>
              <w:t>，联系人：</w:t>
            </w:r>
            <w:r>
              <w:rPr>
                <w:rFonts w:ascii="仿宋" w:hAnsi="仿宋" w:eastAsia="仿宋"/>
                <w:color w:val="auto"/>
                <w:highlight w:val="none"/>
                <w:u w:val="single"/>
              </w:rPr>
              <w:t xml:space="preserve">      </w:t>
            </w:r>
            <w:r>
              <w:rPr>
                <w:rFonts w:hint="eastAsia" w:ascii="仿宋" w:hAnsi="仿宋" w:eastAsia="仿宋"/>
                <w:color w:val="auto"/>
                <w:highlight w:val="none"/>
              </w:rPr>
              <w:t>，联系方式：</w:t>
            </w:r>
            <w:r>
              <w:rPr>
                <w:rFonts w:ascii="仿宋" w:hAnsi="仿宋" w:eastAsia="仿宋"/>
                <w:color w:val="auto"/>
                <w:highlight w:val="none"/>
                <w:u w:val="single"/>
              </w:rPr>
              <w:t xml:space="preserve">      </w:t>
            </w:r>
            <w:r>
              <w:rPr>
                <w:rFonts w:hint="eastAsia" w:ascii="仿宋" w:hAnsi="仿宋" w:eastAsia="仿宋"/>
                <w:color w:val="auto"/>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color w:val="auto"/>
                <w:highlight w:val="none"/>
              </w:rPr>
            </w:pPr>
            <w:r>
              <w:rPr>
                <w:rFonts w:hint="eastAsia" w:ascii="Wingdings" w:hAnsi="Wingdings"/>
                <w:color w:val="auto"/>
                <w:highlight w:val="none"/>
              </w:rPr>
              <w:t>þ</w:t>
            </w:r>
            <w:r>
              <w:rPr>
                <w:rFonts w:hint="eastAsia" w:ascii="仿宋" w:hAnsi="仿宋" w:eastAsia="仿宋"/>
                <w:color w:val="auto"/>
                <w:kern w:val="0"/>
                <w:sz w:val="24"/>
                <w:highlight w:val="none"/>
              </w:rPr>
              <w:t>A不要求提供。</w:t>
            </w:r>
          </w:p>
          <w:p>
            <w:pPr>
              <w:snapToGrid w:val="0"/>
              <w:spacing w:line="400" w:lineRule="exact"/>
              <w:rPr>
                <w:rFonts w:ascii="仿宋" w:hAnsi="仿宋" w:eastAsia="仿宋"/>
                <w:color w:val="auto"/>
                <w:kern w:val="0"/>
                <w:sz w:val="24"/>
                <w:highlight w:val="none"/>
              </w:rPr>
            </w:pPr>
            <w:r>
              <w:rPr>
                <w:rFonts w:ascii="MS Gothic" w:hAnsi="MS Gothic" w:eastAsia="仿宋" w:cs="Segoe UI Symbol"/>
                <w:color w:val="auto"/>
                <w:kern w:val="0"/>
                <w:sz w:val="24"/>
                <w:highlight w:val="none"/>
              </w:rPr>
              <w:t>☐</w:t>
            </w:r>
            <w:r>
              <w:rPr>
                <w:rFonts w:ascii="仿宋" w:hAnsi="仿宋" w:eastAsia="仿宋"/>
                <w:color w:val="auto"/>
                <w:kern w:val="0"/>
                <w:sz w:val="24"/>
                <w:highlight w:val="none"/>
              </w:rPr>
              <w:t>B</w:t>
            </w:r>
            <w:r>
              <w:rPr>
                <w:rFonts w:hint="eastAsia" w:ascii="仿宋" w:hAnsi="仿宋" w:eastAsia="仿宋"/>
                <w:color w:val="auto"/>
                <w:kern w:val="0"/>
                <w:sz w:val="24"/>
                <w:highlight w:val="none"/>
              </w:rPr>
              <w:t>要求提供，</w:t>
            </w:r>
          </w:p>
          <w:p>
            <w:pPr>
              <w:numPr>
                <w:ilvl w:val="0"/>
                <w:numId w:val="3"/>
              </w:numPr>
              <w:snapToGrid w:val="0"/>
              <w:spacing w:line="400" w:lineRule="exact"/>
              <w:rPr>
                <w:rFonts w:ascii="仿宋" w:hAnsi="仿宋" w:eastAsia="仿宋"/>
                <w:color w:val="auto"/>
                <w:kern w:val="0"/>
                <w:sz w:val="24"/>
                <w:highlight w:val="none"/>
              </w:rPr>
            </w:pPr>
            <w:r>
              <w:rPr>
                <w:rFonts w:hint="eastAsia" w:ascii="仿宋" w:hAnsi="仿宋" w:eastAsia="仿宋"/>
                <w:snapToGrid w:val="0"/>
                <w:color w:val="auto"/>
                <w:kern w:val="28"/>
                <w:sz w:val="24"/>
                <w:highlight w:val="none"/>
              </w:rPr>
              <w:t>样品：</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w:t>
            </w:r>
          </w:p>
          <w:p>
            <w:pPr>
              <w:numPr>
                <w:ilvl w:val="0"/>
                <w:numId w:val="3"/>
              </w:numPr>
              <w:snapToGrid w:val="0"/>
              <w:spacing w:line="400" w:lineRule="exact"/>
              <w:rPr>
                <w:rFonts w:ascii="仿宋" w:hAnsi="仿宋" w:eastAsia="仿宋"/>
                <w:color w:val="auto"/>
                <w:kern w:val="0"/>
                <w:sz w:val="24"/>
                <w:highlight w:val="none"/>
              </w:rPr>
            </w:pPr>
            <w:r>
              <w:rPr>
                <w:rFonts w:hint="eastAsia" w:ascii="仿宋" w:hAnsi="仿宋" w:eastAsia="仿宋"/>
                <w:snapToGrid w:val="0"/>
                <w:color w:val="auto"/>
                <w:kern w:val="28"/>
                <w:sz w:val="24"/>
                <w:highlight w:val="none"/>
              </w:rPr>
              <w:t>样品制作的标准和要求：</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w:t>
            </w:r>
          </w:p>
          <w:p>
            <w:pPr>
              <w:numPr>
                <w:ilvl w:val="0"/>
                <w:numId w:val="3"/>
              </w:numPr>
              <w:snapToGrid w:val="0"/>
              <w:spacing w:line="400" w:lineRule="exact"/>
              <w:rPr>
                <w:rFonts w:ascii="仿宋" w:hAnsi="仿宋" w:eastAsia="仿宋"/>
                <w:color w:val="auto"/>
                <w:kern w:val="0"/>
                <w:sz w:val="24"/>
                <w:highlight w:val="none"/>
              </w:rPr>
            </w:pPr>
            <w:r>
              <w:rPr>
                <w:rFonts w:ascii="仿宋" w:hAnsi="仿宋" w:eastAsia="仿宋"/>
                <w:color w:val="auto"/>
                <w:kern w:val="0"/>
                <w:sz w:val="24"/>
                <w:highlight w:val="none"/>
              </w:rPr>
              <w:t>样品的评审方法以及评审标准</w:t>
            </w:r>
            <w:r>
              <w:rPr>
                <w:rFonts w:hint="eastAsia" w:ascii="仿宋" w:hAnsi="仿宋" w:eastAsia="仿宋"/>
                <w:snapToGrid w:val="0"/>
                <w:color w:val="auto"/>
                <w:kern w:val="28"/>
                <w:sz w:val="24"/>
                <w:highlight w:val="none"/>
              </w:rPr>
              <w:t>：详见</w:t>
            </w:r>
            <w:r>
              <w:rPr>
                <w:rFonts w:hint="eastAsia" w:ascii="仿宋" w:hAnsi="仿宋" w:eastAsia="仿宋"/>
                <w:color w:val="auto"/>
                <w:sz w:val="24"/>
                <w:highlight w:val="none"/>
                <w:u w:val="single"/>
              </w:rPr>
              <w:t>评标办法</w:t>
            </w:r>
            <w:r>
              <w:rPr>
                <w:rFonts w:hint="eastAsia" w:ascii="仿宋" w:hAnsi="仿宋" w:eastAsia="仿宋"/>
                <w:color w:val="auto"/>
                <w:kern w:val="0"/>
                <w:sz w:val="24"/>
                <w:highlight w:val="none"/>
              </w:rPr>
              <w:t>；</w:t>
            </w:r>
          </w:p>
          <w:p>
            <w:pPr>
              <w:numPr>
                <w:ilvl w:val="0"/>
                <w:numId w:val="3"/>
              </w:numPr>
              <w:snapToGrid w:val="0"/>
              <w:spacing w:line="400" w:lineRule="exact"/>
              <w:rPr>
                <w:rFonts w:ascii="仿宋" w:hAnsi="仿宋" w:eastAsia="仿宋"/>
                <w:color w:val="auto"/>
                <w:kern w:val="0"/>
                <w:sz w:val="24"/>
                <w:highlight w:val="none"/>
              </w:rPr>
            </w:pPr>
            <w:r>
              <w:rPr>
                <w:rFonts w:ascii="仿宋" w:hAnsi="仿宋" w:eastAsia="仿宋"/>
                <w:color w:val="auto"/>
                <w:kern w:val="0"/>
                <w:sz w:val="24"/>
                <w:highlight w:val="none"/>
              </w:rPr>
              <w:t>是否需要随样品提交检测报告</w:t>
            </w:r>
            <w:r>
              <w:rPr>
                <w:rFonts w:hint="eastAsia" w:ascii="仿宋" w:hAnsi="仿宋" w:eastAsia="仿宋"/>
                <w:color w:val="auto"/>
                <w:kern w:val="0"/>
                <w:sz w:val="24"/>
                <w:highlight w:val="none"/>
              </w:rPr>
              <w:t>：</w:t>
            </w: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否；</w:t>
            </w: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是，检测机构的要求</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；检测内容</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w:t>
            </w:r>
          </w:p>
          <w:p>
            <w:pPr>
              <w:numPr>
                <w:ilvl w:val="0"/>
                <w:numId w:val="3"/>
              </w:numPr>
              <w:snapToGrid w:val="0"/>
              <w:spacing w:line="400" w:lineRule="exact"/>
              <w:rPr>
                <w:rFonts w:ascii="仿宋" w:hAnsi="仿宋" w:eastAsia="仿宋"/>
                <w:color w:val="auto"/>
                <w:sz w:val="24"/>
                <w:highlight w:val="none"/>
              </w:rPr>
            </w:pPr>
            <w:r>
              <w:rPr>
                <w:rFonts w:ascii="仿宋" w:hAnsi="仿宋" w:eastAsia="仿宋"/>
                <w:color w:val="auto"/>
                <w:sz w:val="24"/>
                <w:highlight w:val="none"/>
              </w:rPr>
              <w:t>提供样品的时间：</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；地点：</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；联系人</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r>
              <w:rPr>
                <w:rFonts w:hint="eastAsia" w:ascii="仿宋" w:hAnsi="仿宋" w:eastAsia="仿宋"/>
                <w:color w:val="auto"/>
                <w:kern w:val="28"/>
                <w:sz w:val="24"/>
                <w:highlight w:val="none"/>
              </w:rPr>
              <w:t>联系电话：</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。请投标人在上述时间内提供样品并按规定位置安装完毕。超过截止时间的，采购人或采购代理机构将不予接收，并将清场并封闭样品现场。</w:t>
            </w:r>
          </w:p>
          <w:p>
            <w:pPr>
              <w:numPr>
                <w:ilvl w:val="0"/>
                <w:numId w:val="3"/>
              </w:numPr>
              <w:snapToGrid w:val="0"/>
              <w:spacing w:line="400" w:lineRule="exact"/>
              <w:rPr>
                <w:rFonts w:ascii="仿宋" w:hAnsi="仿宋" w:eastAsia="仿宋"/>
                <w:color w:val="auto"/>
                <w:highlight w:val="none"/>
              </w:rPr>
            </w:pPr>
            <w:r>
              <w:rPr>
                <w:rFonts w:ascii="仿宋" w:hAnsi="仿宋" w:eastAsia="仿宋"/>
                <w:color w:val="auto"/>
                <w:sz w:val="24"/>
                <w:highlight w:val="none"/>
              </w:rPr>
              <w:t>采购活动结束后，对于未中标人提供的样品，</w:t>
            </w:r>
            <w:r>
              <w:rPr>
                <w:rFonts w:hint="eastAsia" w:ascii="仿宋" w:hAnsi="仿宋" w:eastAsia="仿宋"/>
                <w:color w:val="auto"/>
                <w:sz w:val="24"/>
                <w:highlight w:val="none"/>
              </w:rPr>
              <w:t>采购人、采购代理机构将通知</w:t>
            </w:r>
            <w:r>
              <w:rPr>
                <w:rFonts w:ascii="仿宋" w:hAnsi="仿宋" w:eastAsia="仿宋"/>
                <w:color w:val="auto"/>
                <w:sz w:val="24"/>
                <w:highlight w:val="none"/>
              </w:rPr>
              <w:t>未中标人</w:t>
            </w:r>
            <w:r>
              <w:rPr>
                <w:rFonts w:hint="eastAsia" w:ascii="仿宋" w:hAnsi="仿宋" w:eastAsia="仿宋"/>
                <w:color w:val="auto"/>
                <w:sz w:val="24"/>
                <w:highlight w:val="none"/>
              </w:rPr>
              <w:t>在规定的时间内取回，逾期未取回的，采购人、采购代理机构不负保管义务</w:t>
            </w:r>
            <w:r>
              <w:rPr>
                <w:rFonts w:ascii="仿宋" w:hAnsi="仿宋" w:eastAsia="仿宋"/>
                <w:color w:val="auto"/>
                <w:sz w:val="24"/>
                <w:highlight w:val="none"/>
              </w:rPr>
              <w:t>；对于中标人提供的样品，</w:t>
            </w:r>
            <w:r>
              <w:rPr>
                <w:rFonts w:hint="eastAsia" w:ascii="仿宋" w:hAnsi="仿宋" w:eastAsia="仿宋"/>
                <w:color w:val="auto"/>
                <w:sz w:val="24"/>
                <w:highlight w:val="none"/>
              </w:rPr>
              <w:t>采购人将进</w:t>
            </w:r>
            <w:r>
              <w:rPr>
                <w:rFonts w:ascii="仿宋" w:hAnsi="仿宋" w:eastAsia="仿宋"/>
                <w:color w:val="auto"/>
                <w:sz w:val="24"/>
                <w:highlight w:val="none"/>
              </w:rPr>
              <w:t>行保管、封存，并作为履约验收的参考。</w:t>
            </w:r>
          </w:p>
          <w:p>
            <w:pPr>
              <w:pStyle w:val="27"/>
              <w:rPr>
                <w:color w:val="auto"/>
                <w:highlight w:val="none"/>
              </w:rPr>
            </w:pPr>
            <w:r>
              <w:rPr>
                <w:rFonts w:ascii="仿宋" w:hAnsi="仿宋" w:eastAsia="仿宋"/>
                <w:color w:val="auto"/>
                <w:highlight w:val="none"/>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97"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Cs/>
                <w:color w:val="auto"/>
                <w:sz w:val="24"/>
                <w:highlight w:val="none"/>
              </w:rPr>
            </w:pPr>
            <w:r>
              <w:rPr>
                <w:rFonts w:hint="eastAsia" w:ascii="仿宋" w:hAnsi="仿宋" w:eastAsia="仿宋" w:cs="仿宋_GB2312"/>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color w:val="auto"/>
                <w:highlight w:val="none"/>
              </w:rPr>
            </w:pPr>
            <w:r>
              <w:rPr>
                <w:rFonts w:ascii="Wingdings" w:hAnsi="Wingdings" w:eastAsia="仿宋" w:cs="Segoe UI Symbol"/>
                <w:color w:val="auto"/>
                <w:kern w:val="0"/>
                <w:sz w:val="24"/>
                <w:highlight w:val="none"/>
              </w:rPr>
              <w:t>þ</w:t>
            </w:r>
            <w:r>
              <w:rPr>
                <w:rFonts w:ascii="仿宋" w:hAnsi="仿宋" w:eastAsia="仿宋" w:cs="Arial"/>
                <w:color w:val="auto"/>
                <w:kern w:val="0"/>
                <w:sz w:val="24"/>
                <w:highlight w:val="none"/>
              </w:rPr>
              <w:t>A</w:t>
            </w:r>
            <w:r>
              <w:rPr>
                <w:rFonts w:hint="eastAsia" w:ascii="仿宋" w:hAnsi="仿宋" w:eastAsia="仿宋"/>
                <w:color w:val="auto"/>
                <w:sz w:val="24"/>
                <w:highlight w:val="none"/>
              </w:rPr>
              <w:t>不组织。</w:t>
            </w:r>
          </w:p>
          <w:p>
            <w:pPr>
              <w:snapToGrid w:val="0"/>
              <w:spacing w:line="400" w:lineRule="exact"/>
              <w:rPr>
                <w:rFonts w:ascii="仿宋" w:hAnsi="仿宋" w:eastAsia="仿宋"/>
                <w:color w:val="auto"/>
                <w:kern w:val="0"/>
                <w:sz w:val="24"/>
                <w:highlight w:val="none"/>
              </w:rPr>
            </w:pPr>
            <w:r>
              <w:rPr>
                <w:rFonts w:hint="eastAsia" w:ascii="MS Gothic" w:hAnsi="MS Gothic" w:eastAsia="仿宋" w:cs="Arial"/>
                <w:color w:val="auto"/>
                <w:kern w:val="0"/>
                <w:sz w:val="24"/>
                <w:highlight w:val="none"/>
              </w:rPr>
              <w:t>☐</w:t>
            </w:r>
            <w:r>
              <w:rPr>
                <w:rFonts w:ascii="仿宋" w:hAnsi="仿宋" w:eastAsia="仿宋"/>
                <w:color w:val="auto"/>
                <w:kern w:val="0"/>
                <w:sz w:val="24"/>
                <w:highlight w:val="none"/>
              </w:rPr>
              <w:t>B组织。</w:t>
            </w:r>
          </w:p>
          <w:p>
            <w:pPr>
              <w:snapToGrid w:val="0"/>
              <w:spacing w:line="400" w:lineRule="exact"/>
              <w:rPr>
                <w:rFonts w:ascii="仿宋" w:hAnsi="仿宋" w:eastAsia="仿宋"/>
                <w:color w:val="auto"/>
                <w:kern w:val="0"/>
                <w:sz w:val="24"/>
                <w:highlight w:val="none"/>
              </w:rPr>
            </w:pPr>
            <w:r>
              <w:rPr>
                <w:rFonts w:hint="eastAsia" w:ascii="仿宋" w:hAnsi="仿宋" w:eastAsia="仿宋"/>
                <w:color w:val="auto"/>
                <w:kern w:val="0"/>
                <w:sz w:val="24"/>
                <w:highlight w:val="none"/>
              </w:rPr>
              <w:t>（</w:t>
            </w:r>
            <w:r>
              <w:rPr>
                <w:rFonts w:ascii="仿宋" w:hAnsi="仿宋" w:eastAsia="仿宋"/>
                <w:color w:val="auto"/>
                <w:kern w:val="0"/>
                <w:sz w:val="24"/>
                <w:highlight w:val="none"/>
              </w:rPr>
              <w:t>1）在评标时安排每个投标人进行</w:t>
            </w:r>
            <w:r>
              <w:rPr>
                <w:rFonts w:hint="eastAsia" w:ascii="仿宋" w:hAnsi="仿宋" w:eastAsia="仿宋"/>
                <w:color w:val="auto"/>
                <w:kern w:val="0"/>
                <w:sz w:val="24"/>
                <w:highlight w:val="none"/>
              </w:rPr>
              <w:t>现场功能</w:t>
            </w:r>
            <w:r>
              <w:rPr>
                <w:rFonts w:ascii="仿宋" w:hAnsi="仿宋" w:eastAsia="仿宋"/>
                <w:color w:val="auto"/>
                <w:kern w:val="0"/>
                <w:sz w:val="24"/>
                <w:highlight w:val="none"/>
              </w:rPr>
              <w:t>演示。每个投标人时间不超过</w:t>
            </w:r>
            <w:r>
              <w:rPr>
                <w:rFonts w:hint="eastAsia" w:ascii="仿宋" w:hAnsi="仿宋" w:eastAsia="仿宋"/>
                <w:color w:val="auto"/>
                <w:kern w:val="0"/>
                <w:sz w:val="24"/>
                <w:highlight w:val="none"/>
                <w:u w:val="single"/>
              </w:rPr>
              <w:t xml:space="preserve">    </w:t>
            </w:r>
            <w:r>
              <w:rPr>
                <w:rFonts w:ascii="仿宋" w:hAnsi="仿宋" w:eastAsia="仿宋"/>
                <w:color w:val="auto"/>
                <w:kern w:val="0"/>
                <w:sz w:val="24"/>
                <w:highlight w:val="none"/>
              </w:rPr>
              <w:t>分钟，讲解次序以投标文件解密时间先后次序为准，</w:t>
            </w:r>
            <w:r>
              <w:rPr>
                <w:rFonts w:hint="eastAsia" w:ascii="仿宋" w:hAnsi="仿宋" w:eastAsia="仿宋"/>
                <w:color w:val="auto"/>
                <w:kern w:val="0"/>
                <w:sz w:val="24"/>
                <w:highlight w:val="none"/>
              </w:rPr>
              <w:t>功能</w:t>
            </w:r>
            <w:r>
              <w:rPr>
                <w:rFonts w:ascii="仿宋" w:hAnsi="仿宋" w:eastAsia="仿宋"/>
                <w:color w:val="auto"/>
                <w:kern w:val="0"/>
                <w:sz w:val="24"/>
                <w:highlight w:val="none"/>
              </w:rPr>
              <w:t>演示人员不超过</w:t>
            </w:r>
            <w:r>
              <w:rPr>
                <w:rFonts w:hint="eastAsia" w:ascii="仿宋" w:hAnsi="仿宋" w:eastAsia="仿宋"/>
                <w:color w:val="auto"/>
                <w:kern w:val="0"/>
                <w:sz w:val="24"/>
                <w:highlight w:val="none"/>
                <w:u w:val="single"/>
              </w:rPr>
              <w:t xml:space="preserve">   </w:t>
            </w:r>
            <w:r>
              <w:rPr>
                <w:rFonts w:ascii="仿宋" w:hAnsi="仿宋" w:eastAsia="仿宋"/>
                <w:color w:val="auto"/>
                <w:kern w:val="0"/>
                <w:sz w:val="24"/>
                <w:highlight w:val="none"/>
              </w:rPr>
              <w:t>人。</w:t>
            </w:r>
            <w:r>
              <w:rPr>
                <w:rFonts w:hint="eastAsia" w:ascii="仿宋" w:hAnsi="仿宋" w:eastAsia="仿宋"/>
                <w:color w:val="auto"/>
                <w:kern w:val="0"/>
                <w:sz w:val="24"/>
                <w:highlight w:val="none"/>
              </w:rPr>
              <w:t>现场功能</w:t>
            </w:r>
            <w:r>
              <w:rPr>
                <w:rFonts w:ascii="仿宋" w:hAnsi="仿宋" w:eastAsia="仿宋"/>
                <w:color w:val="auto"/>
                <w:kern w:val="0"/>
                <w:sz w:val="24"/>
                <w:highlight w:val="none"/>
              </w:rPr>
              <w:t>结束后按要求解答评标委员会提问。</w:t>
            </w:r>
          </w:p>
          <w:p>
            <w:pPr>
              <w:snapToGrid w:val="0"/>
              <w:spacing w:line="400" w:lineRule="exact"/>
              <w:rPr>
                <w:rFonts w:ascii="仿宋" w:hAnsi="仿宋" w:eastAsia="仿宋"/>
                <w:color w:val="auto"/>
                <w:kern w:val="0"/>
                <w:sz w:val="24"/>
                <w:highlight w:val="none"/>
              </w:rPr>
            </w:pPr>
            <w:r>
              <w:rPr>
                <w:rFonts w:hint="eastAsia" w:ascii="仿宋" w:hAnsi="仿宋" w:eastAsia="仿宋"/>
                <w:color w:val="auto"/>
                <w:kern w:val="0"/>
                <w:sz w:val="24"/>
                <w:highlight w:val="none"/>
              </w:rPr>
              <w:t>（</w:t>
            </w:r>
            <w:r>
              <w:rPr>
                <w:rFonts w:ascii="仿宋" w:hAnsi="仿宋" w:eastAsia="仿宋"/>
                <w:color w:val="auto"/>
                <w:kern w:val="0"/>
                <w:sz w:val="24"/>
                <w:highlight w:val="none"/>
              </w:rPr>
              <w:t>2）</w:t>
            </w:r>
            <w:r>
              <w:rPr>
                <w:rFonts w:hint="eastAsia" w:ascii="仿宋" w:hAnsi="仿宋" w:eastAsia="仿宋"/>
                <w:color w:val="auto"/>
                <w:kern w:val="0"/>
                <w:sz w:val="24"/>
                <w:highlight w:val="none"/>
              </w:rPr>
              <w:t>功能</w:t>
            </w:r>
            <w:r>
              <w:rPr>
                <w:rFonts w:ascii="仿宋" w:hAnsi="仿宋" w:eastAsia="仿宋"/>
                <w:color w:val="auto"/>
                <w:kern w:val="0"/>
                <w:sz w:val="24"/>
                <w:highlight w:val="none"/>
              </w:rPr>
              <w:t>演示</w:t>
            </w:r>
            <w:r>
              <w:rPr>
                <w:rFonts w:hint="eastAsia" w:ascii="仿宋" w:hAnsi="仿宋" w:eastAsia="仿宋"/>
                <w:color w:val="auto"/>
                <w:kern w:val="0"/>
                <w:sz w:val="24"/>
                <w:highlight w:val="none"/>
              </w:rPr>
              <w:t>方式：</w:t>
            </w:r>
          </w:p>
          <w:p>
            <w:pPr>
              <w:snapToGrid w:val="0"/>
              <w:spacing w:line="400" w:lineRule="exact"/>
              <w:rPr>
                <w:rFonts w:ascii="仿宋" w:hAnsi="仿宋" w:eastAsia="仿宋"/>
                <w:color w:val="auto"/>
                <w:kern w:val="0"/>
                <w:sz w:val="24"/>
                <w:highlight w:val="none"/>
              </w:rPr>
            </w:pPr>
            <w:r>
              <w:rPr>
                <w:rFonts w:hint="eastAsia" w:ascii="仿宋" w:hAnsi="仿宋" w:eastAsia="仿宋"/>
                <w:color w:val="auto"/>
                <w:kern w:val="0"/>
                <w:sz w:val="24"/>
                <w:highlight w:val="none"/>
              </w:rPr>
              <w:t>现场功能演示。现场讲解地点为</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，讲解演示所用电脑等设备由投标人自备。</w:t>
            </w:r>
          </w:p>
          <w:p>
            <w:pPr>
              <w:pStyle w:val="27"/>
              <w:ind w:firstLine="0" w:firstLineChars="0"/>
              <w:rPr>
                <w:color w:val="auto"/>
                <w:highlight w:val="none"/>
                <w:lang w:val="zh-CN"/>
              </w:rPr>
            </w:pPr>
            <w:r>
              <w:rPr>
                <w:rFonts w:hint="eastAsia" w:ascii="仿宋" w:hAnsi="仿宋" w:eastAsia="仿宋"/>
                <w:color w:val="auto"/>
                <w:kern w:val="0"/>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75"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sym w:font="Wingdings" w:char="F0FE"/>
            </w:r>
            <w:r>
              <w:rPr>
                <w:rFonts w:hint="eastAsia" w:ascii="仿宋" w:hAnsi="仿宋" w:eastAsia="仿宋" w:cs="Arial"/>
                <w:color w:val="auto"/>
                <w:kern w:val="0"/>
                <w:sz w:val="24"/>
                <w:highlight w:val="none"/>
              </w:rPr>
              <w:t>本项目不允许采购进口产品。</w:t>
            </w:r>
          </w:p>
          <w:p>
            <w:pPr>
              <w:snapToGrid w:val="0"/>
              <w:spacing w:line="400" w:lineRule="exact"/>
              <w:rPr>
                <w:rFonts w:ascii="仿宋" w:hAnsi="仿宋" w:eastAsia="仿宋"/>
                <w:color w:val="auto"/>
                <w:highlight w:val="none"/>
              </w:rPr>
            </w:pPr>
            <w:r>
              <w:rPr>
                <w:rFonts w:ascii="Segoe UI Symbol" w:hAnsi="Segoe UI Symbol" w:eastAsia="仿宋" w:cs="Segoe UI Symbol"/>
                <w:color w:val="auto"/>
                <w:kern w:val="0"/>
                <w:sz w:val="24"/>
                <w:highlight w:val="none"/>
              </w:rPr>
              <w:t>☐</w:t>
            </w:r>
            <w:r>
              <w:rPr>
                <w:rFonts w:hint="eastAsia" w:ascii="仿宋" w:hAnsi="仿宋" w:eastAsia="仿宋"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color w:val="auto"/>
                <w:sz w:val="24"/>
                <w:highlight w:val="none"/>
              </w:rPr>
            </w:pPr>
            <w:r>
              <w:rPr>
                <w:rFonts w:ascii="Segoe UI Symbol" w:hAnsi="Segoe UI Symbol" w:eastAsia="仿宋" w:cs="Segoe UI Symbol"/>
                <w:color w:val="auto"/>
                <w:kern w:val="0"/>
                <w:sz w:val="24"/>
                <w:highlight w:val="none"/>
              </w:rPr>
              <w:t>☐</w:t>
            </w:r>
            <w:r>
              <w:rPr>
                <w:rFonts w:ascii="仿宋" w:hAnsi="仿宋" w:eastAsia="仿宋" w:cs="Arial"/>
                <w:color w:val="auto"/>
                <w:kern w:val="0"/>
                <w:sz w:val="24"/>
                <w:highlight w:val="none"/>
              </w:rPr>
              <w:t>A</w:t>
            </w:r>
            <w:r>
              <w:rPr>
                <w:rFonts w:hint="eastAsia" w:ascii="仿宋" w:hAnsi="仿宋" w:eastAsia="仿宋"/>
                <w:color w:val="auto"/>
                <w:sz w:val="24"/>
                <w:highlight w:val="none"/>
              </w:rPr>
              <w:t>货物类，单一产品或</w:t>
            </w:r>
            <w:r>
              <w:rPr>
                <w:rFonts w:hint="eastAsia" w:ascii="仿宋" w:hAnsi="仿宋" w:eastAsia="仿宋"/>
                <w:color w:val="auto"/>
                <w:kern w:val="0"/>
                <w:sz w:val="24"/>
                <w:highlight w:val="none"/>
              </w:rPr>
              <w:t>核心产品为：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napToGrid w:val="0"/>
              <w:spacing w:line="400" w:lineRule="exact"/>
              <w:rPr>
                <w:rFonts w:ascii="仿宋" w:hAnsi="仿宋" w:eastAsia="仿宋"/>
                <w:color w:val="auto"/>
                <w:sz w:val="24"/>
                <w:highlight w:val="none"/>
              </w:rPr>
            </w:pPr>
            <w:r>
              <w:rPr>
                <w:rFonts w:hint="eastAsia" w:ascii="仿宋" w:hAnsi="仿宋" w:eastAsia="仿宋" w:cs="Arial"/>
                <w:color w:val="auto"/>
                <w:kern w:val="0"/>
                <w:sz w:val="24"/>
                <w:highlight w:val="none"/>
              </w:rPr>
              <w:sym w:font="Wingdings" w:char="F0FE"/>
            </w:r>
            <w:r>
              <w:rPr>
                <w:rFonts w:ascii="仿宋" w:hAnsi="仿宋" w:eastAsia="仿宋" w:cs="Arial"/>
                <w:color w:val="auto"/>
                <w:kern w:val="0"/>
                <w:sz w:val="24"/>
                <w:highlight w:val="none"/>
              </w:rPr>
              <w:t>B</w:t>
            </w:r>
            <w:r>
              <w:rPr>
                <w:rFonts w:hint="eastAsia" w:ascii="仿宋" w:hAnsi="仿宋" w:eastAsia="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widowControl/>
              <w:snapToGrid/>
              <w:spacing w:line="240" w:lineRule="auto"/>
              <w:jc w:val="left"/>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标的：</w:t>
            </w:r>
            <w:r>
              <w:rPr>
                <w:rFonts w:hint="eastAsia" w:ascii="仿宋" w:hAnsi="仿宋" w:eastAsia="仿宋" w:cs="Arial"/>
                <w:b/>
                <w:bCs/>
                <w:color w:val="auto"/>
                <w:kern w:val="0"/>
                <w:sz w:val="24"/>
                <w:highlight w:val="none"/>
                <w:u w:val="single"/>
                <w:lang w:eastAsia="zh-CN"/>
              </w:rPr>
              <w:t>闲林街道市政养护项目</w:t>
            </w:r>
            <w:r>
              <w:rPr>
                <w:rFonts w:hint="eastAsia" w:ascii="仿宋" w:hAnsi="仿宋" w:eastAsia="仿宋" w:cs="Arial"/>
                <w:color w:val="auto"/>
                <w:kern w:val="0"/>
                <w:sz w:val="24"/>
                <w:highlight w:val="none"/>
              </w:rPr>
              <w:t>，属于</w:t>
            </w:r>
            <w:r>
              <w:rPr>
                <w:rFonts w:hint="eastAsia" w:ascii="仿宋" w:hAnsi="仿宋" w:eastAsia="仿宋" w:cs="Arial"/>
                <w:b/>
                <w:bCs/>
                <w:color w:val="auto"/>
                <w:kern w:val="0"/>
                <w:sz w:val="24"/>
                <w:highlight w:val="none"/>
                <w:u w:val="single"/>
              </w:rPr>
              <w:t xml:space="preserve">其他未列明 </w:t>
            </w:r>
            <w:r>
              <w:rPr>
                <w:rFonts w:hint="eastAsia" w:ascii="仿宋" w:hAnsi="仿宋" w:eastAsia="仿宋" w:cs="Arial"/>
                <w:color w:val="auto"/>
                <w:kern w:val="0"/>
                <w:sz w:val="24"/>
                <w:highlight w:val="none"/>
              </w:rPr>
              <w:t>行业。</w:t>
            </w:r>
          </w:p>
          <w:p>
            <w:pPr>
              <w:widowControl/>
              <w:jc w:val="left"/>
              <w:rPr>
                <w:rFonts w:hint="eastAsia" w:ascii="仿宋" w:hAnsi="仿宋" w:eastAsia="仿宋" w:cs="Times New Roman"/>
                <w:b/>
                <w:bCs/>
                <w:color w:val="auto"/>
                <w:sz w:val="24"/>
                <w:highlight w:val="none"/>
              </w:rPr>
            </w:pPr>
            <w:r>
              <w:rPr>
                <w:rFonts w:hint="eastAsia" w:ascii="仿宋" w:hAnsi="仿宋" w:eastAsia="仿宋"/>
                <w:b/>
                <w:bCs/>
                <w:color w:val="auto"/>
                <w:sz w:val="24"/>
                <w:highlight w:val="none"/>
              </w:rPr>
              <w:t>其他未列明行业中小企业划型标准</w:t>
            </w:r>
            <w:r>
              <w:rPr>
                <w:rFonts w:hint="eastAsia" w:ascii="仿宋" w:hAnsi="仿宋" w:eastAsia="仿宋" w:cs="Times New Roman"/>
                <w:b/>
                <w:bCs/>
                <w:color w:val="auto"/>
                <w:kern w:val="2"/>
                <w:sz w:val="24"/>
                <w:szCs w:val="24"/>
                <w:highlight w:val="none"/>
                <w:lang w:val="en-US" w:eastAsia="zh-CN"/>
              </w:rPr>
              <w:t xml:space="preserve">；具体详见《中小 </w:t>
            </w:r>
          </w:p>
          <w:p>
            <w:pPr>
              <w:widowControl/>
              <w:snapToGrid/>
              <w:spacing w:line="240" w:lineRule="auto"/>
              <w:jc w:val="left"/>
              <w:rPr>
                <w:rFonts w:ascii="仿宋" w:hAnsi="仿宋" w:eastAsia="仿宋" w:cs="Arial"/>
                <w:b/>
                <w:bCs/>
                <w:color w:val="auto"/>
                <w:kern w:val="0"/>
                <w:sz w:val="24"/>
                <w:highlight w:val="none"/>
                <w:u w:val="single"/>
              </w:rPr>
            </w:pPr>
            <w:r>
              <w:rPr>
                <w:rFonts w:hint="eastAsia" w:ascii="仿宋" w:hAnsi="仿宋" w:eastAsia="仿宋" w:cs="Times New Roman"/>
                <w:b/>
                <w:bCs/>
                <w:color w:val="auto"/>
                <w:kern w:val="2"/>
                <w:sz w:val="24"/>
                <w:szCs w:val="24"/>
                <w:highlight w:val="none"/>
                <w:lang w:val="en-US" w:eastAsia="zh-CN"/>
              </w:rPr>
              <w:t xml:space="preserve">企业划型标准规定》。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color w:val="auto"/>
                <w:highlight w:val="none"/>
              </w:rPr>
            </w:pPr>
            <w:r>
              <w:rPr>
                <w:rFonts w:hint="eastAsia" w:ascii="仿宋" w:hAnsi="仿宋" w:eastAsia="仿宋" w:cs="Arial"/>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7"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400" w:lineRule="exact"/>
              <w:jc w:val="center"/>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cs="Times New Roman"/>
                <w:kern w:val="2"/>
                <w:sz w:val="24"/>
                <w:szCs w:val="24"/>
                <w:lang w:val="en-US" w:eastAsia="zh-CN" w:bidi="ar-SA"/>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7" w:hRule="atLeast"/>
        </w:trPr>
        <w:tc>
          <w:tcPr>
            <w:tcW w:w="629" w:type="dxa"/>
            <w:vMerge w:val="continue"/>
            <w:tcBorders>
              <w:left w:val="single" w:color="000000" w:sz="8" w:space="0"/>
              <w:right w:val="single" w:color="000000" w:sz="2" w:space="0"/>
            </w:tcBorders>
            <w:vAlign w:val="center"/>
          </w:tcPr>
          <w:p>
            <w:pPr>
              <w:snapToGrid w:val="0"/>
              <w:spacing w:line="400" w:lineRule="exact"/>
            </w:pPr>
          </w:p>
        </w:tc>
        <w:tc>
          <w:tcPr>
            <w:tcW w:w="1843" w:type="dxa"/>
            <w:vMerge w:val="continue"/>
            <w:tcBorders>
              <w:left w:val="single" w:color="000000" w:sz="2" w:space="0"/>
              <w:right w:val="single" w:color="000000" w:sz="8" w:space="0"/>
            </w:tcBorders>
            <w:vAlign w:val="center"/>
          </w:tcPr>
          <w:p>
            <w:pPr>
              <w:snapToGrid w:val="0"/>
              <w:spacing w:line="400" w:lineRule="exact"/>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_GB2312" w:hAnsi="仿宋" w:eastAsia="仿宋_GB2312" w:cs="Times New Roman"/>
                <w:snapToGrid w:val="0"/>
                <w:kern w:val="28"/>
                <w:sz w:val="24"/>
                <w:szCs w:val="24"/>
                <w:lang w:val="en-US" w:eastAsia="zh-CN" w:bidi="ar-SA"/>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备份投标文件送达地点和签收人员</w:t>
            </w:r>
            <w:r>
              <w:rPr>
                <w:rFonts w:ascii="仿宋" w:hAnsi="仿宋" w:eastAsia="仿宋" w:cs="仿宋_GB2312"/>
                <w:b/>
                <w:color w:val="auto"/>
                <w:sz w:val="24"/>
                <w:highlight w:val="none"/>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6"/>
              <w:snapToGrid w:val="0"/>
              <w:spacing w:line="400" w:lineRule="exact"/>
              <w:rPr>
                <w:rFonts w:ascii="仿宋" w:hAnsi="仿宋" w:eastAsia="仿宋"/>
                <w:color w:val="auto"/>
                <w:kern w:val="28"/>
                <w:sz w:val="24"/>
                <w:highlight w:val="none"/>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sz w:val="24"/>
                <w:u w:val="single"/>
                <w:lang w:eastAsia="zh-CN"/>
              </w:rPr>
              <w:t>杭州市临平区星桥街道联融大厦22幢505室</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sz w:val="24"/>
                <w:u w:val="single"/>
                <w:lang w:val="en-US" w:eastAsia="zh-CN"/>
              </w:rPr>
              <w:t>贺胜杰13738009078</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highlight w:val="none"/>
              </w:rPr>
            </w:pPr>
            <w:r>
              <w:rPr>
                <w:rFonts w:hint="eastAsia" w:ascii="仿宋_GB2312" w:hAnsi="仿宋" w:eastAsia="仿宋_GB2312"/>
                <w:snapToGrid w:val="0"/>
                <w:kern w:val="28"/>
                <w:sz w:val="24"/>
                <w:highlight w:val="none"/>
              </w:rPr>
              <w:t>本项目的招标代理费用由</w:t>
            </w:r>
            <w:r>
              <w:rPr>
                <w:rFonts w:hint="eastAsia" w:ascii="仿宋_GB2312" w:hAnsi="仿宋" w:eastAsia="仿宋_GB2312"/>
                <w:snapToGrid w:val="0"/>
                <w:kern w:val="28"/>
                <w:sz w:val="24"/>
                <w:highlight w:val="none"/>
                <w:lang w:val="en-US" w:eastAsia="zh-CN"/>
              </w:rPr>
              <w:t>中</w:t>
            </w:r>
            <w:r>
              <w:rPr>
                <w:rFonts w:hint="eastAsia" w:ascii="仿宋_GB2312" w:hAnsi="仿宋" w:eastAsia="仿宋_GB2312"/>
                <w:snapToGrid w:val="0"/>
                <w:kern w:val="28"/>
                <w:sz w:val="24"/>
                <w:highlight w:val="none"/>
                <w:lang w:eastAsia="zh-CN"/>
              </w:rPr>
              <w:t>标单位</w:t>
            </w:r>
            <w:r>
              <w:rPr>
                <w:rFonts w:hint="eastAsia" w:ascii="仿宋_GB2312" w:hAnsi="仿宋" w:eastAsia="仿宋_GB2312"/>
                <w:snapToGrid w:val="0"/>
                <w:kern w:val="28"/>
                <w:sz w:val="24"/>
                <w:highlight w:val="none"/>
              </w:rPr>
              <w:t>支付，中标人在领取中标通知书时需向招标代理机构支付人民币</w:t>
            </w:r>
            <w:r>
              <w:rPr>
                <w:rFonts w:hint="eastAsia" w:ascii="仿宋_GB2312" w:hAnsi="仿宋" w:eastAsia="仿宋_GB2312"/>
                <w:snapToGrid w:val="0"/>
                <w:kern w:val="28"/>
                <w:sz w:val="24"/>
                <w:highlight w:val="none"/>
                <w:lang w:val="en-US" w:eastAsia="zh-CN"/>
              </w:rPr>
              <w:t>97500</w:t>
            </w:r>
            <w:r>
              <w:rPr>
                <w:rFonts w:hint="eastAsia" w:ascii="仿宋_GB2312" w:hAnsi="仿宋" w:eastAsia="仿宋_GB2312"/>
                <w:snapToGrid w:val="0"/>
                <w:kern w:val="28"/>
                <w:sz w:val="24"/>
                <w:highlight w:val="none"/>
              </w:rPr>
              <w:t>元招标代理服务费，费用包含在总报价中，不单独列项报价。</w:t>
            </w:r>
          </w:p>
          <w:p>
            <w:pPr>
              <w:pStyle w:val="27"/>
              <w:ind w:firstLine="0" w:firstLineChars="0"/>
              <w:rPr>
                <w:rFonts w:hint="eastAsia" w:ascii="仿宋_GB2312" w:hAnsi="仿宋" w:eastAsia="仿宋_GB2312" w:cs="Times New Roman"/>
                <w:snapToGrid w:val="0"/>
                <w:kern w:val="28"/>
                <w:sz w:val="24"/>
                <w:szCs w:val="20"/>
                <w:highlight w:val="none"/>
              </w:rPr>
            </w:pPr>
            <w:r>
              <w:rPr>
                <w:rFonts w:hint="eastAsia" w:ascii="仿宋_GB2312" w:hAnsi="仿宋" w:eastAsia="仿宋_GB2312"/>
                <w:snapToGrid w:val="0"/>
                <w:kern w:val="28"/>
                <w:sz w:val="24"/>
                <w:highlight w:val="none"/>
              </w:rPr>
              <w:t>中标服务费的交纳方式：以转帐或支票的形式支付，</w:t>
            </w:r>
            <w:r>
              <w:rPr>
                <w:rFonts w:hint="eastAsia" w:ascii="仿宋_GB2312" w:hAnsi="仿宋" w:eastAsia="仿宋_GB2312" w:cs="Times New Roman"/>
                <w:snapToGrid w:val="0"/>
                <w:kern w:val="28"/>
                <w:sz w:val="24"/>
                <w:szCs w:val="20"/>
                <w:highlight w:val="none"/>
              </w:rPr>
              <w:t>收款（户名）：杭州正鸿工程咨询有限公司；</w:t>
            </w:r>
          </w:p>
          <w:p>
            <w:pPr>
              <w:pStyle w:val="27"/>
              <w:ind w:firstLine="0" w:firstLineChars="0"/>
              <w:rPr>
                <w:rFonts w:hint="eastAsia" w:ascii="仿宋_GB2312" w:hAnsi="仿宋" w:eastAsia="仿宋_GB2312" w:cs="Times New Roman"/>
                <w:snapToGrid w:val="0"/>
                <w:kern w:val="28"/>
                <w:sz w:val="24"/>
                <w:szCs w:val="20"/>
                <w:highlight w:val="none"/>
              </w:rPr>
            </w:pPr>
            <w:r>
              <w:rPr>
                <w:rFonts w:hint="eastAsia" w:ascii="仿宋_GB2312" w:hAnsi="仿宋" w:eastAsia="仿宋_GB2312" w:cs="Times New Roman"/>
                <w:snapToGrid w:val="0"/>
                <w:kern w:val="28"/>
                <w:sz w:val="24"/>
                <w:szCs w:val="20"/>
                <w:highlight w:val="none"/>
              </w:rPr>
              <w:t xml:space="preserve">开户行名称：杭州联合农村商业银行股份有限公司康桥支行 </w:t>
            </w:r>
          </w:p>
          <w:p>
            <w:pPr>
              <w:pStyle w:val="27"/>
              <w:ind w:firstLine="0" w:firstLineChars="0"/>
              <w:rPr>
                <w:rFonts w:hint="eastAsia" w:ascii="仿宋_GB2312" w:hAnsi="仿宋" w:eastAsia="仿宋_GB2312" w:cs="Times New Roman"/>
                <w:snapToGrid w:val="0"/>
                <w:kern w:val="28"/>
                <w:sz w:val="24"/>
                <w:szCs w:val="20"/>
                <w:highlight w:val="none"/>
              </w:rPr>
            </w:pPr>
            <w:r>
              <w:rPr>
                <w:rFonts w:hint="eastAsia" w:ascii="仿宋_GB2312" w:hAnsi="仿宋" w:eastAsia="仿宋_GB2312" w:cs="Times New Roman"/>
                <w:snapToGrid w:val="0"/>
                <w:kern w:val="28"/>
                <w:sz w:val="24"/>
                <w:szCs w:val="20"/>
                <w:highlight w:val="none"/>
              </w:rPr>
              <w:t>帐号：201000279863923</w:t>
            </w:r>
          </w:p>
          <w:p>
            <w:pPr>
              <w:pStyle w:val="27"/>
              <w:ind w:firstLine="0" w:firstLineChars="0"/>
              <w:rPr>
                <w:color w:val="auto"/>
                <w:highlight w:val="none"/>
              </w:rPr>
            </w:pPr>
            <w:r>
              <w:rPr>
                <w:rFonts w:hint="eastAsia" w:ascii="仿宋_GB2312" w:hAnsi="仿宋" w:eastAsia="仿宋_GB2312" w:cs="Times New Roman"/>
                <w:snapToGrid w:val="0"/>
                <w:kern w:val="28"/>
                <w:sz w:val="24"/>
                <w:szCs w:val="20"/>
                <w:highlight w:val="none"/>
              </w:rPr>
              <w:t>中标单位需在领取中标通知书时缴纳中标服务费，缴纳时注明招标编号</w:t>
            </w:r>
          </w:p>
        </w:tc>
      </w:tr>
      <w:bookmarkEnd w:id="10"/>
    </w:tbl>
    <w:p>
      <w:pPr>
        <w:rPr>
          <w:rFonts w:ascii="仿宋" w:hAnsi="仿宋" w:eastAsia="仿宋" w:cs="仿宋_GB2312"/>
          <w:b/>
          <w:color w:val="auto"/>
          <w:sz w:val="32"/>
          <w:szCs w:val="20"/>
          <w:highlight w:val="none"/>
        </w:rPr>
      </w:pPr>
      <w:bookmarkStart w:id="15" w:name="第三部分"/>
      <w:bookmarkStart w:id="16" w:name="_Toc164416483"/>
    </w:p>
    <w:p>
      <w:pPr>
        <w:pStyle w:val="28"/>
        <w:ind w:left="0" w:leftChars="0" w:firstLine="0" w:firstLineChars="0"/>
        <w:rPr>
          <w:rFonts w:ascii="仿宋" w:hAnsi="仿宋" w:eastAsia="仿宋" w:cs="仿宋_GB2312"/>
          <w:b/>
          <w:color w:val="auto"/>
          <w:sz w:val="32"/>
          <w:szCs w:val="20"/>
          <w:highlight w:val="none"/>
        </w:rPr>
      </w:pPr>
    </w:p>
    <w:p>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一、总则</w:t>
      </w:r>
    </w:p>
    <w:p>
      <w:pPr>
        <w:snapToGrid w:val="0"/>
        <w:spacing w:line="360" w:lineRule="auto"/>
        <w:jc w:val="left"/>
        <w:outlineLvl w:val="1"/>
        <w:rPr>
          <w:rFonts w:ascii="仿宋" w:hAnsi="仿宋" w:eastAsia="仿宋"/>
          <w:b/>
          <w:color w:val="auto"/>
          <w:sz w:val="24"/>
          <w:highlight w:val="none"/>
        </w:rPr>
      </w:pPr>
      <w:r>
        <w:rPr>
          <w:rFonts w:ascii="仿宋" w:hAnsi="仿宋" w:eastAsia="仿宋"/>
          <w:b/>
          <w:color w:val="auto"/>
          <w:sz w:val="24"/>
          <w:highlight w:val="none"/>
        </w:rPr>
        <w:t xml:space="preserve">1. </w:t>
      </w:r>
      <w:r>
        <w:rPr>
          <w:rFonts w:hint="eastAsia" w:ascii="仿宋" w:hAnsi="仿宋" w:eastAsia="仿宋"/>
          <w:b/>
          <w:color w:val="auto"/>
          <w:sz w:val="24"/>
          <w:highlight w:val="none"/>
        </w:rPr>
        <w:t>适用范围</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ind w:firstLine="420"/>
        <w:outlineLvl w:val="0"/>
        <w:rPr>
          <w:rFonts w:ascii="仿宋" w:hAnsi="仿宋" w:eastAsia="仿宋" w:cs="仿宋_GB2312"/>
          <w:b/>
          <w:color w:val="auto"/>
          <w:sz w:val="24"/>
          <w:highlight w:val="none"/>
        </w:rPr>
      </w:pPr>
    </w:p>
    <w:p>
      <w:pPr>
        <w:adjustRightInd/>
        <w:spacing w:line="360" w:lineRule="auto"/>
        <w:outlineLvl w:val="0"/>
        <w:rPr>
          <w:rFonts w:ascii="仿宋" w:hAnsi="仿宋" w:eastAsia="仿宋" w:cs="仿宋_GB2312"/>
          <w:b/>
          <w:color w:val="auto"/>
          <w:sz w:val="24"/>
          <w:highlight w:val="none"/>
        </w:rPr>
      </w:pPr>
      <w:r>
        <w:rPr>
          <w:rFonts w:ascii="仿宋" w:hAnsi="仿宋" w:eastAsia="仿宋" w:cs="仿宋_GB2312"/>
          <w:b/>
          <w:color w:val="auto"/>
          <w:sz w:val="24"/>
          <w:highlight w:val="none"/>
        </w:rPr>
        <w:t>2.定义</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 </w:t>
      </w:r>
      <w:r>
        <w:rPr>
          <w:rFonts w:hint="eastAsia" w:ascii="仿宋" w:hAnsi="仿宋" w:eastAsia="仿宋"/>
          <w:color w:val="auto"/>
          <w:sz w:val="24"/>
          <w:highlight w:val="none"/>
        </w:rPr>
        <w:t>“采购人”系指招标公告中载明的本项目的采购人。</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2.2 </w:t>
      </w:r>
      <w:r>
        <w:rPr>
          <w:rFonts w:hint="eastAsia" w:ascii="仿宋" w:hAnsi="仿宋" w:eastAsia="仿宋"/>
          <w:color w:val="auto"/>
          <w:sz w:val="24"/>
          <w:highlight w:val="none"/>
        </w:rPr>
        <w:t>“采购代理机构”系指招标公告中载明的本项目的采购代理机构。</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 </w:t>
      </w:r>
      <w:r>
        <w:rPr>
          <w:rFonts w:hint="eastAsia" w:ascii="仿宋" w:hAnsi="仿宋" w:eastAsia="仿宋"/>
          <w:color w:val="auto"/>
          <w:sz w:val="24"/>
          <w:highlight w:val="none"/>
        </w:rPr>
        <w:t>“投标人”系指是指响应招标、参加投标竞争的法人、其他组织或者自然人。</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2.4 </w:t>
      </w:r>
      <w:r>
        <w:rPr>
          <w:rFonts w:hint="eastAsia" w:ascii="仿宋" w:hAnsi="仿宋" w:eastAsia="仿宋"/>
          <w:color w:val="auto"/>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2.6“电子交易平台”是指本项目政府采购活动所依托的政府采购云平台（https://www.zcygov.cn/）。</w:t>
      </w:r>
    </w:p>
    <w:p>
      <w:pPr>
        <w:spacing w:line="360" w:lineRule="auto"/>
        <w:ind w:firstLine="482" w:firstLineChars="200"/>
        <w:rPr>
          <w:rFonts w:ascii="仿宋" w:hAnsi="仿宋" w:eastAsia="仿宋"/>
          <w:b/>
          <w:bCs/>
          <w:color w:val="auto"/>
          <w:sz w:val="24"/>
          <w:highlight w:val="none"/>
        </w:rPr>
      </w:pPr>
      <w:r>
        <w:rPr>
          <w:rFonts w:ascii="仿宋" w:hAnsi="仿宋" w:eastAsia="仿宋"/>
          <w:b/>
          <w:bCs/>
          <w:color w:val="auto"/>
          <w:sz w:val="24"/>
          <w:highlight w:val="none"/>
        </w:rPr>
        <w:t xml:space="preserve">2.7 </w:t>
      </w:r>
      <w:r>
        <w:rPr>
          <w:rFonts w:hint="eastAsia" w:ascii="仿宋" w:hAnsi="仿宋" w:eastAsia="仿宋"/>
          <w:b/>
          <w:bCs/>
          <w:color w:val="auto"/>
          <w:sz w:val="24"/>
          <w:highlight w:val="none"/>
        </w:rPr>
        <w:t>“▲”</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系指实质性要求条款，“★”系产品采购项目中单一产品或核心产品，“</w:t>
      </w:r>
      <w:r>
        <w:rPr>
          <w:rFonts w:hint="eastAsia" w:ascii="仿宋" w:hAnsi="仿宋" w:eastAsia="仿宋" w:cs="Arial"/>
          <w:b/>
          <w:bCs/>
          <w:color w:val="auto"/>
          <w:kern w:val="0"/>
          <w:sz w:val="24"/>
          <w:highlight w:val="none"/>
        </w:rPr>
        <w:sym w:font="Wingdings" w:char="F0FE"/>
      </w:r>
      <w:r>
        <w:rPr>
          <w:rFonts w:hint="eastAsia" w:ascii="仿宋" w:hAnsi="仿宋" w:eastAsia="仿宋"/>
          <w:b/>
          <w:bCs/>
          <w:color w:val="auto"/>
          <w:sz w:val="24"/>
          <w:highlight w:val="none"/>
        </w:rPr>
        <w:t>”</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系指适用本项目的要求，“</w:t>
      </w:r>
      <w:r>
        <w:rPr>
          <w:rFonts w:ascii="Segoe UI Symbol" w:hAnsi="Segoe UI Symbol" w:eastAsia="仿宋" w:cs="Segoe UI Symbol"/>
          <w:b/>
          <w:bCs/>
          <w:color w:val="auto"/>
          <w:kern w:val="0"/>
          <w:sz w:val="24"/>
          <w:highlight w:val="none"/>
        </w:rPr>
        <w:t>☐</w:t>
      </w:r>
      <w:r>
        <w:rPr>
          <w:rFonts w:hint="eastAsia" w:ascii="仿宋" w:hAnsi="仿宋" w:eastAsia="仿宋"/>
          <w:b/>
          <w:bCs/>
          <w:color w:val="auto"/>
          <w:sz w:val="24"/>
          <w:highlight w:val="none"/>
        </w:rPr>
        <w:t>”</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系指不适用本项目的要求。</w:t>
      </w:r>
    </w:p>
    <w:p>
      <w:pPr>
        <w:spacing w:line="360" w:lineRule="auto"/>
        <w:ind w:firstLine="241" w:firstLineChars="100"/>
        <w:rPr>
          <w:rFonts w:ascii="仿宋" w:hAnsi="仿宋" w:eastAsia="仿宋"/>
          <w:b/>
          <w:color w:val="auto"/>
          <w:sz w:val="24"/>
          <w:highlight w:val="none"/>
        </w:rPr>
      </w:pPr>
    </w:p>
    <w:p>
      <w:pPr>
        <w:spacing w:line="360" w:lineRule="auto"/>
        <w:rPr>
          <w:rFonts w:ascii="仿宋" w:hAnsi="仿宋" w:eastAsia="仿宋"/>
          <w:b/>
          <w:color w:val="auto"/>
          <w:sz w:val="24"/>
          <w:highlight w:val="none"/>
        </w:rPr>
      </w:pPr>
      <w:r>
        <w:rPr>
          <w:rFonts w:ascii="仿宋" w:hAnsi="仿宋" w:eastAsia="仿宋"/>
          <w:b/>
          <w:color w:val="auto"/>
          <w:sz w:val="24"/>
          <w:highlight w:val="none"/>
        </w:rPr>
        <w:t>3.</w:t>
      </w:r>
      <w:r>
        <w:rPr>
          <w:rFonts w:ascii="仿宋" w:hAnsi="仿宋" w:eastAsia="仿宋"/>
          <w:color w:val="auto"/>
          <w:highlight w:val="none"/>
        </w:rPr>
        <w:t xml:space="preserve"> </w:t>
      </w:r>
      <w:r>
        <w:rPr>
          <w:rFonts w:hint="eastAsia" w:ascii="仿宋" w:hAnsi="仿宋" w:eastAsia="仿宋"/>
          <w:b/>
          <w:color w:val="auto"/>
          <w:sz w:val="24"/>
          <w:highlight w:val="none"/>
        </w:rPr>
        <w:t>采购项目需要落实的政府采购政策</w:t>
      </w:r>
    </w:p>
    <w:p>
      <w:pPr>
        <w:spacing w:line="360" w:lineRule="auto"/>
        <w:ind w:firstLine="420"/>
        <w:rPr>
          <w:rFonts w:ascii="仿宋" w:hAnsi="仿宋" w:eastAsia="仿宋"/>
          <w:color w:val="auto"/>
          <w:sz w:val="24"/>
          <w:highlight w:val="none"/>
        </w:rPr>
      </w:pPr>
      <w:r>
        <w:rPr>
          <w:rFonts w:ascii="仿宋" w:hAnsi="仿宋" w:eastAsia="仿宋"/>
          <w:color w:val="auto"/>
          <w:sz w:val="24"/>
          <w:highlight w:val="none"/>
        </w:rPr>
        <w:t xml:space="preserve">3.1 </w:t>
      </w:r>
      <w:r>
        <w:rPr>
          <w:rFonts w:hint="eastAsia" w:ascii="仿宋" w:hAnsi="仿宋" w:eastAsia="仿宋"/>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20"/>
        <w:rPr>
          <w:rFonts w:ascii="仿宋" w:hAnsi="仿宋" w:eastAsia="仿宋"/>
          <w:color w:val="auto"/>
          <w:sz w:val="24"/>
          <w:highlight w:val="none"/>
        </w:rPr>
      </w:pPr>
      <w:r>
        <w:rPr>
          <w:rFonts w:ascii="仿宋" w:hAnsi="仿宋" w:eastAsia="仿宋"/>
          <w:color w:val="auto"/>
          <w:sz w:val="24"/>
          <w:highlight w:val="none"/>
        </w:rPr>
        <w:t xml:space="preserve">3.2 </w:t>
      </w:r>
      <w:r>
        <w:rPr>
          <w:rFonts w:hint="eastAsia" w:ascii="仿宋" w:hAnsi="仿宋" w:eastAsia="仿宋"/>
          <w:color w:val="auto"/>
          <w:sz w:val="24"/>
          <w:highlight w:val="none"/>
        </w:rPr>
        <w:t>支持绿色发展</w:t>
      </w:r>
    </w:p>
    <w:p>
      <w:pPr>
        <w:spacing w:line="360" w:lineRule="auto"/>
        <w:ind w:firstLine="420"/>
        <w:rPr>
          <w:rFonts w:ascii="仿宋" w:hAnsi="仿宋" w:eastAsia="仿宋"/>
          <w:b/>
          <w:color w:val="auto"/>
          <w:sz w:val="24"/>
          <w:highlight w:val="none"/>
        </w:rPr>
      </w:pPr>
      <w:r>
        <w:rPr>
          <w:rFonts w:ascii="仿宋" w:hAnsi="仿宋" w:eastAsia="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3.2.2 </w:t>
      </w:r>
      <w:r>
        <w:rPr>
          <w:rFonts w:hint="eastAsia" w:ascii="仿宋" w:hAnsi="仿宋" w:eastAsia="仿宋"/>
          <w:color w:val="auto"/>
          <w:sz w:val="24"/>
          <w:highlight w:val="none"/>
        </w:rPr>
        <w:t>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3.2.3</w:t>
      </w:r>
      <w:r>
        <w:rPr>
          <w:rFonts w:hint="eastAsia" w:ascii="仿宋" w:hAnsi="仿宋" w:eastAsia="仿宋"/>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20"/>
        <w:rPr>
          <w:rFonts w:ascii="仿宋" w:hAnsi="仿宋" w:eastAsia="仿宋"/>
          <w:color w:val="auto"/>
          <w:sz w:val="24"/>
          <w:highlight w:val="none"/>
        </w:rPr>
      </w:pPr>
      <w:r>
        <w:rPr>
          <w:rFonts w:ascii="仿宋" w:hAnsi="仿宋" w:eastAsia="仿宋"/>
          <w:color w:val="auto"/>
          <w:sz w:val="24"/>
          <w:highlight w:val="none"/>
        </w:rPr>
        <w:t>3.3支持中小企业发展</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bCs/>
          <w:color w:val="auto"/>
          <w:sz w:val="24"/>
          <w:highlight w:val="none"/>
        </w:rPr>
        <w:t>3.3.2</w:t>
      </w:r>
      <w:r>
        <w:rPr>
          <w:rFonts w:hint="eastAsia" w:ascii="仿宋" w:hAnsi="仿宋" w:eastAsia="仿宋"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3.3.3</w:t>
      </w:r>
      <w:r>
        <w:rPr>
          <w:rFonts w:hint="eastAsia" w:ascii="仿宋" w:hAnsi="仿宋" w:eastAsia="仿宋" w:cs="仿宋"/>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3.3.6</w:t>
      </w:r>
      <w:r>
        <w:rPr>
          <w:rFonts w:hint="eastAsia" w:ascii="仿宋" w:hAnsi="仿宋" w:eastAsia="仿宋"/>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3.3.7中小企业享受扶持政策获得政府采购合同的，小微企业不得将合同分包给大中型企业，中型企业不得将合同分包给大型企业</w:t>
      </w:r>
      <w:r>
        <w:rPr>
          <w:rFonts w:hint="eastAsia" w:ascii="仿宋" w:hAnsi="仿宋" w:eastAsia="仿宋"/>
          <w:color w:val="auto"/>
          <w:sz w:val="24"/>
          <w:highlight w:val="none"/>
        </w:rPr>
        <w:t>。</w:t>
      </w:r>
    </w:p>
    <w:p>
      <w:pPr>
        <w:spacing w:line="360" w:lineRule="auto"/>
        <w:ind w:firstLine="420"/>
        <w:rPr>
          <w:rFonts w:ascii="仿宋" w:hAnsi="仿宋" w:eastAsia="仿宋"/>
          <w:color w:val="auto"/>
          <w:sz w:val="24"/>
          <w:highlight w:val="none"/>
        </w:rPr>
      </w:pPr>
      <w:r>
        <w:rPr>
          <w:rFonts w:ascii="仿宋" w:hAnsi="仿宋" w:eastAsia="仿宋"/>
          <w:color w:val="auto"/>
          <w:sz w:val="24"/>
          <w:highlight w:val="none"/>
        </w:rPr>
        <w:t>3.4</w:t>
      </w:r>
      <w:r>
        <w:rPr>
          <w:rFonts w:hint="eastAsia" w:ascii="仿宋" w:hAnsi="仿宋" w:eastAsia="仿宋"/>
          <w:bCs/>
          <w:color w:val="auto"/>
          <w:sz w:val="24"/>
          <w:highlight w:val="none"/>
        </w:rPr>
        <w:t>支持创新发展</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3.4.1 采购人优先采购被认定</w:t>
      </w:r>
      <w:r>
        <w:rPr>
          <w:rFonts w:hint="eastAsia" w:ascii="仿宋" w:hAnsi="仿宋" w:eastAsia="仿宋"/>
          <w:color w:val="auto"/>
          <w:sz w:val="24"/>
          <w:highlight w:val="none"/>
        </w:rPr>
        <w:t>为首台套产品和“制造精品”的自主创新产品。</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3.4.2首台套产品</w:t>
      </w:r>
      <w:r>
        <w:rPr>
          <w:rFonts w:hint="eastAsia" w:ascii="仿宋" w:hAnsi="仿宋" w:eastAsia="仿宋"/>
          <w:color w:val="auto"/>
          <w:sz w:val="24"/>
          <w:highlight w:val="none"/>
        </w:rPr>
        <w:t>被纳入《首台套产品推广应用指导目录》之日起</w:t>
      </w:r>
      <w:r>
        <w:rPr>
          <w:rFonts w:ascii="仿宋" w:hAnsi="仿宋" w:eastAsia="仿宋"/>
          <w:color w:val="auto"/>
          <w:sz w:val="24"/>
          <w:highlight w:val="none"/>
        </w:rPr>
        <w:t>2年内，以及产品核心技术高于国内领先水平，并具有明晰自主知识产权的“制造精品”产品，</w:t>
      </w:r>
      <w:r>
        <w:rPr>
          <w:rFonts w:hint="eastAsia" w:ascii="仿宋" w:hAnsi="仿宋" w:eastAsia="仿宋"/>
          <w:color w:val="auto"/>
          <w:sz w:val="24"/>
          <w:highlight w:val="none"/>
        </w:rPr>
        <w:t>自认定之日起</w:t>
      </w:r>
      <w:r>
        <w:rPr>
          <w:rFonts w:ascii="仿宋" w:hAnsi="仿宋" w:eastAsia="仿宋"/>
          <w:color w:val="auto"/>
          <w:sz w:val="24"/>
          <w:highlight w:val="none"/>
        </w:rPr>
        <w:t>2年内视同已具备相应销售业绩，参加政府采购活动</w:t>
      </w:r>
      <w:r>
        <w:rPr>
          <w:rFonts w:hint="eastAsia" w:ascii="仿宋" w:hAnsi="仿宋" w:eastAsia="仿宋"/>
          <w:color w:val="auto"/>
          <w:sz w:val="24"/>
          <w:highlight w:val="none"/>
        </w:rPr>
        <w:t>时业绩分值为满分。</w:t>
      </w:r>
    </w:p>
    <w:p>
      <w:pPr>
        <w:spacing w:line="360" w:lineRule="auto"/>
        <w:ind w:firstLine="420"/>
        <w:rPr>
          <w:rFonts w:ascii="仿宋" w:hAnsi="仿宋" w:eastAsia="仿宋"/>
          <w:color w:val="auto"/>
          <w:sz w:val="24"/>
          <w:highlight w:val="none"/>
        </w:rPr>
      </w:pPr>
      <w:r>
        <w:rPr>
          <w:rFonts w:ascii="仿宋" w:hAnsi="仿宋" w:eastAsia="仿宋"/>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 w:hAnsi="仿宋" w:eastAsia="仿宋"/>
          <w:color w:val="auto"/>
          <w:sz w:val="24"/>
          <w:highlight w:val="none"/>
        </w:rPr>
        <w:t>登录</w:t>
      </w:r>
      <w:r>
        <w:rPr>
          <w:rFonts w:ascii="仿宋" w:hAnsi="仿宋" w:eastAsia="仿宋"/>
          <w:color w:val="auto"/>
          <w:sz w:val="24"/>
          <w:highlight w:val="none"/>
        </w:rPr>
        <w:t>杭州市政府采购网“中小企业信用融资”模块，查看信用融资政策文件及各相关银行服务方案。</w:t>
      </w:r>
      <w:r>
        <w:rPr>
          <w:rFonts w:ascii="仿宋" w:hAnsi="仿宋" w:eastAsia="仿宋"/>
          <w:color w:val="auto"/>
          <w:sz w:val="24"/>
          <w:highlight w:val="none"/>
        </w:rPr>
        <w:cr/>
      </w:r>
    </w:p>
    <w:p>
      <w:pPr>
        <w:spacing w:line="360" w:lineRule="auto"/>
        <w:rPr>
          <w:rFonts w:ascii="仿宋" w:hAnsi="仿宋" w:eastAsia="仿宋"/>
          <w:b/>
          <w:color w:val="auto"/>
          <w:sz w:val="24"/>
          <w:highlight w:val="none"/>
        </w:rPr>
      </w:pPr>
      <w:r>
        <w:rPr>
          <w:rFonts w:ascii="仿宋" w:hAnsi="仿宋" w:eastAsia="仿宋"/>
          <w:b/>
          <w:color w:val="auto"/>
          <w:sz w:val="24"/>
          <w:highlight w:val="none"/>
        </w:rPr>
        <w:t xml:space="preserve">4. </w:t>
      </w:r>
      <w:r>
        <w:rPr>
          <w:rFonts w:hint="eastAsia" w:ascii="仿宋" w:hAnsi="仿宋" w:eastAsia="仿宋"/>
          <w:b/>
          <w:color w:val="auto"/>
          <w:sz w:val="24"/>
          <w:highlight w:val="none"/>
        </w:rPr>
        <w:t>询问、质疑、投诉</w:t>
      </w:r>
    </w:p>
    <w:p>
      <w:pPr>
        <w:autoSpaceDE w:val="0"/>
        <w:autoSpaceDN w:val="0"/>
        <w:spacing w:line="360" w:lineRule="auto"/>
        <w:ind w:firstLine="420"/>
        <w:jc w:val="left"/>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4.1供应商询问</w:t>
      </w:r>
    </w:p>
    <w:p>
      <w:pPr>
        <w:autoSpaceDE w:val="0"/>
        <w:autoSpaceDN w:val="0"/>
        <w:spacing w:line="360" w:lineRule="auto"/>
        <w:ind w:firstLine="480" w:firstLineChars="200"/>
        <w:jc w:val="left"/>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供应商对政府采购活动事项有疑问的，可以提出询问，采购人或者采购代理机构应当在</w:t>
      </w:r>
      <w:r>
        <w:rPr>
          <w:rFonts w:ascii="仿宋" w:hAnsi="仿宋" w:eastAsia="仿宋" w:cs="微软雅黑"/>
          <w:color w:val="auto"/>
          <w:kern w:val="0"/>
          <w:sz w:val="24"/>
          <w:highlight w:val="none"/>
          <w:lang w:val="zh-CN"/>
        </w:rPr>
        <w:t>3个工作日内对供应</w:t>
      </w:r>
      <w:r>
        <w:rPr>
          <w:rFonts w:hint="eastAsia" w:ascii="仿宋" w:hAnsi="仿宋" w:eastAsia="仿宋"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20"/>
        <w:jc w:val="left"/>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4.2供应商质疑</w:t>
      </w:r>
    </w:p>
    <w:p>
      <w:pPr>
        <w:pStyle w:val="36"/>
        <w:spacing w:line="360" w:lineRule="auto"/>
        <w:ind w:firstLine="480" w:firstLineChars="200"/>
        <w:rPr>
          <w:rFonts w:ascii="仿宋" w:hAnsi="仿宋" w:eastAsia="仿宋"/>
          <w:color w:val="auto"/>
          <w:sz w:val="24"/>
          <w:highlight w:val="none"/>
        </w:rPr>
      </w:pPr>
      <w:r>
        <w:rPr>
          <w:rFonts w:ascii="仿宋" w:hAnsi="仿宋" w:eastAsia="仿宋" w:cs="微软雅黑"/>
          <w:color w:val="auto"/>
          <w:kern w:val="0"/>
          <w:sz w:val="24"/>
          <w:highlight w:val="none"/>
          <w:lang w:val="zh-CN"/>
        </w:rPr>
        <w:t>4.2</w:t>
      </w:r>
      <w:r>
        <w:rPr>
          <w:rFonts w:ascii="仿宋" w:hAnsi="仿宋" w:eastAsia="仿宋"/>
          <w:color w:val="auto"/>
          <w:sz w:val="24"/>
          <w:highlight w:val="none"/>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ascii="仿宋" w:hAnsi="仿宋" w:eastAsia="仿宋"/>
          <w:color w:val="auto"/>
          <w:sz w:val="24"/>
          <w:highlight w:val="none"/>
        </w:rPr>
      </w:pPr>
      <w:r>
        <w:rPr>
          <w:rFonts w:ascii="仿宋" w:hAnsi="仿宋" w:eastAsia="仿宋" w:cs="微软雅黑"/>
          <w:color w:val="auto"/>
          <w:kern w:val="0"/>
          <w:sz w:val="24"/>
          <w:highlight w:val="none"/>
          <w:lang w:val="zh-CN"/>
        </w:rPr>
        <w:t>4.2</w:t>
      </w:r>
      <w:r>
        <w:rPr>
          <w:rFonts w:ascii="仿宋" w:hAnsi="仿宋" w:eastAsia="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ascii="仿宋" w:hAnsi="仿宋" w:eastAsia="仿宋"/>
          <w:color w:val="auto"/>
          <w:kern w:val="2"/>
          <w:sz w:val="24"/>
          <w:highlight w:val="none"/>
        </w:rPr>
      </w:pPr>
      <w:r>
        <w:rPr>
          <w:rFonts w:ascii="仿宋" w:hAnsi="仿宋" w:eastAsia="仿宋"/>
          <w:color w:val="auto"/>
          <w:kern w:val="2"/>
          <w:sz w:val="24"/>
          <w:highlight w:val="none"/>
        </w:rPr>
        <w:t>4.2.2.1对招标文件提出质疑的，质疑期限为供应商获得招标文件之日或者招标文件公告期限届满之日起计算。</w:t>
      </w:r>
    </w:p>
    <w:p>
      <w:pPr>
        <w:pStyle w:val="36"/>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4.2.2.2对采购过程提出质疑的，质疑期限为各采购程序环节结束之日起计算。对同一采购程序环节的质疑，供应商须一次性提出。</w:t>
      </w:r>
    </w:p>
    <w:p>
      <w:pPr>
        <w:pStyle w:val="36"/>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4.2.2.3对采购结果提出质疑的，质疑期限自采购结果公告期限届满之日起计算。</w:t>
      </w:r>
    </w:p>
    <w:p>
      <w:pPr>
        <w:pStyle w:val="36"/>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w:t>
      </w:r>
      <w:r>
        <w:rPr>
          <w:rFonts w:hint="eastAsia" w:ascii="仿宋" w:hAnsi="仿宋" w:eastAsia="仿宋"/>
          <w:color w:val="auto"/>
          <w:sz w:val="24"/>
          <w:highlight w:val="none"/>
        </w:rPr>
        <w:t>供应商提出质疑应当提交质疑函和必要的证明材料。质疑函应当包括下列内容：</w:t>
      </w:r>
    </w:p>
    <w:p>
      <w:pPr>
        <w:pStyle w:val="36"/>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4.2.3.1</w:t>
      </w:r>
      <w:r>
        <w:rPr>
          <w:rFonts w:hint="eastAsia" w:ascii="仿宋" w:hAnsi="仿宋" w:eastAsia="仿宋" w:cs="微软雅黑"/>
          <w:color w:val="auto"/>
          <w:kern w:val="0"/>
          <w:sz w:val="24"/>
          <w:highlight w:val="none"/>
          <w:lang w:val="zh-CN"/>
        </w:rPr>
        <w:t>供应商的姓名或者名称、地址、邮编、联系人及联系电话；</w:t>
      </w:r>
    </w:p>
    <w:p>
      <w:pPr>
        <w:pStyle w:val="36"/>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4.2.3.2</w:t>
      </w:r>
      <w:r>
        <w:rPr>
          <w:rFonts w:hint="eastAsia" w:ascii="仿宋" w:hAnsi="仿宋" w:eastAsia="仿宋" w:cs="微软雅黑"/>
          <w:color w:val="auto"/>
          <w:kern w:val="0"/>
          <w:sz w:val="24"/>
          <w:highlight w:val="none"/>
          <w:lang w:val="zh-CN"/>
        </w:rPr>
        <w:t>质疑项目的名称、编号；</w:t>
      </w:r>
    </w:p>
    <w:p>
      <w:pPr>
        <w:pStyle w:val="36"/>
        <w:spacing w:line="360" w:lineRule="auto"/>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　</w:t>
      </w:r>
      <w:r>
        <w:rPr>
          <w:rFonts w:hint="eastAsia" w:ascii="仿宋" w:hAnsi="仿宋" w:eastAsia="仿宋" w:cs="微软雅黑"/>
          <w:color w:val="auto"/>
          <w:kern w:val="0"/>
          <w:sz w:val="24"/>
          <w:highlight w:val="none"/>
        </w:rPr>
        <w:t xml:space="preserve">  </w:t>
      </w:r>
      <w:r>
        <w:rPr>
          <w:rFonts w:ascii="仿宋" w:hAnsi="仿宋" w:eastAsia="仿宋" w:cs="微软雅黑"/>
          <w:color w:val="auto"/>
          <w:kern w:val="0"/>
          <w:sz w:val="24"/>
          <w:highlight w:val="none"/>
          <w:lang w:val="zh-CN"/>
        </w:rPr>
        <w:t>4.2.3.3</w:t>
      </w:r>
      <w:r>
        <w:rPr>
          <w:rFonts w:hint="eastAsia" w:ascii="仿宋" w:hAnsi="仿宋" w:eastAsia="仿宋" w:cs="微软雅黑"/>
          <w:color w:val="auto"/>
          <w:kern w:val="0"/>
          <w:sz w:val="24"/>
          <w:highlight w:val="none"/>
          <w:lang w:val="zh-CN"/>
        </w:rPr>
        <w:t>具体、明确的质疑事项和与质疑事项相关的请求；</w:t>
      </w:r>
    </w:p>
    <w:p>
      <w:pPr>
        <w:pStyle w:val="36"/>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4.2.3.4</w:t>
      </w:r>
      <w:r>
        <w:rPr>
          <w:rFonts w:hint="eastAsia" w:ascii="仿宋" w:hAnsi="仿宋" w:eastAsia="仿宋" w:cs="微软雅黑"/>
          <w:color w:val="auto"/>
          <w:kern w:val="0"/>
          <w:sz w:val="24"/>
          <w:highlight w:val="none"/>
          <w:lang w:val="zh-CN"/>
        </w:rPr>
        <w:t>事实依据；</w:t>
      </w:r>
    </w:p>
    <w:p>
      <w:pPr>
        <w:pStyle w:val="36"/>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4.2.3.5</w:t>
      </w:r>
      <w:r>
        <w:rPr>
          <w:rFonts w:hint="eastAsia" w:ascii="仿宋" w:hAnsi="仿宋" w:eastAsia="仿宋" w:cs="微软雅黑"/>
          <w:color w:val="auto"/>
          <w:kern w:val="0"/>
          <w:sz w:val="24"/>
          <w:highlight w:val="none"/>
          <w:lang w:val="zh-CN"/>
        </w:rPr>
        <w:t>必要的法律依据；</w:t>
      </w:r>
    </w:p>
    <w:p>
      <w:pPr>
        <w:pStyle w:val="36"/>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4.2.3.6</w:t>
      </w:r>
      <w:r>
        <w:rPr>
          <w:rFonts w:hint="eastAsia" w:ascii="仿宋" w:hAnsi="仿宋" w:eastAsia="仿宋" w:cs="微软雅黑"/>
          <w:color w:val="auto"/>
          <w:kern w:val="0"/>
          <w:sz w:val="24"/>
          <w:highlight w:val="none"/>
          <w:lang w:val="zh-CN"/>
        </w:rPr>
        <w:t>提出质疑的日期。</w:t>
      </w:r>
    </w:p>
    <w:p>
      <w:pPr>
        <w:pStyle w:val="572"/>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20"/>
        <w:contextualSpacing/>
        <w:rPr>
          <w:rFonts w:ascii="仿宋" w:hAnsi="仿宋" w:eastAsia="仿宋"/>
          <w:color w:val="auto"/>
          <w:highlight w:val="none"/>
        </w:rPr>
      </w:pPr>
      <w:r>
        <w:rPr>
          <w:rFonts w:hint="eastAsia" w:ascii="仿宋" w:hAnsi="仿宋" w:eastAsia="仿宋"/>
          <w:color w:val="auto"/>
          <w:highlight w:val="none"/>
        </w:rPr>
        <w:t>质疑函范本及制作说明详见附件</w:t>
      </w:r>
      <w:r>
        <w:rPr>
          <w:rFonts w:ascii="仿宋" w:hAnsi="仿宋" w:eastAsia="仿宋"/>
          <w:color w:val="auto"/>
          <w:highlight w:val="none"/>
        </w:rPr>
        <w:t>2。</w:t>
      </w:r>
    </w:p>
    <w:p>
      <w:pPr>
        <w:pStyle w:val="572"/>
        <w:shd w:val="clear" w:color="auto" w:fill="FFFFFF"/>
        <w:snapToGrid w:val="0"/>
        <w:spacing w:after="240" w:afterAutospacing="0" w:line="360" w:lineRule="auto"/>
        <w:ind w:firstLine="420"/>
        <w:contextualSpacing/>
        <w:rPr>
          <w:rFonts w:ascii="仿宋" w:hAnsi="仿宋" w:eastAsia="仿宋"/>
          <w:color w:val="auto"/>
          <w:highlight w:val="none"/>
        </w:rPr>
      </w:pPr>
      <w:r>
        <w:rPr>
          <w:rFonts w:ascii="仿宋" w:hAnsi="仿宋" w:eastAsia="仿宋" w:cs="微软雅黑"/>
          <w:color w:val="auto"/>
          <w:highlight w:val="none"/>
          <w:lang w:val="zh-CN"/>
        </w:rPr>
        <w:t>4.2</w:t>
      </w:r>
      <w:r>
        <w:rPr>
          <w:rFonts w:ascii="仿宋" w:hAnsi="仿宋" w:eastAsia="仿宋"/>
          <w:color w:val="auto"/>
          <w:highlight w:val="none"/>
        </w:rPr>
        <w:t>.4</w:t>
      </w:r>
      <w:r>
        <w:rPr>
          <w:rFonts w:hint="eastAsia" w:ascii="仿宋" w:hAnsi="仿宋" w:eastAsia="仿宋"/>
          <w:color w:val="auto"/>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olor w:val="auto"/>
          <w:highlight w:val="none"/>
        </w:rPr>
        <w:t>2021〕17号）,</w:t>
      </w:r>
      <w:r>
        <w:rPr>
          <w:rFonts w:hint="eastAsia" w:ascii="仿宋" w:hAnsi="仿宋" w:eastAsia="仿宋"/>
          <w:color w:val="auto"/>
          <w:highlight w:val="none"/>
        </w:rPr>
        <w:t>采购人或者采购代理机构在质疑回复后</w:t>
      </w:r>
      <w:r>
        <w:rPr>
          <w:rFonts w:ascii="仿宋" w:hAnsi="仿宋" w:eastAsia="仿宋"/>
          <w:color w:val="auto"/>
          <w:highlight w:val="none"/>
        </w:rPr>
        <w:t>5个工作日内，在浙江政府采购网的“其他公告”栏目公开质疑答复，答复内容应当完整。质疑</w:t>
      </w:r>
      <w:r>
        <w:rPr>
          <w:rFonts w:hint="eastAsia" w:ascii="仿宋" w:hAnsi="仿宋" w:eastAsia="仿宋"/>
          <w:color w:val="auto"/>
          <w:highlight w:val="none"/>
        </w:rPr>
        <w:t>函作为附件上传。</w:t>
      </w:r>
    </w:p>
    <w:p>
      <w:pPr>
        <w:pStyle w:val="572"/>
        <w:shd w:val="clear" w:color="auto" w:fill="FFFFFF"/>
        <w:snapToGrid w:val="0"/>
        <w:spacing w:after="240" w:afterAutospacing="0" w:line="360" w:lineRule="auto"/>
        <w:ind w:firstLine="420"/>
        <w:contextualSpacing/>
        <w:rPr>
          <w:rFonts w:ascii="仿宋" w:hAnsi="仿宋" w:eastAsia="仿宋"/>
          <w:color w:val="auto"/>
          <w:highlight w:val="none"/>
        </w:rPr>
      </w:pPr>
      <w:r>
        <w:rPr>
          <w:rFonts w:ascii="仿宋" w:hAnsi="仿宋" w:eastAsia="仿宋" w:cs="微软雅黑"/>
          <w:color w:val="auto"/>
          <w:highlight w:val="none"/>
          <w:lang w:val="zh-CN"/>
        </w:rPr>
        <w:t>4.2</w:t>
      </w:r>
      <w:r>
        <w:rPr>
          <w:rFonts w:ascii="仿宋" w:hAnsi="仿宋" w:eastAsia="仿宋"/>
          <w:color w:val="auto"/>
          <w:highlight w:val="none"/>
        </w:rPr>
        <w:t>.5询问或者质疑事项可能影响采购结果的，采购人应当暂停签订合同，已经签订合同的，应当中止履行合同。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20"/>
        <w:contextualSpacing/>
        <w:rPr>
          <w:rFonts w:ascii="仿宋" w:hAnsi="仿宋" w:eastAsia="仿宋" w:cs="微软雅黑"/>
          <w:color w:val="auto"/>
          <w:highlight w:val="none"/>
          <w:lang w:val="zh-CN"/>
        </w:rPr>
      </w:pPr>
      <w:r>
        <w:rPr>
          <w:rFonts w:ascii="仿宋" w:hAnsi="仿宋" w:eastAsia="仿宋" w:cs="微软雅黑"/>
          <w:color w:val="auto"/>
          <w:highlight w:val="none"/>
          <w:lang w:val="zh-CN"/>
        </w:rPr>
        <w:t>4.3供应商投诉</w:t>
      </w:r>
    </w:p>
    <w:p>
      <w:pPr>
        <w:pStyle w:val="572"/>
        <w:shd w:val="clear" w:color="auto" w:fill="FFFFFF"/>
        <w:snapToGrid w:val="0"/>
        <w:spacing w:after="240" w:afterAutospacing="0" w:line="360" w:lineRule="auto"/>
        <w:ind w:firstLine="400"/>
        <w:contextualSpacing/>
        <w:rPr>
          <w:rFonts w:ascii="仿宋" w:hAnsi="仿宋" w:eastAsia="仿宋"/>
          <w:color w:val="auto"/>
          <w:highlight w:val="none"/>
        </w:rPr>
      </w:pPr>
      <w:r>
        <w:rPr>
          <w:rFonts w:ascii="仿宋" w:hAnsi="仿宋" w:eastAsia="仿宋"/>
          <w:color w:val="auto"/>
          <w:highlight w:val="none"/>
        </w:rPr>
        <w:t>4.3.1质疑供应商对采购人、采购代理机构的答复不满意或者采购人、采购代理机构未在规定的时间内</w:t>
      </w:r>
      <w:r>
        <w:rPr>
          <w:rFonts w:hint="eastAsia" w:ascii="仿宋" w:hAnsi="仿宋" w:eastAsia="仿宋"/>
          <w:color w:val="auto"/>
          <w:highlight w:val="none"/>
        </w:rPr>
        <w:t>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ascii="仿宋" w:hAnsi="仿宋" w:eastAsia="仿宋"/>
          <w:color w:val="auto"/>
          <w:highlight w:val="none"/>
        </w:rPr>
      </w:pPr>
      <w:r>
        <w:rPr>
          <w:rFonts w:ascii="仿宋" w:hAnsi="仿宋" w:eastAsia="仿宋"/>
          <w:color w:val="auto"/>
          <w:highlight w:val="none"/>
        </w:rPr>
        <w:t>4.3.</w:t>
      </w:r>
      <w:r>
        <w:rPr>
          <w:rFonts w:ascii="仿宋" w:hAnsi="仿宋" w:eastAsia="仿宋" w:cs="微软雅黑"/>
          <w:color w:val="auto"/>
          <w:highlight w:val="none"/>
          <w:lang w:val="zh-CN"/>
        </w:rPr>
        <w:t>2</w:t>
      </w:r>
      <w:r>
        <w:rPr>
          <w:rFonts w:hint="eastAsia" w:ascii="仿宋" w:hAnsi="仿宋" w:eastAsia="仿宋"/>
          <w:color w:val="auto"/>
          <w:highlight w:val="none"/>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ascii="仿宋" w:hAnsi="仿宋" w:eastAsia="仿宋"/>
          <w:color w:val="auto"/>
          <w:highlight w:val="none"/>
        </w:rPr>
      </w:pPr>
      <w:r>
        <w:rPr>
          <w:rFonts w:ascii="仿宋" w:hAnsi="仿宋" w:eastAsia="仿宋"/>
          <w:color w:val="auto"/>
          <w:highlight w:val="none"/>
        </w:rPr>
        <w:t>4.3.3供应</w:t>
      </w:r>
      <w:r>
        <w:rPr>
          <w:rFonts w:hint="eastAsia" w:ascii="仿宋" w:hAnsi="仿宋" w:eastAsia="仿宋"/>
          <w:color w:val="auto"/>
          <w:highlight w:val="none"/>
        </w:rPr>
        <w:t>商投诉应当有明确的请求和必要的证明材料。</w:t>
      </w:r>
    </w:p>
    <w:p>
      <w:pPr>
        <w:pStyle w:val="572"/>
        <w:shd w:val="clear" w:color="auto" w:fill="FFFFFF"/>
        <w:snapToGrid w:val="0"/>
        <w:spacing w:after="240" w:afterAutospacing="0" w:line="360" w:lineRule="auto"/>
        <w:ind w:firstLine="400"/>
        <w:contextualSpacing/>
        <w:rPr>
          <w:rFonts w:ascii="仿宋" w:hAnsi="仿宋" w:eastAsia="仿宋"/>
          <w:color w:val="auto"/>
          <w:highlight w:val="none"/>
        </w:rPr>
      </w:pPr>
      <w:r>
        <w:rPr>
          <w:rFonts w:ascii="仿宋" w:hAnsi="仿宋" w:eastAsia="仿宋"/>
          <w:color w:val="auto"/>
          <w:highlight w:val="none"/>
        </w:rPr>
        <w:t>4.3.</w:t>
      </w:r>
      <w:r>
        <w:rPr>
          <w:rFonts w:hint="eastAsia" w:ascii="仿宋" w:hAnsi="仿宋" w:eastAsia="仿宋"/>
          <w:color w:val="auto"/>
          <w:highlight w:val="none"/>
        </w:rPr>
        <w:t>4以联合体形式参加政府采购活动的，其投诉应当由组成联合体的所有供应商共同提出。</w:t>
      </w:r>
    </w:p>
    <w:p>
      <w:pPr>
        <w:pStyle w:val="572"/>
        <w:shd w:val="clear" w:color="auto" w:fill="FFFFFF"/>
        <w:snapToGrid w:val="0"/>
        <w:spacing w:after="240" w:afterAutospacing="0" w:line="360" w:lineRule="auto"/>
        <w:ind w:firstLine="420"/>
        <w:contextualSpacing/>
        <w:rPr>
          <w:rFonts w:ascii="仿宋" w:hAnsi="仿宋" w:eastAsia="仿宋"/>
          <w:color w:val="auto"/>
          <w:highlight w:val="none"/>
        </w:rPr>
      </w:pPr>
      <w:r>
        <w:rPr>
          <w:rFonts w:hint="eastAsia" w:ascii="仿宋" w:hAnsi="仿宋" w:eastAsia="仿宋"/>
          <w:color w:val="auto"/>
          <w:highlight w:val="none"/>
        </w:rPr>
        <w:t>投诉书范本及制作说明详见附件</w:t>
      </w:r>
      <w:r>
        <w:rPr>
          <w:rFonts w:ascii="仿宋" w:hAnsi="仿宋" w:eastAsia="仿宋"/>
          <w:color w:val="auto"/>
          <w:highlight w:val="none"/>
        </w:rPr>
        <w:t>3。</w:t>
      </w:r>
    </w:p>
    <w:p>
      <w:pPr>
        <w:adjustRightInd/>
        <w:spacing w:line="360" w:lineRule="auto"/>
        <w:outlineLvl w:val="0"/>
        <w:rPr>
          <w:rFonts w:ascii="仿宋" w:hAnsi="仿宋" w:eastAsia="仿宋" w:cs="仿宋_GB2312"/>
          <w:b/>
          <w:color w:val="auto"/>
          <w:sz w:val="32"/>
          <w:szCs w:val="20"/>
          <w:highlight w:val="none"/>
        </w:rPr>
      </w:pPr>
    </w:p>
    <w:p>
      <w:pPr>
        <w:adjustRightInd/>
        <w:spacing w:line="360" w:lineRule="auto"/>
        <w:jc w:val="center"/>
        <w:outlineLvl w:val="0"/>
        <w:rPr>
          <w:rFonts w:ascii="仿宋" w:hAnsi="仿宋" w:eastAsia="仿宋" w:cs="仿宋_GB2312"/>
          <w:b/>
          <w:color w:val="auto"/>
          <w:sz w:val="32"/>
          <w:szCs w:val="20"/>
          <w:highlight w:val="none"/>
        </w:rPr>
      </w:pPr>
      <w:r>
        <w:rPr>
          <w:rFonts w:ascii="仿宋" w:hAnsi="仿宋" w:eastAsia="仿宋" w:cs="仿宋_GB2312"/>
          <w:b/>
          <w:color w:val="auto"/>
          <w:sz w:val="32"/>
          <w:szCs w:val="20"/>
          <w:highlight w:val="none"/>
        </w:rPr>
        <w:t>二、招标文件的构成、澄清、修改</w:t>
      </w:r>
    </w:p>
    <w:p>
      <w:pPr>
        <w:pStyle w:val="36"/>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5．招标文件的构成</w:t>
      </w:r>
    </w:p>
    <w:p>
      <w:pPr>
        <w:pStyle w:val="36"/>
        <w:spacing w:line="360" w:lineRule="auto"/>
        <w:ind w:firstLine="42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 xml:space="preserve">5.1 </w:t>
      </w:r>
      <w:r>
        <w:rPr>
          <w:rFonts w:hint="eastAsia" w:ascii="仿宋" w:hAnsi="仿宋" w:eastAsia="仿宋" w:cs="仿宋_GB2312"/>
          <w:color w:val="auto"/>
          <w:sz w:val="24"/>
          <w:szCs w:val="24"/>
          <w:highlight w:val="none"/>
        </w:rPr>
        <w:t>招标文件包括下列文件及附件：</w:t>
      </w:r>
    </w:p>
    <w:p>
      <w:pPr>
        <w:pStyle w:val="36"/>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5.1.1招标公告；</w:t>
      </w:r>
    </w:p>
    <w:p>
      <w:pPr>
        <w:pStyle w:val="36"/>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5.1.2投标人须知；</w:t>
      </w:r>
    </w:p>
    <w:p>
      <w:pPr>
        <w:pStyle w:val="36"/>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5.1.3采购需求；</w:t>
      </w:r>
    </w:p>
    <w:p>
      <w:pPr>
        <w:pStyle w:val="36"/>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5.1.4评标</w:t>
      </w:r>
      <w:r>
        <w:rPr>
          <w:rFonts w:hint="eastAsia" w:ascii="仿宋" w:hAnsi="仿宋" w:eastAsia="仿宋" w:cs="仿宋_GB2312"/>
          <w:color w:val="auto"/>
          <w:sz w:val="24"/>
          <w:szCs w:val="24"/>
          <w:highlight w:val="none"/>
        </w:rPr>
        <w:t>办</w:t>
      </w:r>
      <w:r>
        <w:rPr>
          <w:rFonts w:ascii="仿宋" w:hAnsi="仿宋" w:eastAsia="仿宋" w:cs="仿宋_GB2312"/>
          <w:color w:val="auto"/>
          <w:sz w:val="24"/>
          <w:szCs w:val="24"/>
          <w:highlight w:val="none"/>
        </w:rPr>
        <w:t>法；</w:t>
      </w:r>
    </w:p>
    <w:p>
      <w:pPr>
        <w:pStyle w:val="36"/>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5.1.5</w:t>
      </w:r>
      <w:r>
        <w:rPr>
          <w:rFonts w:hint="eastAsia" w:ascii="仿宋" w:hAnsi="仿宋" w:eastAsia="仿宋" w:cs="仿宋_GB2312"/>
          <w:color w:val="auto"/>
          <w:sz w:val="24"/>
          <w:szCs w:val="24"/>
          <w:highlight w:val="none"/>
        </w:rPr>
        <w:t>拟签订的合同文本；</w:t>
      </w:r>
    </w:p>
    <w:p>
      <w:pPr>
        <w:pStyle w:val="36"/>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highlight w:val="none"/>
        </w:rPr>
        <w:t>5.1.6</w:t>
      </w:r>
      <w:r>
        <w:rPr>
          <w:rFonts w:hint="eastAsia" w:ascii="仿宋" w:hAnsi="仿宋" w:eastAsia="仿宋" w:cs="仿宋_GB2312"/>
          <w:color w:val="auto"/>
          <w:sz w:val="24"/>
          <w:szCs w:val="24"/>
          <w:highlight w:val="none"/>
        </w:rPr>
        <w:t>应提交的有关格式范例。</w:t>
      </w:r>
    </w:p>
    <w:p>
      <w:pPr>
        <w:spacing w:line="360" w:lineRule="auto"/>
        <w:ind w:firstLine="420"/>
        <w:rPr>
          <w:rFonts w:ascii="仿宋" w:hAnsi="仿宋" w:eastAsia="仿宋" w:cs="仿宋_GB2312"/>
          <w:color w:val="auto"/>
          <w:sz w:val="24"/>
          <w:highlight w:val="none"/>
        </w:rPr>
      </w:pPr>
      <w:r>
        <w:rPr>
          <w:rFonts w:ascii="仿宋" w:hAnsi="仿宋" w:eastAsia="仿宋"/>
          <w:color w:val="auto"/>
          <w:sz w:val="24"/>
          <w:highlight w:val="none"/>
        </w:rPr>
        <w:t>5.2与本项目有关的</w:t>
      </w:r>
      <w:r>
        <w:rPr>
          <w:rFonts w:hint="eastAsia" w:ascii="仿宋" w:hAnsi="仿宋" w:eastAsia="仿宋"/>
          <w:bCs/>
          <w:color w:val="auto"/>
          <w:sz w:val="24"/>
          <w:highlight w:val="none"/>
        </w:rPr>
        <w:t>澄清或者修改的内容为招标文件的组成部分</w:t>
      </w:r>
      <w:r>
        <w:rPr>
          <w:rFonts w:hint="eastAsia" w:ascii="仿宋" w:hAnsi="仿宋" w:eastAsia="仿宋" w:cs="仿宋_GB2312"/>
          <w:color w:val="auto"/>
          <w:sz w:val="24"/>
          <w:highlight w:val="none"/>
        </w:rPr>
        <w:t>。</w:t>
      </w:r>
    </w:p>
    <w:p>
      <w:pPr>
        <w:pStyle w:val="36"/>
        <w:spacing w:line="360" w:lineRule="auto"/>
        <w:rPr>
          <w:rFonts w:ascii="仿宋" w:hAnsi="仿宋" w:eastAsia="仿宋" w:cs="仿宋_GB2312"/>
          <w:b/>
          <w:color w:val="auto"/>
          <w:sz w:val="24"/>
          <w:szCs w:val="24"/>
          <w:highlight w:val="none"/>
        </w:rPr>
      </w:pPr>
    </w:p>
    <w:p>
      <w:pPr>
        <w:pStyle w:val="36"/>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 xml:space="preserve">6. </w:t>
      </w:r>
      <w:r>
        <w:rPr>
          <w:rFonts w:hint="eastAsia" w:ascii="仿宋" w:hAnsi="仿宋" w:eastAsia="仿宋" w:cs="仿宋_GB2312"/>
          <w:b/>
          <w:color w:val="auto"/>
          <w:sz w:val="24"/>
          <w:szCs w:val="24"/>
          <w:highlight w:val="none"/>
        </w:rPr>
        <w:t>招标文件的澄清、修改</w:t>
      </w:r>
    </w:p>
    <w:p>
      <w:pPr>
        <w:pStyle w:val="87"/>
        <w:snapToGrid w:val="0"/>
        <w:spacing w:before="0"/>
        <w:ind w:firstLine="420" w:firstLineChars="0"/>
        <w:rPr>
          <w:rFonts w:ascii="仿宋" w:hAnsi="仿宋" w:eastAsia="仿宋" w:cs="仿宋_GB2312"/>
          <w:color w:val="auto"/>
          <w:highlight w:val="none"/>
        </w:rPr>
      </w:pPr>
      <w:r>
        <w:rPr>
          <w:rFonts w:ascii="仿宋" w:hAnsi="仿宋" w:eastAsia="仿宋" w:cs="仿宋_GB2312"/>
          <w:color w:val="auto"/>
          <w:highlight w:val="none"/>
        </w:rPr>
        <w:t>6.1已获取招标文件的潜在投标人，若有问题需要澄清，应于投标截止时间前，以书面形式向采购代理机构提出。</w:t>
      </w:r>
    </w:p>
    <w:p>
      <w:pPr>
        <w:pStyle w:val="87"/>
        <w:snapToGrid w:val="0"/>
        <w:spacing w:before="0"/>
        <w:ind w:firstLine="420" w:firstLineChars="0"/>
        <w:rPr>
          <w:rFonts w:ascii="仿宋" w:hAnsi="仿宋" w:eastAsia="仿宋"/>
          <w:color w:val="auto"/>
          <w:highlight w:val="none"/>
        </w:rPr>
      </w:pPr>
      <w:r>
        <w:rPr>
          <w:rFonts w:ascii="仿宋" w:hAnsi="仿宋" w:eastAsia="仿宋"/>
          <w:color w:val="auto"/>
          <w:highlight w:val="none"/>
        </w:rPr>
        <w:t xml:space="preserve">6.2 </w:t>
      </w:r>
      <w:r>
        <w:rPr>
          <w:rFonts w:hint="eastAsia" w:ascii="仿宋" w:hAnsi="仿宋" w:eastAsia="仿宋"/>
          <w:color w:val="auto"/>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 w:hAnsi="仿宋" w:eastAsia="仿宋" w:cs="仿宋_GB2312"/>
          <w:color w:val="auto"/>
          <w:sz w:val="18"/>
          <w:szCs w:val="18"/>
          <w:highlight w:val="none"/>
          <w:lang w:val="en-US"/>
        </w:rPr>
      </w:pPr>
      <w:r>
        <w:rPr>
          <w:rFonts w:ascii="仿宋" w:hAnsi="仿宋" w:eastAsia="仿宋" w:cs="仿宋_GB2312"/>
          <w:color w:val="auto"/>
          <w:szCs w:val="24"/>
          <w:highlight w:val="none"/>
          <w:lang w:val="en-US"/>
        </w:rPr>
        <w:t xml:space="preserve">    </w:t>
      </w:r>
    </w:p>
    <w:p>
      <w:pPr>
        <w:adjustRightInd/>
        <w:spacing w:line="360" w:lineRule="auto"/>
        <w:jc w:val="center"/>
        <w:outlineLvl w:val="0"/>
        <w:rPr>
          <w:rFonts w:ascii="仿宋" w:hAnsi="仿宋" w:eastAsia="仿宋" w:cs="仿宋_GB2312"/>
          <w:b/>
          <w:color w:val="auto"/>
          <w:sz w:val="30"/>
          <w:szCs w:val="20"/>
          <w:highlight w:val="none"/>
        </w:rPr>
      </w:pPr>
      <w:r>
        <w:rPr>
          <w:rFonts w:hint="eastAsia" w:ascii="仿宋" w:hAnsi="仿宋" w:eastAsia="仿宋" w:cs="仿宋_GB2312"/>
          <w:b/>
          <w:color w:val="auto"/>
          <w:sz w:val="30"/>
          <w:szCs w:val="20"/>
          <w:highlight w:val="none"/>
        </w:rPr>
        <w:t>三、投标</w:t>
      </w:r>
    </w:p>
    <w:p>
      <w:pPr>
        <w:pStyle w:val="36"/>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 xml:space="preserve">7. </w:t>
      </w:r>
      <w:r>
        <w:rPr>
          <w:rFonts w:hint="eastAsia" w:ascii="仿宋" w:hAnsi="仿宋" w:eastAsia="仿宋" w:cs="仿宋_GB2312"/>
          <w:b/>
          <w:color w:val="auto"/>
          <w:sz w:val="24"/>
          <w:szCs w:val="24"/>
          <w:highlight w:val="none"/>
        </w:rPr>
        <w:t>招标文件的获取</w:t>
      </w:r>
    </w:p>
    <w:p>
      <w:pPr>
        <w:spacing w:line="360" w:lineRule="auto"/>
        <w:ind w:firstLine="420"/>
        <w:rPr>
          <w:rFonts w:ascii="仿宋" w:hAnsi="仿宋" w:eastAsia="仿宋" w:cs="仿宋_GB2312"/>
          <w:snapToGrid w:val="0"/>
          <w:color w:val="auto"/>
          <w:kern w:val="28"/>
          <w:sz w:val="24"/>
          <w:highlight w:val="none"/>
        </w:rPr>
      </w:pPr>
      <w:r>
        <w:rPr>
          <w:rFonts w:hint="eastAsia" w:ascii="仿宋" w:hAnsi="仿宋" w:eastAsia="仿宋" w:cs="仿宋_GB2312"/>
          <w:snapToGrid w:val="0"/>
          <w:color w:val="auto"/>
          <w:kern w:val="28"/>
          <w:sz w:val="24"/>
          <w:highlight w:val="none"/>
        </w:rPr>
        <w:t>详见招标公告中获取招标文件的时间期限、地点、方式及招标文件售价。</w:t>
      </w:r>
    </w:p>
    <w:p>
      <w:pPr>
        <w:pStyle w:val="36"/>
        <w:spacing w:line="360" w:lineRule="auto"/>
        <w:rPr>
          <w:rFonts w:ascii="仿宋" w:hAnsi="仿宋" w:eastAsia="仿宋" w:cs="仿宋_GB2312"/>
          <w:b/>
          <w:color w:val="auto"/>
          <w:sz w:val="24"/>
          <w:szCs w:val="24"/>
          <w:highlight w:val="none"/>
        </w:rPr>
      </w:pPr>
    </w:p>
    <w:p>
      <w:pPr>
        <w:pStyle w:val="36"/>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8.开标前答疑会或现场考察</w:t>
      </w:r>
    </w:p>
    <w:p>
      <w:pPr>
        <w:pStyle w:val="36"/>
        <w:spacing w:line="360" w:lineRule="auto"/>
        <w:ind w:firstLine="420"/>
        <w:rPr>
          <w:rFonts w:ascii="仿宋" w:hAnsi="仿宋" w:eastAsia="仿宋"/>
          <w:color w:val="auto"/>
          <w:sz w:val="24"/>
          <w:szCs w:val="24"/>
          <w:highlight w:val="none"/>
        </w:rPr>
      </w:pPr>
      <w:r>
        <w:rPr>
          <w:rFonts w:hint="eastAsia" w:ascii="仿宋" w:hAnsi="仿宋" w:eastAsia="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6"/>
        <w:spacing w:line="360" w:lineRule="auto"/>
        <w:rPr>
          <w:rFonts w:ascii="仿宋" w:hAnsi="仿宋" w:eastAsia="仿宋"/>
          <w:b/>
          <w:color w:val="auto"/>
          <w:kern w:val="28"/>
          <w:sz w:val="24"/>
          <w:szCs w:val="24"/>
          <w:highlight w:val="none"/>
        </w:rPr>
      </w:pPr>
    </w:p>
    <w:p>
      <w:pPr>
        <w:pStyle w:val="36"/>
        <w:spacing w:line="360" w:lineRule="auto"/>
        <w:rPr>
          <w:rFonts w:ascii="仿宋" w:hAnsi="仿宋" w:eastAsia="仿宋" w:cs="仿宋_GB2312"/>
          <w:b/>
          <w:color w:val="auto"/>
          <w:szCs w:val="24"/>
          <w:highlight w:val="none"/>
        </w:rPr>
      </w:pPr>
      <w:r>
        <w:rPr>
          <w:rFonts w:ascii="仿宋" w:hAnsi="仿宋" w:eastAsia="仿宋"/>
          <w:b/>
          <w:color w:val="auto"/>
          <w:kern w:val="28"/>
          <w:sz w:val="24"/>
          <w:szCs w:val="24"/>
          <w:highlight w:val="none"/>
        </w:rPr>
        <w:t>9.投标保证金</w:t>
      </w:r>
    </w:p>
    <w:p>
      <w:pPr>
        <w:pStyle w:val="6"/>
        <w:spacing w:line="360" w:lineRule="auto"/>
        <w:ind w:firstLine="470" w:firstLineChars="196"/>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本项目不需缴纳投标保证金。</w:t>
      </w:r>
    </w:p>
    <w:p>
      <w:pPr>
        <w:pStyle w:val="36"/>
        <w:spacing w:line="360" w:lineRule="auto"/>
        <w:rPr>
          <w:rFonts w:ascii="仿宋" w:hAnsi="仿宋" w:eastAsia="仿宋" w:cs="仿宋_GB2312"/>
          <w:b/>
          <w:color w:val="auto"/>
          <w:sz w:val="24"/>
          <w:szCs w:val="24"/>
          <w:highlight w:val="none"/>
        </w:rPr>
      </w:pPr>
    </w:p>
    <w:p>
      <w:pPr>
        <w:pStyle w:val="36"/>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 xml:space="preserve">10. </w:t>
      </w:r>
      <w:r>
        <w:rPr>
          <w:rFonts w:hint="eastAsia" w:ascii="仿宋" w:hAnsi="仿宋" w:eastAsia="仿宋" w:cs="仿宋_GB2312"/>
          <w:b/>
          <w:color w:val="auto"/>
          <w:sz w:val="24"/>
          <w:szCs w:val="24"/>
          <w:highlight w:val="none"/>
        </w:rPr>
        <w:t>投标文件的语言</w:t>
      </w:r>
    </w:p>
    <w:p>
      <w:pPr>
        <w:autoSpaceDE w:val="0"/>
        <w:autoSpaceDN w:val="0"/>
        <w:spacing w:line="360" w:lineRule="auto"/>
        <w:ind w:firstLine="480" w:firstLineChars="200"/>
        <w:rPr>
          <w:rFonts w:ascii="仿宋" w:hAnsi="仿宋" w:eastAsia="仿宋" w:cs="仿宋_GB2312"/>
          <w:color w:val="auto"/>
          <w:sz w:val="24"/>
          <w:highlight w:val="none"/>
          <w:lang w:val="zh-CN"/>
        </w:rPr>
      </w:pPr>
      <w:r>
        <w:rPr>
          <w:rFonts w:hint="eastAsia" w:ascii="仿宋" w:hAnsi="仿宋" w:eastAsia="仿宋" w:cs="仿宋_GB2312"/>
          <w:color w:val="auto"/>
          <w:sz w:val="24"/>
          <w:highlight w:val="none"/>
        </w:rPr>
        <w:t>投标文件及投标人与采购有关的来往通知、函件和文件均应使用中文。</w:t>
      </w:r>
    </w:p>
    <w:p>
      <w:pPr>
        <w:pStyle w:val="36"/>
        <w:spacing w:line="360" w:lineRule="auto"/>
        <w:rPr>
          <w:rFonts w:ascii="仿宋" w:hAnsi="仿宋" w:eastAsia="仿宋" w:cs="仿宋_GB2312"/>
          <w:b/>
          <w:color w:val="auto"/>
          <w:sz w:val="24"/>
          <w:szCs w:val="24"/>
          <w:highlight w:val="none"/>
        </w:rPr>
      </w:pPr>
    </w:p>
    <w:p>
      <w:pPr>
        <w:pStyle w:val="36"/>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 xml:space="preserve">11. </w:t>
      </w:r>
      <w:r>
        <w:rPr>
          <w:rFonts w:hint="eastAsia" w:ascii="仿宋" w:hAnsi="仿宋" w:eastAsia="仿宋" w:cs="仿宋_GB2312"/>
          <w:b/>
          <w:color w:val="auto"/>
          <w:sz w:val="24"/>
          <w:szCs w:val="24"/>
          <w:highlight w:val="none"/>
        </w:rPr>
        <w:t>投标文件的组成</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11.1</w:t>
      </w:r>
      <w:r>
        <w:rPr>
          <w:rFonts w:hint="eastAsia" w:ascii="仿宋" w:hAnsi="仿宋" w:eastAsia="仿宋" w:cs="仿宋_GB2312"/>
          <w:b/>
          <w:color w:val="auto"/>
          <w:sz w:val="24"/>
          <w:highlight w:val="none"/>
        </w:rPr>
        <w:t>资格文件</w:t>
      </w:r>
      <w:r>
        <w:rPr>
          <w:rFonts w:hint="eastAsia" w:ascii="仿宋" w:hAnsi="仿宋" w:eastAsia="仿宋" w:cs="仿宋_GB2312"/>
          <w:color w:val="auto"/>
          <w:sz w:val="24"/>
          <w:highlight w:val="none"/>
        </w:rPr>
        <w:t>：</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11.1.1符合参加政府采购活动应当具备的一般条件的承诺函；</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11.1.2落实政府采购政策需满足的资格要求；</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11.1.3本项目的特定资格要求。</w:t>
      </w:r>
    </w:p>
    <w:p>
      <w:pPr>
        <w:snapToGrid w:val="0"/>
        <w:spacing w:line="360" w:lineRule="auto"/>
        <w:ind w:firstLine="480" w:firstLineChars="200"/>
        <w:rPr>
          <w:rFonts w:ascii="仿宋" w:hAnsi="仿宋" w:eastAsia="仿宋" w:cs="仿宋_GB2312"/>
          <w:color w:val="auto"/>
          <w:sz w:val="24"/>
          <w:highlight w:val="none"/>
          <w:lang w:val="zh-CN"/>
        </w:rPr>
      </w:pPr>
      <w:r>
        <w:rPr>
          <w:rFonts w:ascii="仿宋" w:hAnsi="仿宋" w:eastAsia="仿宋" w:cs="仿宋_GB2312"/>
          <w:color w:val="auto"/>
          <w:sz w:val="24"/>
          <w:highlight w:val="none"/>
          <w:lang w:val="zh-CN"/>
        </w:rPr>
        <w:t>11.</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 xml:space="preserve">  </w:t>
      </w:r>
      <w:r>
        <w:rPr>
          <w:rFonts w:hint="eastAsia" w:ascii="仿宋" w:hAnsi="仿宋" w:eastAsia="仿宋" w:cs="仿宋_GB2312"/>
          <w:color w:val="auto"/>
          <w:sz w:val="24"/>
          <w:highlight w:val="none"/>
        </w:rPr>
        <w:t>商务技术</w:t>
      </w:r>
      <w:r>
        <w:rPr>
          <w:rFonts w:hint="eastAsia" w:ascii="仿宋" w:hAnsi="仿宋" w:eastAsia="仿宋" w:cs="仿宋_GB2312"/>
          <w:color w:val="auto"/>
          <w:sz w:val="24"/>
          <w:highlight w:val="none"/>
          <w:lang w:val="zh-CN"/>
        </w:rPr>
        <w:t>文件：</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11.2.1投标函；</w:t>
      </w:r>
      <w:r>
        <w:rPr>
          <w:rFonts w:ascii="仿宋" w:hAnsi="仿宋" w:eastAsia="仿宋" w:cs="仿宋_GB2312"/>
          <w:color w:val="auto"/>
          <w:sz w:val="24"/>
          <w:highlight w:val="none"/>
          <w:lang w:val="zh-CN"/>
        </w:rPr>
        <w:t xml:space="preserve"> </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11.2.2授权委托书或法定代表人（单位负责人、自然人本人）身份证明；</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11.2.3</w:t>
      </w:r>
      <w:r>
        <w:rPr>
          <w:rFonts w:hint="eastAsia" w:ascii="仿宋" w:hAnsi="仿宋" w:eastAsia="仿宋" w:cs="仿宋_GB2312"/>
          <w:color w:val="auto"/>
          <w:sz w:val="24"/>
          <w:highlight w:val="none"/>
        </w:rPr>
        <w:t>综合实力、管理制度、人员配备情况介绍</w:t>
      </w:r>
      <w:r>
        <w:rPr>
          <w:rFonts w:ascii="仿宋" w:hAnsi="仿宋" w:eastAsia="仿宋" w:cs="仿宋_GB2312"/>
          <w:color w:val="auto"/>
          <w:sz w:val="24"/>
          <w:highlight w:val="none"/>
        </w:rPr>
        <w:t>；</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11.2.4</w:t>
      </w:r>
      <w:r>
        <w:rPr>
          <w:rFonts w:hint="eastAsia" w:ascii="仿宋" w:hAnsi="仿宋" w:eastAsia="仿宋" w:cs="仿宋_GB2312"/>
          <w:color w:val="auto"/>
          <w:sz w:val="24"/>
          <w:highlight w:val="none"/>
        </w:rPr>
        <w:t>提供针对项目的完整方案</w:t>
      </w:r>
      <w:r>
        <w:rPr>
          <w:rFonts w:ascii="仿宋" w:hAnsi="仿宋" w:eastAsia="仿宋" w:cs="仿宋_GB2312"/>
          <w:color w:val="auto"/>
          <w:sz w:val="24"/>
          <w:highlight w:val="none"/>
        </w:rPr>
        <w:t>；</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11.2.5</w:t>
      </w:r>
      <w:r>
        <w:rPr>
          <w:rFonts w:hint="eastAsia" w:ascii="仿宋" w:hAnsi="仿宋" w:eastAsia="仿宋" w:cs="仿宋_GB2312"/>
          <w:color w:val="auto"/>
          <w:sz w:val="24"/>
          <w:highlight w:val="none"/>
          <w:lang w:val="zh-CN"/>
        </w:rPr>
        <w:t>针对本项目详细服务实施计划</w:t>
      </w:r>
      <w:r>
        <w:rPr>
          <w:rFonts w:ascii="仿宋" w:hAnsi="仿宋" w:eastAsia="仿宋" w:cs="仿宋_GB2312"/>
          <w:color w:val="auto"/>
          <w:sz w:val="24"/>
          <w:highlight w:val="none"/>
        </w:rPr>
        <w:t>；</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lang w:val="zh-CN"/>
        </w:rPr>
        <w:t>11.</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6</w:t>
      </w:r>
      <w:r>
        <w:rPr>
          <w:rFonts w:hint="eastAsia" w:ascii="仿宋" w:hAnsi="仿宋" w:eastAsia="仿宋" w:cs="仿宋_GB2312"/>
          <w:color w:val="auto"/>
          <w:sz w:val="24"/>
          <w:highlight w:val="none"/>
          <w:lang w:val="zh-CN"/>
        </w:rPr>
        <w:t>为完成本项目组建的服务团队人员名单；</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lang w:val="zh-CN"/>
        </w:rPr>
        <w:t>11.</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hint="eastAsia" w:ascii="仿宋" w:hAnsi="仿宋" w:eastAsia="仿宋" w:cs="仿宋_GB2312"/>
          <w:color w:val="auto"/>
          <w:sz w:val="24"/>
          <w:highlight w:val="none"/>
        </w:rPr>
        <w:t>7 2019年以来投标人承担</w:t>
      </w:r>
      <w:r>
        <w:rPr>
          <w:rFonts w:hint="eastAsia" w:ascii="仿宋" w:hAnsi="仿宋" w:eastAsia="仿宋" w:cs="仿宋_GB2312"/>
          <w:color w:val="auto"/>
          <w:sz w:val="24"/>
          <w:highlight w:val="none"/>
          <w:lang w:val="en-US" w:eastAsia="zh-CN"/>
        </w:rPr>
        <w:t>市政养护</w:t>
      </w:r>
      <w:r>
        <w:rPr>
          <w:rFonts w:hint="eastAsia" w:ascii="仿宋" w:hAnsi="仿宋" w:eastAsia="仿宋" w:cs="仿宋_GB2312"/>
          <w:color w:val="auto"/>
          <w:sz w:val="24"/>
          <w:highlight w:val="none"/>
        </w:rPr>
        <w:t>类项目情况；</w:t>
      </w:r>
    </w:p>
    <w:p>
      <w:pPr>
        <w:snapToGrid w:val="0"/>
        <w:spacing w:line="360" w:lineRule="auto"/>
        <w:ind w:firstLine="960" w:firstLineChars="400"/>
        <w:rPr>
          <w:color w:val="auto"/>
          <w:highlight w:val="none"/>
          <w:lang w:val="zh-CN"/>
        </w:rPr>
      </w:pPr>
      <w:r>
        <w:rPr>
          <w:rFonts w:ascii="仿宋" w:hAnsi="仿宋" w:eastAsia="仿宋" w:cs="仿宋_GB2312"/>
          <w:color w:val="auto"/>
          <w:sz w:val="24"/>
          <w:highlight w:val="none"/>
          <w:lang w:val="zh-CN"/>
        </w:rPr>
        <w:t>11.</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hint="eastAsia" w:ascii="仿宋" w:hAnsi="仿宋" w:eastAsia="仿宋" w:cs="仿宋_GB2312"/>
          <w:color w:val="auto"/>
          <w:sz w:val="24"/>
          <w:highlight w:val="none"/>
        </w:rPr>
        <w:t>8</w:t>
      </w:r>
      <w:r>
        <w:rPr>
          <w:rFonts w:hint="eastAsia" w:ascii="仿宋" w:hAnsi="仿宋" w:eastAsia="仿宋" w:cs="仿宋_GB2312"/>
          <w:color w:val="auto"/>
          <w:sz w:val="24"/>
          <w:highlight w:val="none"/>
          <w:lang w:val="zh-CN"/>
        </w:rPr>
        <w:t>详细项目费用计划及项目进度安排；</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lang w:val="zh-CN"/>
        </w:rPr>
        <w:t>11.</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hint="eastAsia" w:ascii="仿宋" w:hAnsi="仿宋" w:eastAsia="仿宋" w:cs="仿宋_GB2312"/>
          <w:color w:val="auto"/>
          <w:sz w:val="24"/>
          <w:highlight w:val="none"/>
        </w:rPr>
        <w:t>9服务质量标准；</w:t>
      </w:r>
    </w:p>
    <w:p>
      <w:pPr>
        <w:snapToGrid w:val="0"/>
        <w:spacing w:line="360" w:lineRule="auto"/>
        <w:ind w:firstLine="960" w:firstLineChars="400"/>
        <w:rPr>
          <w:rFonts w:ascii="仿宋" w:hAnsi="仿宋" w:eastAsia="仿宋" w:cs="仿宋_GB2312"/>
          <w:color w:val="auto"/>
          <w:sz w:val="24"/>
          <w:highlight w:val="none"/>
          <w:lang w:val="zh-CN"/>
        </w:rPr>
      </w:pPr>
      <w:r>
        <w:rPr>
          <w:rFonts w:ascii="仿宋" w:hAnsi="仿宋" w:eastAsia="仿宋" w:cs="仿宋_GB2312"/>
          <w:color w:val="auto"/>
          <w:sz w:val="24"/>
          <w:highlight w:val="none"/>
          <w:lang w:val="zh-CN"/>
        </w:rPr>
        <w:t>11.</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hint="eastAsia" w:ascii="仿宋" w:hAnsi="仿宋" w:eastAsia="仿宋" w:cs="仿宋_GB2312"/>
          <w:color w:val="auto"/>
          <w:sz w:val="24"/>
          <w:highlight w:val="none"/>
        </w:rPr>
        <w:t>10</w:t>
      </w:r>
      <w:r>
        <w:rPr>
          <w:rFonts w:hint="eastAsia" w:ascii="仿宋" w:hAnsi="仿宋" w:eastAsia="仿宋" w:cs="仿宋_GB2312"/>
          <w:color w:val="auto"/>
          <w:sz w:val="24"/>
          <w:highlight w:val="none"/>
          <w:lang w:val="zh-CN"/>
        </w:rPr>
        <w:t>增值服务；</w:t>
      </w:r>
    </w:p>
    <w:p>
      <w:pPr>
        <w:snapToGrid w:val="0"/>
        <w:spacing w:line="360" w:lineRule="auto"/>
        <w:ind w:firstLine="960" w:firstLineChars="400"/>
        <w:rPr>
          <w:rFonts w:ascii="仿宋" w:hAnsi="仿宋" w:eastAsia="仿宋" w:cs="仿宋_GB2312"/>
          <w:color w:val="auto"/>
          <w:sz w:val="24"/>
          <w:highlight w:val="none"/>
          <w:lang w:val="zh-CN"/>
        </w:rPr>
      </w:pPr>
      <w:r>
        <w:rPr>
          <w:rFonts w:ascii="仿宋" w:hAnsi="仿宋" w:eastAsia="仿宋" w:cs="仿宋_GB2312"/>
          <w:color w:val="auto"/>
          <w:sz w:val="24"/>
          <w:highlight w:val="none"/>
          <w:lang w:val="zh-CN"/>
        </w:rPr>
        <w:t>11.</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hint="eastAsia" w:ascii="仿宋" w:hAnsi="仿宋" w:eastAsia="仿宋" w:cs="仿宋_GB2312"/>
          <w:color w:val="auto"/>
          <w:sz w:val="24"/>
          <w:highlight w:val="none"/>
        </w:rPr>
        <w:t>11</w:t>
      </w:r>
      <w:r>
        <w:rPr>
          <w:rFonts w:hint="eastAsia" w:ascii="仿宋" w:hAnsi="仿宋" w:eastAsia="仿宋" w:cs="仿宋_GB2312"/>
          <w:color w:val="auto"/>
          <w:sz w:val="24"/>
          <w:highlight w:val="none"/>
          <w:lang w:val="zh-CN"/>
        </w:rPr>
        <w:t>商务技术偏离表；</w:t>
      </w:r>
    </w:p>
    <w:p>
      <w:pPr>
        <w:snapToGrid w:val="0"/>
        <w:spacing w:line="360" w:lineRule="auto"/>
        <w:ind w:firstLine="960" w:firstLineChars="400"/>
        <w:rPr>
          <w:rFonts w:ascii="仿宋" w:hAnsi="仿宋" w:eastAsia="仿宋" w:cs="仿宋_GB2312"/>
          <w:color w:val="auto"/>
          <w:sz w:val="24"/>
          <w:highlight w:val="none"/>
          <w:lang w:val="zh-CN"/>
        </w:rPr>
      </w:pPr>
      <w:r>
        <w:rPr>
          <w:rFonts w:ascii="仿宋" w:hAnsi="仿宋" w:eastAsia="仿宋" w:cs="仿宋_GB2312"/>
          <w:color w:val="auto"/>
          <w:sz w:val="24"/>
          <w:highlight w:val="none"/>
          <w:lang w:val="zh-CN"/>
        </w:rPr>
        <w:t>11.</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hint="eastAsia" w:ascii="仿宋" w:hAnsi="仿宋" w:eastAsia="仿宋" w:cs="仿宋_GB2312"/>
          <w:color w:val="auto"/>
          <w:sz w:val="24"/>
          <w:highlight w:val="none"/>
        </w:rPr>
        <w:t>12</w:t>
      </w:r>
      <w:r>
        <w:rPr>
          <w:rFonts w:hint="eastAsia" w:ascii="仿宋" w:hAnsi="仿宋" w:eastAsia="仿宋" w:cs="仿宋_GB2312"/>
          <w:color w:val="auto"/>
          <w:sz w:val="24"/>
          <w:highlight w:val="none"/>
          <w:lang w:val="zh-CN"/>
        </w:rPr>
        <w:t>其他商务技术文件或说明；</w:t>
      </w:r>
    </w:p>
    <w:p>
      <w:pPr>
        <w:snapToGrid w:val="0"/>
        <w:spacing w:line="360" w:lineRule="auto"/>
        <w:ind w:firstLine="960" w:firstLineChars="400"/>
        <w:rPr>
          <w:rFonts w:ascii="仿宋" w:hAnsi="仿宋" w:eastAsia="仿宋" w:cs="仿宋_GB2312"/>
          <w:color w:val="auto"/>
          <w:sz w:val="24"/>
          <w:highlight w:val="none"/>
          <w:lang w:val="zh-CN"/>
        </w:rPr>
      </w:pPr>
      <w:r>
        <w:rPr>
          <w:rFonts w:ascii="仿宋" w:hAnsi="仿宋" w:eastAsia="仿宋" w:cs="仿宋_GB2312"/>
          <w:color w:val="auto"/>
          <w:sz w:val="24"/>
          <w:highlight w:val="none"/>
          <w:lang w:val="zh-CN"/>
        </w:rPr>
        <w:t>11.</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hint="eastAsia" w:ascii="仿宋" w:hAnsi="仿宋" w:eastAsia="仿宋" w:cs="仿宋_GB2312"/>
          <w:color w:val="auto"/>
          <w:sz w:val="24"/>
          <w:highlight w:val="none"/>
        </w:rPr>
        <w:t>13</w:t>
      </w:r>
      <w:r>
        <w:rPr>
          <w:rFonts w:hint="eastAsia" w:ascii="仿宋" w:hAnsi="仿宋" w:eastAsia="仿宋" w:cs="仿宋_GB2312"/>
          <w:color w:val="auto"/>
          <w:sz w:val="24"/>
          <w:highlight w:val="none"/>
          <w:lang w:val="zh-CN"/>
        </w:rPr>
        <w:t>政府采购供应商廉洁自律承诺书。</w:t>
      </w:r>
    </w:p>
    <w:p>
      <w:pPr>
        <w:snapToGrid w:val="0"/>
        <w:spacing w:line="360" w:lineRule="auto"/>
        <w:ind w:firstLine="480" w:firstLineChars="200"/>
        <w:rPr>
          <w:rFonts w:ascii="仿宋" w:hAnsi="仿宋" w:eastAsia="仿宋" w:cs="仿宋_GB2312"/>
          <w:color w:val="auto"/>
          <w:sz w:val="24"/>
          <w:highlight w:val="none"/>
          <w:u w:val="single"/>
          <w:lang w:val="zh-CN"/>
        </w:rPr>
      </w:pPr>
      <w:r>
        <w:rPr>
          <w:rFonts w:ascii="仿宋" w:hAnsi="仿宋" w:eastAsia="仿宋" w:cs="仿宋_GB2312"/>
          <w:color w:val="auto"/>
          <w:kern w:val="0"/>
          <w:sz w:val="24"/>
          <w:highlight w:val="none"/>
          <w:lang w:val="zh-CN"/>
        </w:rPr>
        <w:t>11.</w:t>
      </w:r>
      <w:r>
        <w:rPr>
          <w:rFonts w:ascii="仿宋" w:hAnsi="仿宋" w:eastAsia="仿宋" w:cs="仿宋_GB2312"/>
          <w:color w:val="auto"/>
          <w:kern w:val="0"/>
          <w:sz w:val="24"/>
          <w:highlight w:val="none"/>
        </w:rPr>
        <w:t>3</w:t>
      </w:r>
      <w:r>
        <w:rPr>
          <w:rFonts w:hint="eastAsia" w:ascii="仿宋" w:hAnsi="仿宋" w:eastAsia="仿宋" w:cs="仿宋_GB2312"/>
          <w:b/>
          <w:color w:val="auto"/>
          <w:sz w:val="24"/>
          <w:highlight w:val="none"/>
        </w:rPr>
        <w:t>报价文件：</w:t>
      </w:r>
      <w:r>
        <w:rPr>
          <w:rFonts w:ascii="仿宋" w:hAnsi="仿宋" w:eastAsia="仿宋" w:cs="仿宋_GB2312"/>
          <w:color w:val="auto"/>
          <w:sz w:val="24"/>
          <w:highlight w:val="none"/>
        </w:rPr>
        <w:t xml:space="preserve"> </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11.3.1开标一览表（报价表）；</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11.3.2</w:t>
      </w:r>
      <w:r>
        <w:rPr>
          <w:rFonts w:hint="eastAsia" w:ascii="仿宋" w:hAnsi="仿宋" w:eastAsia="仿宋" w:cs="仿宋_GB2312"/>
          <w:color w:val="auto"/>
          <w:sz w:val="24"/>
          <w:highlight w:val="none"/>
        </w:rPr>
        <w:t>报价明细清单；</w:t>
      </w:r>
    </w:p>
    <w:p>
      <w:pPr>
        <w:spacing w:line="360" w:lineRule="auto"/>
        <w:ind w:firstLine="420"/>
        <w:rPr>
          <w:rFonts w:ascii="仿宋" w:hAnsi="仿宋" w:eastAsia="仿宋"/>
          <w:b/>
          <w:color w:val="auto"/>
          <w:sz w:val="24"/>
          <w:highlight w:val="none"/>
        </w:rPr>
      </w:pPr>
      <w:r>
        <w:rPr>
          <w:rFonts w:ascii="仿宋" w:hAnsi="仿宋" w:eastAsia="仿宋"/>
          <w:color w:val="auto"/>
          <w:sz w:val="24"/>
          <w:highlight w:val="none"/>
        </w:rPr>
        <w:t>▲</w:t>
      </w:r>
      <w:r>
        <w:rPr>
          <w:rFonts w:hint="eastAsia" w:ascii="仿宋" w:hAnsi="仿宋" w:eastAsia="仿宋"/>
          <w:b/>
          <w:color w:val="auto"/>
          <w:sz w:val="24"/>
          <w:highlight w:val="none"/>
        </w:rPr>
        <w:t>投标文件含有采购人不能接受的附加条件的，投标无效；</w:t>
      </w:r>
    </w:p>
    <w:p>
      <w:pPr>
        <w:spacing w:line="360" w:lineRule="auto"/>
        <w:ind w:firstLine="420"/>
        <w:rPr>
          <w:rFonts w:ascii="仿宋" w:hAnsi="仿宋" w:eastAsia="仿宋" w:cs="仿宋_GB2312"/>
          <w:b/>
          <w:color w:val="auto"/>
          <w:sz w:val="24"/>
          <w:szCs w:val="21"/>
          <w:highlight w:val="none"/>
        </w:rPr>
      </w:pPr>
      <w:r>
        <w:rPr>
          <w:rFonts w:ascii="仿宋" w:hAnsi="仿宋" w:eastAsia="仿宋"/>
          <w:color w:val="auto"/>
          <w:sz w:val="24"/>
          <w:highlight w:val="none"/>
        </w:rPr>
        <w:t>▲</w:t>
      </w:r>
      <w:r>
        <w:rPr>
          <w:rFonts w:hint="eastAsia" w:ascii="仿宋" w:hAnsi="仿宋" w:eastAsia="仿宋"/>
          <w:b/>
          <w:color w:val="auto"/>
          <w:sz w:val="24"/>
          <w:highlight w:val="none"/>
        </w:rPr>
        <w:t>投标人提供虚假材料投标的，投标无效。</w:t>
      </w:r>
    </w:p>
    <w:p>
      <w:pPr>
        <w:pStyle w:val="87"/>
        <w:snapToGrid w:val="0"/>
        <w:spacing w:before="0"/>
        <w:ind w:firstLine="0" w:firstLineChars="0"/>
        <w:outlineLvl w:val="0"/>
        <w:rPr>
          <w:rFonts w:ascii="仿宋" w:hAnsi="仿宋" w:eastAsia="仿宋" w:cs="仿宋_GB2312"/>
          <w:b/>
          <w:color w:val="auto"/>
          <w:szCs w:val="24"/>
          <w:highlight w:val="none"/>
        </w:rPr>
      </w:pPr>
    </w:p>
    <w:p>
      <w:pPr>
        <w:pStyle w:val="87"/>
        <w:snapToGrid w:val="0"/>
        <w:spacing w:before="0"/>
        <w:ind w:firstLine="0" w:firstLineChars="0"/>
        <w:outlineLvl w:val="0"/>
        <w:rPr>
          <w:rFonts w:ascii="仿宋" w:hAnsi="仿宋" w:eastAsia="仿宋" w:cs="仿宋_GB2312"/>
          <w:b/>
          <w:color w:val="auto"/>
          <w:szCs w:val="24"/>
          <w:highlight w:val="none"/>
        </w:rPr>
      </w:pPr>
      <w:r>
        <w:rPr>
          <w:rFonts w:ascii="仿宋" w:hAnsi="仿宋" w:eastAsia="仿宋" w:cs="仿宋_GB2312"/>
          <w:b/>
          <w:color w:val="auto"/>
          <w:szCs w:val="24"/>
          <w:highlight w:val="none"/>
        </w:rPr>
        <w:t>12</w:t>
      </w:r>
      <w:r>
        <w:rPr>
          <w:rFonts w:ascii="仿宋" w:hAnsi="仿宋" w:eastAsia="仿宋" w:cs="仿宋_GB2312"/>
          <w:b/>
          <w:color w:val="auto"/>
          <w:kern w:val="0"/>
          <w:szCs w:val="24"/>
          <w:highlight w:val="none"/>
          <w:lang w:val="zh-CN"/>
        </w:rPr>
        <w:t xml:space="preserve">. </w:t>
      </w:r>
      <w:r>
        <w:rPr>
          <w:rFonts w:hint="eastAsia" w:ascii="仿宋" w:hAnsi="仿宋" w:eastAsia="仿宋" w:cs="仿宋_GB2312"/>
          <w:b/>
          <w:color w:val="auto"/>
          <w:szCs w:val="24"/>
          <w:highlight w:val="none"/>
        </w:rPr>
        <w:t>投标文件的编制</w:t>
      </w:r>
    </w:p>
    <w:p>
      <w:pPr>
        <w:spacing w:line="360" w:lineRule="auto"/>
        <w:ind w:firstLine="480" w:firstLineChars="200"/>
        <w:rPr>
          <w:rFonts w:ascii="仿宋" w:hAnsi="仿宋" w:eastAsia="仿宋" w:cs="仿宋_GB2312"/>
          <w:b/>
          <w:color w:val="auto"/>
          <w:sz w:val="24"/>
          <w:highlight w:val="none"/>
        </w:rPr>
      </w:pPr>
      <w:r>
        <w:rPr>
          <w:rFonts w:ascii="仿宋" w:hAnsi="仿宋" w:eastAsia="仿宋"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 w:hAnsi="仿宋" w:eastAsia="仿宋" w:cs="仿宋_GB2312"/>
          <w:color w:val="auto"/>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12.2投标人进行电子投标应安装客户端软件—“政</w:t>
      </w:r>
      <w:r>
        <w:rPr>
          <w:rFonts w:hint="eastAsia" w:ascii="仿宋" w:hAnsi="仿宋" w:eastAsia="仿宋"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12.3使用“政</w:t>
      </w:r>
      <w:r>
        <w:rPr>
          <w:rFonts w:hint="eastAsia" w:ascii="仿宋" w:hAnsi="仿宋" w:eastAsia="仿宋" w:cs="仿宋_GB2312"/>
          <w:color w:val="auto"/>
          <w:kern w:val="0"/>
          <w:sz w:val="24"/>
          <w:highlight w:val="none"/>
          <w:lang w:val="zh-CN"/>
        </w:rPr>
        <w:t>采云电子交易客户端”需要提前申领</w:t>
      </w:r>
      <w:r>
        <w:rPr>
          <w:rFonts w:ascii="仿宋" w:hAnsi="仿宋" w:eastAsia="仿宋"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 w:hAnsi="仿宋" w:eastAsia="仿宋"/>
          <w:b/>
          <w:color w:val="auto"/>
          <w:sz w:val="24"/>
          <w:highlight w:val="none"/>
        </w:rPr>
      </w:pPr>
    </w:p>
    <w:p>
      <w:pPr>
        <w:snapToGrid w:val="0"/>
        <w:spacing w:line="360" w:lineRule="auto"/>
        <w:rPr>
          <w:rFonts w:ascii="仿宋" w:hAnsi="仿宋" w:eastAsia="仿宋"/>
          <w:b/>
          <w:color w:val="auto"/>
          <w:sz w:val="24"/>
          <w:highlight w:val="none"/>
        </w:rPr>
      </w:pPr>
      <w:r>
        <w:rPr>
          <w:rFonts w:ascii="仿宋" w:hAnsi="仿宋" w:eastAsia="仿宋"/>
          <w:b/>
          <w:color w:val="auto"/>
          <w:sz w:val="24"/>
          <w:highlight w:val="none"/>
        </w:rPr>
        <w:t>13.投标文件的签署、盖章</w:t>
      </w:r>
    </w:p>
    <w:p>
      <w:pPr>
        <w:pStyle w:val="87"/>
        <w:snapToGrid w:val="0"/>
        <w:spacing w:before="0"/>
        <w:ind w:firstLine="480"/>
        <w:rPr>
          <w:rFonts w:ascii="仿宋" w:hAnsi="仿宋" w:eastAsia="仿宋" w:cs="仿宋_GB2312"/>
          <w:color w:val="auto"/>
          <w:highlight w:val="none"/>
        </w:rPr>
      </w:pPr>
      <w:r>
        <w:rPr>
          <w:rFonts w:ascii="仿宋" w:hAnsi="仿宋" w:eastAsia="仿宋" w:cs="仿宋_GB2312"/>
          <w:color w:val="auto"/>
          <w:szCs w:val="24"/>
          <w:highlight w:val="none"/>
        </w:rPr>
        <w:t>13.1投标文件按照招标文件第六部分格式要</w:t>
      </w:r>
      <w:r>
        <w:rPr>
          <w:rFonts w:hint="eastAsia" w:ascii="仿宋" w:hAnsi="仿宋" w:eastAsia="仿宋" w:cs="仿宋_GB2312"/>
          <w:color w:val="auto"/>
          <w:highlight w:val="none"/>
        </w:rPr>
        <w:t>求进行签署、盖章。</w:t>
      </w:r>
    </w:p>
    <w:p>
      <w:pPr>
        <w:pStyle w:val="87"/>
        <w:snapToGrid w:val="0"/>
        <w:spacing w:before="0"/>
        <w:ind w:firstLine="482"/>
        <w:rPr>
          <w:rFonts w:ascii="仿宋" w:hAnsi="仿宋" w:eastAsia="仿宋" w:cs="仿宋_GB2312"/>
          <w:b/>
          <w:color w:val="auto"/>
          <w:highlight w:val="none"/>
        </w:rPr>
      </w:pPr>
      <w:r>
        <w:rPr>
          <w:rFonts w:hint="eastAsia" w:ascii="仿宋" w:hAnsi="仿宋" w:eastAsia="仿宋"/>
          <w:b/>
          <w:color w:val="auto"/>
          <w:highlight w:val="none"/>
        </w:rPr>
        <w:t>▲</w:t>
      </w:r>
      <w:r>
        <w:rPr>
          <w:rFonts w:hint="eastAsia" w:ascii="仿宋" w:hAnsi="仿宋" w:eastAsia="仿宋" w:cs="仿宋_GB2312"/>
          <w:b/>
          <w:color w:val="auto"/>
          <w:highlight w:val="none"/>
        </w:rPr>
        <w:t>投标人的投标文件未按照招标文件要求签署、盖章的，其投标无效</w:t>
      </w:r>
      <w:r>
        <w:rPr>
          <w:rFonts w:hint="eastAsia" w:ascii="仿宋" w:hAnsi="仿宋" w:eastAsia="仿宋" w:cs="仿宋_GB2312"/>
          <w:color w:val="auto"/>
          <w:szCs w:val="24"/>
          <w:highlight w:val="none"/>
        </w:rPr>
        <w:t>。</w:t>
      </w:r>
    </w:p>
    <w:p>
      <w:pPr>
        <w:pStyle w:val="87"/>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7"/>
        <w:snapToGrid w:val="0"/>
        <w:spacing w:before="0"/>
        <w:ind w:firstLine="480"/>
        <w:rPr>
          <w:rFonts w:ascii="仿宋" w:hAnsi="仿宋" w:eastAsia="仿宋" w:cs="仿宋_GB2312"/>
          <w:color w:val="auto"/>
          <w:szCs w:val="24"/>
          <w:highlight w:val="none"/>
        </w:rPr>
      </w:pPr>
      <w:r>
        <w:rPr>
          <w:rFonts w:ascii="仿宋" w:hAnsi="仿宋" w:eastAsia="仿宋" w:cs="仿宋_GB2312"/>
          <w:color w:val="auto"/>
          <w:highlight w:val="none"/>
        </w:rPr>
        <w:t>13.3招标文件对投标文件签署、盖章的要求适用于电子签名。</w:t>
      </w:r>
    </w:p>
    <w:p>
      <w:pPr>
        <w:pStyle w:val="87"/>
        <w:spacing w:before="0"/>
        <w:ind w:firstLine="0" w:firstLineChars="0"/>
        <w:rPr>
          <w:rFonts w:ascii="仿宋" w:hAnsi="仿宋" w:eastAsia="仿宋" w:cs="仿宋_GB2312"/>
          <w:b/>
          <w:color w:val="auto"/>
          <w:szCs w:val="24"/>
          <w:highlight w:val="none"/>
        </w:rPr>
      </w:pPr>
    </w:p>
    <w:p>
      <w:pPr>
        <w:snapToGrid w:val="0"/>
        <w:spacing w:line="360" w:lineRule="auto"/>
        <w:rPr>
          <w:rFonts w:ascii="仿宋" w:hAnsi="仿宋" w:eastAsia="仿宋"/>
          <w:b/>
          <w:color w:val="auto"/>
          <w:sz w:val="24"/>
          <w:highlight w:val="none"/>
        </w:rPr>
      </w:pPr>
      <w:r>
        <w:rPr>
          <w:rFonts w:ascii="仿宋" w:hAnsi="仿宋" w:eastAsia="仿宋"/>
          <w:b/>
          <w:color w:val="auto"/>
          <w:sz w:val="24"/>
          <w:highlight w:val="none"/>
        </w:rPr>
        <w:t xml:space="preserve">14. </w:t>
      </w:r>
      <w:r>
        <w:rPr>
          <w:rFonts w:hint="eastAsia" w:ascii="仿宋" w:hAnsi="仿宋" w:eastAsia="仿宋"/>
          <w:b/>
          <w:color w:val="auto"/>
          <w:sz w:val="24"/>
          <w:highlight w:val="none"/>
        </w:rPr>
        <w:t>投标文件的提交、补充、修改、撤回</w:t>
      </w:r>
    </w:p>
    <w:p>
      <w:pPr>
        <w:pStyle w:val="87"/>
        <w:spacing w:before="0"/>
        <w:ind w:firstLine="420" w:firstLineChars="0"/>
        <w:rPr>
          <w:rFonts w:ascii="仿宋" w:hAnsi="仿宋" w:eastAsia="仿宋" w:cs="仿宋_GB2312"/>
          <w:color w:val="auto"/>
          <w:szCs w:val="24"/>
          <w:highlight w:val="none"/>
        </w:rPr>
      </w:pPr>
      <w:r>
        <w:rPr>
          <w:rFonts w:ascii="仿宋" w:hAnsi="仿宋" w:eastAsia="仿宋" w:cs="仿宋_GB2312"/>
          <w:color w:val="auto"/>
          <w:szCs w:val="24"/>
          <w:highlight w:val="none"/>
        </w:rPr>
        <w:t xml:space="preserve">14.1 </w:t>
      </w:r>
      <w:r>
        <w:rPr>
          <w:rFonts w:hint="eastAsia" w:ascii="仿宋" w:hAnsi="仿宋" w:eastAsia="仿宋"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7"/>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7"/>
        <w:spacing w:before="0"/>
        <w:ind w:firstLine="420" w:firstLineChars="0"/>
        <w:rPr>
          <w:rFonts w:ascii="仿宋" w:hAnsi="仿宋" w:eastAsia="仿宋" w:cs="仿宋_GB2312"/>
          <w:color w:val="auto"/>
          <w:szCs w:val="24"/>
          <w:highlight w:val="none"/>
        </w:rPr>
      </w:pPr>
      <w:r>
        <w:rPr>
          <w:rFonts w:ascii="仿宋" w:hAnsi="仿宋" w:eastAsia="仿宋" w:cs="仿宋_GB2312"/>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6"/>
        <w:spacing w:line="360" w:lineRule="auto"/>
        <w:rPr>
          <w:rFonts w:ascii="仿宋" w:hAnsi="仿宋" w:eastAsia="仿宋" w:cs="仿宋_GB2312"/>
          <w:b/>
          <w:color w:val="auto"/>
          <w:sz w:val="24"/>
          <w:szCs w:val="24"/>
          <w:highlight w:val="none"/>
        </w:rPr>
      </w:pPr>
    </w:p>
    <w:p>
      <w:pPr>
        <w:pStyle w:val="36"/>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15.备份投标文件</w:t>
      </w:r>
    </w:p>
    <w:p>
      <w:pPr>
        <w:pStyle w:val="36"/>
        <w:spacing w:line="360" w:lineRule="auto"/>
        <w:ind w:firstLine="420"/>
        <w:rPr>
          <w:rFonts w:ascii="仿宋" w:hAnsi="仿宋" w:eastAsia="仿宋" w:cs="仿宋_GB2312"/>
          <w:b/>
          <w:color w:val="auto"/>
          <w:sz w:val="24"/>
          <w:szCs w:val="24"/>
          <w:highlight w:val="none"/>
        </w:rPr>
      </w:pPr>
      <w:r>
        <w:rPr>
          <w:rFonts w:ascii="仿宋" w:hAnsi="仿宋" w:eastAsia="仿宋" w:cs="仿宋_GB2312"/>
          <w:color w:val="auto"/>
          <w:sz w:val="24"/>
          <w:szCs w:val="24"/>
          <w:highlight w:val="none"/>
        </w:rPr>
        <w:t>15.1投标人在电子交易平台传输递交投标文件后，还可以在投标截止时间前直接提交或者以邮政快递方式递交备份投标文件1份，</w:t>
      </w:r>
      <w:r>
        <w:rPr>
          <w:rFonts w:hint="eastAsia" w:ascii="仿宋" w:hAnsi="仿宋" w:eastAsia="仿宋" w:cs="仿宋_GB2312"/>
          <w:b/>
          <w:color w:val="auto"/>
          <w:sz w:val="24"/>
          <w:szCs w:val="24"/>
          <w:highlight w:val="none"/>
        </w:rPr>
        <w:t>但采购人、采购代理机构不强制或变相强制投标人提交备份投标文件。</w:t>
      </w:r>
    </w:p>
    <w:p>
      <w:pPr>
        <w:pStyle w:val="36"/>
        <w:spacing w:line="360" w:lineRule="auto"/>
        <w:ind w:firstLine="420"/>
        <w:rPr>
          <w:rFonts w:ascii="仿宋" w:hAnsi="仿宋" w:eastAsia="仿宋" w:cs="仿宋_GB2312"/>
          <w:b/>
          <w:color w:val="auto"/>
          <w:sz w:val="24"/>
          <w:szCs w:val="24"/>
          <w:highlight w:val="none"/>
        </w:rPr>
      </w:pPr>
      <w:r>
        <w:rPr>
          <w:rFonts w:ascii="仿宋" w:hAnsi="仿宋" w:eastAsia="仿宋" w:cs="仿宋_GB2312"/>
          <w:color w:val="auto"/>
          <w:sz w:val="24"/>
          <w:szCs w:val="24"/>
          <w:highlight w:val="none"/>
        </w:rPr>
        <w:t>15.2备份投标文件须在“政</w:t>
      </w:r>
      <w:r>
        <w:rPr>
          <w:rFonts w:hint="eastAsia" w:ascii="仿宋" w:hAnsi="仿宋" w:eastAsia="仿宋" w:cs="仿宋_GB2312"/>
          <w:color w:val="auto"/>
          <w:sz w:val="24"/>
          <w:szCs w:val="24"/>
          <w:highlight w:val="none"/>
        </w:rPr>
        <w:t>采云投标客户端”制作生成，并储存在</w:t>
      </w:r>
      <w:r>
        <w:rPr>
          <w:rFonts w:hint="eastAsia" w:ascii="仿宋" w:hAnsi="仿宋" w:eastAsia="仿宋"/>
          <w:color w:val="auto"/>
          <w:sz w:val="24"/>
          <w:highlight w:val="none"/>
        </w:rPr>
        <w:t>U</w:t>
      </w:r>
      <w:r>
        <w:rPr>
          <w:rFonts w:ascii="仿宋" w:hAnsi="仿宋" w:eastAsia="仿宋"/>
          <w:color w:val="auto"/>
          <w:sz w:val="24"/>
          <w:highlight w:val="none"/>
        </w:rPr>
        <w:t>盘</w:t>
      </w:r>
      <w:r>
        <w:rPr>
          <w:rFonts w:hint="eastAsia" w:ascii="仿宋" w:hAnsi="仿宋" w:eastAsia="仿宋" w:cs="仿宋_GB2312"/>
          <w:color w:val="auto"/>
          <w:sz w:val="24"/>
          <w:szCs w:val="24"/>
          <w:highlight w:val="none"/>
        </w:rPr>
        <w:t>中。备份投标文件应当密封包装并在包装上加盖公章并注明项目名称，投标人名称</w:t>
      </w:r>
      <w:r>
        <w:rPr>
          <w:rFonts w:ascii="仿宋" w:hAnsi="仿宋" w:eastAsia="仿宋" w:cs="仿宋_GB2312"/>
          <w:color w:val="auto"/>
          <w:sz w:val="24"/>
          <w:szCs w:val="24"/>
          <w:highlight w:val="none"/>
        </w:rPr>
        <w:t>(联合体投标的，包装物封面需注明联合体投标，并注明联合体成员各方的名称和联合协议中约定的牵头人的名称)。</w:t>
      </w:r>
      <w:r>
        <w:rPr>
          <w:rFonts w:hint="eastAsia" w:ascii="仿宋" w:hAnsi="仿宋" w:eastAsia="仿宋"/>
          <w:b/>
          <w:color w:val="auto"/>
          <w:sz w:val="24"/>
          <w:highlight w:val="none"/>
        </w:rPr>
        <w:t>不符合上述制作、</w:t>
      </w:r>
      <w:r>
        <w:rPr>
          <w:rFonts w:hint="eastAsia" w:ascii="仿宋" w:hAnsi="仿宋" w:eastAsia="仿宋" w:cs="仿宋_GB2312"/>
          <w:b/>
          <w:color w:val="auto"/>
          <w:sz w:val="24"/>
          <w:szCs w:val="24"/>
          <w:highlight w:val="none"/>
        </w:rPr>
        <w:t>存储、密封规定的备份投标文件将被视为无效或者被拒绝接收。</w:t>
      </w:r>
    </w:p>
    <w:p>
      <w:pPr>
        <w:pStyle w:val="36"/>
        <w:spacing w:line="360" w:lineRule="auto"/>
        <w:ind w:firstLine="42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6"/>
        <w:spacing w:line="360" w:lineRule="auto"/>
        <w:ind w:firstLine="42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_GB2312"/>
          <w:color w:val="auto"/>
          <w:sz w:val="24"/>
          <w:szCs w:val="24"/>
          <w:highlight w:val="none"/>
        </w:rPr>
        <w:t>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15.5投标人仅提交备份投标文件，没有在电子交易平台传输递交投标文件的，投标无效。</w:t>
      </w:r>
    </w:p>
    <w:p>
      <w:pPr>
        <w:pStyle w:val="87"/>
        <w:spacing w:before="0"/>
        <w:ind w:firstLine="0" w:firstLineChars="0"/>
        <w:rPr>
          <w:rFonts w:ascii="仿宋" w:hAnsi="仿宋" w:eastAsia="仿宋" w:cs="仿宋_GB2312"/>
          <w:b/>
          <w:color w:val="auto"/>
          <w:szCs w:val="24"/>
          <w:highlight w:val="none"/>
        </w:rPr>
      </w:pPr>
    </w:p>
    <w:p>
      <w:pPr>
        <w:pStyle w:val="87"/>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16.投标文件的无效处理</w:t>
      </w:r>
    </w:p>
    <w:p>
      <w:pPr>
        <w:pStyle w:val="27"/>
        <w:spacing w:line="360" w:lineRule="auto"/>
        <w:ind w:firstLine="360" w:firstLineChars="150"/>
        <w:rPr>
          <w:rFonts w:ascii="仿宋" w:hAnsi="仿宋" w:eastAsia="仿宋" w:cs="仿宋_GB2312"/>
          <w:color w:val="auto"/>
          <w:szCs w:val="21"/>
          <w:highlight w:val="none"/>
        </w:rPr>
      </w:pPr>
      <w:r>
        <w:rPr>
          <w:rFonts w:hint="eastAsia" w:ascii="仿宋" w:hAnsi="仿宋" w:eastAsia="仿宋" w:cs="仿宋_GB2312"/>
          <w:color w:val="auto"/>
          <w:szCs w:val="21"/>
          <w:highlight w:val="none"/>
        </w:rPr>
        <w:t>有招标文件第四部分</w:t>
      </w:r>
      <w:r>
        <w:rPr>
          <w:rFonts w:hint="eastAsia" w:ascii="仿宋" w:hAnsi="仿宋" w:eastAsia="仿宋"/>
          <w:color w:val="auto"/>
          <w:highlight w:val="none"/>
        </w:rPr>
        <w:t>第4.2</w:t>
      </w:r>
      <w:r>
        <w:rPr>
          <w:rFonts w:ascii="仿宋" w:hAnsi="仿宋" w:eastAsia="仿宋"/>
          <w:color w:val="auto"/>
          <w:highlight w:val="none"/>
        </w:rPr>
        <w:t>项规定</w:t>
      </w:r>
      <w:r>
        <w:rPr>
          <w:rFonts w:hint="eastAsia" w:ascii="仿宋" w:hAnsi="仿宋" w:eastAsia="仿宋" w:cs="仿宋_GB2312"/>
          <w:color w:val="auto"/>
          <w:szCs w:val="21"/>
          <w:highlight w:val="none"/>
        </w:rPr>
        <w:t>的情形之一的，投标无效：</w:t>
      </w:r>
    </w:p>
    <w:p>
      <w:pPr>
        <w:pStyle w:val="87"/>
        <w:spacing w:before="0"/>
        <w:ind w:firstLine="0" w:firstLineChars="0"/>
        <w:rPr>
          <w:rFonts w:ascii="仿宋" w:hAnsi="仿宋" w:eastAsia="仿宋" w:cs="仿宋_GB2312"/>
          <w:b/>
          <w:color w:val="auto"/>
          <w:szCs w:val="24"/>
          <w:highlight w:val="none"/>
        </w:rPr>
      </w:pPr>
    </w:p>
    <w:p>
      <w:pPr>
        <w:pStyle w:val="87"/>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17.投标有效期</w:t>
      </w:r>
    </w:p>
    <w:p>
      <w:pPr>
        <w:spacing w:line="360" w:lineRule="auto"/>
        <w:ind w:firstLine="480" w:firstLineChars="200"/>
        <w:rPr>
          <w:rFonts w:ascii="仿宋" w:hAnsi="仿宋" w:eastAsia="仿宋" w:cs="仿宋_GB2312"/>
          <w:color w:val="auto"/>
          <w:sz w:val="24"/>
          <w:szCs w:val="20"/>
          <w:highlight w:val="none"/>
        </w:rPr>
      </w:pPr>
      <w:r>
        <w:rPr>
          <w:rFonts w:ascii="仿宋" w:hAnsi="仿宋" w:eastAsia="仿宋" w:cs="仿宋_GB2312"/>
          <w:color w:val="auto"/>
          <w:sz w:val="24"/>
          <w:szCs w:val="20"/>
          <w:highlight w:val="none"/>
        </w:rPr>
        <w:t>17.1投标有效期为从提交投标文件的截止之日起90天。</w:t>
      </w:r>
    </w:p>
    <w:p>
      <w:pPr>
        <w:spacing w:line="360" w:lineRule="auto"/>
        <w:ind w:firstLine="480" w:firstLineChars="200"/>
        <w:rPr>
          <w:rFonts w:ascii="仿宋" w:hAnsi="仿宋" w:eastAsia="仿宋" w:cs="仿宋_GB2312"/>
          <w:b/>
          <w:color w:val="auto"/>
          <w:sz w:val="24"/>
          <w:szCs w:val="21"/>
          <w:highlight w:val="none"/>
        </w:rPr>
      </w:pPr>
      <w:r>
        <w:rPr>
          <w:rFonts w:ascii="仿宋" w:hAnsi="仿宋" w:eastAsia="仿宋" w:cs="仿宋_GB2312"/>
          <w:color w:val="auto"/>
          <w:sz w:val="24"/>
          <w:szCs w:val="20"/>
          <w:highlight w:val="none"/>
        </w:rPr>
        <w:t>▲</w:t>
      </w:r>
      <w:r>
        <w:rPr>
          <w:rFonts w:hint="eastAsia" w:ascii="仿宋" w:hAnsi="仿宋" w:eastAsia="仿宋" w:cs="仿宋_GB2312"/>
          <w:b/>
          <w:color w:val="auto"/>
          <w:sz w:val="24"/>
          <w:szCs w:val="20"/>
          <w:highlight w:val="none"/>
        </w:rPr>
        <w:t>投标人的投标文件中承</w:t>
      </w:r>
      <w:r>
        <w:rPr>
          <w:rFonts w:hint="eastAsia" w:ascii="仿宋" w:hAnsi="仿宋" w:eastAsia="仿宋" w:cs="仿宋_GB2312"/>
          <w:b/>
          <w:color w:val="auto"/>
          <w:sz w:val="24"/>
          <w:szCs w:val="21"/>
          <w:highlight w:val="none"/>
        </w:rPr>
        <w:t>诺的投标有效期少于招标文件中载明的投标有效期的，投标无效。</w:t>
      </w:r>
    </w:p>
    <w:p>
      <w:pPr>
        <w:pStyle w:val="87"/>
        <w:spacing w:before="0"/>
        <w:ind w:firstLine="480"/>
        <w:rPr>
          <w:rFonts w:ascii="仿宋" w:hAnsi="仿宋" w:eastAsia="仿宋" w:cs="仿宋_GB2312"/>
          <w:color w:val="auto"/>
          <w:highlight w:val="none"/>
        </w:rPr>
      </w:pPr>
      <w:r>
        <w:rPr>
          <w:rFonts w:ascii="仿宋" w:hAnsi="仿宋" w:eastAsia="仿宋" w:cs="仿宋_GB2312"/>
          <w:color w:val="auto"/>
          <w:highlight w:val="none"/>
        </w:rPr>
        <w:t>17.2投标文件合格投递后，自投标截止日期起，在投标有效期内有效。</w:t>
      </w:r>
    </w:p>
    <w:p>
      <w:pPr>
        <w:pStyle w:val="87"/>
        <w:spacing w:before="0"/>
        <w:ind w:firstLine="480"/>
        <w:rPr>
          <w:rFonts w:ascii="仿宋" w:hAnsi="仿宋" w:eastAsia="仿宋" w:cs="仿宋_GB2312"/>
          <w:color w:val="auto"/>
          <w:highlight w:val="none"/>
        </w:rPr>
      </w:pPr>
      <w:r>
        <w:rPr>
          <w:rFonts w:ascii="仿宋" w:hAnsi="仿宋" w:eastAsia="仿宋" w:cs="仿宋_GB2312"/>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87"/>
        <w:spacing w:before="0"/>
        <w:ind w:firstLine="643"/>
        <w:rPr>
          <w:rFonts w:ascii="仿宋" w:hAnsi="仿宋" w:eastAsia="仿宋" w:cs="仿宋_GB2312"/>
          <w:b/>
          <w:color w:val="auto"/>
          <w:sz w:val="32"/>
          <w:highlight w:val="none"/>
        </w:rPr>
      </w:pPr>
    </w:p>
    <w:p>
      <w:pPr>
        <w:pStyle w:val="87"/>
        <w:spacing w:before="0"/>
        <w:ind w:firstLine="0" w:firstLineChars="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四、开标、资格审查与信用信息查询</w:t>
      </w:r>
    </w:p>
    <w:p>
      <w:pPr>
        <w:pStyle w:val="241"/>
        <w:spacing w:before="0" w:line="360" w:lineRule="auto"/>
        <w:ind w:left="0" w:firstLine="0"/>
        <w:contextualSpacing/>
        <w:rPr>
          <w:rFonts w:ascii="仿宋" w:hAnsi="仿宋" w:eastAsia="仿宋"/>
          <w:color w:val="auto"/>
          <w:sz w:val="24"/>
          <w:highlight w:val="none"/>
        </w:rPr>
      </w:pPr>
      <w:r>
        <w:rPr>
          <w:rFonts w:ascii="仿宋" w:hAnsi="仿宋" w:eastAsia="仿宋" w:cs="仿宋_GB2312"/>
          <w:b/>
          <w:color w:val="auto"/>
          <w:sz w:val="24"/>
          <w:szCs w:val="24"/>
          <w:highlight w:val="none"/>
        </w:rPr>
        <w:t>18.开标</w:t>
      </w:r>
      <w:r>
        <w:rPr>
          <w:rFonts w:ascii="仿宋" w:hAnsi="仿宋" w:eastAsia="仿宋"/>
          <w:color w:val="auto"/>
          <w:sz w:val="24"/>
          <w:highlight w:val="none"/>
        </w:rPr>
        <w:t xml:space="preserve"> </w:t>
      </w:r>
    </w:p>
    <w:p>
      <w:pPr>
        <w:pStyle w:val="241"/>
        <w:spacing w:before="0" w:line="360" w:lineRule="auto"/>
        <w:ind w:left="0" w:firstLine="420"/>
        <w:contextualSpacing/>
        <w:rPr>
          <w:rFonts w:ascii="仿宋" w:hAnsi="仿宋" w:eastAsia="仿宋" w:cs="仿宋_GB2312"/>
          <w:color w:val="auto"/>
          <w:sz w:val="24"/>
          <w:highlight w:val="none"/>
        </w:rPr>
      </w:pPr>
      <w:r>
        <w:rPr>
          <w:rFonts w:ascii="仿宋" w:hAnsi="仿宋" w:eastAsia="仿宋" w:cs="仿宋_GB2312"/>
          <w:color w:val="auto"/>
          <w:sz w:val="24"/>
          <w:highlight w:val="none"/>
        </w:rPr>
        <w:t>18.1采购代理机构按照招标文件规定的时间通过电子交易平台组织开标，所有投标人均应当准时在线参加。投标人不足3家的，不得开标。</w:t>
      </w:r>
    </w:p>
    <w:p>
      <w:pPr>
        <w:pStyle w:val="241"/>
        <w:spacing w:before="0" w:line="360" w:lineRule="auto"/>
        <w:ind w:left="0" w:firstLine="420"/>
        <w:contextualSpacing/>
        <w:rPr>
          <w:rFonts w:ascii="仿宋" w:hAnsi="仿宋" w:eastAsia="仿宋" w:cs="仿宋_GB2312"/>
          <w:color w:val="auto"/>
          <w:sz w:val="24"/>
          <w:highlight w:val="none"/>
        </w:rPr>
      </w:pPr>
      <w:r>
        <w:rPr>
          <w:rFonts w:ascii="仿宋" w:hAnsi="仿宋" w:eastAsia="仿宋" w:cs="仿宋_GB2312"/>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pPr>
        <w:pStyle w:val="241"/>
        <w:spacing w:before="0" w:line="360" w:lineRule="auto"/>
        <w:ind w:left="0" w:firstLine="420"/>
        <w:contextualSpacing/>
        <w:rPr>
          <w:rFonts w:ascii="仿宋" w:hAnsi="仿宋" w:eastAsia="仿宋" w:cs="仿宋_GB2312"/>
          <w:b/>
          <w:color w:val="auto"/>
          <w:sz w:val="24"/>
          <w:highlight w:val="none"/>
        </w:rPr>
      </w:pPr>
      <w:r>
        <w:rPr>
          <w:rFonts w:ascii="仿宋" w:hAnsi="仿宋" w:eastAsia="仿宋" w:cs="仿宋_GB2312"/>
          <w:color w:val="auto"/>
          <w:sz w:val="24"/>
          <w:highlight w:val="none"/>
        </w:rPr>
        <w:t>18.3</w:t>
      </w:r>
      <w:r>
        <w:rPr>
          <w:rFonts w:hint="eastAsia" w:ascii="仿宋" w:hAnsi="仿宋" w:eastAsia="仿宋" w:cs="仿宋_GB2312"/>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_GB2312"/>
          <w:b/>
          <w:color w:val="auto"/>
          <w:sz w:val="24"/>
          <w:szCs w:val="20"/>
          <w:highlight w:val="none"/>
        </w:rPr>
      </w:pPr>
      <w:r>
        <w:rPr>
          <w:rFonts w:ascii="仿宋" w:hAnsi="仿宋" w:eastAsia="仿宋" w:cs="仿宋_GB2312"/>
          <w:b/>
          <w:color w:val="auto"/>
          <w:sz w:val="24"/>
          <w:szCs w:val="20"/>
          <w:highlight w:val="none"/>
        </w:rPr>
        <w:t>19</w:t>
      </w:r>
      <w:r>
        <w:rPr>
          <w:rFonts w:hint="eastAsia" w:ascii="仿宋" w:hAnsi="仿宋" w:eastAsia="仿宋" w:cs="仿宋_GB2312"/>
          <w:b/>
          <w:color w:val="auto"/>
          <w:sz w:val="24"/>
          <w:szCs w:val="20"/>
          <w:highlight w:val="none"/>
        </w:rPr>
        <w:t>.</w:t>
      </w:r>
      <w:r>
        <w:rPr>
          <w:rFonts w:ascii="仿宋" w:hAnsi="仿宋" w:eastAsia="仿宋" w:cs="仿宋_GB2312"/>
          <w:b/>
          <w:color w:val="auto"/>
          <w:sz w:val="24"/>
          <w:szCs w:val="20"/>
          <w:highlight w:val="none"/>
        </w:rPr>
        <w:t>资格审查</w:t>
      </w:r>
    </w:p>
    <w:p>
      <w:pPr>
        <w:pStyle w:val="87"/>
        <w:spacing w:before="0"/>
        <w:ind w:firstLine="420" w:firstLineChars="0"/>
        <w:rPr>
          <w:rFonts w:ascii="仿宋" w:hAnsi="仿宋" w:eastAsia="仿宋" w:cs="Arial"/>
          <w:color w:val="auto"/>
          <w:kern w:val="0"/>
          <w:szCs w:val="24"/>
          <w:highlight w:val="none"/>
        </w:rPr>
      </w:pPr>
      <w:r>
        <w:rPr>
          <w:rFonts w:ascii="仿宋" w:hAnsi="仿宋" w:eastAsia="仿宋" w:cs="Arial"/>
          <w:color w:val="auto"/>
          <w:kern w:val="0"/>
          <w:szCs w:val="24"/>
          <w:highlight w:val="none"/>
        </w:rPr>
        <w:t>19.1开标后，采购人或采购代理机构将依法对投标人的资格进行审查。</w:t>
      </w:r>
    </w:p>
    <w:p>
      <w:pPr>
        <w:snapToGrid w:val="0"/>
        <w:spacing w:line="360" w:lineRule="auto"/>
        <w:ind w:firstLine="420"/>
        <w:rPr>
          <w:rFonts w:ascii="仿宋" w:hAnsi="仿宋" w:eastAsia="仿宋" w:cs="仿宋_GB2312"/>
          <w:color w:val="auto"/>
          <w:sz w:val="24"/>
          <w:highlight w:val="none"/>
        </w:rPr>
      </w:pPr>
      <w:r>
        <w:rPr>
          <w:rFonts w:ascii="仿宋" w:hAnsi="仿宋" w:eastAsia="仿宋" w:cs="Arial"/>
          <w:color w:val="auto"/>
          <w:kern w:val="0"/>
          <w:sz w:val="24"/>
          <w:highlight w:val="none"/>
        </w:rPr>
        <w:t>19.2</w:t>
      </w:r>
      <w:r>
        <w:rPr>
          <w:rFonts w:hint="eastAsia" w:ascii="仿宋" w:hAnsi="仿宋" w:eastAsia="仿宋" w:cs="仿宋_GB2312"/>
          <w:color w:val="auto"/>
          <w:sz w:val="24"/>
          <w:highlight w:val="none"/>
        </w:rPr>
        <w:t>采购人或采购代理机构依据法律法规和招标文件的规定，对投标人的基本资格条件、特定资格条件进行审查。</w:t>
      </w:r>
    </w:p>
    <w:p>
      <w:pPr>
        <w:pStyle w:val="87"/>
        <w:spacing w:before="0"/>
        <w:ind w:firstLine="420" w:firstLineChars="0"/>
        <w:rPr>
          <w:rFonts w:ascii="仿宋" w:hAnsi="仿宋" w:eastAsia="仿宋" w:cs="仿宋_GB2312"/>
          <w:color w:val="auto"/>
          <w:highlight w:val="none"/>
        </w:rPr>
      </w:pPr>
      <w:r>
        <w:rPr>
          <w:rFonts w:ascii="仿宋" w:hAnsi="仿宋" w:eastAsia="仿宋" w:cs="Arial"/>
          <w:color w:val="auto"/>
          <w:kern w:val="0"/>
          <w:szCs w:val="24"/>
          <w:highlight w:val="none"/>
        </w:rPr>
        <w:t>19.3投标人未按照招标文件要求提供与</w:t>
      </w:r>
      <w:r>
        <w:rPr>
          <w:rFonts w:hint="eastAsia" w:ascii="仿宋" w:hAnsi="仿宋" w:eastAsia="仿宋" w:cs="仿宋_GB2312"/>
          <w:color w:val="auto"/>
          <w:highlight w:val="none"/>
        </w:rPr>
        <w:t>基本资格条件、特定资格条件相应的</w:t>
      </w:r>
      <w:r>
        <w:rPr>
          <w:rFonts w:hint="eastAsia" w:ascii="仿宋" w:hAnsi="仿宋" w:eastAsia="仿宋" w:cs="Arial"/>
          <w:color w:val="auto"/>
          <w:kern w:val="0"/>
          <w:szCs w:val="24"/>
          <w:highlight w:val="none"/>
        </w:rPr>
        <w:t>有效资格证明材料的，视为</w:t>
      </w:r>
      <w:r>
        <w:rPr>
          <w:rFonts w:hint="eastAsia" w:ascii="仿宋" w:hAnsi="仿宋" w:eastAsia="仿宋" w:cs="仿宋_GB2312"/>
          <w:color w:val="auto"/>
          <w:highlight w:val="none"/>
        </w:rPr>
        <w:t>投标人不具备招标文件中规定的资格要求，其投标无效。</w:t>
      </w:r>
    </w:p>
    <w:p>
      <w:pPr>
        <w:pStyle w:val="87"/>
        <w:spacing w:before="0"/>
        <w:ind w:firstLine="420" w:firstLineChars="0"/>
        <w:rPr>
          <w:rFonts w:ascii="仿宋" w:hAnsi="仿宋" w:eastAsia="仿宋" w:cs="仿宋_GB2312"/>
          <w:color w:val="auto"/>
          <w:highlight w:val="none"/>
        </w:rPr>
      </w:pPr>
      <w:r>
        <w:rPr>
          <w:rFonts w:ascii="仿宋" w:hAnsi="仿宋" w:eastAsia="仿宋" w:cs="Arial"/>
          <w:color w:val="auto"/>
          <w:kern w:val="0"/>
          <w:szCs w:val="24"/>
          <w:highlight w:val="none"/>
        </w:rPr>
        <w:t>19.</w:t>
      </w:r>
      <w:r>
        <w:rPr>
          <w:rFonts w:ascii="仿宋" w:hAnsi="仿宋" w:eastAsia="仿宋" w:cs="仿宋_GB2312"/>
          <w:color w:val="auto"/>
          <w:highlight w:val="none"/>
        </w:rPr>
        <w:t>4对未通过资格审查的投标人，采购人或采购代理机构告知其未通过的原因。</w:t>
      </w:r>
    </w:p>
    <w:p>
      <w:pPr>
        <w:pStyle w:val="87"/>
        <w:spacing w:before="0"/>
        <w:ind w:firstLine="420" w:firstLineChars="0"/>
        <w:rPr>
          <w:rFonts w:ascii="仿宋" w:hAnsi="仿宋" w:eastAsia="仿宋" w:cs="仿宋_GB2312"/>
          <w:color w:val="auto"/>
          <w:highlight w:val="none"/>
        </w:rPr>
      </w:pPr>
      <w:r>
        <w:rPr>
          <w:rFonts w:ascii="仿宋" w:hAnsi="仿宋" w:eastAsia="仿宋" w:cs="Arial"/>
          <w:color w:val="auto"/>
          <w:kern w:val="0"/>
          <w:szCs w:val="24"/>
          <w:highlight w:val="none"/>
        </w:rPr>
        <w:t>19.</w:t>
      </w:r>
      <w:r>
        <w:rPr>
          <w:rFonts w:ascii="仿宋" w:hAnsi="仿宋" w:eastAsia="仿宋" w:cs="仿宋_GB2312"/>
          <w:color w:val="auto"/>
          <w:highlight w:val="none"/>
        </w:rPr>
        <w:t>5合格投标人不足3家的，不再评标。</w:t>
      </w:r>
    </w:p>
    <w:p>
      <w:pPr>
        <w:pStyle w:val="87"/>
        <w:spacing w:before="0"/>
        <w:ind w:firstLine="0" w:firstLineChars="0"/>
        <w:rPr>
          <w:rFonts w:ascii="仿宋" w:hAnsi="仿宋" w:eastAsia="仿宋" w:cs="仿宋_GB2312"/>
          <w:b/>
          <w:color w:val="auto"/>
          <w:szCs w:val="24"/>
          <w:highlight w:val="none"/>
        </w:rPr>
      </w:pPr>
    </w:p>
    <w:p>
      <w:pPr>
        <w:pStyle w:val="87"/>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20</w:t>
      </w:r>
      <w:r>
        <w:rPr>
          <w:rFonts w:hint="eastAsia" w:ascii="仿宋" w:hAnsi="仿宋" w:eastAsia="仿宋" w:cs="仿宋_GB2312"/>
          <w:b/>
          <w:color w:val="auto"/>
          <w:szCs w:val="24"/>
          <w:highlight w:val="none"/>
        </w:rPr>
        <w:t>.</w:t>
      </w:r>
      <w:r>
        <w:rPr>
          <w:rFonts w:ascii="仿宋" w:hAnsi="仿宋" w:eastAsia="仿宋" w:cs="仿宋_GB2312"/>
          <w:b/>
          <w:color w:val="auto"/>
          <w:szCs w:val="24"/>
          <w:highlight w:val="none"/>
        </w:rPr>
        <w:t>信用信息查询</w:t>
      </w:r>
    </w:p>
    <w:p>
      <w:pPr>
        <w:pStyle w:val="87"/>
        <w:spacing w:before="0"/>
        <w:ind w:firstLine="420" w:firstLineChars="0"/>
        <w:rPr>
          <w:rFonts w:ascii="仿宋" w:hAnsi="仿宋" w:eastAsia="仿宋" w:cs="Arial"/>
          <w:color w:val="auto"/>
          <w:kern w:val="0"/>
          <w:szCs w:val="24"/>
          <w:highlight w:val="none"/>
        </w:rPr>
      </w:pPr>
      <w:r>
        <w:rPr>
          <w:rFonts w:ascii="仿宋" w:hAnsi="仿宋" w:eastAsia="仿宋" w:cs="Arial"/>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pPr>
        <w:pStyle w:val="87"/>
        <w:spacing w:before="0"/>
        <w:ind w:firstLine="420" w:firstLineChars="0"/>
        <w:rPr>
          <w:rFonts w:ascii="仿宋" w:hAnsi="仿宋" w:eastAsia="仿宋" w:cs="Arial"/>
          <w:color w:val="auto"/>
          <w:kern w:val="0"/>
          <w:szCs w:val="24"/>
          <w:highlight w:val="none"/>
        </w:rPr>
      </w:pPr>
      <w:r>
        <w:rPr>
          <w:rFonts w:ascii="仿宋" w:hAnsi="仿宋" w:eastAsia="仿宋" w:cs="Arial"/>
          <w:color w:val="auto"/>
          <w:kern w:val="0"/>
          <w:szCs w:val="24"/>
          <w:highlight w:val="none"/>
        </w:rPr>
        <w:t>20.2信用信息查询记录和证据留存的具体方式：现场查询的投标人的信用记录、查询结果经确认后将与采购文件一起存档。</w:t>
      </w:r>
    </w:p>
    <w:p>
      <w:pPr>
        <w:pStyle w:val="87"/>
        <w:spacing w:before="0"/>
        <w:ind w:firstLine="420" w:firstLineChars="0"/>
        <w:rPr>
          <w:rFonts w:ascii="仿宋" w:hAnsi="仿宋" w:eastAsia="仿宋" w:cs="Arial"/>
          <w:color w:val="auto"/>
          <w:kern w:val="0"/>
          <w:szCs w:val="24"/>
          <w:highlight w:val="none"/>
        </w:rPr>
      </w:pPr>
      <w:r>
        <w:rPr>
          <w:rFonts w:ascii="仿宋" w:hAnsi="仿宋" w:eastAsia="仿宋"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7"/>
        <w:spacing w:before="0"/>
        <w:ind w:firstLine="420" w:firstLineChars="0"/>
        <w:rPr>
          <w:rFonts w:ascii="仿宋" w:hAnsi="仿宋" w:eastAsia="仿宋" w:cs="Arial"/>
          <w:color w:val="auto"/>
          <w:kern w:val="0"/>
          <w:szCs w:val="24"/>
          <w:highlight w:val="none"/>
        </w:rPr>
      </w:pPr>
      <w:r>
        <w:rPr>
          <w:rFonts w:ascii="仿宋" w:hAnsi="仿宋" w:eastAsia="仿宋"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Arial"/>
          <w:color w:val="auto"/>
          <w:kern w:val="0"/>
          <w:szCs w:val="24"/>
          <w:highlight w:val="none"/>
        </w:rPr>
        <w:t>。</w:t>
      </w:r>
    </w:p>
    <w:p>
      <w:pPr>
        <w:pStyle w:val="87"/>
        <w:spacing w:before="0"/>
        <w:ind w:firstLine="0" w:firstLineChars="0"/>
        <w:rPr>
          <w:rFonts w:ascii="仿宋" w:hAnsi="仿宋" w:eastAsia="仿宋" w:cs="Arial"/>
          <w:color w:val="auto"/>
          <w:kern w:val="0"/>
          <w:szCs w:val="24"/>
          <w:highlight w:val="none"/>
        </w:rPr>
      </w:pPr>
    </w:p>
    <w:p>
      <w:pPr>
        <w:snapToGrid w:val="0"/>
        <w:spacing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五、评标</w:t>
      </w:r>
    </w:p>
    <w:p>
      <w:pPr>
        <w:spacing w:line="360" w:lineRule="auto"/>
        <w:rPr>
          <w:rFonts w:ascii="仿宋" w:hAnsi="仿宋" w:eastAsia="仿宋" w:cs="仿宋_GB2312"/>
          <w:b/>
          <w:color w:val="auto"/>
          <w:sz w:val="24"/>
          <w:highlight w:val="none"/>
        </w:rPr>
      </w:pPr>
      <w:bookmarkStart w:id="17" w:name="_Toc91899903"/>
      <w:r>
        <w:rPr>
          <w:rFonts w:ascii="仿宋" w:hAnsi="仿宋" w:eastAsia="仿宋" w:cs="仿宋_GB2312"/>
          <w:b/>
          <w:color w:val="auto"/>
          <w:sz w:val="24"/>
          <w:highlight w:val="none"/>
        </w:rPr>
        <w:t>21.</w:t>
      </w:r>
      <w:r>
        <w:rPr>
          <w:rFonts w:ascii="仿宋" w:hAnsi="仿宋" w:eastAsia="仿宋"/>
          <w:color w:val="auto"/>
          <w:highlight w:val="none"/>
        </w:rPr>
        <w:t xml:space="preserve"> </w:t>
      </w:r>
      <w:r>
        <w:rPr>
          <w:rFonts w:hint="eastAsia" w:ascii="仿宋" w:hAnsi="仿宋" w:eastAsia="仿宋"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color w:val="auto"/>
          <w:sz w:val="24"/>
          <w:highlight w:val="none"/>
        </w:rPr>
        <w:t>详见招标文件第四部分评标办法。</w:t>
      </w:r>
    </w:p>
    <w:p>
      <w:pPr>
        <w:spacing w:line="360" w:lineRule="auto"/>
        <w:rPr>
          <w:rFonts w:ascii="仿宋" w:hAnsi="仿宋" w:eastAsia="仿宋" w:cs="仿宋_GB2312"/>
          <w:b/>
          <w:color w:val="auto"/>
          <w:sz w:val="24"/>
          <w:highlight w:val="none"/>
        </w:rPr>
      </w:pPr>
    </w:p>
    <w:p>
      <w:pPr>
        <w:snapToGrid w:val="0"/>
        <w:spacing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六、定</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标</w:t>
      </w:r>
    </w:p>
    <w:p>
      <w:pPr>
        <w:pStyle w:val="27"/>
        <w:spacing w:line="360" w:lineRule="auto"/>
        <w:ind w:left="479" w:hanging="479" w:hangingChars="199"/>
        <w:rPr>
          <w:rFonts w:ascii="仿宋" w:hAnsi="仿宋" w:eastAsia="仿宋" w:cs="仿宋_GB2312"/>
          <w:b/>
          <w:color w:val="auto"/>
          <w:highlight w:val="none"/>
        </w:rPr>
      </w:pPr>
      <w:r>
        <w:rPr>
          <w:rFonts w:ascii="仿宋" w:hAnsi="仿宋" w:eastAsia="仿宋" w:cs="仿宋_GB2312"/>
          <w:b/>
          <w:color w:val="auto"/>
          <w:highlight w:val="none"/>
        </w:rPr>
        <w:t xml:space="preserve">22. </w:t>
      </w:r>
      <w:r>
        <w:rPr>
          <w:rFonts w:hint="eastAsia" w:ascii="仿宋" w:hAnsi="仿宋" w:eastAsia="仿宋" w:cs="仿宋_GB2312"/>
          <w:b/>
          <w:color w:val="auto"/>
          <w:highlight w:val="none"/>
        </w:rPr>
        <w:t>确定中标供应商</w:t>
      </w:r>
    </w:p>
    <w:p>
      <w:pPr>
        <w:pStyle w:val="87"/>
        <w:snapToGrid w:val="0"/>
        <w:spacing w:before="0"/>
        <w:ind w:firstLine="480"/>
        <w:rPr>
          <w:rFonts w:ascii="仿宋" w:hAnsi="仿宋" w:eastAsia="仿宋" w:cs="仿宋_GB2312"/>
          <w:b/>
          <w:color w:val="auto"/>
          <w:szCs w:val="24"/>
          <w:highlight w:val="none"/>
        </w:rPr>
      </w:pPr>
      <w:r>
        <w:rPr>
          <w:rFonts w:hint="eastAsia" w:ascii="仿宋" w:hAnsi="仿宋" w:eastAsia="仿宋" w:cs="仿宋_GB2312"/>
          <w:color w:val="auto"/>
          <w:szCs w:val="24"/>
          <w:highlight w:val="none"/>
        </w:rPr>
        <w:t>采购人将自收到评审报告之日起</w:t>
      </w:r>
      <w:r>
        <w:rPr>
          <w:rFonts w:ascii="仿宋" w:hAnsi="仿宋" w:eastAsia="仿宋" w:cs="仿宋_GB2312"/>
          <w:color w:val="auto"/>
          <w:szCs w:val="24"/>
          <w:highlight w:val="none"/>
        </w:rPr>
        <w:t>5个工作日内通过电子交易平台在评审报告推荐的中标候选人中按顺序确定中标供应商。</w:t>
      </w:r>
    </w:p>
    <w:p>
      <w:pPr>
        <w:pStyle w:val="87"/>
        <w:snapToGrid w:val="0"/>
        <w:spacing w:before="0"/>
        <w:ind w:firstLine="0" w:firstLineChars="0"/>
        <w:rPr>
          <w:rFonts w:ascii="仿宋" w:hAnsi="仿宋" w:eastAsia="仿宋" w:cs="仿宋_GB2312"/>
          <w:b/>
          <w:color w:val="auto"/>
          <w:szCs w:val="24"/>
          <w:highlight w:val="none"/>
        </w:rPr>
      </w:pPr>
    </w:p>
    <w:p>
      <w:pPr>
        <w:pStyle w:val="87"/>
        <w:snapToGrid w:val="0"/>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 xml:space="preserve">23. </w:t>
      </w:r>
      <w:r>
        <w:rPr>
          <w:rFonts w:hint="eastAsia" w:ascii="仿宋" w:hAnsi="仿宋" w:eastAsia="仿宋" w:cs="仿宋_GB2312"/>
          <w:b/>
          <w:color w:val="auto"/>
          <w:szCs w:val="24"/>
          <w:highlight w:val="none"/>
        </w:rPr>
        <w:t>中标通知与中标结果公告</w:t>
      </w:r>
    </w:p>
    <w:p>
      <w:pPr>
        <w:widowControl/>
        <w:shd w:val="clear" w:color="auto" w:fill="FFFFFF"/>
        <w:spacing w:line="360" w:lineRule="auto"/>
        <w:ind w:firstLine="420"/>
        <w:jc w:val="left"/>
        <w:rPr>
          <w:rFonts w:ascii="仿宋" w:hAnsi="仿宋" w:eastAsia="仿宋" w:cs="仿宋_GB2312"/>
          <w:color w:val="auto"/>
          <w:sz w:val="24"/>
          <w:highlight w:val="none"/>
        </w:rPr>
      </w:pPr>
      <w:r>
        <w:rPr>
          <w:rFonts w:ascii="仿宋" w:hAnsi="仿宋" w:eastAsia="仿宋" w:cs="仿宋_GB2312"/>
          <w:color w:val="auto"/>
          <w:sz w:val="24"/>
          <w:highlight w:val="none"/>
        </w:rPr>
        <w:t>23.1自中标人确定之日起2个工作日内，采购代理机构通过电子交易平台向中标人发出中标通知书，</w:t>
      </w:r>
      <w:r>
        <w:rPr>
          <w:rFonts w:hint="eastAsia" w:ascii="仿宋" w:hAnsi="仿宋" w:eastAsia="仿宋" w:cs="仿宋_GB2312"/>
          <w:color w:val="auto"/>
          <w:sz w:val="24"/>
          <w:highlight w:val="none"/>
        </w:rPr>
        <w:t>同时编制发布采购结果公告。采购代理机构也可以以纸质形式进行中标通知。</w:t>
      </w:r>
    </w:p>
    <w:p>
      <w:pPr>
        <w:widowControl/>
        <w:shd w:val="clear" w:color="auto" w:fill="FFFFFF"/>
        <w:spacing w:line="360" w:lineRule="auto"/>
        <w:ind w:firstLine="420"/>
        <w:jc w:val="left"/>
        <w:rPr>
          <w:rFonts w:ascii="仿宋" w:hAnsi="仿宋" w:eastAsia="仿宋" w:cs="仿宋_GB2312"/>
          <w:color w:val="auto"/>
          <w:sz w:val="24"/>
          <w:highlight w:val="none"/>
        </w:rPr>
      </w:pPr>
      <w:r>
        <w:rPr>
          <w:rFonts w:ascii="仿宋" w:hAnsi="仿宋" w:eastAsia="仿宋" w:cs="仿宋_GB2312"/>
          <w:color w:val="auto"/>
          <w:sz w:val="24"/>
          <w:highlight w:val="none"/>
        </w:rPr>
        <w:t>23.2</w:t>
      </w:r>
      <w:r>
        <w:rPr>
          <w:rFonts w:hint="eastAsia" w:ascii="仿宋" w:hAnsi="仿宋" w:eastAsia="仿宋" w:cs="仿宋"/>
          <w:sz w:val="24"/>
          <w:highlight w:val="none"/>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napToGrid/>
        <w:spacing w:line="360" w:lineRule="auto"/>
        <w:ind w:left="0" w:leftChars="0" w:firstLine="420" w:firstLineChars="0"/>
        <w:jc w:val="left"/>
        <w:rPr>
          <w:rFonts w:ascii="仿宋" w:hAnsi="仿宋" w:eastAsia="仿宋" w:cs="仿宋_GB2312"/>
          <w:b/>
          <w:color w:val="auto"/>
          <w:sz w:val="32"/>
          <w:highlight w:val="none"/>
        </w:rPr>
      </w:pPr>
      <w:r>
        <w:rPr>
          <w:rFonts w:ascii="仿宋" w:hAnsi="仿宋" w:eastAsia="仿宋" w:cs="仿宋_GB2312"/>
          <w:color w:val="auto"/>
          <w:sz w:val="24"/>
          <w:highlight w:val="none"/>
        </w:rPr>
        <w:t>23.3公告期限为1个工作日。</w:t>
      </w:r>
    </w:p>
    <w:p>
      <w:pPr>
        <w:snapToGrid w:val="0"/>
        <w:spacing w:line="360" w:lineRule="auto"/>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七、合同授予</w:t>
      </w:r>
    </w:p>
    <w:p>
      <w:pPr>
        <w:pStyle w:val="27"/>
        <w:spacing w:line="360" w:lineRule="auto"/>
        <w:ind w:left="479" w:hanging="479" w:hangingChars="199"/>
        <w:rPr>
          <w:rFonts w:ascii="仿宋" w:hAnsi="仿宋" w:eastAsia="仿宋" w:cs="仿宋_GB2312"/>
          <w:b/>
          <w:color w:val="auto"/>
          <w:highlight w:val="none"/>
        </w:rPr>
      </w:pPr>
      <w:r>
        <w:rPr>
          <w:rFonts w:ascii="仿宋" w:hAnsi="仿宋" w:eastAsia="仿宋" w:cs="仿宋_GB2312"/>
          <w:b/>
          <w:color w:val="auto"/>
          <w:highlight w:val="none"/>
        </w:rPr>
        <w:t xml:space="preserve">24. </w:t>
      </w:r>
      <w:r>
        <w:rPr>
          <w:rFonts w:hint="eastAsia" w:ascii="仿宋" w:hAnsi="仿宋" w:eastAsia="仿宋" w:cs="仿宋_GB2312"/>
          <w:color w:val="auto"/>
          <w:highlight w:val="none"/>
        </w:rPr>
        <w:t>合同主要条款详见第五部分拟签订的合同文本。</w:t>
      </w:r>
    </w:p>
    <w:p>
      <w:pPr>
        <w:pStyle w:val="27"/>
        <w:spacing w:line="360" w:lineRule="auto"/>
        <w:ind w:left="479" w:hanging="479" w:hangingChars="199"/>
        <w:rPr>
          <w:rFonts w:ascii="仿宋" w:hAnsi="仿宋" w:eastAsia="仿宋" w:cs="仿宋_GB2312"/>
          <w:b/>
          <w:color w:val="auto"/>
          <w:highlight w:val="none"/>
        </w:rPr>
      </w:pPr>
      <w:r>
        <w:rPr>
          <w:rFonts w:ascii="仿宋" w:hAnsi="仿宋" w:eastAsia="仿宋" w:cs="仿宋_GB2312"/>
          <w:b/>
          <w:color w:val="auto"/>
          <w:highlight w:val="none"/>
        </w:rPr>
        <w:t xml:space="preserve">25. </w:t>
      </w:r>
      <w:r>
        <w:rPr>
          <w:rFonts w:hint="eastAsia" w:ascii="仿宋" w:hAnsi="仿宋" w:eastAsia="仿宋" w:cs="仿宋_GB2312"/>
          <w:b/>
          <w:color w:val="auto"/>
          <w:highlight w:val="none"/>
        </w:rPr>
        <w:t>合同的签订</w:t>
      </w:r>
    </w:p>
    <w:p>
      <w:pPr>
        <w:widowControl/>
        <w:shd w:val="clear" w:color="auto" w:fill="FFFFFF"/>
        <w:spacing w:line="360" w:lineRule="auto"/>
        <w:ind w:firstLine="420"/>
        <w:jc w:val="left"/>
        <w:rPr>
          <w:rFonts w:ascii="仿宋" w:hAnsi="仿宋" w:eastAsia="仿宋" w:cs="Arial"/>
          <w:color w:val="auto"/>
          <w:kern w:val="0"/>
          <w:sz w:val="24"/>
          <w:highlight w:val="none"/>
        </w:rPr>
      </w:pPr>
      <w:r>
        <w:rPr>
          <w:rFonts w:ascii="仿宋" w:hAnsi="仿宋" w:eastAsia="仿宋" w:cs="仿宋_GB2312"/>
          <w:color w:val="auto"/>
          <w:sz w:val="24"/>
          <w:highlight w:val="none"/>
        </w:rPr>
        <w:t>25.1</w:t>
      </w:r>
      <w:r>
        <w:rPr>
          <w:rFonts w:ascii="仿宋" w:hAnsi="仿宋" w:eastAsia="仿宋" w:cs="Arial"/>
          <w:color w:val="auto"/>
          <w:kern w:val="0"/>
          <w:sz w:val="24"/>
          <w:highlight w:val="none"/>
        </w:rPr>
        <w:t xml:space="preserve"> 采购人与中标人应当通过电子交易平台在中标通知书发出之日起三十日内，按照招标文件确定的事项签订政府采购合同，并在</w:t>
      </w:r>
      <w:r>
        <w:rPr>
          <w:rFonts w:hint="eastAsia" w:ascii="仿宋" w:hAnsi="仿宋" w:eastAsia="仿宋" w:cs="Arial"/>
          <w:color w:val="auto"/>
          <w:kern w:val="0"/>
          <w:sz w:val="24"/>
          <w:highlight w:val="none"/>
        </w:rPr>
        <w:t>合同签订之日起2个工作日</w:t>
      </w:r>
      <w:r>
        <w:rPr>
          <w:rFonts w:ascii="仿宋" w:hAnsi="仿宋" w:eastAsia="仿宋" w:cs="Arial"/>
          <w:color w:val="auto"/>
          <w:kern w:val="0"/>
          <w:sz w:val="24"/>
          <w:highlight w:val="none"/>
        </w:rPr>
        <w:t>内依法发布合同公告。</w:t>
      </w:r>
    </w:p>
    <w:p>
      <w:pPr>
        <w:pStyle w:val="87"/>
        <w:snapToGrid w:val="0"/>
        <w:spacing w:before="0"/>
        <w:ind w:firstLine="420" w:firstLineChars="0"/>
        <w:rPr>
          <w:rFonts w:ascii="仿宋" w:hAnsi="仿宋" w:eastAsia="仿宋"/>
          <w:color w:val="auto"/>
          <w:kern w:val="0"/>
          <w:highlight w:val="none"/>
        </w:rPr>
      </w:pPr>
      <w:r>
        <w:rPr>
          <w:rFonts w:ascii="仿宋" w:hAnsi="仿宋" w:eastAsia="仿宋" w:cs="仿宋_GB2312"/>
          <w:color w:val="auto"/>
          <w:kern w:val="0"/>
          <w:highlight w:val="none"/>
          <w:lang w:val="zh-CN"/>
        </w:rPr>
        <w:t>25.2</w:t>
      </w:r>
      <w:r>
        <w:rPr>
          <w:rFonts w:hint="eastAsia" w:ascii="仿宋" w:hAnsi="仿宋" w:eastAsia="仿宋"/>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87"/>
        <w:snapToGrid w:val="0"/>
        <w:spacing w:before="0"/>
        <w:ind w:firstLine="420" w:firstLineChars="0"/>
        <w:rPr>
          <w:rFonts w:ascii="仿宋" w:hAnsi="仿宋" w:eastAsia="仿宋" w:cs="仿宋_GB2312"/>
          <w:color w:val="auto"/>
          <w:kern w:val="0"/>
          <w:highlight w:val="none"/>
          <w:lang w:val="zh-CN"/>
        </w:rPr>
      </w:pPr>
      <w:r>
        <w:rPr>
          <w:rFonts w:ascii="仿宋" w:hAnsi="仿宋" w:eastAsia="仿宋" w:cs="仿宋_GB2312"/>
          <w:color w:val="auto"/>
          <w:kern w:val="0"/>
          <w:highlight w:val="none"/>
          <w:lang w:val="zh-CN"/>
        </w:rPr>
        <w:t>25.3如签订合同并生效后，供应商无故拒绝或延期，除按照合同条款处理外，列入不良行为记录一次，并给予通报。</w:t>
      </w:r>
    </w:p>
    <w:p>
      <w:pPr>
        <w:pStyle w:val="87"/>
        <w:snapToGrid w:val="0"/>
        <w:spacing w:before="0"/>
        <w:ind w:firstLine="420" w:firstLineChars="0"/>
        <w:rPr>
          <w:rFonts w:ascii="仿宋" w:hAnsi="仿宋" w:eastAsia="仿宋" w:cs="仿宋_GB2312"/>
          <w:color w:val="auto"/>
          <w:kern w:val="0"/>
          <w:highlight w:val="none"/>
          <w:lang w:val="zh-CN"/>
        </w:rPr>
      </w:pPr>
      <w:r>
        <w:rPr>
          <w:rFonts w:ascii="仿宋" w:hAnsi="仿宋" w:eastAsia="仿宋" w:cs="仿宋_GB2312"/>
          <w:color w:val="auto"/>
          <w:kern w:val="0"/>
          <w:highlight w:val="none"/>
          <w:lang w:val="zh-CN"/>
        </w:rPr>
        <w:t>25.4中标供应</w:t>
      </w:r>
      <w:r>
        <w:rPr>
          <w:rFonts w:hint="eastAsia" w:ascii="仿宋" w:hAnsi="仿宋" w:eastAsia="仿宋" w:cs="仿宋_GB2312"/>
          <w:color w:val="auto"/>
          <w:kern w:val="0"/>
          <w:highlight w:val="none"/>
          <w:lang w:val="zh-CN"/>
        </w:rPr>
        <w:t>商拒绝与采购人签订合同的，采购人可以按照评审报告推荐的中标或者成交候选人名单排序，确定下一候选人为中标供应商，也可以重新开展政府采购活动。</w:t>
      </w:r>
    </w:p>
    <w:p>
      <w:pPr>
        <w:pStyle w:val="87"/>
        <w:snapToGrid w:val="0"/>
        <w:ind w:firstLine="420" w:firstLineChars="0"/>
        <w:rPr>
          <w:rFonts w:ascii="仿宋" w:hAnsi="仿宋" w:eastAsia="仿宋" w:cs="仿宋_GB2312"/>
          <w:b/>
          <w:color w:val="auto"/>
          <w:highlight w:val="none"/>
        </w:rPr>
      </w:pPr>
      <w:r>
        <w:rPr>
          <w:rFonts w:ascii="仿宋" w:hAnsi="仿宋" w:eastAsia="仿宋" w:cs="仿宋_GB2312"/>
          <w:color w:val="auto"/>
          <w:kern w:val="0"/>
          <w:highlight w:val="none"/>
          <w:lang w:val="zh-CN"/>
        </w:rPr>
        <w:t>25.5采购合同由采购人与中标供应商根据</w:t>
      </w:r>
      <w:r>
        <w:rPr>
          <w:rFonts w:hint="eastAsia" w:ascii="仿宋" w:hAnsi="仿宋" w:eastAsia="仿宋" w:cs="仿宋_GB2312"/>
          <w:color w:val="auto"/>
          <w:kern w:val="0"/>
          <w:highlight w:val="none"/>
          <w:lang w:val="zh-CN"/>
        </w:rPr>
        <w:t>招标文件、投标文件等内容通过政府采购电子交易平台在线签订，自动备案。</w:t>
      </w:r>
    </w:p>
    <w:p>
      <w:pPr>
        <w:pStyle w:val="27"/>
        <w:spacing w:line="360" w:lineRule="auto"/>
        <w:ind w:left="479" w:hanging="479" w:hangingChars="199"/>
        <w:rPr>
          <w:rFonts w:ascii="仿宋" w:hAnsi="仿宋" w:eastAsia="仿宋" w:cs="仿宋_GB2312"/>
          <w:b/>
          <w:color w:val="auto"/>
          <w:highlight w:val="none"/>
        </w:rPr>
      </w:pPr>
      <w:r>
        <w:rPr>
          <w:rFonts w:ascii="仿宋" w:hAnsi="仿宋" w:eastAsia="仿宋" w:cs="仿宋_GB2312"/>
          <w:b/>
          <w:color w:val="auto"/>
          <w:highlight w:val="none"/>
        </w:rPr>
        <w:t xml:space="preserve">26. </w:t>
      </w:r>
      <w:r>
        <w:rPr>
          <w:rFonts w:hint="eastAsia" w:ascii="仿宋" w:hAnsi="仿宋" w:eastAsia="仿宋" w:cs="仿宋_GB2312"/>
          <w:b/>
          <w:color w:val="auto"/>
          <w:highlight w:val="none"/>
        </w:rPr>
        <w:t>履约保证金</w:t>
      </w:r>
    </w:p>
    <w:p>
      <w:pPr>
        <w:pStyle w:val="87"/>
        <w:snapToGrid w:val="0"/>
        <w:ind w:firstLine="480"/>
        <w:rPr>
          <w:rFonts w:hint="eastAsia" w:ascii="仿宋" w:hAnsi="仿宋" w:eastAsia="仿宋" w:cs="仿宋_GB2312"/>
          <w:b w:val="0"/>
          <w:color w:val="auto"/>
          <w:sz w:val="24"/>
          <w:highlight w:val="none"/>
        </w:rPr>
      </w:pPr>
      <w:r>
        <w:rPr>
          <w:rFonts w:hint="eastAsia" w:ascii="仿宋" w:hAnsi="仿宋" w:eastAsia="仿宋" w:cs="仿宋_GB2312"/>
          <w:color w:val="auto"/>
          <w:kern w:val="2"/>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_GB2312"/>
          <w:color w:val="auto"/>
          <w:sz w:val="24"/>
          <w:highlight w:val="none"/>
        </w:rPr>
        <w:t>。履约保证金的数额不得超过政府采购合同金额的</w:t>
      </w:r>
      <w:r>
        <w:rPr>
          <w:rFonts w:hint="eastAsia" w:ascii="仿宋" w:hAnsi="仿宋" w:eastAsia="仿宋" w:cs="仿宋_GB2312"/>
          <w:color w:val="auto"/>
          <w:sz w:val="24"/>
          <w:highlight w:val="none"/>
          <w:lang w:val="en-US" w:eastAsia="zh-CN"/>
        </w:rPr>
        <w:t>1</w:t>
      </w:r>
      <w:r>
        <w:rPr>
          <w:rFonts w:hint="eastAsia" w:ascii="仿宋" w:hAnsi="仿宋" w:eastAsia="仿宋" w:cs="仿宋_GB2312"/>
          <w:color w:val="auto"/>
          <w:sz w:val="24"/>
          <w:highlight w:val="none"/>
        </w:rPr>
        <w:t>%。鼓励和支持供应商以银行、保险公司出具的保函形式提供履约保证金。</w:t>
      </w:r>
      <w:r>
        <w:rPr>
          <w:rFonts w:hint="eastAsia" w:ascii="仿宋" w:hAnsi="仿宋" w:eastAsia="仿宋" w:cs="仿宋_GB2312"/>
          <w:b w:val="0"/>
          <w:color w:val="auto"/>
          <w:sz w:val="24"/>
          <w:highlight w:val="none"/>
        </w:rPr>
        <w:t>采购人不得拒收履约保函。</w:t>
      </w:r>
    </w:p>
    <w:p>
      <w:pPr>
        <w:pStyle w:val="87"/>
        <w:snapToGrid w:val="0"/>
        <w:ind w:firstLine="480"/>
        <w:rPr>
          <w:rFonts w:hint="eastAsia" w:ascii="仿宋" w:hAnsi="仿宋" w:eastAsia="仿宋" w:cs="仿宋_GB2312"/>
          <w:color w:val="auto"/>
          <w:kern w:val="2"/>
          <w:sz w:val="24"/>
          <w:szCs w:val="20"/>
          <w:highlight w:val="none"/>
        </w:rPr>
      </w:pPr>
      <w:r>
        <w:rPr>
          <w:rFonts w:hint="eastAsia" w:ascii="仿宋" w:hAnsi="仿宋" w:eastAsia="仿宋" w:cs="仿宋_GB2312"/>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仿宋" w:hAnsi="仿宋" w:eastAsia="仿宋" w:cs="仿宋_GB2312"/>
          <w:color w:val="auto"/>
          <w:sz w:val="24"/>
          <w:szCs w:val="20"/>
          <w:highlight w:val="none"/>
          <w:lang w:val="en-US" w:eastAsia="zh-CN"/>
        </w:rPr>
        <w:t>1</w:t>
      </w:r>
      <w:r>
        <w:rPr>
          <w:rFonts w:hint="eastAsia" w:ascii="仿宋" w:hAnsi="仿宋" w:eastAsia="仿宋" w:cs="仿宋_GB2312"/>
          <w:color w:val="auto"/>
          <w:sz w:val="24"/>
          <w:szCs w:val="20"/>
          <w:highlight w:val="none"/>
        </w:rPr>
        <w:t>%；评价总分在90分以下或者暂无评分的，收取履约保证金不得高于合同金额</w:t>
      </w:r>
      <w:r>
        <w:rPr>
          <w:rFonts w:hint="eastAsia" w:ascii="仿宋" w:hAnsi="仿宋" w:eastAsia="仿宋" w:cs="仿宋_GB2312"/>
          <w:color w:val="auto"/>
          <w:sz w:val="24"/>
          <w:szCs w:val="20"/>
          <w:highlight w:val="none"/>
          <w:lang w:val="en-US" w:eastAsia="zh-CN"/>
        </w:rPr>
        <w:t>1</w:t>
      </w:r>
      <w:r>
        <w:rPr>
          <w:rFonts w:hint="eastAsia" w:ascii="仿宋" w:hAnsi="仿宋" w:eastAsia="仿宋" w:cs="仿宋_GB2312"/>
          <w:color w:val="auto"/>
          <w:sz w:val="24"/>
          <w:szCs w:val="20"/>
          <w:highlight w:val="none"/>
        </w:rPr>
        <w:t>%。</w:t>
      </w:r>
    </w:p>
    <w:p>
      <w:pPr>
        <w:pStyle w:val="87"/>
        <w:ind w:firstLine="480"/>
        <w:rPr>
          <w:rFonts w:hint="eastAsia" w:ascii="仿宋" w:hAnsi="仿宋" w:eastAsia="仿宋" w:cs="仿宋_GB2312"/>
          <w:b w:val="0"/>
          <w:color w:val="auto"/>
          <w:sz w:val="24"/>
          <w:highlight w:val="none"/>
        </w:rPr>
      </w:pPr>
      <w:r>
        <w:rPr>
          <w:rFonts w:hint="eastAsia" w:ascii="仿宋" w:hAnsi="仿宋" w:eastAsia="仿宋" w:cs="仿宋_GB2312"/>
          <w:b w:val="0"/>
          <w:bCs w:val="0"/>
          <w:color w:val="auto"/>
          <w:kern w:val="2"/>
          <w:sz w:val="24"/>
          <w:highlight w:val="none"/>
        </w:rPr>
        <w:t>供应商</w:t>
      </w:r>
      <w:r>
        <w:rPr>
          <w:rFonts w:hint="eastAsia" w:ascii="仿宋" w:hAnsi="仿宋" w:eastAsia="仿宋" w:cs="仿宋_GB2312"/>
          <w:b w:val="0"/>
          <w:bCs w:val="0"/>
          <w:color w:val="auto"/>
          <w:kern w:val="2"/>
          <w:sz w:val="24"/>
          <w:highlight w:val="none"/>
          <w:lang w:val="en-US"/>
        </w:rPr>
        <w:t>可</w:t>
      </w:r>
      <w:r>
        <w:rPr>
          <w:rFonts w:hint="eastAsia" w:ascii="仿宋" w:hAnsi="仿宋" w:eastAsia="仿宋" w:cs="仿宋_GB2312"/>
          <w:b w:val="0"/>
          <w:bCs w:val="0"/>
          <w:color w:val="auto"/>
          <w:kern w:val="2"/>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rPr>
          <w:rFonts w:ascii="仿宋" w:hAnsi="仿宋" w:eastAsia="仿宋"/>
          <w:b/>
          <w:color w:val="auto"/>
          <w:sz w:val="24"/>
          <w:highlight w:val="none"/>
        </w:rPr>
      </w:pPr>
      <w:r>
        <w:rPr>
          <w:rFonts w:hint="eastAsia" w:ascii="仿宋" w:hAnsi="仿宋" w:eastAsia="仿宋" w:cs="仿宋_GB2312"/>
          <w:b/>
          <w:color w:val="auto"/>
          <w:sz w:val="32"/>
          <w:highlight w:val="none"/>
        </w:rPr>
        <w:t>八、电子交易活动的中止</w:t>
      </w:r>
    </w:p>
    <w:p>
      <w:pPr>
        <w:pStyle w:val="87"/>
        <w:snapToGrid w:val="0"/>
        <w:spacing w:before="0"/>
        <w:ind w:firstLine="0" w:firstLineChars="0"/>
        <w:rPr>
          <w:rFonts w:ascii="仿宋" w:hAnsi="仿宋" w:eastAsia="仿宋" w:cs="仿宋_GB2312"/>
          <w:b/>
          <w:color w:val="auto"/>
          <w:szCs w:val="24"/>
          <w:highlight w:val="none"/>
        </w:rPr>
      </w:pPr>
      <w:r>
        <w:rPr>
          <w:rFonts w:ascii="仿宋" w:hAnsi="仿宋" w:eastAsia="仿宋" w:cs="仿宋_GB2312"/>
          <w:color w:val="auto"/>
          <w:highlight w:val="none"/>
        </w:rPr>
        <w:t>2</w:t>
      </w:r>
      <w:r>
        <w:rPr>
          <w:rFonts w:ascii="仿宋" w:hAnsi="仿宋" w:eastAsia="仿宋" w:cs="仿宋_GB2312"/>
          <w:b/>
          <w:color w:val="auto"/>
          <w:szCs w:val="24"/>
          <w:highlight w:val="none"/>
        </w:rPr>
        <w:t xml:space="preserve">7. </w:t>
      </w:r>
      <w:r>
        <w:rPr>
          <w:rFonts w:hint="eastAsia" w:ascii="仿宋" w:hAnsi="仿宋" w:eastAsia="仿宋" w:cs="仿宋_GB2312"/>
          <w:b/>
          <w:color w:val="auto"/>
          <w:szCs w:val="24"/>
          <w:highlight w:val="none"/>
        </w:rPr>
        <w:t>电子交易活动的中止。</w:t>
      </w:r>
    </w:p>
    <w:p>
      <w:pPr>
        <w:pStyle w:val="87"/>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采购过程中出现以下情形，导致电子交易平台无法正常运行，或者无法保证电子交易的公平、公正和安全时，采购代理机构可中止电子交易活动：</w:t>
      </w:r>
    </w:p>
    <w:p>
      <w:pPr>
        <w:pStyle w:val="87"/>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 xml:space="preserve">27.1电子交易平台发生故障而无法登录访问的； </w:t>
      </w:r>
    </w:p>
    <w:p>
      <w:pPr>
        <w:pStyle w:val="87"/>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27.2电子交易平台应用或数据库出现错误，不能进行正常操作的；</w:t>
      </w:r>
    </w:p>
    <w:p>
      <w:pPr>
        <w:pStyle w:val="87"/>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27.3电子交易平台发现严重安全漏洞，有潜在泄密危险的；</w:t>
      </w:r>
    </w:p>
    <w:p>
      <w:pPr>
        <w:pStyle w:val="87"/>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 xml:space="preserve">27.4病毒发作导致不能进行正常操作的； </w:t>
      </w:r>
    </w:p>
    <w:p>
      <w:pPr>
        <w:pStyle w:val="87"/>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27.5其他无法保证电子交易的公平、公正和安全的情况。</w:t>
      </w:r>
    </w:p>
    <w:p>
      <w:pPr>
        <w:pStyle w:val="87"/>
        <w:snapToGrid w:val="0"/>
        <w:spacing w:before="0"/>
        <w:ind w:firstLine="0" w:firstLineChars="0"/>
        <w:rPr>
          <w:rFonts w:ascii="仿宋" w:hAnsi="仿宋" w:eastAsia="仿宋" w:cs="仿宋_GB2312"/>
          <w:b/>
          <w:bCs/>
          <w:color w:val="auto"/>
          <w:highlight w:val="none"/>
        </w:rPr>
      </w:pPr>
      <w:r>
        <w:rPr>
          <w:rFonts w:ascii="仿宋" w:hAnsi="仿宋" w:eastAsia="仿宋" w:cs="仿宋_GB2312"/>
          <w:b/>
          <w:bCs/>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outlineLvl w:val="1"/>
        <w:rPr>
          <w:rFonts w:ascii="仿宋" w:hAnsi="仿宋" w:eastAsia="仿宋" w:cs="仿宋_GB2312"/>
          <w:b/>
          <w:color w:val="auto"/>
          <w:sz w:val="32"/>
          <w:szCs w:val="32"/>
          <w:highlight w:val="none"/>
        </w:rPr>
      </w:pPr>
      <w:bookmarkStart w:id="18" w:name="_Toc97219777"/>
      <w:r>
        <w:rPr>
          <w:rFonts w:hint="eastAsia" w:ascii="仿宋" w:hAnsi="仿宋" w:eastAsia="仿宋" w:cs="仿宋_GB2312"/>
          <w:b/>
          <w:color w:val="auto"/>
          <w:sz w:val="32"/>
          <w:szCs w:val="32"/>
          <w:highlight w:val="none"/>
        </w:rPr>
        <w:t>九、验收</w:t>
      </w:r>
      <w:bookmarkEnd w:id="18"/>
    </w:p>
    <w:p>
      <w:pPr>
        <w:pStyle w:val="27"/>
        <w:spacing w:line="360" w:lineRule="auto"/>
        <w:ind w:firstLine="0" w:firstLineChars="0"/>
        <w:rPr>
          <w:rFonts w:ascii="仿宋" w:hAnsi="仿宋" w:eastAsia="仿宋" w:cs="仿宋_GB2312"/>
          <w:b/>
          <w:color w:val="auto"/>
          <w:highlight w:val="none"/>
        </w:rPr>
      </w:pPr>
      <w:r>
        <w:rPr>
          <w:rFonts w:ascii="仿宋" w:hAnsi="仿宋" w:eastAsia="仿宋" w:cs="仿宋_GB2312"/>
          <w:b/>
          <w:color w:val="auto"/>
          <w:highlight w:val="none"/>
        </w:rPr>
        <w:t>29.验收</w:t>
      </w:r>
    </w:p>
    <w:p>
      <w:pPr>
        <w:tabs>
          <w:tab w:val="left" w:pos="0"/>
        </w:tabs>
        <w:spacing w:line="360" w:lineRule="auto"/>
        <w:ind w:firstLine="480"/>
        <w:rPr>
          <w:rFonts w:ascii="仿宋" w:hAnsi="仿宋" w:eastAsia="仿宋" w:cs="Helvetica"/>
          <w:color w:val="auto"/>
          <w:kern w:val="0"/>
          <w:sz w:val="24"/>
          <w:highlight w:val="none"/>
        </w:rPr>
      </w:pPr>
      <w:bookmarkStart w:id="19" w:name="_Hlk97218631"/>
      <w:r>
        <w:rPr>
          <w:rFonts w:ascii="仿宋" w:hAnsi="仿宋" w:eastAsia="仿宋"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Helvetica"/>
          <w:color w:val="auto"/>
          <w:kern w:val="0"/>
          <w:sz w:val="24"/>
          <w:highlight w:val="none"/>
        </w:rPr>
      </w:pPr>
      <w:r>
        <w:rPr>
          <w:rFonts w:ascii="仿宋" w:hAnsi="仿宋" w:eastAsia="仿宋" w:cs="Helvetica"/>
          <w:color w:val="auto"/>
          <w:kern w:val="0"/>
          <w:sz w:val="24"/>
          <w:highlight w:val="none"/>
        </w:rPr>
        <w:t>29.2采购人可以邀请参加本项目的其他投标人或者第三方机构参与验收。参与验收的投标人或者第三方机构的意见作为</w:t>
      </w:r>
      <w:r>
        <w:rPr>
          <w:rFonts w:hint="eastAsia" w:ascii="仿宋" w:hAnsi="仿宋" w:eastAsia="仿宋" w:cs="Helvetica"/>
          <w:color w:val="auto"/>
          <w:kern w:val="0"/>
          <w:sz w:val="24"/>
          <w:highlight w:val="none"/>
        </w:rPr>
        <w:t>验收书的参考资料一并存档。</w:t>
      </w:r>
    </w:p>
    <w:p>
      <w:pPr>
        <w:tabs>
          <w:tab w:val="left" w:pos="0"/>
        </w:tabs>
        <w:spacing w:line="360" w:lineRule="auto"/>
        <w:ind w:firstLine="480"/>
        <w:rPr>
          <w:rFonts w:ascii="仿宋" w:hAnsi="仿宋" w:eastAsia="仿宋" w:cs="Helvetica"/>
          <w:color w:val="auto"/>
          <w:kern w:val="0"/>
          <w:sz w:val="24"/>
          <w:highlight w:val="none"/>
        </w:rPr>
      </w:pPr>
      <w:r>
        <w:rPr>
          <w:rFonts w:ascii="仿宋" w:hAnsi="仿宋" w:eastAsia="仿宋"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Helvetica"/>
          <w:color w:val="auto"/>
          <w:kern w:val="0"/>
          <w:sz w:val="24"/>
          <w:highlight w:val="none"/>
        </w:rPr>
      </w:pPr>
      <w:r>
        <w:rPr>
          <w:rFonts w:ascii="仿宋" w:hAnsi="仿宋" w:eastAsia="仿宋"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pPr>
        <w:tabs>
          <w:tab w:val="left" w:pos="0"/>
        </w:tabs>
        <w:spacing w:line="360" w:lineRule="auto"/>
        <w:ind w:firstLine="480"/>
        <w:rPr>
          <w:rFonts w:ascii="仿宋" w:hAnsi="仿宋" w:eastAsia="仿宋"/>
          <w:color w:val="auto"/>
          <w:sz w:val="24"/>
          <w:highlight w:val="none"/>
        </w:rPr>
      </w:pPr>
    </w:p>
    <w:bookmarkEnd w:id="17"/>
    <w:p>
      <w:pPr>
        <w:pStyle w:val="87"/>
        <w:snapToGrid w:val="0"/>
        <w:spacing w:before="0"/>
        <w:ind w:firstLine="480"/>
        <w:rPr>
          <w:rFonts w:ascii="仿宋" w:hAnsi="仿宋" w:eastAsia="仿宋" w:cs="仿宋_GB2312"/>
          <w:color w:val="auto"/>
          <w:highlight w:val="none"/>
        </w:rPr>
      </w:pPr>
      <w:bookmarkStart w:id="20" w:name="_Hlt68057669"/>
      <w:bookmarkEnd w:id="20"/>
      <w:bookmarkStart w:id="21" w:name="_Hlt74707468"/>
      <w:bookmarkEnd w:id="21"/>
      <w:bookmarkStart w:id="22" w:name="_Hlt74714665"/>
      <w:bookmarkEnd w:id="22"/>
      <w:bookmarkStart w:id="23" w:name="_Hlt75236101"/>
      <w:bookmarkEnd w:id="23"/>
      <w:bookmarkStart w:id="24" w:name="_Hlt75236011"/>
      <w:bookmarkEnd w:id="24"/>
      <w:bookmarkStart w:id="25" w:name="_Hlt68403820"/>
      <w:bookmarkEnd w:id="25"/>
      <w:bookmarkStart w:id="26" w:name="_Hlt68072990"/>
      <w:bookmarkEnd w:id="26"/>
      <w:bookmarkStart w:id="27" w:name="_Hlt74729768"/>
      <w:bookmarkEnd w:id="27"/>
      <w:bookmarkStart w:id="28" w:name="_Hlt68073093"/>
      <w:bookmarkEnd w:id="28"/>
      <w:bookmarkStart w:id="29" w:name="_Hlt68072998"/>
      <w:bookmarkEnd w:id="29"/>
      <w:bookmarkStart w:id="30" w:name="_Hlt74730295"/>
      <w:bookmarkEnd w:id="30"/>
      <w:bookmarkStart w:id="31" w:name="_Hlt75236290"/>
      <w:bookmarkEnd w:id="31"/>
    </w:p>
    <w:p>
      <w:pPr>
        <w:pStyle w:val="87"/>
        <w:snapToGrid w:val="0"/>
        <w:spacing w:before="0"/>
        <w:ind w:firstLine="0" w:firstLineChars="0"/>
        <w:rPr>
          <w:rFonts w:ascii="仿宋" w:hAnsi="仿宋" w:eastAsia="仿宋" w:cs="仿宋_GB2312"/>
          <w:color w:val="auto"/>
          <w:highlight w:val="none"/>
        </w:rPr>
      </w:pPr>
    </w:p>
    <w:p>
      <w:pPr>
        <w:pStyle w:val="87"/>
        <w:snapToGrid w:val="0"/>
        <w:spacing w:before="0"/>
        <w:ind w:firstLine="0" w:firstLineChars="0"/>
        <w:rPr>
          <w:rFonts w:ascii="仿宋" w:hAnsi="仿宋" w:eastAsia="仿宋" w:cs="仿宋_GB2312"/>
          <w:color w:val="auto"/>
          <w:highlight w:val="none"/>
        </w:rPr>
      </w:pPr>
    </w:p>
    <w:p>
      <w:pPr>
        <w:pStyle w:val="87"/>
        <w:snapToGrid w:val="0"/>
        <w:spacing w:before="0"/>
        <w:ind w:firstLine="0" w:firstLineChars="0"/>
        <w:rPr>
          <w:rFonts w:ascii="仿宋" w:hAnsi="仿宋" w:eastAsia="仿宋" w:cs="仿宋_GB2312"/>
          <w:color w:val="auto"/>
          <w:highlight w:val="none"/>
        </w:rPr>
      </w:pPr>
    </w:p>
    <w:p>
      <w:pPr>
        <w:pStyle w:val="87"/>
        <w:snapToGrid w:val="0"/>
        <w:spacing w:before="0"/>
        <w:ind w:firstLine="0" w:firstLineChars="0"/>
        <w:rPr>
          <w:rFonts w:ascii="仿宋" w:hAnsi="仿宋" w:eastAsia="仿宋" w:cs="仿宋_GB2312"/>
          <w:color w:val="auto"/>
          <w:highlight w:val="none"/>
        </w:rPr>
      </w:pPr>
    </w:p>
    <w:p>
      <w:pPr>
        <w:pStyle w:val="87"/>
        <w:snapToGrid w:val="0"/>
        <w:spacing w:before="0"/>
        <w:ind w:firstLine="0" w:firstLineChars="0"/>
        <w:rPr>
          <w:rFonts w:ascii="仿宋" w:hAnsi="仿宋" w:eastAsia="仿宋" w:cs="仿宋_GB2312"/>
          <w:color w:val="auto"/>
          <w:highlight w:val="none"/>
        </w:rPr>
      </w:pPr>
    </w:p>
    <w:p>
      <w:pPr>
        <w:pStyle w:val="87"/>
        <w:snapToGrid w:val="0"/>
        <w:spacing w:before="0"/>
        <w:ind w:firstLine="0" w:firstLineChars="0"/>
        <w:rPr>
          <w:rFonts w:ascii="仿宋" w:hAnsi="仿宋" w:eastAsia="仿宋" w:cs="仿宋_GB2312"/>
          <w:color w:val="auto"/>
          <w:highlight w:val="none"/>
        </w:rPr>
      </w:pPr>
    </w:p>
    <w:p>
      <w:pPr>
        <w:pStyle w:val="87"/>
        <w:snapToGrid w:val="0"/>
        <w:spacing w:before="0"/>
        <w:ind w:firstLine="0" w:firstLineChars="0"/>
        <w:rPr>
          <w:rFonts w:ascii="仿宋" w:hAnsi="仿宋" w:eastAsia="仿宋" w:cs="仿宋_GB2312"/>
          <w:color w:val="auto"/>
          <w:highlight w:val="none"/>
        </w:rPr>
      </w:pPr>
    </w:p>
    <w:p>
      <w:pPr>
        <w:pStyle w:val="87"/>
        <w:snapToGrid w:val="0"/>
        <w:spacing w:before="0"/>
        <w:ind w:firstLine="0" w:firstLineChars="0"/>
        <w:rPr>
          <w:rFonts w:ascii="仿宋" w:hAnsi="仿宋" w:eastAsia="仿宋" w:cs="仿宋_GB2312"/>
          <w:color w:val="auto"/>
          <w:highlight w:val="none"/>
        </w:rPr>
      </w:pPr>
    </w:p>
    <w:p>
      <w:pPr>
        <w:pStyle w:val="87"/>
        <w:snapToGrid w:val="0"/>
        <w:spacing w:before="0"/>
        <w:ind w:firstLine="0" w:firstLineChars="0"/>
        <w:rPr>
          <w:rFonts w:ascii="仿宋" w:hAnsi="仿宋" w:eastAsia="仿宋" w:cs="仿宋_GB2312"/>
          <w:color w:val="auto"/>
          <w:highlight w:val="none"/>
        </w:rPr>
      </w:pPr>
    </w:p>
    <w:p>
      <w:pPr>
        <w:pStyle w:val="87"/>
        <w:snapToGrid w:val="0"/>
        <w:spacing w:before="0"/>
        <w:ind w:firstLine="0" w:firstLineChars="0"/>
        <w:rPr>
          <w:rFonts w:ascii="仿宋" w:hAnsi="仿宋" w:eastAsia="仿宋" w:cs="仿宋_GB2312"/>
          <w:color w:val="auto"/>
          <w:highlight w:val="none"/>
        </w:rPr>
      </w:pPr>
    </w:p>
    <w:p>
      <w:pPr>
        <w:pStyle w:val="87"/>
        <w:snapToGrid w:val="0"/>
        <w:spacing w:before="0"/>
        <w:ind w:firstLine="0" w:firstLineChars="0"/>
        <w:rPr>
          <w:rFonts w:ascii="仿宋" w:hAnsi="仿宋" w:eastAsia="仿宋" w:cs="仿宋_GB2312"/>
          <w:color w:val="auto"/>
          <w:highlight w:val="none"/>
        </w:rPr>
      </w:pPr>
    </w:p>
    <w:p>
      <w:pPr>
        <w:pStyle w:val="87"/>
        <w:snapToGrid w:val="0"/>
        <w:spacing w:before="0"/>
        <w:ind w:firstLine="0" w:firstLineChars="0"/>
        <w:rPr>
          <w:rFonts w:ascii="仿宋" w:hAnsi="仿宋" w:eastAsia="仿宋" w:cs="仿宋_GB2312"/>
          <w:color w:val="auto"/>
          <w:highlight w:val="none"/>
        </w:rPr>
      </w:pPr>
    </w:p>
    <w:p>
      <w:pPr>
        <w:pStyle w:val="87"/>
        <w:snapToGrid w:val="0"/>
        <w:spacing w:before="0"/>
        <w:ind w:firstLine="0" w:firstLineChars="0"/>
        <w:rPr>
          <w:rFonts w:ascii="仿宋" w:hAnsi="仿宋" w:eastAsia="仿宋" w:cs="仿宋_GB2312"/>
          <w:color w:val="auto"/>
          <w:highlight w:val="none"/>
        </w:rPr>
      </w:pPr>
    </w:p>
    <w:p>
      <w:pPr>
        <w:pStyle w:val="87"/>
        <w:snapToGrid w:val="0"/>
        <w:spacing w:before="0"/>
        <w:ind w:firstLine="0" w:firstLineChars="0"/>
        <w:rPr>
          <w:rFonts w:ascii="仿宋" w:hAnsi="仿宋" w:eastAsia="仿宋" w:cs="仿宋_GB2312"/>
          <w:color w:val="auto"/>
          <w:highlight w:val="none"/>
        </w:rPr>
      </w:pPr>
    </w:p>
    <w:p>
      <w:pPr>
        <w:pStyle w:val="87"/>
        <w:snapToGrid w:val="0"/>
        <w:spacing w:before="0"/>
        <w:ind w:firstLine="0" w:firstLineChars="0"/>
        <w:rPr>
          <w:rFonts w:ascii="仿宋" w:hAnsi="仿宋" w:eastAsia="仿宋" w:cs="仿宋_GB2312"/>
          <w:color w:val="auto"/>
          <w:highlight w:val="none"/>
        </w:rPr>
      </w:pPr>
    </w:p>
    <w:p>
      <w:pPr>
        <w:pStyle w:val="87"/>
        <w:snapToGrid w:val="0"/>
        <w:spacing w:before="0"/>
        <w:ind w:firstLine="0" w:firstLineChars="0"/>
        <w:rPr>
          <w:rFonts w:ascii="仿宋" w:hAnsi="仿宋" w:eastAsia="仿宋" w:cs="仿宋_GB2312"/>
          <w:color w:val="auto"/>
          <w:highlight w:val="none"/>
        </w:rPr>
      </w:pPr>
    </w:p>
    <w:p>
      <w:pPr>
        <w:pStyle w:val="87"/>
        <w:snapToGrid w:val="0"/>
        <w:spacing w:before="0"/>
        <w:ind w:firstLine="0" w:firstLineChars="0"/>
        <w:rPr>
          <w:rFonts w:ascii="仿宋" w:hAnsi="仿宋" w:eastAsia="仿宋" w:cs="仿宋_GB2312"/>
          <w:color w:val="auto"/>
          <w:highlight w:val="none"/>
        </w:rPr>
      </w:pPr>
    </w:p>
    <w:p>
      <w:pPr>
        <w:pStyle w:val="87"/>
        <w:snapToGrid w:val="0"/>
        <w:spacing w:before="0"/>
        <w:ind w:firstLine="0" w:firstLineChars="0"/>
        <w:rPr>
          <w:rFonts w:ascii="仿宋" w:hAnsi="仿宋" w:eastAsia="仿宋" w:cs="仿宋_GB2312"/>
          <w:color w:val="auto"/>
          <w:highlight w:val="none"/>
        </w:rPr>
      </w:pPr>
    </w:p>
    <w:p>
      <w:pPr>
        <w:pStyle w:val="87"/>
        <w:snapToGrid w:val="0"/>
        <w:spacing w:before="0"/>
        <w:ind w:firstLine="0" w:firstLineChars="0"/>
        <w:rPr>
          <w:rFonts w:ascii="仿宋" w:hAnsi="仿宋" w:eastAsia="仿宋" w:cs="仿宋_GB2312"/>
          <w:color w:val="auto"/>
          <w:highlight w:val="none"/>
        </w:rPr>
      </w:pPr>
    </w:p>
    <w:p>
      <w:pPr>
        <w:pStyle w:val="87"/>
        <w:snapToGrid w:val="0"/>
        <w:spacing w:before="0"/>
        <w:ind w:firstLine="0" w:firstLineChars="0"/>
        <w:rPr>
          <w:rFonts w:ascii="仿宋" w:hAnsi="仿宋" w:eastAsia="仿宋" w:cs="仿宋_GB2312"/>
          <w:color w:val="auto"/>
          <w:highlight w:val="none"/>
        </w:rPr>
      </w:pPr>
    </w:p>
    <w:p>
      <w:pPr>
        <w:pStyle w:val="87"/>
        <w:snapToGrid w:val="0"/>
        <w:spacing w:before="0"/>
        <w:ind w:firstLine="0" w:firstLineChars="0"/>
        <w:rPr>
          <w:rFonts w:ascii="仿宋" w:hAnsi="仿宋" w:eastAsia="仿宋" w:cs="仿宋_GB2312"/>
          <w:color w:val="auto"/>
          <w:highlight w:val="none"/>
        </w:rPr>
      </w:pPr>
    </w:p>
    <w:p>
      <w:pPr>
        <w:pStyle w:val="87"/>
        <w:snapToGrid w:val="0"/>
        <w:spacing w:before="0"/>
        <w:ind w:firstLine="0" w:firstLineChars="0"/>
        <w:rPr>
          <w:rFonts w:ascii="仿宋" w:hAnsi="仿宋" w:eastAsia="仿宋" w:cs="仿宋_GB2312"/>
          <w:color w:val="auto"/>
          <w:highlight w:val="none"/>
        </w:rPr>
      </w:pPr>
    </w:p>
    <w:p>
      <w:pPr>
        <w:pStyle w:val="87"/>
        <w:snapToGrid w:val="0"/>
        <w:spacing w:before="0"/>
        <w:ind w:firstLine="0" w:firstLineChars="0"/>
        <w:rPr>
          <w:rFonts w:ascii="仿宋" w:hAnsi="仿宋" w:eastAsia="仿宋" w:cs="仿宋_GB2312"/>
          <w:color w:val="auto"/>
          <w:highlight w:val="none"/>
        </w:rPr>
      </w:pPr>
    </w:p>
    <w:p>
      <w:pPr>
        <w:pStyle w:val="87"/>
        <w:snapToGrid w:val="0"/>
        <w:spacing w:before="0"/>
        <w:ind w:firstLine="0" w:firstLineChars="0"/>
        <w:rPr>
          <w:rFonts w:ascii="仿宋" w:hAnsi="仿宋" w:eastAsia="仿宋" w:cs="仿宋_GB2312"/>
          <w:color w:val="auto"/>
          <w:highlight w:val="none"/>
        </w:rPr>
        <w:sectPr>
          <w:headerReference r:id="rId4" w:type="first"/>
          <w:footerReference r:id="rId7" w:type="first"/>
          <w:headerReference r:id="rId3" w:type="default"/>
          <w:footerReference r:id="rId5" w:type="default"/>
          <w:footerReference r:id="rId6" w:type="even"/>
          <w:pgSz w:w="11906" w:h="16838"/>
          <w:pgMar w:top="916" w:right="1757" w:bottom="1440" w:left="1757" w:header="851" w:footer="992" w:gutter="0"/>
          <w:cols w:space="720" w:num="1"/>
          <w:titlePg/>
          <w:docGrid w:linePitch="312" w:charSpace="0"/>
        </w:sectPr>
      </w:pPr>
    </w:p>
    <w:bookmarkEnd w:id="15"/>
    <w:bookmarkEnd w:id="16"/>
    <w:p>
      <w:pPr>
        <w:spacing w:line="360" w:lineRule="auto"/>
        <w:jc w:val="center"/>
        <w:outlineLvl w:val="0"/>
        <w:rPr>
          <w:rFonts w:hint="eastAsia" w:ascii="仿宋" w:hAnsi="仿宋" w:eastAsia="仿宋" w:cs="仿宋"/>
          <w:b/>
          <w:color w:val="auto"/>
          <w:sz w:val="24"/>
          <w:szCs w:val="24"/>
          <w:highlight w:val="none"/>
        </w:rPr>
      </w:pPr>
      <w:bookmarkStart w:id="32" w:name="第四部分"/>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pPr>
        <w:pStyle w:val="24"/>
        <w:spacing w:line="360" w:lineRule="auto"/>
        <w:ind w:firstLine="480" w:firstLineChars="200"/>
        <w:rPr>
          <w:color w:val="000000"/>
          <w:lang w:eastAsia="zh-CN"/>
        </w:rPr>
      </w:pPr>
      <w:r>
        <w:rPr>
          <w:color w:val="000000"/>
        </w:rPr>
        <w:t>招标人要求应尽可能清晰准确，</w:t>
      </w:r>
      <w:r>
        <w:rPr>
          <w:color w:val="000000"/>
          <w:lang w:eastAsia="zh-CN"/>
        </w:rPr>
        <w:t>详细写明养护的具体地点、具体范围、具体工作内容、相关人员要求、养护管理要求、养护机械设备要求、养护质量标准、考核标准、奖罚措施等</w:t>
      </w:r>
      <w:r>
        <w:rPr>
          <w:color w:val="000000"/>
        </w:rPr>
        <w:t>具体要求。对于</w:t>
      </w:r>
      <w:r>
        <w:rPr>
          <w:color w:val="000000"/>
          <w:lang w:eastAsia="zh-CN"/>
        </w:rPr>
        <w:t>投标</w:t>
      </w:r>
      <w:r>
        <w:rPr>
          <w:color w:val="000000"/>
        </w:rPr>
        <w:t>人负责提供的有关服务，在招标人要求中应一并明确规定。招标人要求通常包括但不限于以下内容：</w:t>
      </w:r>
    </w:p>
    <w:p>
      <w:pPr>
        <w:pStyle w:val="24"/>
        <w:spacing w:line="360" w:lineRule="auto"/>
        <w:rPr>
          <w:b/>
          <w:bCs/>
          <w:color w:val="FF0000"/>
          <w:lang w:eastAsia="zh-CN"/>
        </w:rPr>
      </w:pPr>
      <w:r>
        <w:rPr>
          <w:b/>
          <w:bCs/>
          <w:color w:val="auto"/>
          <w:lang w:eastAsia="zh-CN"/>
        </w:rPr>
        <w:t>一、养护内容和要求</w:t>
      </w:r>
      <w:r>
        <w:rPr>
          <w:b/>
          <w:bCs/>
          <w:color w:val="FF0000"/>
          <w:lang w:eastAsia="zh-CN"/>
        </w:rPr>
        <w:t>：</w:t>
      </w:r>
    </w:p>
    <w:p>
      <w:pPr>
        <w:pStyle w:val="24"/>
        <w:spacing w:line="360" w:lineRule="auto"/>
        <w:rPr>
          <w:rFonts w:hint="default"/>
          <w:color w:val="auto"/>
          <w:lang w:val="en-US" w:eastAsia="zh-CN"/>
        </w:rPr>
      </w:pPr>
      <w:r>
        <w:rPr>
          <w:color w:val="auto"/>
          <w:lang w:eastAsia="zh-CN"/>
        </w:rPr>
        <w:t>1、养护的具体地点、具体范围：</w:t>
      </w:r>
      <w:r>
        <w:rPr>
          <w:rFonts w:hint="eastAsia"/>
          <w:color w:val="auto"/>
          <w:lang w:val="en-US" w:eastAsia="zh-CN"/>
        </w:rPr>
        <w:t>城市化管理区域以及非城市化管理范围内的应急任务等。</w:t>
      </w:r>
    </w:p>
    <w:tbl>
      <w:tblPr>
        <w:tblStyle w:val="6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149"/>
        <w:gridCol w:w="1141"/>
        <w:gridCol w:w="1336"/>
        <w:gridCol w:w="2528"/>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229" w:type="pct"/>
            <w:vMerge w:val="restar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序号</w:t>
            </w:r>
          </w:p>
        </w:tc>
        <w:tc>
          <w:tcPr>
            <w:tcW w:w="4770" w:type="pct"/>
            <w:gridSpan w:val="5"/>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城市化管理区域“四至”范围（标明路名，含不含道路请写清楚）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29" w:type="pct"/>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ascii="黑体" w:hAnsi="黑体" w:eastAsia="黑体" w:cs="黑体"/>
                <w:sz w:val="21"/>
                <w:szCs w:val="21"/>
                <w:vertAlign w:val="baseline"/>
                <w:lang w:val="en-US" w:eastAsia="zh-CN"/>
              </w:rPr>
            </w:pPr>
          </w:p>
        </w:tc>
        <w:tc>
          <w:tcPr>
            <w:tcW w:w="1158"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东</w:t>
            </w:r>
          </w:p>
        </w:tc>
        <w:tc>
          <w:tcPr>
            <w:tcW w:w="615"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南</w:t>
            </w:r>
          </w:p>
        </w:tc>
        <w:tc>
          <w:tcPr>
            <w:tcW w:w="720"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西</w:t>
            </w:r>
          </w:p>
        </w:tc>
        <w:tc>
          <w:tcPr>
            <w:tcW w:w="1362"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北</w:t>
            </w:r>
          </w:p>
        </w:tc>
        <w:tc>
          <w:tcPr>
            <w:tcW w:w="913"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区域面积</w:t>
            </w:r>
            <w:r>
              <w:rPr>
                <w:rFonts w:hint="eastAsia" w:ascii="黑体" w:hAnsi="黑体" w:eastAsia="黑体" w:cs="黑体"/>
                <w:color w:val="000000"/>
                <w:sz w:val="21"/>
                <w:szCs w:val="21"/>
                <w:lang w:eastAsia="zh-CN"/>
              </w:rPr>
              <w:t>（平方公里）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22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15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高教路以东（溪上玫瑰园、花园里、徐家埭）五常交接处</w:t>
            </w:r>
          </w:p>
        </w:tc>
        <w:tc>
          <w:tcPr>
            <w:tcW w:w="61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留和路（与西湖区交界处）</w:t>
            </w:r>
          </w:p>
        </w:tc>
        <w:tc>
          <w:tcPr>
            <w:tcW w:w="72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闲林西路（杭州鸿运交界处）</w:t>
            </w:r>
          </w:p>
        </w:tc>
        <w:tc>
          <w:tcPr>
            <w:tcW w:w="136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文二西路(与文福路、爱橙街、高教路交界处</w:t>
            </w:r>
          </w:p>
        </w:tc>
        <w:tc>
          <w:tcPr>
            <w:tcW w:w="91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000" w:type="pct"/>
            <w:gridSpan w:val="6"/>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注：总面积30.5平方公里</w:t>
            </w:r>
            <w:r>
              <w:rPr>
                <w:rFonts w:hint="eastAsia" w:ascii="仿宋_GB2312" w:hAnsi="仿宋_GB2312" w:eastAsia="仿宋_GB2312" w:cs="仿宋_GB2312"/>
                <w:sz w:val="21"/>
                <w:szCs w:val="21"/>
                <w:lang w:val="en-US" w:eastAsia="zh-CN"/>
              </w:rPr>
              <w:t>。</w:t>
            </w:r>
          </w:p>
        </w:tc>
      </w:tr>
    </w:tbl>
    <w:p>
      <w:pPr>
        <w:pStyle w:val="25"/>
        <w:rPr>
          <w:rFonts w:hint="default"/>
          <w:lang w:val="en-US" w:eastAsia="zh-CN"/>
        </w:rPr>
      </w:pPr>
    </w:p>
    <w:p>
      <w:pPr>
        <w:pStyle w:val="24"/>
        <w:spacing w:line="360" w:lineRule="auto"/>
        <w:ind w:firstLine="480" w:firstLineChars="200"/>
        <w:rPr>
          <w:rFonts w:hint="default"/>
          <w:color w:val="000000"/>
          <w:lang w:val="en-US" w:eastAsia="zh-CN"/>
        </w:rPr>
      </w:pPr>
      <w:r>
        <w:rPr>
          <w:color w:val="000000"/>
          <w:lang w:eastAsia="zh-CN"/>
        </w:rPr>
        <w:t>2、具体的养护期限：</w:t>
      </w:r>
      <w:r>
        <w:rPr>
          <w:rFonts w:hint="eastAsia"/>
          <w:color w:val="000000"/>
          <w:lang w:val="en-US" w:eastAsia="zh-CN"/>
        </w:rPr>
        <w:t>2年</w:t>
      </w:r>
    </w:p>
    <w:p>
      <w:pPr>
        <w:pStyle w:val="24"/>
        <w:spacing w:line="360" w:lineRule="auto"/>
        <w:ind w:firstLine="480" w:firstLineChars="200"/>
        <w:rPr>
          <w:rFonts w:hint="eastAsia"/>
          <w:color w:val="000000"/>
          <w:lang w:val="en-US" w:eastAsia="zh-CN"/>
        </w:rPr>
      </w:pPr>
      <w:r>
        <w:rPr>
          <w:color w:val="000000"/>
          <w:lang w:eastAsia="zh-CN"/>
        </w:rPr>
        <w:t>3、具体养护工作内容要求：</w:t>
      </w:r>
      <w:r>
        <w:rPr>
          <w:rFonts w:hint="eastAsia"/>
          <w:color w:val="000000"/>
          <w:lang w:val="en-US" w:eastAsia="zh-CN"/>
        </w:rPr>
        <w:t>街道所属市政道路修补，人行道道板、侧石更新修复，雨水窨井（含管网疏通清淤），暂未移交水务公司的污水窨井（含管网疏通清淤），无人认领的其他城市窨井、乡道路面修复、市政设施设备、城市家具、公交车站、紧急排涝、除雪等应急任务。具体如下：</w:t>
      </w:r>
    </w:p>
    <w:p>
      <w:pPr>
        <w:pStyle w:val="24"/>
        <w:spacing w:line="360" w:lineRule="auto"/>
        <w:ind w:firstLine="480" w:firstLineChars="200"/>
        <w:rPr>
          <w:rFonts w:hint="eastAsia"/>
          <w:color w:val="000000"/>
        </w:rPr>
      </w:pPr>
      <w:r>
        <w:rPr>
          <w:rFonts w:hint="eastAsia"/>
          <w:color w:val="000000"/>
          <w:lang w:val="en-US" w:eastAsia="zh-CN"/>
        </w:rPr>
        <w:t>3.</w:t>
      </w:r>
      <w:r>
        <w:rPr>
          <w:rFonts w:hint="eastAsia"/>
          <w:color w:val="000000"/>
        </w:rPr>
        <w:t>1、范围内的破损道路、侧石、人行道的维护；</w:t>
      </w:r>
    </w:p>
    <w:p>
      <w:pPr>
        <w:pStyle w:val="24"/>
        <w:spacing w:line="360" w:lineRule="auto"/>
        <w:ind w:firstLine="480" w:firstLineChars="200"/>
        <w:rPr>
          <w:rFonts w:hint="eastAsia"/>
          <w:color w:val="000000"/>
        </w:rPr>
      </w:pPr>
      <w:r>
        <w:rPr>
          <w:rFonts w:hint="eastAsia"/>
          <w:color w:val="000000"/>
          <w:lang w:val="en-US" w:eastAsia="zh-CN"/>
        </w:rPr>
        <w:t>3.</w:t>
      </w:r>
      <w:r>
        <w:rPr>
          <w:rFonts w:hint="eastAsia"/>
          <w:color w:val="000000"/>
        </w:rPr>
        <w:t>2、缺失、破损窨井盖的更换与安装及养护；</w:t>
      </w:r>
    </w:p>
    <w:p>
      <w:pPr>
        <w:pStyle w:val="24"/>
        <w:spacing w:line="360" w:lineRule="auto"/>
        <w:ind w:firstLine="480" w:firstLineChars="200"/>
        <w:rPr>
          <w:rFonts w:hint="eastAsia"/>
          <w:color w:val="000000"/>
        </w:rPr>
      </w:pPr>
      <w:r>
        <w:rPr>
          <w:rFonts w:hint="eastAsia"/>
          <w:color w:val="000000"/>
          <w:lang w:val="en-US" w:eastAsia="zh-CN"/>
        </w:rPr>
        <w:t>3.</w:t>
      </w:r>
      <w:r>
        <w:rPr>
          <w:rFonts w:hint="eastAsia"/>
          <w:color w:val="000000"/>
        </w:rPr>
        <w:t>3、市政雨水管道、雨水检井等设施养护、市政排水管道及窨井淤泥清理外运及管道CCTV检测、检查井检修、雨水管道的疏通；并制作</w:t>
      </w:r>
      <w:r>
        <w:rPr>
          <w:rFonts w:hint="eastAsia"/>
          <w:color w:val="000000"/>
          <w:lang w:val="en-US" w:eastAsia="zh-CN"/>
        </w:rPr>
        <w:t>闲林</w:t>
      </w:r>
      <w:r>
        <w:rPr>
          <w:rFonts w:hint="eastAsia"/>
          <w:color w:val="000000"/>
        </w:rPr>
        <w:t>街道城区雨水管道详细档案；</w:t>
      </w:r>
    </w:p>
    <w:p>
      <w:pPr>
        <w:pStyle w:val="24"/>
        <w:spacing w:line="360" w:lineRule="auto"/>
        <w:ind w:firstLine="480" w:firstLineChars="200"/>
        <w:rPr>
          <w:rFonts w:hint="eastAsia"/>
          <w:color w:val="000000"/>
        </w:rPr>
      </w:pPr>
      <w:r>
        <w:rPr>
          <w:rFonts w:hint="eastAsia"/>
          <w:color w:val="000000"/>
          <w:lang w:val="en-US" w:eastAsia="zh-CN"/>
        </w:rPr>
        <w:t>3.</w:t>
      </w:r>
      <w:r>
        <w:rPr>
          <w:rFonts w:hint="eastAsia"/>
          <w:color w:val="000000"/>
        </w:rPr>
        <w:t>4、范围内的桥梁日常检查及修复；</w:t>
      </w:r>
    </w:p>
    <w:p>
      <w:pPr>
        <w:pStyle w:val="24"/>
        <w:spacing w:line="360" w:lineRule="auto"/>
        <w:ind w:firstLine="480" w:firstLineChars="200"/>
        <w:rPr>
          <w:rFonts w:hint="eastAsia"/>
          <w:color w:val="000000"/>
        </w:rPr>
      </w:pPr>
      <w:r>
        <w:rPr>
          <w:rFonts w:hint="eastAsia"/>
          <w:color w:val="000000"/>
          <w:lang w:val="en-US" w:eastAsia="zh-CN"/>
        </w:rPr>
        <w:t>3.</w:t>
      </w:r>
      <w:r>
        <w:rPr>
          <w:rFonts w:hint="eastAsia"/>
          <w:color w:val="000000"/>
        </w:rPr>
        <w:t>5、范围内的道路标志标线、护栏等交安设施的日常养护（含修复），对交通隐患点位按照上级要求完成整改；</w:t>
      </w:r>
    </w:p>
    <w:p>
      <w:pPr>
        <w:pStyle w:val="24"/>
        <w:spacing w:line="360" w:lineRule="auto"/>
        <w:ind w:firstLine="480" w:firstLineChars="200"/>
        <w:rPr>
          <w:rFonts w:hint="eastAsia"/>
          <w:color w:val="000000"/>
        </w:rPr>
      </w:pPr>
      <w:r>
        <w:rPr>
          <w:rFonts w:hint="eastAsia"/>
          <w:color w:val="000000"/>
          <w:lang w:val="en-US" w:eastAsia="zh-CN"/>
        </w:rPr>
        <w:t>3.6、养护范围内其他市政设施的日常养护。</w:t>
      </w:r>
    </w:p>
    <w:p>
      <w:pPr>
        <w:pStyle w:val="24"/>
        <w:spacing w:line="360" w:lineRule="auto"/>
        <w:ind w:firstLine="480" w:firstLineChars="200"/>
        <w:rPr>
          <w:rFonts w:hint="eastAsia"/>
          <w:color w:val="000000"/>
          <w:lang w:eastAsia="zh-CN"/>
        </w:rPr>
      </w:pPr>
    </w:p>
    <w:p>
      <w:pPr>
        <w:pStyle w:val="24"/>
        <w:spacing w:line="360" w:lineRule="auto"/>
        <w:ind w:firstLine="480" w:firstLineChars="200"/>
        <w:rPr>
          <w:rFonts w:hint="default"/>
          <w:color w:val="000000"/>
          <w:lang w:val="en-US" w:eastAsia="zh-CN"/>
        </w:rPr>
      </w:pPr>
      <w:r>
        <w:rPr>
          <w:rFonts w:hint="eastAsia"/>
          <w:color w:val="000000"/>
          <w:lang w:eastAsia="zh-CN"/>
        </w:rPr>
        <w:t>4、相关人员要求：</w:t>
      </w:r>
      <w:r>
        <w:rPr>
          <w:rFonts w:hint="eastAsia"/>
          <w:color w:val="000000"/>
          <w:lang w:val="en-US" w:eastAsia="zh-CN"/>
        </w:rPr>
        <w:t>本项目投入人员不少于20人。</w:t>
      </w:r>
    </w:p>
    <w:p>
      <w:pPr>
        <w:pStyle w:val="24"/>
        <w:spacing w:line="360" w:lineRule="auto"/>
        <w:ind w:firstLine="480" w:firstLineChars="200"/>
        <w:rPr>
          <w:rFonts w:hint="eastAsia"/>
          <w:color w:val="000000"/>
          <w:lang w:eastAsia="zh-CN"/>
        </w:rPr>
      </w:pPr>
    </w:p>
    <w:p>
      <w:pPr>
        <w:pStyle w:val="24"/>
        <w:spacing w:line="360" w:lineRule="auto"/>
        <w:ind w:firstLine="480" w:firstLineChars="200"/>
        <w:rPr>
          <w:rFonts w:hint="eastAsia"/>
          <w:color w:val="000000"/>
          <w:lang w:eastAsia="zh-CN"/>
        </w:rPr>
      </w:pPr>
      <w:r>
        <w:rPr>
          <w:rFonts w:hint="eastAsia"/>
          <w:color w:val="000000"/>
          <w:lang w:eastAsia="zh-CN"/>
        </w:rPr>
        <w:t>5、养护管理要求：</w:t>
      </w:r>
    </w:p>
    <w:p>
      <w:pPr>
        <w:pStyle w:val="24"/>
        <w:spacing w:line="360" w:lineRule="auto"/>
        <w:ind w:firstLine="480" w:firstLineChars="200"/>
        <w:rPr>
          <w:rFonts w:hint="eastAsia"/>
          <w:color w:val="000000"/>
        </w:rPr>
      </w:pPr>
      <w:r>
        <w:rPr>
          <w:rFonts w:hint="eastAsia"/>
          <w:color w:val="000000"/>
          <w:lang w:val="en-US" w:eastAsia="zh-CN"/>
        </w:rPr>
        <w:t>5.</w:t>
      </w:r>
      <w:r>
        <w:rPr>
          <w:rFonts w:hint="eastAsia"/>
          <w:color w:val="000000"/>
        </w:rPr>
        <w:t>1、管理机构健全，管理人员配备合理。各项工作有明确的责任人。管理制度完备，执行有效。</w:t>
      </w:r>
    </w:p>
    <w:p>
      <w:pPr>
        <w:pStyle w:val="24"/>
        <w:spacing w:line="360" w:lineRule="auto"/>
        <w:ind w:firstLine="480" w:firstLineChars="200"/>
        <w:rPr>
          <w:rFonts w:hint="eastAsia"/>
          <w:color w:val="000000"/>
        </w:rPr>
      </w:pPr>
      <w:r>
        <w:rPr>
          <w:rFonts w:hint="eastAsia"/>
          <w:color w:val="000000"/>
          <w:lang w:val="en-US" w:eastAsia="zh-CN"/>
        </w:rPr>
        <w:t>5.</w:t>
      </w:r>
      <w:r>
        <w:rPr>
          <w:rFonts w:hint="eastAsia"/>
          <w:color w:val="000000"/>
        </w:rPr>
        <w:t>2、养护各项规章制度健全。贯彻措施得力，定期监督检查，每月有养护工作完整的书面记录和相应台帐。</w:t>
      </w:r>
    </w:p>
    <w:p>
      <w:pPr>
        <w:pStyle w:val="24"/>
        <w:spacing w:line="360" w:lineRule="auto"/>
        <w:ind w:firstLine="480" w:firstLineChars="200"/>
        <w:rPr>
          <w:rFonts w:hint="eastAsia"/>
          <w:color w:val="000000"/>
        </w:rPr>
      </w:pPr>
      <w:r>
        <w:rPr>
          <w:rFonts w:hint="eastAsia"/>
          <w:color w:val="000000"/>
          <w:lang w:val="en-US" w:eastAsia="zh-CN"/>
        </w:rPr>
        <w:t>5.</w:t>
      </w:r>
      <w:r>
        <w:rPr>
          <w:rFonts w:hint="eastAsia"/>
          <w:color w:val="000000"/>
        </w:rPr>
        <w:t>3、具有良好的质量形象，良好的视觉形象和文明的员工形象；确立自身的产品品牌标志，并全面恰当的使用。</w:t>
      </w:r>
    </w:p>
    <w:p>
      <w:pPr>
        <w:pStyle w:val="24"/>
        <w:spacing w:line="360" w:lineRule="auto"/>
        <w:ind w:firstLine="480" w:firstLineChars="200"/>
        <w:rPr>
          <w:rFonts w:hint="eastAsia"/>
          <w:color w:val="000000"/>
        </w:rPr>
      </w:pPr>
      <w:r>
        <w:rPr>
          <w:rFonts w:hint="eastAsia"/>
          <w:color w:val="000000"/>
          <w:lang w:val="en-US" w:eastAsia="zh-CN"/>
        </w:rPr>
        <w:t>5.</w:t>
      </w:r>
      <w:r>
        <w:rPr>
          <w:rFonts w:hint="eastAsia"/>
          <w:color w:val="000000"/>
        </w:rPr>
        <w:t>4、养护人员等应持证上岗。并有专用工作服装。</w:t>
      </w:r>
    </w:p>
    <w:p>
      <w:pPr>
        <w:pStyle w:val="24"/>
        <w:spacing w:line="360" w:lineRule="auto"/>
        <w:ind w:firstLine="480" w:firstLineChars="200"/>
        <w:rPr>
          <w:rFonts w:hint="eastAsia"/>
          <w:color w:val="000000"/>
        </w:rPr>
      </w:pPr>
      <w:r>
        <w:rPr>
          <w:rFonts w:hint="eastAsia"/>
          <w:color w:val="000000"/>
          <w:lang w:val="en-US" w:eastAsia="zh-CN"/>
        </w:rPr>
        <w:t>5.</w:t>
      </w:r>
      <w:r>
        <w:rPr>
          <w:rFonts w:hint="eastAsia"/>
          <w:color w:val="000000"/>
        </w:rPr>
        <w:t>5、高级管理人员应具备中专以上文化程度。</w:t>
      </w:r>
    </w:p>
    <w:p>
      <w:pPr>
        <w:pStyle w:val="24"/>
        <w:spacing w:line="360" w:lineRule="auto"/>
        <w:ind w:firstLine="480" w:firstLineChars="200"/>
        <w:rPr>
          <w:rFonts w:hint="eastAsia"/>
          <w:color w:val="000000"/>
          <w:lang w:eastAsia="zh-CN"/>
        </w:rPr>
      </w:pPr>
      <w:r>
        <w:rPr>
          <w:rFonts w:hint="eastAsia"/>
          <w:color w:val="000000"/>
          <w:lang w:val="en-US" w:eastAsia="zh-CN"/>
        </w:rPr>
        <w:t>5.</w:t>
      </w:r>
      <w:r>
        <w:rPr>
          <w:rFonts w:hint="eastAsia"/>
          <w:color w:val="000000"/>
        </w:rPr>
        <w:t>6、安全等各项业务培训制度完善，并得到有效实施。上岗人员培训合格率达100%。</w:t>
      </w:r>
    </w:p>
    <w:p>
      <w:pPr>
        <w:pStyle w:val="24"/>
        <w:spacing w:line="360" w:lineRule="auto"/>
        <w:ind w:firstLine="480" w:firstLineChars="200"/>
        <w:rPr>
          <w:rFonts w:hint="eastAsia"/>
          <w:color w:val="000000"/>
        </w:rPr>
      </w:pPr>
      <w:r>
        <w:rPr>
          <w:rFonts w:hint="eastAsia"/>
          <w:color w:val="000000"/>
          <w:lang w:eastAsia="zh-CN"/>
        </w:rPr>
        <w:t>6、养护机械设备要求：</w:t>
      </w:r>
      <w:r>
        <w:rPr>
          <w:rFonts w:hint="eastAsia"/>
          <w:color w:val="000000"/>
        </w:rPr>
        <w:t>本项目机械设备配置：在本项目内的设备包括巡检车</w:t>
      </w:r>
      <w:r>
        <w:rPr>
          <w:rFonts w:hint="eastAsia"/>
          <w:color w:val="000000"/>
          <w:lang w:eastAsia="zh-CN"/>
        </w:rPr>
        <w:t>（</w:t>
      </w:r>
      <w:r>
        <w:rPr>
          <w:rFonts w:hint="eastAsia"/>
          <w:color w:val="000000"/>
          <w:lang w:val="en-US" w:eastAsia="zh-CN"/>
        </w:rPr>
        <w:t>新能源纯电动</w:t>
      </w:r>
      <w:r>
        <w:rPr>
          <w:rFonts w:hint="eastAsia"/>
          <w:color w:val="000000"/>
        </w:rPr>
        <w:t>、抢险车、沥青铣刨机、摊铺机、压路机、热再生修补车、雨污水管道专用高压冲洗车、管道 CCTV检测设备、管道封堵设备、发电机、抽水水泵</w:t>
      </w:r>
      <w:r>
        <w:rPr>
          <w:rFonts w:hint="eastAsia"/>
          <w:color w:val="000000"/>
          <w:lang w:eastAsia="zh-CN"/>
        </w:rPr>
        <w:t>、</w:t>
      </w:r>
      <w:r>
        <w:rPr>
          <w:rFonts w:hint="eastAsia"/>
          <w:color w:val="000000"/>
          <w:lang w:val="en-US" w:eastAsia="zh-CN"/>
        </w:rPr>
        <w:t>沥青灌缝机、沥青保温车</w:t>
      </w:r>
      <w:r>
        <w:rPr>
          <w:rFonts w:hint="eastAsia"/>
          <w:color w:val="000000"/>
        </w:rPr>
        <w:t>等。</w:t>
      </w:r>
    </w:p>
    <w:p>
      <w:pPr>
        <w:spacing w:line="360" w:lineRule="auto"/>
        <w:jc w:val="center"/>
        <w:rPr>
          <w:sz w:val="28"/>
          <w:szCs w:val="28"/>
        </w:rPr>
      </w:pPr>
      <w:r>
        <w:rPr>
          <w:rFonts w:hint="eastAsia"/>
          <w:sz w:val="28"/>
          <w:szCs w:val="28"/>
        </w:rPr>
        <w:t>设备要求配置表：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3927"/>
        <w:gridCol w:w="1023"/>
        <w:gridCol w:w="3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2" w:type="dxa"/>
            <w:vAlign w:val="center"/>
          </w:tcPr>
          <w:p>
            <w:pPr>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927"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设备名称</w:t>
            </w:r>
          </w:p>
        </w:tc>
        <w:tc>
          <w:tcPr>
            <w:tcW w:w="1023" w:type="dxa"/>
            <w:vAlign w:val="center"/>
          </w:tcPr>
          <w:p>
            <w:pPr>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3504"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27" w:type="dxa"/>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巡检</w:t>
            </w:r>
            <w:r>
              <w:rPr>
                <w:rFonts w:hint="eastAsia" w:ascii="宋体" w:hAnsi="宋体" w:eastAsia="宋体" w:cs="宋体"/>
                <w:color w:val="auto"/>
                <w:sz w:val="24"/>
                <w:szCs w:val="24"/>
                <w:lang w:val="en-US" w:eastAsia="zh-CN"/>
              </w:rPr>
              <w:t>保障车</w:t>
            </w:r>
          </w:p>
        </w:tc>
        <w:tc>
          <w:tcPr>
            <w:tcW w:w="1023" w:type="dxa"/>
            <w:vAlign w:val="center"/>
          </w:tcPr>
          <w:p>
            <w:pPr>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≥2辆</w:t>
            </w:r>
          </w:p>
        </w:tc>
        <w:tc>
          <w:tcPr>
            <w:tcW w:w="3504" w:type="dxa"/>
            <w:vAlign w:val="center"/>
          </w:tcPr>
          <w:p>
            <w:pPr>
              <w:jc w:val="center"/>
              <w:rPr>
                <w:rFonts w:hint="eastAsia" w:ascii="宋体" w:hAnsi="宋体" w:eastAsia="宋体" w:cs="宋体"/>
                <w:color w:val="auto"/>
                <w:sz w:val="24"/>
                <w:szCs w:val="24"/>
              </w:rPr>
            </w:pPr>
            <w:r>
              <w:rPr>
                <w:rFonts w:hint="eastAsia" w:ascii="宋体" w:hAnsi="宋体" w:cs="宋体"/>
                <w:snapToGrid w:val="0"/>
                <w:color w:val="auto"/>
                <w:kern w:val="0"/>
                <w:sz w:val="24"/>
                <w:szCs w:val="24"/>
                <w:lang w:val="en-US" w:eastAsia="zh-CN"/>
              </w:rPr>
              <w:t>新能源纯电动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927"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工程</w:t>
            </w:r>
            <w:r>
              <w:rPr>
                <w:rFonts w:hint="eastAsia" w:ascii="宋体" w:hAnsi="宋体" w:eastAsia="宋体" w:cs="宋体"/>
                <w:color w:val="auto"/>
                <w:sz w:val="24"/>
                <w:szCs w:val="24"/>
              </w:rPr>
              <w:t>抢险车</w:t>
            </w:r>
          </w:p>
        </w:tc>
        <w:tc>
          <w:tcPr>
            <w:tcW w:w="1023" w:type="dxa"/>
            <w:vAlign w:val="center"/>
          </w:tcPr>
          <w:p>
            <w:pPr>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≥2辆</w:t>
            </w:r>
          </w:p>
        </w:tc>
        <w:tc>
          <w:tcPr>
            <w:tcW w:w="3504"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2" w:type="dxa"/>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3927"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沥青铣刨机</w:t>
            </w:r>
          </w:p>
        </w:tc>
        <w:tc>
          <w:tcPr>
            <w:tcW w:w="1023" w:type="dxa"/>
            <w:vAlign w:val="center"/>
          </w:tcPr>
          <w:p>
            <w:pPr>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≥1台</w:t>
            </w:r>
          </w:p>
        </w:tc>
        <w:tc>
          <w:tcPr>
            <w:tcW w:w="3504"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2" w:type="dxa"/>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3927"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摊铺机</w:t>
            </w:r>
          </w:p>
        </w:tc>
        <w:tc>
          <w:tcPr>
            <w:tcW w:w="1023" w:type="dxa"/>
            <w:vAlign w:val="center"/>
          </w:tcPr>
          <w:p>
            <w:pPr>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≥1台</w:t>
            </w:r>
          </w:p>
        </w:tc>
        <w:tc>
          <w:tcPr>
            <w:tcW w:w="3504"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2" w:type="dxa"/>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3927"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压路机</w:t>
            </w:r>
          </w:p>
        </w:tc>
        <w:tc>
          <w:tcPr>
            <w:tcW w:w="1023" w:type="dxa"/>
            <w:vAlign w:val="center"/>
          </w:tcPr>
          <w:p>
            <w:pPr>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台</w:t>
            </w:r>
          </w:p>
        </w:tc>
        <w:tc>
          <w:tcPr>
            <w:tcW w:w="3504"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2" w:type="dxa"/>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3927"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沥青</w:t>
            </w:r>
            <w:r>
              <w:rPr>
                <w:rFonts w:hint="eastAsia" w:ascii="宋体" w:hAnsi="宋体" w:eastAsia="宋体" w:cs="宋体"/>
                <w:color w:val="auto"/>
                <w:sz w:val="24"/>
                <w:szCs w:val="24"/>
              </w:rPr>
              <w:t>再生修补车</w:t>
            </w:r>
          </w:p>
        </w:tc>
        <w:tc>
          <w:tcPr>
            <w:tcW w:w="1023" w:type="dxa"/>
            <w:vAlign w:val="center"/>
          </w:tcPr>
          <w:p>
            <w:pPr>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台</w:t>
            </w:r>
          </w:p>
        </w:tc>
        <w:tc>
          <w:tcPr>
            <w:tcW w:w="3504"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2" w:type="dxa"/>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p>
        </w:tc>
        <w:tc>
          <w:tcPr>
            <w:tcW w:w="3927"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雨污水管道专用高压冲洗车</w:t>
            </w:r>
          </w:p>
        </w:tc>
        <w:tc>
          <w:tcPr>
            <w:tcW w:w="1023" w:type="dxa"/>
            <w:vAlign w:val="center"/>
          </w:tcPr>
          <w:p>
            <w:pPr>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≥1辆</w:t>
            </w:r>
          </w:p>
        </w:tc>
        <w:tc>
          <w:tcPr>
            <w:tcW w:w="3504"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2" w:type="dxa"/>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p>
        </w:tc>
        <w:tc>
          <w:tcPr>
            <w:tcW w:w="3927"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管道CCTV检测设备</w:t>
            </w:r>
          </w:p>
        </w:tc>
        <w:tc>
          <w:tcPr>
            <w:tcW w:w="1023" w:type="dxa"/>
            <w:vAlign w:val="center"/>
          </w:tcPr>
          <w:p>
            <w:pPr>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≥1套</w:t>
            </w:r>
          </w:p>
        </w:tc>
        <w:tc>
          <w:tcPr>
            <w:tcW w:w="3504"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2" w:type="dxa"/>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p>
        </w:tc>
        <w:tc>
          <w:tcPr>
            <w:tcW w:w="3927"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管道封堵设备</w:t>
            </w:r>
          </w:p>
        </w:tc>
        <w:tc>
          <w:tcPr>
            <w:tcW w:w="1023" w:type="dxa"/>
            <w:vAlign w:val="center"/>
          </w:tcPr>
          <w:p>
            <w:pPr>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套</w:t>
            </w:r>
          </w:p>
        </w:tc>
        <w:tc>
          <w:tcPr>
            <w:tcW w:w="3504"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2" w:type="dxa"/>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0</w:t>
            </w:r>
          </w:p>
        </w:tc>
        <w:tc>
          <w:tcPr>
            <w:tcW w:w="3927"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发电机</w:t>
            </w:r>
          </w:p>
        </w:tc>
        <w:tc>
          <w:tcPr>
            <w:tcW w:w="1023" w:type="dxa"/>
            <w:vAlign w:val="center"/>
          </w:tcPr>
          <w:p>
            <w:pPr>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≥1台</w:t>
            </w:r>
          </w:p>
        </w:tc>
        <w:tc>
          <w:tcPr>
            <w:tcW w:w="3504"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5kw及以上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2" w:type="dxa"/>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p>
        </w:tc>
        <w:tc>
          <w:tcPr>
            <w:tcW w:w="3927"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抽水水泵</w:t>
            </w:r>
          </w:p>
        </w:tc>
        <w:tc>
          <w:tcPr>
            <w:tcW w:w="1023" w:type="dxa"/>
            <w:vAlign w:val="center"/>
          </w:tcPr>
          <w:p>
            <w:pPr>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≥2台</w:t>
            </w:r>
          </w:p>
        </w:tc>
        <w:tc>
          <w:tcPr>
            <w:tcW w:w="3504"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200m³/h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2" w:type="dxa"/>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3927"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抽水水泵</w:t>
            </w:r>
          </w:p>
        </w:tc>
        <w:tc>
          <w:tcPr>
            <w:tcW w:w="1023" w:type="dxa"/>
            <w:vAlign w:val="center"/>
          </w:tcPr>
          <w:p>
            <w:pPr>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≥2台</w:t>
            </w:r>
          </w:p>
        </w:tc>
        <w:tc>
          <w:tcPr>
            <w:tcW w:w="3504" w:type="dxa"/>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200m³/h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2" w:type="dxa"/>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3927" w:type="dxa"/>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挖掘机</w:t>
            </w:r>
          </w:p>
        </w:tc>
        <w:tc>
          <w:tcPr>
            <w:tcW w:w="1023" w:type="dxa"/>
            <w:vAlign w:val="center"/>
          </w:tcPr>
          <w:p>
            <w:pPr>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≥1台</w:t>
            </w:r>
          </w:p>
        </w:tc>
        <w:tc>
          <w:tcPr>
            <w:tcW w:w="3504" w:type="dxa"/>
            <w:vAlign w:val="center"/>
          </w:tcPr>
          <w:p>
            <w:pPr>
              <w:jc w:val="center"/>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2" w:type="dxa"/>
            <w:vAlign w:val="center"/>
          </w:tcPr>
          <w:p>
            <w:pPr>
              <w:ind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3927" w:type="dxa"/>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沥青灌缝机</w:t>
            </w:r>
          </w:p>
        </w:tc>
        <w:tc>
          <w:tcPr>
            <w:tcW w:w="1023" w:type="dxa"/>
            <w:vAlign w:val="center"/>
          </w:tcPr>
          <w:p>
            <w:pPr>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≥1台</w:t>
            </w:r>
          </w:p>
        </w:tc>
        <w:tc>
          <w:tcPr>
            <w:tcW w:w="3504" w:type="dxa"/>
            <w:vAlign w:val="center"/>
          </w:tcPr>
          <w:p>
            <w:pPr>
              <w:jc w:val="center"/>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2" w:type="dxa"/>
            <w:vAlign w:val="center"/>
          </w:tcPr>
          <w:p>
            <w:pPr>
              <w:ind w:firstLine="240" w:firstLineChars="100"/>
              <w:jc w:val="both"/>
              <w:rPr>
                <w:rFonts w:hint="default" w:ascii="宋体" w:hAnsi="宋体" w:eastAsia="宋体" w:cs="宋体"/>
                <w:color w:val="auto"/>
                <w:sz w:val="24"/>
                <w:szCs w:val="24"/>
                <w:lang w:val="en-US" w:eastAsia="zh-CN"/>
              </w:rPr>
            </w:pPr>
            <w:r>
              <w:rPr>
                <w:rFonts w:hint="eastAsia" w:cs="宋体"/>
                <w:color w:val="auto"/>
                <w:sz w:val="24"/>
                <w:szCs w:val="24"/>
                <w:lang w:val="en-US" w:eastAsia="zh-CN"/>
              </w:rPr>
              <w:t>15</w:t>
            </w:r>
          </w:p>
        </w:tc>
        <w:tc>
          <w:tcPr>
            <w:tcW w:w="3927" w:type="dxa"/>
            <w:vAlign w:val="center"/>
          </w:tcPr>
          <w:p>
            <w:pPr>
              <w:jc w:val="center"/>
              <w:rPr>
                <w:rFonts w:hint="default" w:ascii="宋体" w:hAnsi="宋体" w:eastAsia="宋体" w:cs="宋体"/>
                <w:color w:val="auto"/>
                <w:sz w:val="24"/>
                <w:szCs w:val="24"/>
                <w:lang w:val="en-US" w:eastAsia="zh-CN"/>
              </w:rPr>
            </w:pPr>
            <w:r>
              <w:rPr>
                <w:rFonts w:hint="eastAsia" w:cs="宋体"/>
                <w:color w:val="auto"/>
                <w:sz w:val="24"/>
                <w:szCs w:val="24"/>
                <w:lang w:val="en-US" w:eastAsia="zh-CN"/>
              </w:rPr>
              <w:t>沥青保温车</w:t>
            </w:r>
          </w:p>
        </w:tc>
        <w:tc>
          <w:tcPr>
            <w:tcW w:w="1023" w:type="dxa"/>
            <w:vAlign w:val="center"/>
          </w:tcPr>
          <w:p>
            <w:pPr>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≥1台</w:t>
            </w:r>
          </w:p>
        </w:tc>
        <w:tc>
          <w:tcPr>
            <w:tcW w:w="3504" w:type="dxa"/>
            <w:vAlign w:val="center"/>
          </w:tcPr>
          <w:p>
            <w:pPr>
              <w:jc w:val="center"/>
              <w:rPr>
                <w:rFonts w:hint="eastAsia" w:ascii="宋体" w:hAnsi="宋体" w:eastAsia="宋体" w:cs="宋体"/>
                <w:color w:val="auto"/>
                <w:sz w:val="24"/>
                <w:szCs w:val="24"/>
                <w:lang w:val="en-US" w:eastAsia="zh-CN"/>
              </w:rPr>
            </w:pPr>
          </w:p>
        </w:tc>
      </w:tr>
    </w:tbl>
    <w:p>
      <w:pPr>
        <w:pStyle w:val="2"/>
        <w:rPr>
          <w:rFonts w:hint="eastAsia"/>
        </w:rPr>
      </w:pPr>
    </w:p>
    <w:p>
      <w:pPr>
        <w:numPr>
          <w:ilvl w:val="0"/>
          <w:numId w:val="4"/>
        </w:numPr>
        <w:bidi w:val="0"/>
        <w:rPr>
          <w:rFonts w:hint="eastAsia" w:ascii="宋体" w:hAnsi="Arial" w:eastAsia="宋体" w:cs="Arial"/>
          <w:snapToGrid w:val="0"/>
          <w:color w:val="000000"/>
          <w:kern w:val="2"/>
          <w:sz w:val="24"/>
          <w:szCs w:val="21"/>
          <w:lang w:val="zh-CN" w:eastAsia="zh-CN" w:bidi="ar-SA"/>
        </w:rPr>
      </w:pPr>
      <w:r>
        <w:rPr>
          <w:rFonts w:hint="eastAsia" w:ascii="宋体" w:hAnsi="Arial" w:eastAsia="宋体" w:cs="Arial"/>
          <w:snapToGrid w:val="0"/>
          <w:color w:val="000000"/>
          <w:kern w:val="2"/>
          <w:sz w:val="24"/>
          <w:szCs w:val="21"/>
          <w:lang w:val="zh-CN" w:eastAsia="zh-CN" w:bidi="ar-SA"/>
        </w:rPr>
        <w:t>养护质量标准：</w:t>
      </w:r>
    </w:p>
    <w:p>
      <w:pPr>
        <w:numPr>
          <w:ilvl w:val="0"/>
          <w:numId w:val="0"/>
        </w:numPr>
        <w:bidi w:val="0"/>
        <w:rPr>
          <w:rFonts w:hint="eastAsia" w:ascii="宋体" w:hAnsi="Arial" w:eastAsia="宋体" w:cs="Arial"/>
          <w:snapToGrid w:val="0"/>
          <w:color w:val="000000"/>
          <w:kern w:val="2"/>
          <w:sz w:val="24"/>
          <w:szCs w:val="21"/>
          <w:lang w:val="zh-CN" w:eastAsia="zh-CN" w:bidi="ar-SA"/>
        </w:rPr>
      </w:pPr>
      <w:r>
        <w:rPr>
          <w:rFonts w:hint="eastAsia" w:ascii="宋体" w:hAnsi="Arial" w:eastAsia="宋体" w:cs="Arial"/>
          <w:snapToGrid w:val="0"/>
          <w:color w:val="000000"/>
          <w:kern w:val="2"/>
          <w:sz w:val="24"/>
          <w:szCs w:val="21"/>
          <w:lang w:val="en-US" w:eastAsia="zh-CN" w:bidi="ar-SA"/>
        </w:rPr>
        <w:t>7.</w:t>
      </w:r>
      <w:r>
        <w:rPr>
          <w:rFonts w:hint="eastAsia" w:ascii="宋体" w:hAnsi="Arial" w:eastAsia="宋体" w:cs="Arial"/>
          <w:snapToGrid w:val="0"/>
          <w:color w:val="000000"/>
          <w:kern w:val="2"/>
          <w:sz w:val="24"/>
          <w:szCs w:val="21"/>
          <w:lang w:val="zh-CN" w:eastAsia="zh-CN" w:bidi="ar-SA"/>
        </w:rPr>
        <w:t>1、根据余城管【2020】50号文件要求，市政养护标准规定如下：</w:t>
      </w:r>
    </w:p>
    <w:p>
      <w:pPr>
        <w:bidi w:val="0"/>
        <w:rPr>
          <w:rFonts w:hint="eastAsia" w:ascii="宋体" w:hAnsi="Arial" w:eastAsia="宋体" w:cs="Arial"/>
          <w:snapToGrid w:val="0"/>
          <w:color w:val="000000"/>
          <w:kern w:val="2"/>
          <w:sz w:val="24"/>
          <w:szCs w:val="21"/>
          <w:lang w:val="zh-CN" w:eastAsia="zh-CN" w:bidi="ar-SA"/>
        </w:rPr>
      </w:pPr>
      <w:r>
        <w:rPr>
          <w:rFonts w:hint="eastAsia" w:ascii="宋体" w:hAnsi="Arial" w:eastAsia="宋体" w:cs="Arial"/>
          <w:snapToGrid w:val="0"/>
          <w:color w:val="000000"/>
          <w:kern w:val="2"/>
          <w:sz w:val="24"/>
          <w:szCs w:val="21"/>
          <w:lang w:val="zh-CN" w:eastAsia="zh-CN" w:bidi="ar-SA"/>
        </w:rPr>
        <w:t>（1）人行道表面平整，砌块无松动，裂缝长度小于1m或宽度小于6mm，下沉或拱起变形小于25mm或面积小于1.5㎡；无堆积物、障碍物，平侧石整齐稳固，线型顺直；道板铺装材料统一，砌块及平侧石松动破碎面积小于0.3㎡。</w:t>
      </w:r>
    </w:p>
    <w:p>
      <w:pPr>
        <w:bidi w:val="0"/>
        <w:rPr>
          <w:rFonts w:hint="eastAsia" w:ascii="宋体" w:hAnsi="Arial" w:eastAsia="宋体" w:cs="Arial"/>
          <w:snapToGrid w:val="0"/>
          <w:color w:val="000000"/>
          <w:kern w:val="2"/>
          <w:sz w:val="24"/>
          <w:szCs w:val="21"/>
          <w:lang w:val="zh-CN" w:eastAsia="zh-CN" w:bidi="ar-SA"/>
        </w:rPr>
      </w:pPr>
      <w:r>
        <w:rPr>
          <w:rFonts w:hint="eastAsia" w:ascii="宋体" w:hAnsi="Arial" w:eastAsia="宋体" w:cs="Arial"/>
          <w:snapToGrid w:val="0"/>
          <w:color w:val="000000"/>
          <w:kern w:val="2"/>
          <w:sz w:val="24"/>
          <w:szCs w:val="21"/>
          <w:lang w:val="zh-CN" w:eastAsia="zh-CN" w:bidi="ar-SA"/>
        </w:rPr>
        <w:t>（2）沥青及混凝土路面线裂缝宽度小于6mm；网裂、碎裂面积小于0.5㎡；泛油、车辙、沉陷、坑槽、搓板、拥包、剥落、脱皮、烂边、啃边面积小于0.5㎡；雨水检查井、雨水篦子以及其他井盖与道路标高保持一致，误差不大于20mm；窨井盖无缺失、破损、断裂、反盖、错盖等现象；雨天路面临时积水面积每处不超过4m2（积水深度3cm以上）。</w:t>
      </w:r>
    </w:p>
    <w:p>
      <w:pPr>
        <w:bidi w:val="0"/>
        <w:rPr>
          <w:rFonts w:hint="eastAsia" w:ascii="宋体" w:hAnsi="Arial" w:eastAsia="宋体" w:cs="Arial"/>
          <w:snapToGrid w:val="0"/>
          <w:color w:val="000000"/>
          <w:kern w:val="2"/>
          <w:sz w:val="24"/>
          <w:szCs w:val="21"/>
          <w:lang w:val="zh-CN" w:eastAsia="zh-CN" w:bidi="ar-SA"/>
        </w:rPr>
      </w:pPr>
      <w:r>
        <w:rPr>
          <w:rFonts w:hint="eastAsia" w:ascii="宋体" w:hAnsi="Arial" w:eastAsia="宋体" w:cs="Arial"/>
          <w:snapToGrid w:val="0"/>
          <w:color w:val="000000"/>
          <w:kern w:val="2"/>
          <w:sz w:val="24"/>
          <w:szCs w:val="21"/>
          <w:lang w:val="zh-CN" w:eastAsia="zh-CN" w:bidi="ar-SA"/>
        </w:rPr>
        <w:t>（3）路灯及附属设施完好率达98％，外观整洁、安全、完好；按时亮灯熄灯，亮灯率达98％，重大节假日及大型活动期间亮灯率达100%。</w:t>
      </w:r>
    </w:p>
    <w:p>
      <w:pPr>
        <w:bidi w:val="0"/>
        <w:rPr>
          <w:rFonts w:hint="eastAsia" w:ascii="宋体" w:hAnsi="Arial" w:eastAsia="宋体" w:cs="Arial"/>
          <w:snapToGrid w:val="0"/>
          <w:color w:val="000000"/>
          <w:kern w:val="2"/>
          <w:sz w:val="24"/>
          <w:szCs w:val="21"/>
          <w:lang w:val="zh-CN" w:eastAsia="zh-CN" w:bidi="ar-SA"/>
        </w:rPr>
      </w:pPr>
      <w:r>
        <w:rPr>
          <w:rFonts w:hint="eastAsia" w:ascii="宋体" w:hAnsi="Arial" w:eastAsia="宋体" w:cs="Arial"/>
          <w:snapToGrid w:val="0"/>
          <w:color w:val="000000"/>
          <w:kern w:val="2"/>
          <w:sz w:val="24"/>
          <w:szCs w:val="21"/>
          <w:lang w:val="zh-CN" w:eastAsia="zh-CN" w:bidi="ar-SA"/>
        </w:rPr>
        <w:t>（4）排水设施完好，无阻水物，泄水孔、排水管道通畅，积泥深度不超过1/5管径。</w:t>
      </w:r>
    </w:p>
    <w:p>
      <w:pPr>
        <w:bidi w:val="0"/>
        <w:rPr>
          <w:rFonts w:hint="eastAsia" w:ascii="宋体" w:hAnsi="Arial" w:eastAsia="宋体" w:cs="Arial"/>
          <w:snapToGrid w:val="0"/>
          <w:color w:val="000000"/>
          <w:kern w:val="2"/>
          <w:sz w:val="24"/>
          <w:szCs w:val="21"/>
          <w:lang w:val="zh-CN" w:eastAsia="zh-CN" w:bidi="ar-SA"/>
        </w:rPr>
      </w:pPr>
      <w:r>
        <w:rPr>
          <w:rFonts w:hint="eastAsia" w:ascii="宋体" w:hAnsi="Arial" w:eastAsia="宋体" w:cs="Arial"/>
          <w:snapToGrid w:val="0"/>
          <w:color w:val="000000"/>
          <w:kern w:val="2"/>
          <w:sz w:val="24"/>
          <w:szCs w:val="21"/>
          <w:lang w:val="zh-CN" w:eastAsia="zh-CN" w:bidi="ar-SA"/>
        </w:rPr>
        <w:t>（5）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w:t>
      </w:r>
    </w:p>
    <w:p>
      <w:pPr>
        <w:bidi w:val="0"/>
        <w:rPr>
          <w:rFonts w:hint="eastAsia" w:ascii="宋体" w:hAnsi="Arial" w:eastAsia="宋体" w:cs="Arial"/>
          <w:snapToGrid w:val="0"/>
          <w:color w:val="000000"/>
          <w:kern w:val="2"/>
          <w:sz w:val="24"/>
          <w:szCs w:val="21"/>
          <w:lang w:val="zh-CN" w:eastAsia="zh-CN" w:bidi="ar-SA"/>
        </w:rPr>
      </w:pPr>
      <w:r>
        <w:rPr>
          <w:rFonts w:hint="eastAsia" w:ascii="宋体" w:hAnsi="Arial" w:eastAsia="宋体" w:cs="Arial"/>
          <w:snapToGrid w:val="0"/>
          <w:color w:val="000000"/>
          <w:kern w:val="2"/>
          <w:sz w:val="24"/>
          <w:szCs w:val="21"/>
          <w:lang w:val="en-US" w:eastAsia="zh-CN" w:bidi="ar-SA"/>
        </w:rPr>
        <w:t>7.</w:t>
      </w:r>
      <w:r>
        <w:rPr>
          <w:rFonts w:hint="eastAsia" w:ascii="宋体" w:hAnsi="Arial" w:eastAsia="宋体" w:cs="Arial"/>
          <w:snapToGrid w:val="0"/>
          <w:color w:val="000000"/>
          <w:kern w:val="2"/>
          <w:sz w:val="24"/>
          <w:szCs w:val="21"/>
          <w:lang w:val="zh-CN" w:eastAsia="zh-CN" w:bidi="ar-SA"/>
        </w:rPr>
        <w:t>2、中标方在日常巡检、经常性检查和常规的定期检测、定期维护中，发现设施有明显破损、设备有隐患，应立即进行保养；大面积维修，方案需报甲方审核后实施；对道路因不适应现有交通量、载重量增长的需要及结构严重损坏，需恢复或提高技术等级，从而提高其运行能力的加固、改扩建工程，乙方应专题上报，并经甲方审定后申请立项。</w:t>
      </w:r>
    </w:p>
    <w:p>
      <w:pPr>
        <w:bidi w:val="0"/>
        <w:rPr>
          <w:rFonts w:hint="eastAsia" w:ascii="宋体" w:hAnsi="Arial" w:eastAsia="宋体" w:cs="Arial"/>
          <w:snapToGrid w:val="0"/>
          <w:color w:val="000000"/>
          <w:kern w:val="2"/>
          <w:sz w:val="24"/>
          <w:szCs w:val="21"/>
          <w:lang w:val="zh-CN" w:eastAsia="zh-CN" w:bidi="ar-SA"/>
        </w:rPr>
      </w:pPr>
      <w:r>
        <w:rPr>
          <w:rFonts w:hint="eastAsia" w:ascii="宋体" w:hAnsi="Arial" w:eastAsia="宋体" w:cs="Arial"/>
          <w:snapToGrid w:val="0"/>
          <w:color w:val="000000"/>
          <w:kern w:val="2"/>
          <w:sz w:val="24"/>
          <w:szCs w:val="21"/>
          <w:lang w:val="en-US" w:eastAsia="zh-CN" w:bidi="ar-SA"/>
        </w:rPr>
        <w:t>7.</w:t>
      </w:r>
      <w:r>
        <w:rPr>
          <w:rFonts w:hint="eastAsia" w:ascii="宋体" w:hAnsi="Arial" w:eastAsia="宋体" w:cs="Arial"/>
          <w:snapToGrid w:val="0"/>
          <w:color w:val="000000"/>
          <w:kern w:val="2"/>
          <w:sz w:val="24"/>
          <w:szCs w:val="21"/>
          <w:lang w:val="zh-CN" w:eastAsia="zh-CN" w:bidi="ar-SA"/>
        </w:rPr>
        <w:t>3、中标方应建立一路一档，健全日常养护作业记录，认真做好台帐的整理和归档工作，及时将日常养护、维修、检测、技术状况评价等相关数据及时、准确报送至甲方。</w:t>
      </w:r>
    </w:p>
    <w:p>
      <w:pPr>
        <w:bidi w:val="0"/>
        <w:rPr>
          <w:rFonts w:hint="eastAsia" w:ascii="宋体" w:hAnsi="Arial" w:eastAsia="宋体" w:cs="Arial"/>
          <w:snapToGrid w:val="0"/>
          <w:color w:val="000000"/>
          <w:kern w:val="2"/>
          <w:sz w:val="24"/>
          <w:szCs w:val="21"/>
          <w:lang w:val="zh-CN" w:eastAsia="zh-CN" w:bidi="ar-SA"/>
        </w:rPr>
      </w:pPr>
      <w:r>
        <w:rPr>
          <w:rFonts w:hint="eastAsia" w:ascii="宋体" w:hAnsi="Arial" w:eastAsia="宋体" w:cs="Arial"/>
          <w:snapToGrid w:val="0"/>
          <w:color w:val="000000"/>
          <w:kern w:val="2"/>
          <w:sz w:val="24"/>
          <w:szCs w:val="21"/>
          <w:lang w:val="en-US" w:eastAsia="zh-CN" w:bidi="ar-SA"/>
        </w:rPr>
        <w:t>7.</w:t>
      </w:r>
      <w:r>
        <w:rPr>
          <w:rFonts w:hint="eastAsia" w:ascii="宋体" w:hAnsi="Arial" w:eastAsia="宋体" w:cs="Arial"/>
          <w:snapToGrid w:val="0"/>
          <w:color w:val="000000"/>
          <w:kern w:val="2"/>
          <w:sz w:val="24"/>
          <w:szCs w:val="21"/>
          <w:lang w:val="zh-CN" w:eastAsia="zh-CN" w:bidi="ar-SA"/>
        </w:rPr>
        <w:t>4、针对配套管线、管沟、无产权单位窨井发生下沉、坍塌等情况，对于产权明确的管线、窨井问题（如电力、电信、自来水等），及时报告甲方同时必须通知相应产权单位自行维护、处理；无法确定产权单位、存在安全隐患、无产权单位窨井发生下沉、坍塌等情况，乙方应做好临时维护措施，确保行人、车辆安全，同时及时更换。</w:t>
      </w:r>
    </w:p>
    <w:p>
      <w:pPr>
        <w:bidi w:val="0"/>
        <w:rPr>
          <w:rFonts w:hint="eastAsia" w:ascii="宋体" w:hAnsi="Arial" w:eastAsia="宋体" w:cs="Arial"/>
          <w:snapToGrid w:val="0"/>
          <w:color w:val="000000"/>
          <w:kern w:val="2"/>
          <w:sz w:val="24"/>
          <w:szCs w:val="21"/>
          <w:lang w:val="zh-CN" w:eastAsia="zh-CN" w:bidi="ar-SA"/>
        </w:rPr>
      </w:pPr>
      <w:r>
        <w:rPr>
          <w:rFonts w:hint="eastAsia" w:ascii="宋体" w:hAnsi="Arial" w:eastAsia="宋体" w:cs="Arial"/>
          <w:snapToGrid w:val="0"/>
          <w:color w:val="000000"/>
          <w:kern w:val="2"/>
          <w:sz w:val="24"/>
          <w:szCs w:val="21"/>
          <w:lang w:val="en-US" w:eastAsia="zh-CN" w:bidi="ar-SA"/>
        </w:rPr>
        <w:t>7.</w:t>
      </w:r>
      <w:r>
        <w:rPr>
          <w:rFonts w:hint="eastAsia" w:ascii="宋体" w:hAnsi="Arial" w:eastAsia="宋体" w:cs="Arial"/>
          <w:snapToGrid w:val="0"/>
          <w:color w:val="000000"/>
          <w:kern w:val="2"/>
          <w:sz w:val="24"/>
          <w:szCs w:val="21"/>
          <w:lang w:val="zh-CN" w:eastAsia="zh-CN" w:bidi="ar-SA"/>
        </w:rPr>
        <w:t>5、养护作业单位安全生产工作落实，避免发生交通事故，对辖区一线道路养护人员进行安全生产全面轮训，新上岗人员应实施安全生产培训后方可上岗，自觉养成“一停二看三作业”的良好习惯，提高自我防范意识。如遇意外伤亡交通事故发生应及时上报。养护人员须穿反光背心，作业车辆要在车辆前部、后部、两侧设置反光标识。</w:t>
      </w:r>
    </w:p>
    <w:p>
      <w:pPr>
        <w:bidi w:val="0"/>
        <w:rPr>
          <w:rFonts w:hint="eastAsia" w:ascii="宋体" w:hAnsi="Arial" w:eastAsia="宋体" w:cs="Arial"/>
          <w:snapToGrid w:val="0"/>
          <w:color w:val="000000"/>
          <w:kern w:val="2"/>
          <w:sz w:val="24"/>
          <w:szCs w:val="21"/>
          <w:lang w:val="zh-CN" w:eastAsia="zh-CN" w:bidi="ar-SA"/>
        </w:rPr>
      </w:pPr>
      <w:r>
        <w:rPr>
          <w:rFonts w:hint="eastAsia" w:ascii="宋体" w:hAnsi="Arial" w:eastAsia="宋体" w:cs="Arial"/>
          <w:snapToGrid w:val="0"/>
          <w:color w:val="000000"/>
          <w:kern w:val="2"/>
          <w:sz w:val="24"/>
          <w:szCs w:val="21"/>
          <w:lang w:val="en-US" w:eastAsia="zh-CN" w:bidi="ar-SA"/>
        </w:rPr>
        <w:t>8</w:t>
      </w:r>
      <w:r>
        <w:rPr>
          <w:rFonts w:hint="eastAsia" w:ascii="宋体" w:hAnsi="Arial" w:eastAsia="宋体" w:cs="Arial"/>
          <w:snapToGrid w:val="0"/>
          <w:color w:val="000000"/>
          <w:kern w:val="2"/>
          <w:sz w:val="24"/>
          <w:szCs w:val="21"/>
          <w:lang w:val="zh-CN" w:eastAsia="zh-CN" w:bidi="ar-SA"/>
        </w:rPr>
        <w:t>、其他要求：</w:t>
      </w:r>
    </w:p>
    <w:p>
      <w:pPr>
        <w:bidi w:val="0"/>
        <w:rPr>
          <w:rFonts w:hint="eastAsia" w:ascii="宋体" w:hAnsi="Arial" w:eastAsia="宋体" w:cs="Arial"/>
          <w:snapToGrid w:val="0"/>
          <w:color w:val="000000"/>
          <w:kern w:val="2"/>
          <w:sz w:val="24"/>
          <w:szCs w:val="21"/>
          <w:lang w:val="zh-CN" w:eastAsia="zh-CN" w:bidi="ar-SA"/>
        </w:rPr>
      </w:pPr>
      <w:r>
        <w:rPr>
          <w:rFonts w:hint="eastAsia" w:ascii="宋体" w:hAnsi="Arial" w:eastAsia="宋体" w:cs="Arial"/>
          <w:snapToGrid w:val="0"/>
          <w:color w:val="000000"/>
          <w:kern w:val="2"/>
          <w:sz w:val="24"/>
          <w:szCs w:val="21"/>
          <w:lang w:val="en-US" w:eastAsia="zh-CN" w:bidi="ar-SA"/>
        </w:rPr>
        <w:t>8</w:t>
      </w:r>
      <w:r>
        <w:rPr>
          <w:rFonts w:hint="eastAsia" w:ascii="宋体" w:hAnsi="Arial" w:eastAsia="宋体" w:cs="Arial"/>
          <w:snapToGrid w:val="0"/>
          <w:color w:val="000000"/>
          <w:kern w:val="2"/>
          <w:sz w:val="24"/>
          <w:szCs w:val="21"/>
          <w:lang w:val="zh-CN" w:eastAsia="zh-CN" w:bidi="ar-SA"/>
        </w:rPr>
        <w:t>.1 本项目投标报价为固定总价包干，包括人工费、材料费、机械使用费、相关设备系统安装费、管理、利润、规费、税金、有关部门的验收费、政策性文件规定及合同包含稳、的所有风险、责任及其他因本项目而产生的一切费用。</w:t>
      </w:r>
    </w:p>
    <w:p>
      <w:pPr>
        <w:bidi w:val="0"/>
        <w:rPr>
          <w:rFonts w:hint="eastAsia" w:ascii="宋体" w:hAnsi="Arial" w:eastAsia="宋体" w:cs="Arial"/>
          <w:snapToGrid w:val="0"/>
          <w:color w:val="000000"/>
          <w:kern w:val="2"/>
          <w:sz w:val="24"/>
          <w:szCs w:val="21"/>
          <w:lang w:val="zh-CN" w:eastAsia="zh-CN" w:bidi="ar-SA"/>
        </w:rPr>
      </w:pPr>
      <w:r>
        <w:rPr>
          <w:rFonts w:hint="eastAsia" w:ascii="宋体" w:hAnsi="Arial" w:eastAsia="宋体" w:cs="Arial"/>
          <w:snapToGrid w:val="0"/>
          <w:color w:val="000000"/>
          <w:kern w:val="2"/>
          <w:sz w:val="24"/>
          <w:szCs w:val="21"/>
          <w:lang w:val="en-US" w:eastAsia="zh-CN" w:bidi="ar-SA"/>
        </w:rPr>
        <w:t>8</w:t>
      </w:r>
      <w:r>
        <w:rPr>
          <w:rFonts w:hint="eastAsia" w:ascii="宋体" w:hAnsi="Arial" w:eastAsia="宋体" w:cs="Arial"/>
          <w:snapToGrid w:val="0"/>
          <w:color w:val="000000"/>
          <w:kern w:val="2"/>
          <w:sz w:val="24"/>
          <w:szCs w:val="21"/>
          <w:lang w:val="zh-CN" w:eastAsia="zh-CN" w:bidi="ar-SA"/>
        </w:rPr>
        <w:t>.2 养护期限内，明确承包人只有养护权，没有管理权，市政道路设施管理由杭州市余杭区人民政府良渚街道办事处全权管理。</w:t>
      </w:r>
    </w:p>
    <w:p>
      <w:pPr>
        <w:bidi w:val="0"/>
        <w:rPr>
          <w:rFonts w:hint="eastAsia" w:ascii="宋体" w:hAnsi="Arial" w:eastAsia="宋体" w:cs="Arial"/>
          <w:snapToGrid w:val="0"/>
          <w:color w:val="000000"/>
          <w:kern w:val="2"/>
          <w:sz w:val="24"/>
          <w:szCs w:val="21"/>
          <w:lang w:val="zh-CN" w:eastAsia="zh-CN" w:bidi="ar-SA"/>
        </w:rPr>
      </w:pPr>
      <w:r>
        <w:rPr>
          <w:rFonts w:hint="eastAsia" w:ascii="宋体" w:hAnsi="Arial" w:eastAsia="宋体" w:cs="Arial"/>
          <w:snapToGrid w:val="0"/>
          <w:color w:val="000000"/>
          <w:kern w:val="2"/>
          <w:sz w:val="24"/>
          <w:szCs w:val="21"/>
          <w:lang w:val="en-US" w:eastAsia="zh-CN" w:bidi="ar-SA"/>
        </w:rPr>
        <w:t>8</w:t>
      </w:r>
      <w:r>
        <w:rPr>
          <w:rFonts w:hint="eastAsia" w:ascii="宋体" w:hAnsi="Arial" w:eastAsia="宋体" w:cs="Arial"/>
          <w:snapToGrid w:val="0"/>
          <w:color w:val="000000"/>
          <w:kern w:val="2"/>
          <w:sz w:val="24"/>
          <w:szCs w:val="21"/>
          <w:lang w:val="zh-CN" w:eastAsia="zh-CN" w:bidi="ar-SA"/>
        </w:rPr>
        <w:t>.3 投标人中标后，发包人与中标人签订安全生产责任书，责任书中明确提出，在养护期间所发生的任何安全事故一律由承包人负责，发包人不承担任何责任。</w:t>
      </w:r>
    </w:p>
    <w:p>
      <w:pPr>
        <w:bidi w:val="0"/>
        <w:rPr>
          <w:rFonts w:hint="eastAsia" w:ascii="宋体" w:hAnsi="Arial" w:eastAsia="宋体" w:cs="Arial"/>
          <w:snapToGrid w:val="0"/>
          <w:color w:val="000000"/>
          <w:kern w:val="2"/>
          <w:sz w:val="24"/>
          <w:szCs w:val="21"/>
          <w:lang w:val="zh-CN" w:eastAsia="zh-CN" w:bidi="ar-SA"/>
        </w:rPr>
      </w:pPr>
      <w:r>
        <w:rPr>
          <w:rFonts w:hint="eastAsia" w:ascii="宋体" w:hAnsi="Arial" w:eastAsia="宋体" w:cs="Arial"/>
          <w:snapToGrid w:val="0"/>
          <w:color w:val="000000"/>
          <w:kern w:val="2"/>
          <w:sz w:val="24"/>
          <w:szCs w:val="21"/>
          <w:lang w:val="en-US" w:eastAsia="zh-CN" w:bidi="ar-SA"/>
        </w:rPr>
        <w:t>8</w:t>
      </w:r>
      <w:r>
        <w:rPr>
          <w:rFonts w:hint="eastAsia" w:ascii="宋体" w:hAnsi="Arial" w:eastAsia="宋体" w:cs="Arial"/>
          <w:snapToGrid w:val="0"/>
          <w:color w:val="000000"/>
          <w:kern w:val="2"/>
          <w:sz w:val="24"/>
          <w:szCs w:val="21"/>
          <w:lang w:val="zh-CN" w:eastAsia="zh-CN" w:bidi="ar-SA"/>
        </w:rPr>
        <w:t>.4 投标人中标后，应与原市政道路养护单位做好进出场交接计划，保证平稳过渡。</w:t>
      </w:r>
    </w:p>
    <w:p>
      <w:pPr>
        <w:bidi w:val="0"/>
        <w:rPr>
          <w:rFonts w:hint="eastAsia" w:ascii="宋体" w:hAnsi="Arial" w:eastAsia="宋体" w:cs="Arial"/>
          <w:snapToGrid w:val="0"/>
          <w:color w:val="000000"/>
          <w:kern w:val="2"/>
          <w:sz w:val="24"/>
          <w:szCs w:val="21"/>
          <w:lang w:val="zh-CN" w:eastAsia="zh-CN" w:bidi="ar-SA"/>
        </w:rPr>
      </w:pPr>
      <w:r>
        <w:rPr>
          <w:rFonts w:hint="eastAsia" w:ascii="宋体" w:hAnsi="Arial" w:eastAsia="宋体" w:cs="Arial"/>
          <w:snapToGrid w:val="0"/>
          <w:color w:val="000000"/>
          <w:kern w:val="2"/>
          <w:sz w:val="24"/>
          <w:szCs w:val="21"/>
          <w:lang w:val="en-US" w:eastAsia="zh-CN" w:bidi="ar-SA"/>
        </w:rPr>
        <w:t>8</w:t>
      </w:r>
      <w:r>
        <w:rPr>
          <w:rFonts w:hint="eastAsia" w:ascii="宋体" w:hAnsi="Arial" w:eastAsia="宋体" w:cs="Arial"/>
          <w:snapToGrid w:val="0"/>
          <w:color w:val="000000"/>
          <w:kern w:val="2"/>
          <w:sz w:val="24"/>
          <w:szCs w:val="21"/>
          <w:lang w:val="zh-CN" w:eastAsia="zh-CN" w:bidi="ar-SA"/>
        </w:rPr>
        <w:t>.5 在养护期限内产生的各种费用（运输、装卸、堆放、场地租用费及其他有关费用）由投标单位负责。</w:t>
      </w:r>
    </w:p>
    <w:p>
      <w:pPr>
        <w:bidi w:val="0"/>
        <w:rPr>
          <w:rFonts w:hint="eastAsia" w:ascii="宋体" w:hAnsi="Arial" w:eastAsia="宋体" w:cs="Arial"/>
          <w:snapToGrid w:val="0"/>
          <w:color w:val="000000"/>
          <w:kern w:val="2"/>
          <w:sz w:val="24"/>
          <w:szCs w:val="21"/>
          <w:lang w:val="zh-CN" w:eastAsia="zh-CN" w:bidi="ar-SA"/>
        </w:rPr>
      </w:pPr>
      <w:r>
        <w:rPr>
          <w:rFonts w:hint="eastAsia" w:ascii="宋体" w:hAnsi="Arial" w:eastAsia="宋体" w:cs="Arial"/>
          <w:snapToGrid w:val="0"/>
          <w:color w:val="000000"/>
          <w:kern w:val="2"/>
          <w:sz w:val="24"/>
          <w:szCs w:val="21"/>
          <w:lang w:val="en-US" w:eastAsia="zh-CN" w:bidi="ar-SA"/>
        </w:rPr>
        <w:t>8</w:t>
      </w:r>
      <w:r>
        <w:rPr>
          <w:rFonts w:hint="eastAsia" w:ascii="宋体" w:hAnsi="Arial" w:eastAsia="宋体" w:cs="Arial"/>
          <w:snapToGrid w:val="0"/>
          <w:color w:val="000000"/>
          <w:kern w:val="2"/>
          <w:sz w:val="24"/>
          <w:szCs w:val="21"/>
          <w:lang w:val="zh-CN" w:eastAsia="zh-CN" w:bidi="ar-SA"/>
        </w:rPr>
        <w:t>.6 中标人必须做好相关工作人员安全、文明的教育交底工作，交通安全、用电安全尤其是道路安全隐患（比如道路坑洞、井盖缺失或破损）的排查工作，如发生安全意外事故，一切责任由中标单位负责，负责做好赔偿等事宜。</w:t>
      </w:r>
    </w:p>
    <w:p>
      <w:pPr>
        <w:bidi w:val="0"/>
        <w:rPr>
          <w:rFonts w:hint="eastAsia" w:ascii="宋体" w:hAnsi="Arial" w:eastAsia="宋体" w:cs="Arial"/>
          <w:snapToGrid w:val="0"/>
          <w:color w:val="000000"/>
          <w:kern w:val="2"/>
          <w:sz w:val="24"/>
          <w:szCs w:val="21"/>
          <w:lang w:val="zh-CN" w:eastAsia="zh-CN" w:bidi="ar-SA"/>
        </w:rPr>
      </w:pPr>
      <w:r>
        <w:rPr>
          <w:rFonts w:hint="eastAsia" w:ascii="宋体" w:hAnsi="Arial" w:eastAsia="宋体" w:cs="Arial"/>
          <w:snapToGrid w:val="0"/>
          <w:color w:val="000000"/>
          <w:kern w:val="2"/>
          <w:sz w:val="24"/>
          <w:szCs w:val="21"/>
          <w:lang w:val="en-US" w:eastAsia="zh-CN" w:bidi="ar-SA"/>
        </w:rPr>
        <w:t>8.</w:t>
      </w:r>
      <w:r>
        <w:rPr>
          <w:rFonts w:hint="eastAsia" w:ascii="宋体" w:hAnsi="Arial" w:eastAsia="宋体" w:cs="Arial"/>
          <w:snapToGrid w:val="0"/>
          <w:color w:val="000000"/>
          <w:kern w:val="2"/>
          <w:sz w:val="24"/>
          <w:szCs w:val="21"/>
          <w:lang w:val="zh-CN" w:eastAsia="zh-CN" w:bidi="ar-SA"/>
        </w:rPr>
        <w:t>7 本养护项目考核评分细则中的内容，也作为本</w:t>
      </w:r>
      <w:r>
        <w:rPr>
          <w:rFonts w:hint="eastAsia" w:ascii="宋体" w:hAnsi="Arial" w:cs="Arial"/>
          <w:snapToGrid w:val="0"/>
          <w:color w:val="000000"/>
          <w:kern w:val="2"/>
          <w:sz w:val="24"/>
          <w:szCs w:val="21"/>
          <w:lang w:val="zh-CN" w:eastAsia="zh-CN" w:bidi="ar-SA"/>
        </w:rPr>
        <w:t>项目</w:t>
      </w:r>
      <w:r>
        <w:rPr>
          <w:rFonts w:hint="eastAsia" w:ascii="宋体" w:hAnsi="Arial" w:eastAsia="宋体" w:cs="Arial"/>
          <w:snapToGrid w:val="0"/>
          <w:color w:val="000000"/>
          <w:kern w:val="2"/>
          <w:sz w:val="24"/>
          <w:szCs w:val="21"/>
          <w:lang w:val="zh-CN" w:eastAsia="zh-CN" w:bidi="ar-SA"/>
        </w:rPr>
        <w:t>招标的特殊条款，为招标文件的组成部分，作为中标后养护管理的考核标准，施工养护期内，招标人有权修改、完善、提升养护考核细则，更新的养护细则中标人须无条件接受。</w:t>
      </w:r>
    </w:p>
    <w:p>
      <w:pPr>
        <w:bidi w:val="0"/>
        <w:rPr>
          <w:rFonts w:hint="eastAsia" w:ascii="宋体" w:hAnsi="Arial" w:eastAsia="宋体" w:cs="Arial"/>
          <w:snapToGrid w:val="0"/>
          <w:color w:val="000000"/>
          <w:kern w:val="2"/>
          <w:sz w:val="24"/>
          <w:szCs w:val="21"/>
          <w:lang w:val="zh-CN" w:eastAsia="zh-CN" w:bidi="ar-SA"/>
        </w:rPr>
      </w:pPr>
      <w:r>
        <w:rPr>
          <w:rFonts w:hint="eastAsia" w:ascii="宋体" w:hAnsi="Arial" w:eastAsia="宋体" w:cs="Arial"/>
          <w:snapToGrid w:val="0"/>
          <w:color w:val="000000"/>
          <w:kern w:val="2"/>
          <w:sz w:val="24"/>
          <w:szCs w:val="21"/>
          <w:lang w:val="en-US" w:eastAsia="zh-CN" w:bidi="ar-SA"/>
        </w:rPr>
        <w:t>8</w:t>
      </w:r>
      <w:r>
        <w:rPr>
          <w:rFonts w:hint="eastAsia" w:ascii="宋体" w:hAnsi="Arial" w:eastAsia="宋体" w:cs="Arial"/>
          <w:snapToGrid w:val="0"/>
          <w:color w:val="000000"/>
          <w:kern w:val="2"/>
          <w:sz w:val="24"/>
          <w:szCs w:val="21"/>
          <w:lang w:val="zh-CN" w:eastAsia="zh-CN" w:bidi="ar-SA"/>
        </w:rPr>
        <w:t>.8 道路养护巡查每次至少两个人，交通工具视具体情况而定，鼓励自行车或步行为主，及时发现问题，涉及安全事宜，应立即采取措施，清除安全隐患，事后及时报告，若巡查不到位，造成不良影响的，每次罚款2000元。</w:t>
      </w:r>
    </w:p>
    <w:p>
      <w:pPr>
        <w:bidi w:val="0"/>
        <w:rPr>
          <w:rFonts w:hint="eastAsia" w:ascii="宋体" w:hAnsi="Arial" w:eastAsia="宋体" w:cs="Arial"/>
          <w:snapToGrid w:val="0"/>
          <w:color w:val="000000"/>
          <w:kern w:val="2"/>
          <w:sz w:val="24"/>
          <w:szCs w:val="21"/>
          <w:lang w:val="zh-CN" w:eastAsia="zh-CN" w:bidi="ar-SA"/>
        </w:rPr>
      </w:pPr>
      <w:r>
        <w:rPr>
          <w:rFonts w:hint="eastAsia" w:ascii="宋体" w:hAnsi="Arial" w:eastAsia="宋体" w:cs="Arial"/>
          <w:snapToGrid w:val="0"/>
          <w:color w:val="000000"/>
          <w:kern w:val="2"/>
          <w:sz w:val="24"/>
          <w:szCs w:val="21"/>
          <w:lang w:val="en-US" w:eastAsia="zh-CN" w:bidi="ar-SA"/>
        </w:rPr>
        <w:t>8</w:t>
      </w:r>
      <w:r>
        <w:rPr>
          <w:rFonts w:hint="eastAsia" w:ascii="宋体" w:hAnsi="Arial" w:eastAsia="宋体" w:cs="Arial"/>
          <w:snapToGrid w:val="0"/>
          <w:color w:val="000000"/>
          <w:kern w:val="2"/>
          <w:sz w:val="24"/>
          <w:szCs w:val="21"/>
          <w:lang w:val="zh-CN" w:eastAsia="zh-CN" w:bidi="ar-SA"/>
        </w:rPr>
        <w:t>.9 养护人员需统一服装，并有相应上岗证，在道路上养护时，需做好用电安全、交通安全维护，如有需要须经交警部门审批后方可实施。</w:t>
      </w:r>
    </w:p>
    <w:p>
      <w:pPr>
        <w:bidi w:val="0"/>
        <w:rPr>
          <w:rFonts w:hint="eastAsia" w:ascii="宋体" w:hAnsi="Arial" w:eastAsia="宋体" w:cs="Arial"/>
          <w:snapToGrid w:val="0"/>
          <w:color w:val="000000"/>
          <w:kern w:val="2"/>
          <w:sz w:val="24"/>
          <w:szCs w:val="21"/>
          <w:lang w:val="zh-CN" w:eastAsia="zh-CN" w:bidi="ar-SA"/>
        </w:rPr>
      </w:pPr>
      <w:r>
        <w:rPr>
          <w:rFonts w:hint="eastAsia" w:ascii="宋体" w:hAnsi="Arial" w:eastAsia="宋体" w:cs="Arial"/>
          <w:snapToGrid w:val="0"/>
          <w:color w:val="000000"/>
          <w:kern w:val="2"/>
          <w:sz w:val="24"/>
          <w:szCs w:val="21"/>
          <w:lang w:val="en-US" w:eastAsia="zh-CN" w:bidi="ar-SA"/>
        </w:rPr>
        <w:t>8</w:t>
      </w:r>
      <w:r>
        <w:rPr>
          <w:rFonts w:hint="eastAsia" w:ascii="宋体" w:hAnsi="Arial" w:eastAsia="宋体" w:cs="Arial"/>
          <w:snapToGrid w:val="0"/>
          <w:color w:val="000000"/>
          <w:kern w:val="2"/>
          <w:sz w:val="24"/>
          <w:szCs w:val="21"/>
          <w:lang w:val="zh-CN" w:eastAsia="zh-CN" w:bidi="ar-SA"/>
        </w:rPr>
        <w:t>.10 道路养护单位中标后必须配备100米以上的移动标准标志牌，尺寸为1.5m＊1.2m。</w:t>
      </w:r>
    </w:p>
    <w:p>
      <w:pPr>
        <w:bidi w:val="0"/>
        <w:rPr>
          <w:rFonts w:hint="eastAsia" w:ascii="宋体" w:hAnsi="Arial" w:eastAsia="宋体" w:cs="Arial"/>
          <w:snapToGrid w:val="0"/>
          <w:color w:val="000000"/>
          <w:kern w:val="2"/>
          <w:sz w:val="24"/>
          <w:szCs w:val="21"/>
          <w:lang w:val="zh-CN" w:eastAsia="zh-CN" w:bidi="ar-SA"/>
        </w:rPr>
      </w:pPr>
      <w:r>
        <w:rPr>
          <w:rFonts w:hint="eastAsia" w:ascii="宋体" w:hAnsi="Arial" w:eastAsia="宋体" w:cs="Arial"/>
          <w:snapToGrid w:val="0"/>
          <w:color w:val="000000"/>
          <w:kern w:val="2"/>
          <w:sz w:val="24"/>
          <w:szCs w:val="21"/>
          <w:lang w:val="en-US" w:eastAsia="zh-CN" w:bidi="ar-SA"/>
        </w:rPr>
        <w:t>8</w:t>
      </w:r>
      <w:r>
        <w:rPr>
          <w:rFonts w:hint="eastAsia" w:ascii="宋体" w:hAnsi="Arial" w:eastAsia="宋体" w:cs="Arial"/>
          <w:snapToGrid w:val="0"/>
          <w:color w:val="000000"/>
          <w:kern w:val="2"/>
          <w:sz w:val="24"/>
          <w:szCs w:val="21"/>
          <w:lang w:val="zh-CN" w:eastAsia="zh-CN" w:bidi="ar-SA"/>
        </w:rPr>
        <w:t>.11 市政道路养护单位必须重视养护</w:t>
      </w:r>
      <w:r>
        <w:rPr>
          <w:rFonts w:hint="eastAsia" w:ascii="宋体" w:hAnsi="Arial" w:cs="Arial"/>
          <w:snapToGrid w:val="0"/>
          <w:color w:val="000000"/>
          <w:kern w:val="2"/>
          <w:sz w:val="24"/>
          <w:szCs w:val="21"/>
          <w:lang w:val="zh-CN" w:eastAsia="zh-CN" w:bidi="ar-SA"/>
        </w:rPr>
        <w:t>项目</w:t>
      </w:r>
      <w:r>
        <w:rPr>
          <w:rFonts w:hint="eastAsia" w:ascii="宋体" w:hAnsi="Arial" w:eastAsia="宋体" w:cs="Arial"/>
          <w:snapToGrid w:val="0"/>
          <w:color w:val="000000"/>
          <w:kern w:val="2"/>
          <w:sz w:val="24"/>
          <w:szCs w:val="21"/>
          <w:lang w:val="zh-CN" w:eastAsia="zh-CN" w:bidi="ar-SA"/>
        </w:rPr>
        <w:t>质量，各分项</w:t>
      </w:r>
      <w:r>
        <w:rPr>
          <w:rFonts w:hint="eastAsia" w:ascii="宋体" w:hAnsi="Arial" w:cs="Arial"/>
          <w:snapToGrid w:val="0"/>
          <w:color w:val="000000"/>
          <w:kern w:val="2"/>
          <w:sz w:val="24"/>
          <w:szCs w:val="21"/>
          <w:lang w:val="zh-CN" w:eastAsia="zh-CN" w:bidi="ar-SA"/>
        </w:rPr>
        <w:t>养护</w:t>
      </w:r>
      <w:r>
        <w:rPr>
          <w:rFonts w:hint="eastAsia" w:ascii="宋体" w:hAnsi="Arial" w:eastAsia="宋体" w:cs="Arial"/>
          <w:snapToGrid w:val="0"/>
          <w:color w:val="000000"/>
          <w:kern w:val="2"/>
          <w:sz w:val="24"/>
          <w:szCs w:val="21"/>
          <w:lang w:val="zh-CN" w:eastAsia="zh-CN" w:bidi="ar-SA"/>
        </w:rPr>
        <w:t>质量（比如砼、水稳、沥青砼路面等）必须符合市政工程施工质量规范相关规定，施工过程必须做好相应的试块，并送专业实验室检测，检测费用由中标单位承担，若经过相关试验检测结果不合格，须返工处理，投标人必须无条件接受。</w:t>
      </w:r>
    </w:p>
    <w:p>
      <w:pPr>
        <w:bidi w:val="0"/>
        <w:rPr>
          <w:rFonts w:hint="eastAsia" w:ascii="宋体" w:hAnsi="Arial" w:eastAsia="宋体" w:cs="Arial"/>
          <w:snapToGrid w:val="0"/>
          <w:color w:val="000000"/>
          <w:kern w:val="2"/>
          <w:sz w:val="24"/>
          <w:szCs w:val="21"/>
          <w:lang w:val="zh-CN" w:eastAsia="zh-CN" w:bidi="ar-SA"/>
        </w:rPr>
      </w:pPr>
      <w:r>
        <w:rPr>
          <w:rFonts w:hint="eastAsia" w:ascii="宋体" w:hAnsi="Arial" w:eastAsia="宋体" w:cs="Arial"/>
          <w:snapToGrid w:val="0"/>
          <w:color w:val="000000"/>
          <w:kern w:val="2"/>
          <w:sz w:val="24"/>
          <w:szCs w:val="21"/>
          <w:lang w:val="en-US" w:eastAsia="zh-CN" w:bidi="ar-SA"/>
        </w:rPr>
        <w:t>8</w:t>
      </w:r>
      <w:r>
        <w:rPr>
          <w:rFonts w:hint="eastAsia" w:ascii="宋体" w:hAnsi="Arial" w:eastAsia="宋体" w:cs="Arial"/>
          <w:snapToGrid w:val="0"/>
          <w:color w:val="000000"/>
          <w:kern w:val="2"/>
          <w:sz w:val="24"/>
          <w:szCs w:val="21"/>
          <w:lang w:val="zh-CN" w:eastAsia="zh-CN" w:bidi="ar-SA"/>
        </w:rPr>
        <w:t>.12 若市政道路砼、水稳、沥青砼路面存在外观欠佳、平整度差、表面松散等情况，招标人有权决定是否返工处理，投标人必须无条件接受。</w:t>
      </w:r>
    </w:p>
    <w:p>
      <w:pPr>
        <w:bidi w:val="0"/>
        <w:rPr>
          <w:rFonts w:hint="eastAsia" w:ascii="宋体" w:hAnsi="Arial" w:eastAsia="宋体" w:cs="Arial"/>
          <w:snapToGrid w:val="0"/>
          <w:color w:val="000000"/>
          <w:kern w:val="2"/>
          <w:sz w:val="24"/>
          <w:szCs w:val="21"/>
          <w:lang w:val="zh-CN" w:eastAsia="zh-CN" w:bidi="ar-SA"/>
        </w:rPr>
      </w:pPr>
      <w:r>
        <w:rPr>
          <w:rFonts w:hint="eastAsia" w:ascii="宋体" w:hAnsi="Arial" w:eastAsia="宋体" w:cs="Arial"/>
          <w:snapToGrid w:val="0"/>
          <w:color w:val="000000"/>
          <w:kern w:val="2"/>
          <w:sz w:val="24"/>
          <w:szCs w:val="21"/>
          <w:lang w:val="en-US" w:eastAsia="zh-CN" w:bidi="ar-SA"/>
        </w:rPr>
        <w:t>8</w:t>
      </w:r>
      <w:r>
        <w:rPr>
          <w:rFonts w:hint="eastAsia" w:ascii="宋体" w:hAnsi="Arial" w:eastAsia="宋体" w:cs="Arial"/>
          <w:snapToGrid w:val="0"/>
          <w:color w:val="000000"/>
          <w:kern w:val="2"/>
          <w:sz w:val="24"/>
          <w:szCs w:val="21"/>
          <w:lang w:val="zh-CN" w:eastAsia="zh-CN" w:bidi="ar-SA"/>
        </w:rPr>
        <w:t>.13 为缩短沥青路面修补的时间，保持道路安全畅通和城市整洁美观，要求沥青路面修补在基层保养合格后或接到业主要求后，当天完成沥青路面修补。</w:t>
      </w:r>
    </w:p>
    <w:p>
      <w:pPr>
        <w:bidi w:val="0"/>
        <w:rPr>
          <w:rFonts w:hint="eastAsia" w:ascii="宋体" w:hAnsi="Arial" w:eastAsia="宋体" w:cs="Arial"/>
          <w:snapToGrid w:val="0"/>
          <w:color w:val="000000"/>
          <w:kern w:val="2"/>
          <w:sz w:val="24"/>
          <w:szCs w:val="21"/>
          <w:lang w:val="zh-CN" w:eastAsia="zh-CN" w:bidi="ar-SA"/>
        </w:rPr>
      </w:pPr>
      <w:r>
        <w:rPr>
          <w:rFonts w:hint="eastAsia" w:ascii="宋体" w:hAnsi="Arial" w:eastAsia="宋体" w:cs="Arial"/>
          <w:snapToGrid w:val="0"/>
          <w:color w:val="000000"/>
          <w:kern w:val="2"/>
          <w:sz w:val="24"/>
          <w:szCs w:val="21"/>
          <w:lang w:val="en-US" w:eastAsia="zh-CN" w:bidi="ar-SA"/>
        </w:rPr>
        <w:t>8.</w:t>
      </w:r>
      <w:r>
        <w:rPr>
          <w:rFonts w:hint="eastAsia" w:ascii="宋体" w:hAnsi="Arial" w:eastAsia="宋体" w:cs="Arial"/>
          <w:snapToGrid w:val="0"/>
          <w:color w:val="000000"/>
          <w:kern w:val="2"/>
          <w:sz w:val="24"/>
          <w:szCs w:val="21"/>
          <w:lang w:val="zh-CN" w:eastAsia="zh-CN" w:bidi="ar-SA"/>
        </w:rPr>
        <w:t>14 在养护过程中，发包人若在该区域有新接收的市政道路设施，有权要求承包人无条件养护。</w:t>
      </w:r>
    </w:p>
    <w:p>
      <w:pPr>
        <w:bidi w:val="0"/>
        <w:rPr>
          <w:rFonts w:hint="eastAsia" w:ascii="宋体" w:hAnsi="Arial" w:eastAsia="宋体" w:cs="Arial"/>
          <w:snapToGrid w:val="0"/>
          <w:color w:val="000000"/>
          <w:kern w:val="2"/>
          <w:sz w:val="24"/>
          <w:szCs w:val="21"/>
          <w:lang w:val="zh-CN" w:eastAsia="zh-CN" w:bidi="ar-SA"/>
        </w:rPr>
      </w:pPr>
      <w:r>
        <w:rPr>
          <w:rFonts w:hint="eastAsia" w:ascii="宋体" w:hAnsi="Arial" w:eastAsia="宋体" w:cs="Arial"/>
          <w:snapToGrid w:val="0"/>
          <w:color w:val="000000"/>
          <w:kern w:val="2"/>
          <w:sz w:val="24"/>
          <w:szCs w:val="21"/>
          <w:lang w:val="en-US" w:eastAsia="zh-CN" w:bidi="ar-SA"/>
        </w:rPr>
        <w:t>8</w:t>
      </w:r>
      <w:r>
        <w:rPr>
          <w:rFonts w:hint="eastAsia" w:ascii="宋体" w:hAnsi="Arial" w:eastAsia="宋体" w:cs="Arial"/>
          <w:snapToGrid w:val="0"/>
          <w:color w:val="000000"/>
          <w:kern w:val="2"/>
          <w:sz w:val="24"/>
          <w:szCs w:val="21"/>
          <w:lang w:val="zh-CN" w:eastAsia="zh-CN" w:bidi="ar-SA"/>
        </w:rPr>
        <w:t>.15 在承包期内如因承包人原因造成招标人财产损失的，招标人有权酌情扣去履约保证金。</w:t>
      </w:r>
    </w:p>
    <w:p>
      <w:pPr>
        <w:bidi w:val="0"/>
        <w:rPr>
          <w:rFonts w:hint="eastAsia" w:ascii="宋体" w:hAnsi="Arial" w:eastAsia="宋体" w:cs="Arial"/>
          <w:snapToGrid w:val="0"/>
          <w:color w:val="000000"/>
          <w:kern w:val="2"/>
          <w:sz w:val="24"/>
          <w:szCs w:val="21"/>
          <w:lang w:val="zh-CN" w:eastAsia="zh-CN" w:bidi="ar-SA"/>
        </w:rPr>
      </w:pPr>
      <w:r>
        <w:rPr>
          <w:rFonts w:hint="eastAsia" w:ascii="宋体" w:hAnsi="Arial" w:eastAsia="宋体" w:cs="Arial"/>
          <w:snapToGrid w:val="0"/>
          <w:color w:val="000000"/>
          <w:kern w:val="2"/>
          <w:sz w:val="24"/>
          <w:szCs w:val="21"/>
          <w:lang w:val="en-US" w:eastAsia="zh-CN" w:bidi="ar-SA"/>
        </w:rPr>
        <w:t>8</w:t>
      </w:r>
      <w:r>
        <w:rPr>
          <w:rFonts w:hint="eastAsia" w:ascii="宋体" w:hAnsi="Arial" w:eastAsia="宋体" w:cs="Arial"/>
          <w:snapToGrid w:val="0"/>
          <w:color w:val="000000"/>
          <w:kern w:val="2"/>
          <w:sz w:val="24"/>
          <w:szCs w:val="21"/>
          <w:lang w:val="zh-CN" w:eastAsia="zh-CN" w:bidi="ar-SA"/>
        </w:rPr>
        <w:t>.16 具体在养护合同中予以明确。</w:t>
      </w:r>
    </w:p>
    <w:p>
      <w:pPr>
        <w:pStyle w:val="24"/>
        <w:spacing w:line="360" w:lineRule="auto"/>
        <w:rPr>
          <w:b/>
          <w:bCs/>
          <w:color w:val="000000"/>
          <w:lang w:eastAsia="zh-CN"/>
        </w:rPr>
      </w:pPr>
    </w:p>
    <w:p>
      <w:pPr>
        <w:pStyle w:val="24"/>
        <w:spacing w:line="360" w:lineRule="auto"/>
        <w:rPr>
          <w:b/>
          <w:bCs/>
          <w:color w:val="000000"/>
          <w:lang w:eastAsia="zh-CN"/>
        </w:rPr>
      </w:pPr>
      <w:r>
        <w:rPr>
          <w:b/>
          <w:bCs/>
          <w:color w:val="000000"/>
          <w:lang w:eastAsia="zh-CN"/>
        </w:rPr>
        <w:t>二、招标人的考核标准、考核管理办法：</w:t>
      </w:r>
    </w:p>
    <w:p>
      <w:pPr>
        <w:bidi w:val="0"/>
        <w:jc w:val="center"/>
        <w:rPr>
          <w:rFonts w:hint="eastAsia" w:ascii="宋体" w:hAnsi="Arial" w:eastAsia="宋体" w:cs="Arial"/>
          <w:snapToGrid w:val="0"/>
          <w:color w:val="000000"/>
          <w:kern w:val="2"/>
          <w:sz w:val="24"/>
          <w:szCs w:val="21"/>
          <w:lang w:val="zh-CN" w:eastAsia="zh-CN" w:bidi="ar-SA"/>
        </w:rPr>
      </w:pPr>
      <w:r>
        <w:rPr>
          <w:rFonts w:hint="eastAsia" w:ascii="宋体" w:hAnsi="Arial" w:eastAsia="宋体" w:cs="Arial"/>
          <w:snapToGrid w:val="0"/>
          <w:color w:val="000000"/>
          <w:kern w:val="2"/>
          <w:sz w:val="24"/>
          <w:szCs w:val="21"/>
          <w:lang w:val="en-US" w:eastAsia="zh-CN" w:bidi="ar-SA"/>
        </w:rPr>
        <w:t>闲林</w:t>
      </w:r>
      <w:r>
        <w:rPr>
          <w:rFonts w:hint="eastAsia" w:ascii="宋体" w:hAnsi="Arial" w:eastAsia="宋体" w:cs="Arial"/>
          <w:snapToGrid w:val="0"/>
          <w:color w:val="000000"/>
          <w:kern w:val="2"/>
          <w:sz w:val="24"/>
          <w:szCs w:val="21"/>
          <w:lang w:val="zh-CN" w:eastAsia="zh-CN" w:bidi="ar-SA"/>
        </w:rPr>
        <w:t>街道市政设施管理考核细则</w:t>
      </w:r>
    </w:p>
    <w:p>
      <w:pPr>
        <w:bidi w:val="0"/>
        <w:rPr>
          <w:rFonts w:hint="eastAsia" w:ascii="宋体" w:hAnsi="Arial" w:eastAsia="宋体" w:cs="Arial"/>
          <w:snapToGrid w:val="0"/>
          <w:color w:val="000000"/>
          <w:kern w:val="2"/>
          <w:sz w:val="24"/>
          <w:szCs w:val="21"/>
          <w:lang w:val="en-US" w:eastAsia="zh-CN" w:bidi="ar-SA"/>
        </w:rPr>
      </w:pPr>
      <w:r>
        <w:rPr>
          <w:rFonts w:hint="eastAsia" w:ascii="宋体" w:hAnsi="Arial" w:eastAsia="宋体" w:cs="Arial"/>
          <w:snapToGrid w:val="0"/>
          <w:color w:val="000000"/>
          <w:kern w:val="2"/>
          <w:sz w:val="24"/>
          <w:szCs w:val="21"/>
          <w:lang w:val="en-US" w:eastAsia="zh-CN" w:bidi="ar-SA"/>
        </w:rPr>
        <w:t>督查考核每日进行，由甲方管理人员每日对路段进行随机检查，发现问题及时通知养护单位进行整改到位。每发现一处问题，拍照留档，一处扣200元，并做好台账记录。道路巡查不及时、巡查不到位或未巡查的发现一次扣1000元，第二次扣2000元，以此类推。</w:t>
      </w:r>
    </w:p>
    <w:p>
      <w:pPr>
        <w:spacing w:line="590" w:lineRule="exact"/>
        <w:rPr>
          <w:rFonts w:ascii="宋体" w:hAnsi="宋体" w:cs="宋体"/>
          <w:b/>
          <w:sz w:val="24"/>
          <w:szCs w:val="24"/>
        </w:rPr>
      </w:pPr>
      <w:r>
        <w:rPr>
          <w:rFonts w:hint="eastAsia" w:ascii="宋体" w:hAnsi="宋体" w:cs="宋体"/>
          <w:b/>
          <w:sz w:val="24"/>
          <w:szCs w:val="24"/>
        </w:rPr>
        <w:t xml:space="preserve">考核对象：                                  考核时间：       </w:t>
      </w:r>
    </w:p>
    <w:tbl>
      <w:tblPr>
        <w:tblStyle w:val="63"/>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498"/>
        <w:gridCol w:w="4938"/>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8" w:type="dxa"/>
            <w:vAlign w:val="center"/>
          </w:tcPr>
          <w:p>
            <w:pPr>
              <w:spacing w:line="240" w:lineRule="exact"/>
              <w:ind w:left="0" w:leftChars="0" w:firstLine="0" w:firstLineChars="0"/>
              <w:jc w:val="both"/>
              <w:rPr>
                <w:rFonts w:ascii="宋体" w:hAnsi="宋体" w:cs="宋体"/>
                <w:b/>
                <w:color w:val="auto"/>
                <w:sz w:val="24"/>
                <w:szCs w:val="24"/>
              </w:rPr>
            </w:pPr>
            <w:r>
              <w:rPr>
                <w:rFonts w:hint="eastAsia" w:ascii="宋体" w:hAnsi="宋体" w:cs="宋体"/>
                <w:b/>
                <w:color w:val="auto"/>
                <w:sz w:val="24"/>
                <w:szCs w:val="24"/>
              </w:rPr>
              <w:t>考核   项目</w:t>
            </w:r>
          </w:p>
        </w:tc>
        <w:tc>
          <w:tcPr>
            <w:tcW w:w="1498" w:type="dxa"/>
            <w:vAlign w:val="center"/>
          </w:tcPr>
          <w:p>
            <w:pPr>
              <w:spacing w:line="240" w:lineRule="exact"/>
              <w:ind w:left="0" w:leftChars="0" w:firstLine="0" w:firstLineChars="0"/>
              <w:jc w:val="both"/>
              <w:rPr>
                <w:rFonts w:ascii="宋体" w:hAnsi="宋体" w:cs="宋体"/>
                <w:b/>
                <w:color w:val="auto"/>
                <w:sz w:val="24"/>
                <w:szCs w:val="24"/>
              </w:rPr>
            </w:pPr>
            <w:r>
              <w:rPr>
                <w:rFonts w:hint="eastAsia" w:ascii="宋体" w:hAnsi="宋体" w:cs="宋体"/>
                <w:b/>
                <w:color w:val="auto"/>
                <w:sz w:val="24"/>
                <w:szCs w:val="24"/>
              </w:rPr>
              <w:t>考核内容</w:t>
            </w:r>
          </w:p>
        </w:tc>
        <w:tc>
          <w:tcPr>
            <w:tcW w:w="4938" w:type="dxa"/>
            <w:vAlign w:val="center"/>
          </w:tcPr>
          <w:p>
            <w:pPr>
              <w:spacing w:line="240" w:lineRule="exact"/>
              <w:jc w:val="center"/>
              <w:rPr>
                <w:rFonts w:ascii="宋体" w:hAnsi="宋体" w:cs="宋体"/>
                <w:b/>
                <w:color w:val="auto"/>
                <w:sz w:val="24"/>
                <w:szCs w:val="24"/>
              </w:rPr>
            </w:pPr>
            <w:r>
              <w:rPr>
                <w:rFonts w:hint="eastAsia" w:ascii="宋体" w:hAnsi="宋体" w:cs="宋体"/>
                <w:b/>
                <w:color w:val="auto"/>
                <w:sz w:val="24"/>
                <w:szCs w:val="24"/>
              </w:rPr>
              <w:t>考核标准</w:t>
            </w:r>
          </w:p>
        </w:tc>
        <w:tc>
          <w:tcPr>
            <w:tcW w:w="1810" w:type="dxa"/>
            <w:vAlign w:val="center"/>
          </w:tcPr>
          <w:p>
            <w:pPr>
              <w:spacing w:line="240" w:lineRule="exact"/>
              <w:jc w:val="center"/>
              <w:rPr>
                <w:rFonts w:ascii="宋体" w:hAnsi="宋体" w:cs="宋体"/>
                <w:b/>
                <w:color w:val="auto"/>
                <w:sz w:val="24"/>
                <w:szCs w:val="24"/>
              </w:rPr>
            </w:pPr>
            <w:r>
              <w:rPr>
                <w:rFonts w:hint="eastAsia" w:ascii="宋体" w:hAnsi="宋体" w:cs="宋体"/>
                <w:b/>
                <w:color w:val="auto"/>
                <w:sz w:val="24"/>
                <w:szCs w:val="24"/>
              </w:rPr>
              <w:t>扣款金额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48" w:type="dxa"/>
            <w:vMerge w:val="restart"/>
            <w:vAlign w:val="center"/>
          </w:tcPr>
          <w:p>
            <w:pPr>
              <w:spacing w:line="240" w:lineRule="exact"/>
              <w:ind w:left="0" w:leftChars="0" w:firstLine="0" w:firstLineChars="0"/>
              <w:jc w:val="both"/>
              <w:rPr>
                <w:rFonts w:ascii="宋体" w:hAnsi="宋体" w:cs="宋体"/>
                <w:color w:val="auto"/>
                <w:sz w:val="24"/>
                <w:szCs w:val="24"/>
              </w:rPr>
            </w:pPr>
            <w:r>
              <w:rPr>
                <w:rFonts w:hint="eastAsia" w:ascii="宋体" w:hAnsi="宋体" w:cs="宋体"/>
                <w:color w:val="auto"/>
                <w:sz w:val="24"/>
                <w:szCs w:val="24"/>
              </w:rPr>
              <w:t>道路    设施</w:t>
            </w:r>
          </w:p>
          <w:p>
            <w:pPr>
              <w:spacing w:line="240" w:lineRule="exact"/>
              <w:ind w:left="0" w:leftChars="0" w:firstLine="0" w:firstLineChars="0"/>
              <w:jc w:val="both"/>
              <w:rPr>
                <w:rFonts w:ascii="宋体" w:hAnsi="宋体" w:cs="宋体"/>
                <w:color w:val="auto"/>
                <w:sz w:val="24"/>
                <w:szCs w:val="24"/>
              </w:rPr>
            </w:pPr>
            <w:r>
              <w:rPr>
                <w:rFonts w:hint="eastAsia" w:ascii="宋体" w:hAnsi="宋体" w:cs="宋体"/>
                <w:color w:val="auto"/>
                <w:sz w:val="24"/>
                <w:szCs w:val="24"/>
              </w:rPr>
              <w:t>养护</w:t>
            </w:r>
          </w:p>
          <w:p>
            <w:pPr>
              <w:spacing w:line="240" w:lineRule="exact"/>
              <w:jc w:val="center"/>
              <w:rPr>
                <w:rFonts w:ascii="宋体" w:hAnsi="宋体" w:cs="宋体"/>
                <w:color w:val="auto"/>
                <w:sz w:val="24"/>
                <w:szCs w:val="24"/>
              </w:rPr>
            </w:pPr>
          </w:p>
        </w:tc>
        <w:tc>
          <w:tcPr>
            <w:tcW w:w="1498" w:type="dxa"/>
            <w:vMerge w:val="restart"/>
            <w:vAlign w:val="center"/>
          </w:tcPr>
          <w:p>
            <w:pPr>
              <w:spacing w:line="240" w:lineRule="exact"/>
              <w:ind w:left="0" w:leftChars="0" w:firstLine="0" w:firstLineChars="0"/>
              <w:jc w:val="both"/>
              <w:rPr>
                <w:rFonts w:ascii="宋体" w:hAnsi="宋体" w:cs="宋体"/>
                <w:color w:val="auto"/>
                <w:sz w:val="24"/>
                <w:szCs w:val="24"/>
              </w:rPr>
            </w:pPr>
            <w:r>
              <w:rPr>
                <w:rFonts w:hint="eastAsia" w:ascii="宋体" w:hAnsi="宋体" w:cs="宋体"/>
                <w:color w:val="auto"/>
                <w:sz w:val="24"/>
                <w:szCs w:val="24"/>
              </w:rPr>
              <w:t>路面养护</w:t>
            </w:r>
          </w:p>
        </w:tc>
        <w:tc>
          <w:tcPr>
            <w:tcW w:w="4938" w:type="dxa"/>
            <w:vAlign w:val="center"/>
          </w:tcPr>
          <w:p>
            <w:pPr>
              <w:spacing w:line="240" w:lineRule="exact"/>
              <w:ind w:left="0" w:leftChars="0" w:firstLine="0" w:firstLineChars="0"/>
              <w:rPr>
                <w:rFonts w:ascii="宋体" w:hAnsi="宋体" w:cs="宋体"/>
                <w:color w:val="auto"/>
                <w:sz w:val="24"/>
                <w:szCs w:val="24"/>
              </w:rPr>
            </w:pPr>
            <w:r>
              <w:rPr>
                <w:rFonts w:hint="eastAsia" w:ascii="宋体" w:hAnsi="宋体" w:cs="宋体"/>
                <w:color w:val="auto"/>
                <w:sz w:val="24"/>
                <w:szCs w:val="24"/>
              </w:rPr>
              <w:t>路面裂缝宽度大于0.5cm，未及时处理的</w:t>
            </w:r>
          </w:p>
        </w:tc>
        <w:tc>
          <w:tcPr>
            <w:tcW w:w="1810" w:type="dxa"/>
            <w:vAlign w:val="center"/>
          </w:tcPr>
          <w:p>
            <w:pPr>
              <w:spacing w:line="240" w:lineRule="exact"/>
              <w:jc w:val="center"/>
              <w:rPr>
                <w:rFonts w:ascii="宋体" w:hAnsi="宋体" w:cs="宋体"/>
                <w:color w:val="auto"/>
                <w:sz w:val="24"/>
                <w:szCs w:val="24"/>
              </w:rPr>
            </w:pPr>
            <w:r>
              <w:rPr>
                <w:rFonts w:hint="eastAsia" w:ascii="宋体" w:hAnsi="宋体" w:cs="宋体"/>
                <w:color w:val="auto"/>
                <w:sz w:val="24"/>
                <w:szCs w:val="24"/>
              </w:rPr>
              <w:t>200元/处，扣0.1分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48" w:type="dxa"/>
            <w:vMerge w:val="continue"/>
            <w:vAlign w:val="center"/>
          </w:tcPr>
          <w:p>
            <w:pPr>
              <w:spacing w:line="240" w:lineRule="exact"/>
              <w:jc w:val="center"/>
              <w:rPr>
                <w:rFonts w:ascii="宋体" w:hAnsi="宋体" w:cs="宋体"/>
                <w:color w:val="auto"/>
                <w:sz w:val="24"/>
                <w:szCs w:val="24"/>
              </w:rPr>
            </w:pPr>
          </w:p>
        </w:tc>
        <w:tc>
          <w:tcPr>
            <w:tcW w:w="1498" w:type="dxa"/>
            <w:vMerge w:val="continue"/>
            <w:vAlign w:val="center"/>
          </w:tcPr>
          <w:p>
            <w:pPr>
              <w:spacing w:line="240" w:lineRule="exact"/>
              <w:jc w:val="center"/>
              <w:rPr>
                <w:rFonts w:ascii="宋体" w:hAnsi="宋体" w:cs="宋体"/>
                <w:color w:val="auto"/>
                <w:sz w:val="24"/>
                <w:szCs w:val="24"/>
              </w:rPr>
            </w:pPr>
          </w:p>
        </w:tc>
        <w:tc>
          <w:tcPr>
            <w:tcW w:w="4938" w:type="dxa"/>
            <w:vAlign w:val="center"/>
          </w:tcPr>
          <w:p>
            <w:pPr>
              <w:spacing w:line="240" w:lineRule="exact"/>
              <w:ind w:left="0" w:leftChars="0" w:firstLine="0" w:firstLineChars="0"/>
              <w:rPr>
                <w:rFonts w:ascii="宋体" w:hAnsi="宋体" w:cs="宋体"/>
                <w:color w:val="auto"/>
                <w:sz w:val="24"/>
                <w:szCs w:val="24"/>
              </w:rPr>
            </w:pPr>
            <w:r>
              <w:rPr>
                <w:rFonts w:hint="eastAsia" w:ascii="宋体" w:hAnsi="宋体" w:cs="宋体"/>
                <w:color w:val="auto"/>
                <w:sz w:val="24"/>
                <w:szCs w:val="24"/>
              </w:rPr>
              <w:t>拥包、车辙、搓板、松散、脱皮、烂边、啃边的</w:t>
            </w:r>
          </w:p>
        </w:tc>
        <w:tc>
          <w:tcPr>
            <w:tcW w:w="1810" w:type="dxa"/>
            <w:vAlign w:val="center"/>
          </w:tcPr>
          <w:p>
            <w:pPr>
              <w:spacing w:line="240" w:lineRule="exact"/>
              <w:jc w:val="center"/>
              <w:rPr>
                <w:rFonts w:ascii="宋体" w:hAnsi="宋体" w:cs="宋体"/>
                <w:color w:val="auto"/>
                <w:sz w:val="24"/>
                <w:szCs w:val="24"/>
              </w:rPr>
            </w:pPr>
            <w:r>
              <w:rPr>
                <w:rFonts w:hint="eastAsia" w:ascii="宋体" w:hAnsi="宋体" w:cs="宋体"/>
                <w:color w:val="auto"/>
                <w:sz w:val="24"/>
                <w:szCs w:val="24"/>
              </w:rPr>
              <w:t>200元/㎡，扣0.1分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48" w:type="dxa"/>
            <w:vMerge w:val="continue"/>
            <w:vAlign w:val="center"/>
          </w:tcPr>
          <w:p>
            <w:pPr>
              <w:spacing w:line="240" w:lineRule="exact"/>
              <w:jc w:val="center"/>
              <w:rPr>
                <w:rFonts w:ascii="宋体" w:hAnsi="宋体" w:cs="宋体"/>
                <w:color w:val="auto"/>
                <w:sz w:val="24"/>
                <w:szCs w:val="24"/>
              </w:rPr>
            </w:pPr>
          </w:p>
        </w:tc>
        <w:tc>
          <w:tcPr>
            <w:tcW w:w="1498" w:type="dxa"/>
            <w:vMerge w:val="continue"/>
            <w:vAlign w:val="center"/>
          </w:tcPr>
          <w:p>
            <w:pPr>
              <w:spacing w:line="240" w:lineRule="exact"/>
              <w:jc w:val="center"/>
              <w:rPr>
                <w:rFonts w:ascii="宋体" w:hAnsi="宋体" w:cs="宋体"/>
                <w:color w:val="auto"/>
                <w:sz w:val="24"/>
                <w:szCs w:val="24"/>
              </w:rPr>
            </w:pPr>
          </w:p>
        </w:tc>
        <w:tc>
          <w:tcPr>
            <w:tcW w:w="4938" w:type="dxa"/>
            <w:vAlign w:val="center"/>
          </w:tcPr>
          <w:p>
            <w:pPr>
              <w:spacing w:line="240" w:lineRule="exact"/>
              <w:ind w:left="0" w:leftChars="0" w:firstLine="0" w:firstLineChars="0"/>
              <w:rPr>
                <w:rFonts w:ascii="宋体" w:hAnsi="宋体" w:cs="宋体"/>
                <w:color w:val="auto"/>
                <w:sz w:val="24"/>
                <w:szCs w:val="24"/>
              </w:rPr>
            </w:pPr>
            <w:r>
              <w:rPr>
                <w:rFonts w:hint="eastAsia" w:ascii="宋体" w:hAnsi="宋体" w:cs="宋体"/>
                <w:color w:val="auto"/>
                <w:sz w:val="24"/>
                <w:szCs w:val="24"/>
              </w:rPr>
              <w:t>4㎡以下碎裂、坑洞、沉陷的</w:t>
            </w:r>
          </w:p>
        </w:tc>
        <w:tc>
          <w:tcPr>
            <w:tcW w:w="1810" w:type="dxa"/>
            <w:vAlign w:val="center"/>
          </w:tcPr>
          <w:p>
            <w:pPr>
              <w:spacing w:line="240" w:lineRule="exact"/>
              <w:jc w:val="center"/>
              <w:rPr>
                <w:rFonts w:ascii="宋体" w:hAnsi="宋体" w:cs="宋体"/>
                <w:color w:val="auto"/>
                <w:sz w:val="24"/>
                <w:szCs w:val="24"/>
              </w:rPr>
            </w:pPr>
            <w:r>
              <w:rPr>
                <w:rFonts w:hint="eastAsia" w:ascii="宋体" w:hAnsi="宋体" w:cs="宋体"/>
                <w:color w:val="auto"/>
                <w:sz w:val="24"/>
                <w:szCs w:val="24"/>
              </w:rPr>
              <w:t>200元/㎡，扣0.1分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48" w:type="dxa"/>
            <w:vMerge w:val="continue"/>
            <w:vAlign w:val="center"/>
          </w:tcPr>
          <w:p>
            <w:pPr>
              <w:spacing w:line="240" w:lineRule="exact"/>
              <w:jc w:val="center"/>
              <w:rPr>
                <w:rFonts w:ascii="宋体" w:hAnsi="宋体" w:cs="宋体"/>
                <w:color w:val="auto"/>
                <w:sz w:val="24"/>
                <w:szCs w:val="24"/>
              </w:rPr>
            </w:pPr>
          </w:p>
        </w:tc>
        <w:tc>
          <w:tcPr>
            <w:tcW w:w="1498" w:type="dxa"/>
            <w:vMerge w:val="continue"/>
            <w:vAlign w:val="center"/>
          </w:tcPr>
          <w:p>
            <w:pPr>
              <w:spacing w:line="240" w:lineRule="exact"/>
              <w:jc w:val="center"/>
              <w:rPr>
                <w:rFonts w:ascii="宋体" w:hAnsi="宋体" w:cs="宋体"/>
                <w:color w:val="auto"/>
                <w:sz w:val="24"/>
                <w:szCs w:val="24"/>
              </w:rPr>
            </w:pPr>
          </w:p>
        </w:tc>
        <w:tc>
          <w:tcPr>
            <w:tcW w:w="4938" w:type="dxa"/>
            <w:vAlign w:val="center"/>
          </w:tcPr>
          <w:p>
            <w:pPr>
              <w:spacing w:line="240" w:lineRule="exact"/>
              <w:ind w:left="0" w:leftChars="0" w:firstLine="0" w:firstLineChars="0"/>
              <w:rPr>
                <w:rFonts w:ascii="宋体" w:hAnsi="宋体" w:cs="宋体"/>
                <w:color w:val="auto"/>
                <w:sz w:val="24"/>
                <w:szCs w:val="24"/>
              </w:rPr>
            </w:pPr>
            <w:r>
              <w:rPr>
                <w:rFonts w:hint="eastAsia" w:ascii="宋体" w:hAnsi="宋体" w:cs="宋体"/>
                <w:color w:val="auto"/>
                <w:sz w:val="24"/>
                <w:szCs w:val="24"/>
              </w:rPr>
              <w:t>非管养原因形成的路面严重下沉、塌陷，未及时上报的</w:t>
            </w:r>
          </w:p>
        </w:tc>
        <w:tc>
          <w:tcPr>
            <w:tcW w:w="1810" w:type="dxa"/>
            <w:vAlign w:val="center"/>
          </w:tcPr>
          <w:p>
            <w:pPr>
              <w:spacing w:line="240" w:lineRule="exact"/>
              <w:jc w:val="center"/>
              <w:rPr>
                <w:rFonts w:ascii="宋体" w:hAnsi="宋体" w:cs="宋体"/>
                <w:color w:val="auto"/>
                <w:sz w:val="24"/>
                <w:szCs w:val="24"/>
              </w:rPr>
            </w:pPr>
            <w:r>
              <w:rPr>
                <w:rFonts w:hint="eastAsia" w:ascii="宋体" w:hAnsi="宋体" w:cs="宋体"/>
                <w:color w:val="auto"/>
                <w:sz w:val="24"/>
                <w:szCs w:val="24"/>
              </w:rPr>
              <w:t>500元/㎡，扣0.25分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48" w:type="dxa"/>
            <w:vMerge w:val="continue"/>
            <w:vAlign w:val="center"/>
          </w:tcPr>
          <w:p>
            <w:pPr>
              <w:spacing w:line="240" w:lineRule="exact"/>
              <w:jc w:val="center"/>
              <w:rPr>
                <w:rFonts w:ascii="宋体" w:hAnsi="宋体" w:cs="宋体"/>
                <w:color w:val="auto"/>
                <w:sz w:val="24"/>
                <w:szCs w:val="24"/>
              </w:rPr>
            </w:pPr>
          </w:p>
        </w:tc>
        <w:tc>
          <w:tcPr>
            <w:tcW w:w="1498" w:type="dxa"/>
            <w:vMerge w:val="continue"/>
            <w:vAlign w:val="center"/>
          </w:tcPr>
          <w:p>
            <w:pPr>
              <w:spacing w:line="240" w:lineRule="exact"/>
              <w:jc w:val="center"/>
              <w:rPr>
                <w:rFonts w:ascii="宋体" w:hAnsi="宋体" w:cs="宋体"/>
                <w:color w:val="auto"/>
                <w:sz w:val="24"/>
                <w:szCs w:val="24"/>
              </w:rPr>
            </w:pPr>
          </w:p>
        </w:tc>
        <w:tc>
          <w:tcPr>
            <w:tcW w:w="4938" w:type="dxa"/>
            <w:vAlign w:val="center"/>
          </w:tcPr>
          <w:p>
            <w:pPr>
              <w:spacing w:line="240" w:lineRule="exact"/>
              <w:ind w:left="0" w:leftChars="0" w:firstLine="0" w:firstLineChars="0"/>
              <w:rPr>
                <w:rFonts w:ascii="宋体" w:hAnsi="宋体" w:cs="宋体"/>
                <w:color w:val="auto"/>
                <w:sz w:val="24"/>
                <w:szCs w:val="24"/>
              </w:rPr>
            </w:pPr>
            <w:r>
              <w:rPr>
                <w:rFonts w:hint="eastAsia" w:ascii="宋体" w:hAnsi="宋体" w:cs="宋体"/>
                <w:color w:val="auto"/>
                <w:sz w:val="24"/>
                <w:szCs w:val="24"/>
              </w:rPr>
              <w:t>管养原因造成10㎡以上大面积积水的</w:t>
            </w:r>
          </w:p>
        </w:tc>
        <w:tc>
          <w:tcPr>
            <w:tcW w:w="1810" w:type="dxa"/>
            <w:vAlign w:val="center"/>
          </w:tcPr>
          <w:p>
            <w:pPr>
              <w:spacing w:line="240" w:lineRule="exact"/>
              <w:jc w:val="center"/>
              <w:rPr>
                <w:rFonts w:ascii="宋体" w:hAnsi="宋体" w:cs="宋体"/>
                <w:color w:val="auto"/>
                <w:sz w:val="24"/>
                <w:szCs w:val="24"/>
              </w:rPr>
            </w:pPr>
            <w:r>
              <w:rPr>
                <w:rFonts w:hint="eastAsia" w:ascii="宋体" w:hAnsi="宋体" w:cs="宋体"/>
                <w:color w:val="auto"/>
                <w:sz w:val="24"/>
                <w:szCs w:val="24"/>
              </w:rPr>
              <w:t>1000元/处，扣0.5分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48" w:type="dxa"/>
            <w:vMerge w:val="continue"/>
            <w:vAlign w:val="center"/>
          </w:tcPr>
          <w:p>
            <w:pPr>
              <w:spacing w:line="240" w:lineRule="exact"/>
              <w:jc w:val="center"/>
              <w:rPr>
                <w:rFonts w:ascii="宋体" w:hAnsi="宋体" w:cs="宋体"/>
                <w:color w:val="auto"/>
                <w:sz w:val="24"/>
                <w:szCs w:val="24"/>
              </w:rPr>
            </w:pPr>
          </w:p>
        </w:tc>
        <w:tc>
          <w:tcPr>
            <w:tcW w:w="1498" w:type="dxa"/>
            <w:vMerge w:val="continue"/>
            <w:vAlign w:val="center"/>
          </w:tcPr>
          <w:p>
            <w:pPr>
              <w:spacing w:line="240" w:lineRule="exact"/>
              <w:jc w:val="center"/>
              <w:rPr>
                <w:rFonts w:ascii="宋体" w:hAnsi="宋体" w:cs="宋体"/>
                <w:color w:val="auto"/>
                <w:sz w:val="24"/>
                <w:szCs w:val="24"/>
              </w:rPr>
            </w:pPr>
          </w:p>
        </w:tc>
        <w:tc>
          <w:tcPr>
            <w:tcW w:w="4938" w:type="dxa"/>
            <w:vAlign w:val="center"/>
          </w:tcPr>
          <w:p>
            <w:pPr>
              <w:spacing w:line="240" w:lineRule="exact"/>
              <w:ind w:left="0" w:leftChars="0" w:firstLine="0" w:firstLineChars="0"/>
              <w:rPr>
                <w:rFonts w:ascii="宋体" w:hAnsi="宋体" w:cs="宋体"/>
                <w:color w:val="auto"/>
                <w:sz w:val="24"/>
                <w:szCs w:val="24"/>
              </w:rPr>
            </w:pPr>
            <w:r>
              <w:rPr>
                <w:rFonts w:hint="eastAsia" w:ascii="宋体" w:hAnsi="宋体" w:cs="宋体"/>
                <w:color w:val="auto"/>
                <w:sz w:val="24"/>
                <w:szCs w:val="24"/>
              </w:rPr>
              <w:t>管养原因造成路面积水达10cm以上的</w:t>
            </w:r>
          </w:p>
        </w:tc>
        <w:tc>
          <w:tcPr>
            <w:tcW w:w="1810" w:type="dxa"/>
            <w:vAlign w:val="center"/>
          </w:tcPr>
          <w:p>
            <w:pPr>
              <w:spacing w:line="240" w:lineRule="exact"/>
              <w:jc w:val="center"/>
              <w:rPr>
                <w:rFonts w:ascii="宋体" w:hAnsi="宋体" w:cs="宋体"/>
                <w:color w:val="auto"/>
                <w:sz w:val="24"/>
                <w:szCs w:val="24"/>
              </w:rPr>
            </w:pPr>
            <w:r>
              <w:rPr>
                <w:rFonts w:hint="eastAsia" w:ascii="宋体" w:hAnsi="宋体" w:cs="宋体"/>
                <w:color w:val="auto"/>
                <w:sz w:val="24"/>
                <w:szCs w:val="24"/>
              </w:rPr>
              <w:t>5000元/处，扣2.5分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748" w:type="dxa"/>
            <w:vMerge w:val="continue"/>
            <w:vAlign w:val="center"/>
          </w:tcPr>
          <w:p>
            <w:pPr>
              <w:spacing w:line="240" w:lineRule="exact"/>
              <w:jc w:val="center"/>
              <w:rPr>
                <w:rFonts w:ascii="宋体" w:hAnsi="宋体" w:cs="宋体"/>
                <w:color w:val="auto"/>
                <w:sz w:val="24"/>
                <w:szCs w:val="24"/>
              </w:rPr>
            </w:pPr>
          </w:p>
        </w:tc>
        <w:tc>
          <w:tcPr>
            <w:tcW w:w="1498" w:type="dxa"/>
            <w:vMerge w:val="restart"/>
            <w:vAlign w:val="center"/>
          </w:tcPr>
          <w:p>
            <w:pPr>
              <w:spacing w:line="240" w:lineRule="exact"/>
              <w:ind w:left="0" w:leftChars="0" w:firstLine="0" w:firstLineChars="0"/>
              <w:jc w:val="both"/>
              <w:rPr>
                <w:rFonts w:ascii="宋体" w:hAnsi="宋体" w:cs="宋体"/>
                <w:color w:val="auto"/>
                <w:sz w:val="24"/>
                <w:szCs w:val="24"/>
              </w:rPr>
            </w:pPr>
            <w:r>
              <w:rPr>
                <w:rFonts w:hint="eastAsia" w:ascii="宋体" w:hAnsi="宋体" w:cs="宋体"/>
                <w:color w:val="auto"/>
                <w:sz w:val="24"/>
                <w:szCs w:val="24"/>
              </w:rPr>
              <w:t>人行道养护</w:t>
            </w:r>
          </w:p>
        </w:tc>
        <w:tc>
          <w:tcPr>
            <w:tcW w:w="4938" w:type="dxa"/>
            <w:vAlign w:val="center"/>
          </w:tcPr>
          <w:p>
            <w:pPr>
              <w:spacing w:line="240" w:lineRule="exact"/>
              <w:ind w:left="0" w:leftChars="0" w:firstLine="0" w:firstLineChars="0"/>
              <w:rPr>
                <w:rFonts w:ascii="宋体" w:hAnsi="宋体" w:cs="宋体"/>
                <w:color w:val="auto"/>
                <w:sz w:val="24"/>
                <w:szCs w:val="24"/>
              </w:rPr>
            </w:pPr>
            <w:r>
              <w:rPr>
                <w:rFonts w:hint="eastAsia" w:ascii="宋体" w:hAnsi="宋体" w:cs="宋体"/>
                <w:color w:val="auto"/>
                <w:sz w:val="24"/>
                <w:szCs w:val="24"/>
              </w:rPr>
              <w:t>坑洞、沉陷的</w:t>
            </w:r>
          </w:p>
        </w:tc>
        <w:tc>
          <w:tcPr>
            <w:tcW w:w="1810" w:type="dxa"/>
            <w:vAlign w:val="center"/>
          </w:tcPr>
          <w:p>
            <w:pPr>
              <w:spacing w:line="240" w:lineRule="exact"/>
              <w:jc w:val="center"/>
              <w:rPr>
                <w:rFonts w:ascii="宋体" w:hAnsi="宋体" w:cs="宋体"/>
                <w:color w:val="auto"/>
                <w:sz w:val="24"/>
                <w:szCs w:val="24"/>
              </w:rPr>
            </w:pPr>
            <w:r>
              <w:rPr>
                <w:rFonts w:hint="eastAsia" w:ascii="宋体" w:hAnsi="宋体" w:cs="宋体"/>
                <w:color w:val="auto"/>
                <w:sz w:val="24"/>
                <w:szCs w:val="24"/>
              </w:rPr>
              <w:t>300元/㎡，扣0.15分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748" w:type="dxa"/>
            <w:vMerge w:val="continue"/>
            <w:vAlign w:val="center"/>
          </w:tcPr>
          <w:p>
            <w:pPr>
              <w:spacing w:line="240" w:lineRule="exact"/>
              <w:jc w:val="center"/>
              <w:rPr>
                <w:rFonts w:ascii="宋体" w:hAnsi="宋体" w:cs="宋体"/>
                <w:color w:val="auto"/>
                <w:sz w:val="24"/>
                <w:szCs w:val="24"/>
              </w:rPr>
            </w:pPr>
          </w:p>
        </w:tc>
        <w:tc>
          <w:tcPr>
            <w:tcW w:w="1498" w:type="dxa"/>
            <w:vMerge w:val="continue"/>
            <w:vAlign w:val="center"/>
          </w:tcPr>
          <w:p>
            <w:pPr>
              <w:spacing w:line="240" w:lineRule="exact"/>
              <w:jc w:val="center"/>
              <w:rPr>
                <w:rFonts w:ascii="宋体" w:hAnsi="宋体" w:cs="宋体"/>
                <w:color w:val="auto"/>
                <w:sz w:val="24"/>
                <w:szCs w:val="24"/>
              </w:rPr>
            </w:pPr>
          </w:p>
        </w:tc>
        <w:tc>
          <w:tcPr>
            <w:tcW w:w="4938" w:type="dxa"/>
            <w:vAlign w:val="center"/>
          </w:tcPr>
          <w:p>
            <w:pPr>
              <w:spacing w:line="240" w:lineRule="exact"/>
              <w:ind w:left="0" w:leftChars="0" w:firstLine="0" w:firstLineChars="0"/>
              <w:rPr>
                <w:rFonts w:ascii="宋体" w:hAnsi="宋体" w:cs="宋体"/>
                <w:color w:val="auto"/>
                <w:sz w:val="24"/>
                <w:szCs w:val="24"/>
              </w:rPr>
            </w:pPr>
            <w:r>
              <w:rPr>
                <w:rFonts w:hint="eastAsia" w:ascii="宋体" w:hAnsi="宋体" w:cs="宋体"/>
                <w:color w:val="auto"/>
                <w:sz w:val="24"/>
                <w:szCs w:val="24"/>
              </w:rPr>
              <w:t>拱起、松动、跷破、缺失、错台的</w:t>
            </w:r>
          </w:p>
        </w:tc>
        <w:tc>
          <w:tcPr>
            <w:tcW w:w="1810" w:type="dxa"/>
            <w:vAlign w:val="center"/>
          </w:tcPr>
          <w:p>
            <w:pPr>
              <w:spacing w:line="240" w:lineRule="exact"/>
              <w:jc w:val="center"/>
              <w:rPr>
                <w:rFonts w:ascii="宋体" w:hAnsi="宋体" w:cs="宋体"/>
                <w:color w:val="auto"/>
                <w:sz w:val="24"/>
                <w:szCs w:val="24"/>
              </w:rPr>
            </w:pPr>
            <w:r>
              <w:rPr>
                <w:rFonts w:hint="eastAsia" w:ascii="宋体" w:hAnsi="宋体" w:cs="宋体"/>
                <w:color w:val="auto"/>
                <w:sz w:val="24"/>
                <w:szCs w:val="24"/>
              </w:rPr>
              <w:t>200元/㎡，扣0.1分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48" w:type="dxa"/>
            <w:vMerge w:val="continue"/>
            <w:vAlign w:val="center"/>
          </w:tcPr>
          <w:p>
            <w:pPr>
              <w:spacing w:line="240" w:lineRule="exact"/>
              <w:jc w:val="center"/>
              <w:rPr>
                <w:rFonts w:ascii="宋体" w:hAnsi="宋体" w:cs="宋体"/>
                <w:color w:val="auto"/>
                <w:sz w:val="24"/>
                <w:szCs w:val="24"/>
              </w:rPr>
            </w:pPr>
          </w:p>
        </w:tc>
        <w:tc>
          <w:tcPr>
            <w:tcW w:w="1498" w:type="dxa"/>
            <w:vMerge w:val="continue"/>
            <w:vAlign w:val="center"/>
          </w:tcPr>
          <w:p>
            <w:pPr>
              <w:spacing w:line="240" w:lineRule="exact"/>
              <w:jc w:val="center"/>
              <w:rPr>
                <w:rFonts w:ascii="宋体" w:hAnsi="宋体" w:cs="宋体"/>
                <w:color w:val="auto"/>
                <w:sz w:val="24"/>
                <w:szCs w:val="24"/>
              </w:rPr>
            </w:pPr>
          </w:p>
        </w:tc>
        <w:tc>
          <w:tcPr>
            <w:tcW w:w="4938" w:type="dxa"/>
            <w:vAlign w:val="center"/>
          </w:tcPr>
          <w:p>
            <w:pPr>
              <w:spacing w:line="240" w:lineRule="exact"/>
              <w:ind w:left="0" w:leftChars="0" w:firstLine="0" w:firstLineChars="0"/>
              <w:rPr>
                <w:rFonts w:ascii="宋体" w:hAnsi="宋体" w:cs="宋体"/>
                <w:color w:val="auto"/>
                <w:sz w:val="24"/>
                <w:szCs w:val="24"/>
              </w:rPr>
            </w:pPr>
            <w:r>
              <w:rPr>
                <w:rFonts w:hint="eastAsia" w:ascii="宋体" w:hAnsi="宋体" w:cs="宋体"/>
                <w:color w:val="auto"/>
                <w:sz w:val="24"/>
                <w:szCs w:val="24"/>
              </w:rPr>
              <w:t>人行道严重积水的</w:t>
            </w:r>
          </w:p>
        </w:tc>
        <w:tc>
          <w:tcPr>
            <w:tcW w:w="1810" w:type="dxa"/>
            <w:vAlign w:val="center"/>
          </w:tcPr>
          <w:p>
            <w:pPr>
              <w:spacing w:line="240" w:lineRule="exact"/>
              <w:jc w:val="center"/>
              <w:rPr>
                <w:rFonts w:ascii="宋体" w:hAnsi="宋体" w:cs="宋体"/>
                <w:color w:val="auto"/>
                <w:sz w:val="24"/>
                <w:szCs w:val="24"/>
              </w:rPr>
            </w:pPr>
            <w:r>
              <w:rPr>
                <w:rFonts w:hint="eastAsia" w:ascii="宋体" w:hAnsi="宋体" w:cs="宋体"/>
                <w:color w:val="auto"/>
                <w:sz w:val="24"/>
                <w:szCs w:val="24"/>
              </w:rPr>
              <w:t>500元/处扣0.25分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48" w:type="dxa"/>
            <w:vMerge w:val="continue"/>
            <w:vAlign w:val="center"/>
          </w:tcPr>
          <w:p>
            <w:pPr>
              <w:spacing w:line="240" w:lineRule="exact"/>
              <w:jc w:val="center"/>
              <w:rPr>
                <w:rFonts w:ascii="宋体" w:hAnsi="宋体" w:cs="宋体"/>
                <w:color w:val="auto"/>
                <w:sz w:val="24"/>
                <w:szCs w:val="24"/>
              </w:rPr>
            </w:pPr>
          </w:p>
        </w:tc>
        <w:tc>
          <w:tcPr>
            <w:tcW w:w="1498" w:type="dxa"/>
            <w:vMerge w:val="continue"/>
            <w:vAlign w:val="center"/>
          </w:tcPr>
          <w:p>
            <w:pPr>
              <w:spacing w:line="240" w:lineRule="exact"/>
              <w:jc w:val="center"/>
              <w:rPr>
                <w:rFonts w:ascii="宋体" w:hAnsi="宋体" w:cs="宋体"/>
                <w:color w:val="auto"/>
                <w:sz w:val="24"/>
                <w:szCs w:val="24"/>
              </w:rPr>
            </w:pPr>
          </w:p>
        </w:tc>
        <w:tc>
          <w:tcPr>
            <w:tcW w:w="4938" w:type="dxa"/>
            <w:vAlign w:val="center"/>
          </w:tcPr>
          <w:p>
            <w:pPr>
              <w:spacing w:line="240" w:lineRule="exact"/>
              <w:ind w:left="0" w:leftChars="0" w:firstLine="0" w:firstLineChars="0"/>
              <w:rPr>
                <w:rFonts w:ascii="宋体" w:hAnsi="宋体" w:cs="宋体"/>
                <w:color w:val="auto"/>
                <w:sz w:val="24"/>
                <w:szCs w:val="24"/>
              </w:rPr>
            </w:pPr>
            <w:r>
              <w:rPr>
                <w:rFonts w:hint="eastAsia" w:ascii="宋体" w:hAnsi="宋体" w:cs="宋体"/>
                <w:color w:val="auto"/>
                <w:sz w:val="24"/>
                <w:szCs w:val="24"/>
              </w:rPr>
              <w:t>平侧石严重破损或缺少的</w:t>
            </w:r>
          </w:p>
        </w:tc>
        <w:tc>
          <w:tcPr>
            <w:tcW w:w="1810" w:type="dxa"/>
            <w:vAlign w:val="center"/>
          </w:tcPr>
          <w:p>
            <w:pPr>
              <w:spacing w:line="240" w:lineRule="exact"/>
              <w:jc w:val="center"/>
              <w:rPr>
                <w:rFonts w:ascii="宋体" w:hAnsi="宋体" w:cs="宋体"/>
                <w:color w:val="auto"/>
                <w:sz w:val="24"/>
                <w:szCs w:val="24"/>
              </w:rPr>
            </w:pPr>
            <w:r>
              <w:rPr>
                <w:rFonts w:hint="eastAsia" w:ascii="宋体" w:hAnsi="宋体" w:cs="宋体"/>
                <w:color w:val="auto"/>
                <w:sz w:val="24"/>
                <w:szCs w:val="24"/>
              </w:rPr>
              <w:t>500元/条扣0.25分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748" w:type="dxa"/>
            <w:vMerge w:val="continue"/>
            <w:vAlign w:val="center"/>
          </w:tcPr>
          <w:p>
            <w:pPr>
              <w:spacing w:line="240" w:lineRule="exact"/>
              <w:jc w:val="center"/>
              <w:rPr>
                <w:rFonts w:ascii="宋体" w:hAnsi="宋体" w:cs="宋体"/>
                <w:color w:val="auto"/>
                <w:sz w:val="24"/>
                <w:szCs w:val="24"/>
              </w:rPr>
            </w:pPr>
          </w:p>
        </w:tc>
        <w:tc>
          <w:tcPr>
            <w:tcW w:w="1498" w:type="dxa"/>
            <w:vMerge w:val="restart"/>
            <w:vAlign w:val="center"/>
          </w:tcPr>
          <w:p>
            <w:pPr>
              <w:spacing w:line="240" w:lineRule="exact"/>
              <w:ind w:left="0" w:leftChars="0" w:firstLine="0" w:firstLineChars="0"/>
              <w:jc w:val="both"/>
              <w:rPr>
                <w:rFonts w:ascii="宋体" w:hAnsi="宋体" w:cs="宋体"/>
                <w:color w:val="auto"/>
                <w:sz w:val="24"/>
                <w:szCs w:val="24"/>
              </w:rPr>
            </w:pPr>
            <w:r>
              <w:rPr>
                <w:rFonts w:hint="eastAsia" w:ascii="宋体" w:hAnsi="宋体" w:cs="宋体"/>
                <w:color w:val="auto"/>
                <w:sz w:val="24"/>
                <w:szCs w:val="24"/>
              </w:rPr>
              <w:t>管渠、检查井及雨水设施</w:t>
            </w:r>
          </w:p>
        </w:tc>
        <w:tc>
          <w:tcPr>
            <w:tcW w:w="4938" w:type="dxa"/>
            <w:vAlign w:val="center"/>
          </w:tcPr>
          <w:p>
            <w:pPr>
              <w:spacing w:line="240" w:lineRule="exact"/>
              <w:ind w:left="0" w:leftChars="0" w:firstLine="0" w:firstLineChars="0"/>
              <w:rPr>
                <w:rFonts w:ascii="宋体" w:hAnsi="宋体" w:cs="宋体"/>
                <w:color w:val="auto"/>
                <w:sz w:val="24"/>
                <w:szCs w:val="24"/>
              </w:rPr>
            </w:pPr>
            <w:r>
              <w:rPr>
                <w:rFonts w:hint="eastAsia" w:ascii="宋体" w:hAnsi="宋体" w:cs="宋体"/>
                <w:color w:val="auto"/>
                <w:sz w:val="24"/>
                <w:szCs w:val="24"/>
              </w:rPr>
              <w:t>雨、污水检查井盖与道路高差超过20mm，雨水口篦子高于路面超过20mm的</w:t>
            </w:r>
          </w:p>
        </w:tc>
        <w:tc>
          <w:tcPr>
            <w:tcW w:w="1810" w:type="dxa"/>
            <w:vAlign w:val="center"/>
          </w:tcPr>
          <w:p>
            <w:pPr>
              <w:spacing w:line="240" w:lineRule="exact"/>
              <w:jc w:val="center"/>
              <w:rPr>
                <w:rFonts w:ascii="宋体" w:hAnsi="宋体" w:cs="宋体"/>
                <w:color w:val="auto"/>
                <w:sz w:val="24"/>
                <w:szCs w:val="24"/>
              </w:rPr>
            </w:pPr>
            <w:r>
              <w:rPr>
                <w:rFonts w:hint="eastAsia" w:ascii="宋体" w:hAnsi="宋体" w:cs="宋体"/>
                <w:color w:val="auto"/>
                <w:sz w:val="24"/>
                <w:szCs w:val="24"/>
              </w:rPr>
              <w:t>300元/处，扣0.15分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48" w:type="dxa"/>
            <w:vMerge w:val="continue"/>
            <w:vAlign w:val="center"/>
          </w:tcPr>
          <w:p>
            <w:pPr>
              <w:spacing w:line="240" w:lineRule="exact"/>
              <w:jc w:val="center"/>
              <w:rPr>
                <w:rFonts w:ascii="宋体" w:hAnsi="宋体" w:cs="宋体"/>
                <w:color w:val="auto"/>
                <w:sz w:val="24"/>
                <w:szCs w:val="24"/>
              </w:rPr>
            </w:pPr>
          </w:p>
        </w:tc>
        <w:tc>
          <w:tcPr>
            <w:tcW w:w="1498" w:type="dxa"/>
            <w:vMerge w:val="continue"/>
            <w:vAlign w:val="center"/>
          </w:tcPr>
          <w:p>
            <w:pPr>
              <w:spacing w:line="240" w:lineRule="exact"/>
              <w:jc w:val="center"/>
              <w:rPr>
                <w:rFonts w:ascii="宋体" w:hAnsi="宋体" w:cs="宋体"/>
                <w:color w:val="auto"/>
                <w:sz w:val="24"/>
                <w:szCs w:val="24"/>
              </w:rPr>
            </w:pPr>
          </w:p>
        </w:tc>
        <w:tc>
          <w:tcPr>
            <w:tcW w:w="4938" w:type="dxa"/>
            <w:vAlign w:val="center"/>
          </w:tcPr>
          <w:p>
            <w:pPr>
              <w:spacing w:line="240" w:lineRule="exact"/>
              <w:ind w:left="0" w:leftChars="0" w:firstLine="0" w:firstLineChars="0"/>
              <w:rPr>
                <w:rFonts w:ascii="宋体" w:hAnsi="宋体" w:cs="宋体"/>
                <w:color w:val="auto"/>
                <w:sz w:val="24"/>
                <w:szCs w:val="24"/>
              </w:rPr>
            </w:pPr>
            <w:r>
              <w:rPr>
                <w:rFonts w:hint="eastAsia" w:ascii="宋体" w:hAnsi="宋体" w:cs="宋体"/>
                <w:color w:val="auto"/>
                <w:sz w:val="24"/>
                <w:szCs w:val="24"/>
              </w:rPr>
              <w:t>雨、污水检查井盖，产权井井盖缺失、破损有安全隐患不及时做好安全围护和报告的</w:t>
            </w:r>
          </w:p>
        </w:tc>
        <w:tc>
          <w:tcPr>
            <w:tcW w:w="1810" w:type="dxa"/>
            <w:vAlign w:val="center"/>
          </w:tcPr>
          <w:p>
            <w:pPr>
              <w:spacing w:line="240" w:lineRule="exact"/>
              <w:jc w:val="center"/>
              <w:rPr>
                <w:rFonts w:ascii="宋体" w:hAnsi="宋体" w:cs="宋体"/>
                <w:color w:val="auto"/>
                <w:sz w:val="24"/>
                <w:szCs w:val="24"/>
              </w:rPr>
            </w:pPr>
            <w:r>
              <w:rPr>
                <w:rFonts w:hint="eastAsia" w:ascii="宋体" w:hAnsi="宋体" w:cs="宋体"/>
                <w:color w:val="auto"/>
                <w:sz w:val="24"/>
                <w:szCs w:val="24"/>
              </w:rPr>
              <w:t>500元/处扣0.25分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exact"/>
          <w:jc w:val="center"/>
        </w:trPr>
        <w:tc>
          <w:tcPr>
            <w:tcW w:w="748" w:type="dxa"/>
            <w:vMerge w:val="continue"/>
            <w:vAlign w:val="center"/>
          </w:tcPr>
          <w:p>
            <w:pPr>
              <w:spacing w:line="240" w:lineRule="exact"/>
              <w:jc w:val="center"/>
              <w:rPr>
                <w:rFonts w:ascii="宋体" w:hAnsi="宋体" w:cs="宋体"/>
                <w:color w:val="auto"/>
                <w:sz w:val="24"/>
                <w:szCs w:val="24"/>
              </w:rPr>
            </w:pPr>
          </w:p>
        </w:tc>
        <w:tc>
          <w:tcPr>
            <w:tcW w:w="1498" w:type="dxa"/>
            <w:vMerge w:val="continue"/>
            <w:vAlign w:val="center"/>
          </w:tcPr>
          <w:p>
            <w:pPr>
              <w:spacing w:line="240" w:lineRule="exact"/>
              <w:jc w:val="center"/>
              <w:rPr>
                <w:rFonts w:ascii="宋体" w:hAnsi="宋体" w:cs="宋体"/>
                <w:color w:val="auto"/>
                <w:sz w:val="24"/>
                <w:szCs w:val="24"/>
              </w:rPr>
            </w:pPr>
          </w:p>
        </w:tc>
        <w:tc>
          <w:tcPr>
            <w:tcW w:w="4938" w:type="dxa"/>
            <w:vAlign w:val="center"/>
          </w:tcPr>
          <w:p>
            <w:pPr>
              <w:spacing w:line="240" w:lineRule="exact"/>
              <w:ind w:left="0" w:leftChars="0" w:firstLine="0" w:firstLineChars="0"/>
              <w:rPr>
                <w:rFonts w:ascii="宋体" w:hAnsi="宋体" w:cs="宋体"/>
                <w:color w:val="auto"/>
                <w:sz w:val="24"/>
                <w:szCs w:val="24"/>
              </w:rPr>
            </w:pPr>
            <w:r>
              <w:rPr>
                <w:rFonts w:hint="eastAsia" w:ascii="宋体" w:hAnsi="宋体" w:cs="宋体"/>
                <w:color w:val="auto"/>
                <w:sz w:val="24"/>
                <w:szCs w:val="24"/>
              </w:rPr>
              <w:t>产权井井盖损坏或高差超20mm不及时报告</w:t>
            </w:r>
          </w:p>
        </w:tc>
        <w:tc>
          <w:tcPr>
            <w:tcW w:w="1810" w:type="dxa"/>
            <w:vAlign w:val="center"/>
          </w:tcPr>
          <w:p>
            <w:pPr>
              <w:spacing w:line="240" w:lineRule="exact"/>
              <w:jc w:val="center"/>
              <w:rPr>
                <w:rFonts w:ascii="宋体" w:hAnsi="宋体" w:cs="宋体"/>
                <w:color w:val="auto"/>
                <w:sz w:val="24"/>
                <w:szCs w:val="24"/>
              </w:rPr>
            </w:pPr>
            <w:r>
              <w:rPr>
                <w:rFonts w:hint="eastAsia" w:ascii="宋体" w:hAnsi="宋体" w:cs="宋体"/>
                <w:color w:val="auto"/>
                <w:sz w:val="24"/>
                <w:szCs w:val="24"/>
              </w:rPr>
              <w:t>100元/处，扣0.05分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jc w:val="center"/>
        </w:trPr>
        <w:tc>
          <w:tcPr>
            <w:tcW w:w="748" w:type="dxa"/>
            <w:vMerge w:val="continue"/>
            <w:vAlign w:val="center"/>
          </w:tcPr>
          <w:p>
            <w:pPr>
              <w:spacing w:line="240" w:lineRule="exact"/>
              <w:jc w:val="center"/>
              <w:rPr>
                <w:rFonts w:ascii="宋体" w:hAnsi="宋体" w:cs="宋体"/>
                <w:color w:val="auto"/>
                <w:sz w:val="24"/>
                <w:szCs w:val="24"/>
              </w:rPr>
            </w:pPr>
          </w:p>
        </w:tc>
        <w:tc>
          <w:tcPr>
            <w:tcW w:w="1498" w:type="dxa"/>
            <w:vMerge w:val="continue"/>
            <w:vAlign w:val="center"/>
          </w:tcPr>
          <w:p>
            <w:pPr>
              <w:spacing w:line="240" w:lineRule="exact"/>
              <w:jc w:val="center"/>
              <w:rPr>
                <w:rFonts w:ascii="宋体" w:hAnsi="宋体" w:cs="宋体"/>
                <w:color w:val="auto"/>
                <w:sz w:val="24"/>
                <w:szCs w:val="24"/>
              </w:rPr>
            </w:pPr>
          </w:p>
        </w:tc>
        <w:tc>
          <w:tcPr>
            <w:tcW w:w="4938" w:type="dxa"/>
            <w:vAlign w:val="center"/>
          </w:tcPr>
          <w:p>
            <w:pPr>
              <w:spacing w:line="240" w:lineRule="exact"/>
              <w:ind w:left="0" w:leftChars="0" w:firstLine="0" w:firstLineChars="0"/>
              <w:rPr>
                <w:rFonts w:ascii="宋体" w:hAnsi="宋体" w:cs="宋体"/>
                <w:color w:val="auto"/>
                <w:sz w:val="24"/>
                <w:szCs w:val="24"/>
              </w:rPr>
            </w:pPr>
            <w:r>
              <w:rPr>
                <w:rFonts w:hint="eastAsia" w:ascii="宋体" w:hAnsi="宋体" w:cs="宋体"/>
                <w:color w:val="auto"/>
                <w:sz w:val="24"/>
                <w:szCs w:val="24"/>
              </w:rPr>
              <w:t>窨井盖板缺失、断裂、反盖、错盖</w:t>
            </w:r>
          </w:p>
        </w:tc>
        <w:tc>
          <w:tcPr>
            <w:tcW w:w="1810" w:type="dxa"/>
            <w:vAlign w:val="center"/>
          </w:tcPr>
          <w:p>
            <w:pPr>
              <w:spacing w:line="240" w:lineRule="exact"/>
              <w:jc w:val="center"/>
              <w:rPr>
                <w:rFonts w:ascii="宋体" w:hAnsi="宋体" w:cs="宋体"/>
                <w:color w:val="auto"/>
                <w:sz w:val="24"/>
                <w:szCs w:val="24"/>
              </w:rPr>
            </w:pPr>
            <w:r>
              <w:rPr>
                <w:rFonts w:hint="eastAsia" w:ascii="宋体" w:hAnsi="宋体" w:cs="宋体"/>
                <w:color w:val="auto"/>
                <w:sz w:val="24"/>
                <w:szCs w:val="24"/>
              </w:rPr>
              <w:t>500元/项扣0.25分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exact"/>
          <w:jc w:val="center"/>
        </w:trPr>
        <w:tc>
          <w:tcPr>
            <w:tcW w:w="748" w:type="dxa"/>
            <w:vMerge w:val="continue"/>
            <w:vAlign w:val="center"/>
          </w:tcPr>
          <w:p>
            <w:pPr>
              <w:spacing w:line="240" w:lineRule="exact"/>
              <w:jc w:val="center"/>
              <w:rPr>
                <w:rFonts w:ascii="宋体" w:hAnsi="宋体" w:cs="宋体"/>
                <w:color w:val="auto"/>
                <w:sz w:val="24"/>
                <w:szCs w:val="24"/>
              </w:rPr>
            </w:pPr>
          </w:p>
        </w:tc>
        <w:tc>
          <w:tcPr>
            <w:tcW w:w="1498" w:type="dxa"/>
            <w:vMerge w:val="continue"/>
            <w:vAlign w:val="center"/>
          </w:tcPr>
          <w:p>
            <w:pPr>
              <w:spacing w:line="240" w:lineRule="exact"/>
              <w:jc w:val="center"/>
              <w:rPr>
                <w:rFonts w:ascii="宋体" w:hAnsi="宋体" w:cs="宋体"/>
                <w:color w:val="auto"/>
                <w:sz w:val="24"/>
                <w:szCs w:val="24"/>
              </w:rPr>
            </w:pPr>
          </w:p>
        </w:tc>
        <w:tc>
          <w:tcPr>
            <w:tcW w:w="4938" w:type="dxa"/>
            <w:vAlign w:val="center"/>
          </w:tcPr>
          <w:p>
            <w:pPr>
              <w:spacing w:line="240" w:lineRule="exact"/>
              <w:ind w:left="0" w:leftChars="0" w:firstLine="0" w:firstLineChars="0"/>
              <w:rPr>
                <w:rFonts w:ascii="宋体" w:hAnsi="宋体" w:cs="宋体"/>
                <w:color w:val="auto"/>
                <w:sz w:val="24"/>
                <w:szCs w:val="24"/>
              </w:rPr>
            </w:pPr>
            <w:r>
              <w:rPr>
                <w:rFonts w:hint="eastAsia" w:ascii="宋体" w:hAnsi="宋体" w:cs="宋体"/>
                <w:color w:val="auto"/>
                <w:sz w:val="24"/>
                <w:szCs w:val="24"/>
              </w:rPr>
              <w:t>排水管渠堵塞</w:t>
            </w:r>
          </w:p>
        </w:tc>
        <w:tc>
          <w:tcPr>
            <w:tcW w:w="1810" w:type="dxa"/>
            <w:vAlign w:val="center"/>
          </w:tcPr>
          <w:p>
            <w:pPr>
              <w:spacing w:line="240" w:lineRule="exact"/>
              <w:jc w:val="center"/>
              <w:rPr>
                <w:rFonts w:ascii="宋体" w:hAnsi="宋体" w:cs="宋体"/>
                <w:color w:val="auto"/>
                <w:sz w:val="24"/>
                <w:szCs w:val="24"/>
              </w:rPr>
            </w:pPr>
            <w:r>
              <w:rPr>
                <w:rFonts w:hint="eastAsia" w:ascii="宋体" w:hAnsi="宋体" w:cs="宋体"/>
                <w:color w:val="auto"/>
                <w:sz w:val="24"/>
                <w:szCs w:val="24"/>
              </w:rPr>
              <w:t>500元/处扣0.25分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exact"/>
          <w:jc w:val="center"/>
        </w:trPr>
        <w:tc>
          <w:tcPr>
            <w:tcW w:w="748" w:type="dxa"/>
            <w:vMerge w:val="continue"/>
            <w:vAlign w:val="center"/>
          </w:tcPr>
          <w:p>
            <w:pPr>
              <w:spacing w:line="240" w:lineRule="exact"/>
              <w:jc w:val="center"/>
              <w:rPr>
                <w:rFonts w:ascii="宋体" w:hAnsi="宋体" w:cs="宋体"/>
                <w:color w:val="auto"/>
                <w:sz w:val="24"/>
                <w:szCs w:val="24"/>
              </w:rPr>
            </w:pPr>
          </w:p>
        </w:tc>
        <w:tc>
          <w:tcPr>
            <w:tcW w:w="1498" w:type="dxa"/>
            <w:vMerge w:val="continue"/>
            <w:vAlign w:val="center"/>
          </w:tcPr>
          <w:p>
            <w:pPr>
              <w:spacing w:line="240" w:lineRule="exact"/>
              <w:jc w:val="center"/>
              <w:rPr>
                <w:rFonts w:ascii="宋体" w:hAnsi="宋体" w:cs="宋体"/>
                <w:color w:val="auto"/>
                <w:sz w:val="24"/>
                <w:szCs w:val="24"/>
              </w:rPr>
            </w:pPr>
          </w:p>
        </w:tc>
        <w:tc>
          <w:tcPr>
            <w:tcW w:w="4938" w:type="dxa"/>
            <w:vAlign w:val="center"/>
          </w:tcPr>
          <w:p>
            <w:pPr>
              <w:spacing w:line="240" w:lineRule="exact"/>
              <w:ind w:left="0" w:leftChars="0" w:firstLine="0" w:firstLineChars="0"/>
              <w:rPr>
                <w:rFonts w:ascii="宋体" w:hAnsi="宋体" w:cs="宋体"/>
                <w:color w:val="auto"/>
                <w:sz w:val="24"/>
                <w:szCs w:val="24"/>
              </w:rPr>
            </w:pPr>
            <w:r>
              <w:rPr>
                <w:rFonts w:hint="eastAsia" w:ascii="宋体" w:hAnsi="宋体" w:cs="宋体"/>
                <w:color w:val="auto"/>
                <w:sz w:val="24"/>
                <w:szCs w:val="24"/>
              </w:rPr>
              <w:t>雨期巡查不到位，未及时发现、上报积水现象并处置的</w:t>
            </w:r>
          </w:p>
        </w:tc>
        <w:tc>
          <w:tcPr>
            <w:tcW w:w="1810" w:type="dxa"/>
            <w:vAlign w:val="center"/>
          </w:tcPr>
          <w:p>
            <w:pPr>
              <w:spacing w:line="240" w:lineRule="exact"/>
              <w:jc w:val="center"/>
              <w:rPr>
                <w:rFonts w:ascii="宋体" w:hAnsi="宋体" w:cs="宋体"/>
                <w:color w:val="auto"/>
                <w:sz w:val="24"/>
                <w:szCs w:val="24"/>
              </w:rPr>
            </w:pPr>
            <w:r>
              <w:rPr>
                <w:rFonts w:hint="eastAsia" w:ascii="宋体" w:hAnsi="宋体" w:cs="宋体"/>
                <w:color w:val="auto"/>
                <w:sz w:val="24"/>
                <w:szCs w:val="24"/>
              </w:rPr>
              <w:t>1000元/处，扣0.5分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exact"/>
          <w:jc w:val="center"/>
        </w:trPr>
        <w:tc>
          <w:tcPr>
            <w:tcW w:w="748" w:type="dxa"/>
            <w:vMerge w:val="continue"/>
            <w:vAlign w:val="center"/>
          </w:tcPr>
          <w:p>
            <w:pPr>
              <w:spacing w:line="240" w:lineRule="exact"/>
              <w:jc w:val="center"/>
              <w:rPr>
                <w:rFonts w:ascii="宋体" w:hAnsi="宋体" w:cs="宋体"/>
                <w:color w:val="auto"/>
                <w:sz w:val="24"/>
                <w:szCs w:val="24"/>
              </w:rPr>
            </w:pPr>
          </w:p>
        </w:tc>
        <w:tc>
          <w:tcPr>
            <w:tcW w:w="1498" w:type="dxa"/>
            <w:vMerge w:val="continue"/>
            <w:vAlign w:val="center"/>
          </w:tcPr>
          <w:p>
            <w:pPr>
              <w:spacing w:line="240" w:lineRule="exact"/>
              <w:jc w:val="center"/>
              <w:rPr>
                <w:rFonts w:ascii="宋体" w:hAnsi="宋体" w:cs="宋体"/>
                <w:color w:val="auto"/>
                <w:sz w:val="24"/>
                <w:szCs w:val="24"/>
              </w:rPr>
            </w:pPr>
          </w:p>
        </w:tc>
        <w:tc>
          <w:tcPr>
            <w:tcW w:w="4938" w:type="dxa"/>
            <w:vAlign w:val="center"/>
          </w:tcPr>
          <w:p>
            <w:pPr>
              <w:spacing w:line="240" w:lineRule="exact"/>
              <w:ind w:left="0" w:leftChars="0" w:firstLine="0" w:firstLineChars="0"/>
              <w:rPr>
                <w:rFonts w:ascii="宋体" w:hAnsi="宋体" w:cs="宋体"/>
                <w:color w:val="auto"/>
                <w:sz w:val="24"/>
                <w:szCs w:val="24"/>
              </w:rPr>
            </w:pPr>
            <w:r>
              <w:rPr>
                <w:rFonts w:hint="eastAsia" w:ascii="宋体" w:hAnsi="宋体" w:cs="宋体"/>
                <w:color w:val="auto"/>
                <w:sz w:val="24"/>
                <w:szCs w:val="24"/>
              </w:rPr>
              <w:t>因处置不及时造成桥涵严重积水的（若明确为泵站养护责任，不予处罚市政养护单位），或因不可抗力造成积水无法处置未及时关闭道闸的</w:t>
            </w:r>
          </w:p>
        </w:tc>
        <w:tc>
          <w:tcPr>
            <w:tcW w:w="1810" w:type="dxa"/>
            <w:vAlign w:val="center"/>
          </w:tcPr>
          <w:p>
            <w:pPr>
              <w:spacing w:line="240" w:lineRule="exact"/>
              <w:jc w:val="center"/>
              <w:rPr>
                <w:rFonts w:ascii="宋体" w:hAnsi="宋体" w:cs="宋体"/>
                <w:color w:val="auto"/>
                <w:sz w:val="24"/>
                <w:szCs w:val="24"/>
              </w:rPr>
            </w:pPr>
            <w:r>
              <w:rPr>
                <w:rFonts w:hint="eastAsia" w:ascii="宋体" w:hAnsi="宋体" w:cs="宋体"/>
                <w:color w:val="auto"/>
                <w:sz w:val="24"/>
                <w:szCs w:val="24"/>
              </w:rPr>
              <w:t>5000元/处，扣2.5分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exact"/>
          <w:jc w:val="center"/>
        </w:trPr>
        <w:tc>
          <w:tcPr>
            <w:tcW w:w="748" w:type="dxa"/>
            <w:vMerge w:val="continue"/>
            <w:vAlign w:val="center"/>
          </w:tcPr>
          <w:p>
            <w:pPr>
              <w:spacing w:line="240" w:lineRule="exact"/>
              <w:jc w:val="center"/>
              <w:rPr>
                <w:rFonts w:ascii="宋体" w:hAnsi="宋体" w:cs="宋体"/>
                <w:color w:val="auto"/>
                <w:sz w:val="24"/>
                <w:szCs w:val="24"/>
              </w:rPr>
            </w:pPr>
          </w:p>
        </w:tc>
        <w:tc>
          <w:tcPr>
            <w:tcW w:w="1498" w:type="dxa"/>
            <w:vMerge w:val="continue"/>
            <w:vAlign w:val="center"/>
          </w:tcPr>
          <w:p>
            <w:pPr>
              <w:spacing w:line="240" w:lineRule="exact"/>
              <w:jc w:val="center"/>
              <w:rPr>
                <w:rFonts w:ascii="宋体" w:hAnsi="宋体" w:cs="宋体"/>
                <w:color w:val="auto"/>
                <w:sz w:val="24"/>
                <w:szCs w:val="24"/>
              </w:rPr>
            </w:pPr>
          </w:p>
        </w:tc>
        <w:tc>
          <w:tcPr>
            <w:tcW w:w="4938" w:type="dxa"/>
            <w:vAlign w:val="center"/>
          </w:tcPr>
          <w:p>
            <w:pPr>
              <w:spacing w:line="240" w:lineRule="exact"/>
              <w:ind w:left="0" w:leftChars="0" w:firstLine="0" w:firstLineChars="0"/>
              <w:rPr>
                <w:rFonts w:ascii="宋体" w:hAnsi="宋体" w:cs="宋体"/>
                <w:color w:val="auto"/>
                <w:sz w:val="24"/>
                <w:szCs w:val="24"/>
              </w:rPr>
            </w:pPr>
            <w:r>
              <w:rPr>
                <w:rFonts w:hint="eastAsia" w:ascii="宋体" w:hAnsi="宋体" w:cs="宋体"/>
                <w:color w:val="auto"/>
                <w:sz w:val="24"/>
                <w:szCs w:val="24"/>
              </w:rPr>
              <w:t>因上述原因造成桥涵积水且造成亡人事故或重大财产损失的</w:t>
            </w:r>
          </w:p>
        </w:tc>
        <w:tc>
          <w:tcPr>
            <w:tcW w:w="1810" w:type="dxa"/>
            <w:vAlign w:val="center"/>
          </w:tcPr>
          <w:p>
            <w:pPr>
              <w:spacing w:line="240" w:lineRule="exact"/>
              <w:jc w:val="center"/>
              <w:rPr>
                <w:rFonts w:ascii="宋体" w:hAnsi="宋体" w:cs="宋体"/>
                <w:color w:val="auto"/>
                <w:sz w:val="24"/>
                <w:szCs w:val="24"/>
              </w:rPr>
            </w:pPr>
            <w:r>
              <w:rPr>
                <w:rFonts w:hint="eastAsia" w:ascii="宋体" w:hAnsi="宋体" w:cs="宋体"/>
                <w:color w:val="auto"/>
                <w:sz w:val="24"/>
                <w:szCs w:val="24"/>
              </w:rPr>
              <w:t>50000元/次，并由市政养护单位负责赔偿事宜，扣25分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8" w:type="dxa"/>
            <w:vMerge w:val="restart"/>
            <w:vAlign w:val="center"/>
          </w:tcPr>
          <w:p>
            <w:pPr>
              <w:spacing w:line="240" w:lineRule="exact"/>
              <w:ind w:left="0" w:leftChars="0" w:firstLine="0" w:firstLineChars="0"/>
              <w:jc w:val="both"/>
              <w:rPr>
                <w:rFonts w:ascii="宋体" w:hAnsi="宋体" w:cs="宋体"/>
                <w:color w:val="auto"/>
                <w:sz w:val="24"/>
                <w:szCs w:val="24"/>
              </w:rPr>
            </w:pPr>
            <w:r>
              <w:rPr>
                <w:rFonts w:hint="eastAsia" w:ascii="宋体" w:hAnsi="宋体" w:cs="宋体"/>
                <w:color w:val="auto"/>
                <w:sz w:val="24"/>
                <w:szCs w:val="24"/>
              </w:rPr>
              <w:t>桥梁设施养护</w:t>
            </w:r>
          </w:p>
        </w:tc>
        <w:tc>
          <w:tcPr>
            <w:tcW w:w="1498" w:type="dxa"/>
            <w:vMerge w:val="restart"/>
            <w:vAlign w:val="center"/>
          </w:tcPr>
          <w:p>
            <w:pPr>
              <w:spacing w:line="240" w:lineRule="exact"/>
              <w:ind w:left="0" w:leftChars="0" w:firstLine="0" w:firstLineChars="0"/>
              <w:jc w:val="both"/>
              <w:rPr>
                <w:rFonts w:ascii="宋体" w:hAnsi="宋体" w:cs="宋体"/>
                <w:color w:val="auto"/>
                <w:sz w:val="24"/>
                <w:szCs w:val="24"/>
              </w:rPr>
            </w:pPr>
            <w:r>
              <w:rPr>
                <w:rFonts w:hint="eastAsia" w:ascii="宋体" w:hAnsi="宋体" w:cs="宋体"/>
                <w:color w:val="auto"/>
                <w:sz w:val="24"/>
                <w:szCs w:val="24"/>
              </w:rPr>
              <w:t>上（下）部结构、栏杆、排水设施、附属设施</w:t>
            </w:r>
          </w:p>
        </w:tc>
        <w:tc>
          <w:tcPr>
            <w:tcW w:w="4938" w:type="dxa"/>
            <w:vAlign w:val="center"/>
          </w:tcPr>
          <w:p>
            <w:pPr>
              <w:spacing w:line="240" w:lineRule="exact"/>
              <w:ind w:left="0" w:leftChars="0" w:firstLine="0" w:firstLineChars="0"/>
              <w:rPr>
                <w:rFonts w:ascii="宋体" w:hAnsi="宋体" w:cs="宋体"/>
                <w:color w:val="auto"/>
                <w:sz w:val="24"/>
                <w:szCs w:val="24"/>
              </w:rPr>
            </w:pPr>
            <w:r>
              <w:rPr>
                <w:rFonts w:hint="eastAsia" w:ascii="宋体" w:hAnsi="宋体" w:cs="宋体"/>
                <w:color w:val="auto"/>
                <w:sz w:val="24"/>
                <w:szCs w:val="24"/>
              </w:rPr>
              <w:t>桥面裂缝、坑槽、梁板有麻面、伸缩缝破损、支座破损的</w:t>
            </w:r>
          </w:p>
        </w:tc>
        <w:tc>
          <w:tcPr>
            <w:tcW w:w="1810" w:type="dxa"/>
            <w:vAlign w:val="center"/>
          </w:tcPr>
          <w:p>
            <w:pPr>
              <w:spacing w:line="240" w:lineRule="exact"/>
              <w:jc w:val="center"/>
              <w:rPr>
                <w:rFonts w:ascii="宋体" w:hAnsi="宋体" w:cs="宋体"/>
                <w:color w:val="auto"/>
                <w:sz w:val="24"/>
                <w:szCs w:val="24"/>
              </w:rPr>
            </w:pPr>
            <w:r>
              <w:rPr>
                <w:rFonts w:hint="eastAsia" w:ascii="宋体" w:hAnsi="宋体" w:cs="宋体"/>
                <w:color w:val="auto"/>
                <w:sz w:val="24"/>
                <w:szCs w:val="24"/>
              </w:rPr>
              <w:t>300元/处，扣0.15分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748" w:type="dxa"/>
            <w:vMerge w:val="continue"/>
            <w:vAlign w:val="center"/>
          </w:tcPr>
          <w:p>
            <w:pPr>
              <w:spacing w:line="240" w:lineRule="exact"/>
              <w:jc w:val="center"/>
              <w:rPr>
                <w:rFonts w:ascii="宋体" w:hAnsi="宋体" w:cs="宋体"/>
                <w:color w:val="auto"/>
                <w:sz w:val="24"/>
                <w:szCs w:val="24"/>
              </w:rPr>
            </w:pPr>
          </w:p>
        </w:tc>
        <w:tc>
          <w:tcPr>
            <w:tcW w:w="1498" w:type="dxa"/>
            <w:vMerge w:val="continue"/>
            <w:vAlign w:val="center"/>
          </w:tcPr>
          <w:p>
            <w:pPr>
              <w:spacing w:line="240" w:lineRule="exact"/>
              <w:jc w:val="center"/>
              <w:rPr>
                <w:rFonts w:ascii="宋体" w:hAnsi="宋体" w:cs="宋体"/>
                <w:color w:val="auto"/>
                <w:sz w:val="24"/>
                <w:szCs w:val="24"/>
              </w:rPr>
            </w:pPr>
          </w:p>
        </w:tc>
        <w:tc>
          <w:tcPr>
            <w:tcW w:w="4938" w:type="dxa"/>
            <w:vAlign w:val="center"/>
          </w:tcPr>
          <w:p>
            <w:pPr>
              <w:spacing w:line="240" w:lineRule="exact"/>
              <w:ind w:left="0" w:leftChars="0" w:firstLine="0" w:firstLineChars="0"/>
              <w:rPr>
                <w:rFonts w:ascii="宋体" w:hAnsi="宋体" w:cs="宋体"/>
                <w:color w:val="auto"/>
                <w:sz w:val="24"/>
                <w:szCs w:val="24"/>
              </w:rPr>
            </w:pPr>
            <w:r>
              <w:rPr>
                <w:rFonts w:hint="eastAsia" w:ascii="宋体" w:hAnsi="宋体" w:cs="宋体"/>
                <w:color w:val="auto"/>
                <w:sz w:val="24"/>
                <w:szCs w:val="24"/>
              </w:rPr>
              <w:t>墩台墙柱开裂的</w:t>
            </w:r>
          </w:p>
        </w:tc>
        <w:tc>
          <w:tcPr>
            <w:tcW w:w="1810" w:type="dxa"/>
            <w:vAlign w:val="center"/>
          </w:tcPr>
          <w:p>
            <w:pPr>
              <w:spacing w:line="240" w:lineRule="exact"/>
              <w:jc w:val="center"/>
              <w:rPr>
                <w:rFonts w:ascii="宋体" w:hAnsi="宋体" w:cs="宋体"/>
                <w:color w:val="auto"/>
                <w:sz w:val="24"/>
                <w:szCs w:val="24"/>
              </w:rPr>
            </w:pPr>
            <w:r>
              <w:rPr>
                <w:rFonts w:hint="eastAsia" w:ascii="宋体" w:hAnsi="宋体" w:cs="宋体"/>
                <w:color w:val="auto"/>
                <w:sz w:val="24"/>
                <w:szCs w:val="24"/>
              </w:rPr>
              <w:t>500元/处扣0.25分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748" w:type="dxa"/>
            <w:vMerge w:val="continue"/>
            <w:vAlign w:val="center"/>
          </w:tcPr>
          <w:p>
            <w:pPr>
              <w:spacing w:line="240" w:lineRule="exact"/>
              <w:jc w:val="center"/>
              <w:rPr>
                <w:rFonts w:ascii="宋体" w:hAnsi="宋体" w:cs="宋体"/>
                <w:color w:val="auto"/>
                <w:sz w:val="24"/>
                <w:szCs w:val="24"/>
              </w:rPr>
            </w:pPr>
          </w:p>
        </w:tc>
        <w:tc>
          <w:tcPr>
            <w:tcW w:w="1498" w:type="dxa"/>
            <w:vMerge w:val="continue"/>
            <w:vAlign w:val="center"/>
          </w:tcPr>
          <w:p>
            <w:pPr>
              <w:spacing w:line="240" w:lineRule="exact"/>
              <w:jc w:val="center"/>
              <w:rPr>
                <w:rFonts w:ascii="宋体" w:hAnsi="宋体" w:cs="宋体"/>
                <w:color w:val="auto"/>
                <w:sz w:val="24"/>
                <w:szCs w:val="24"/>
              </w:rPr>
            </w:pPr>
          </w:p>
        </w:tc>
        <w:tc>
          <w:tcPr>
            <w:tcW w:w="4938" w:type="dxa"/>
            <w:vAlign w:val="center"/>
          </w:tcPr>
          <w:p>
            <w:pPr>
              <w:spacing w:line="240" w:lineRule="exact"/>
              <w:ind w:left="0" w:leftChars="0" w:firstLine="0" w:firstLineChars="0"/>
              <w:rPr>
                <w:rFonts w:ascii="宋体" w:hAnsi="宋体" w:cs="宋体"/>
                <w:color w:val="auto"/>
                <w:sz w:val="24"/>
                <w:szCs w:val="24"/>
              </w:rPr>
            </w:pPr>
            <w:r>
              <w:rPr>
                <w:rFonts w:hint="eastAsia" w:ascii="宋体" w:hAnsi="宋体" w:cs="宋体"/>
                <w:color w:val="auto"/>
                <w:sz w:val="24"/>
                <w:szCs w:val="24"/>
              </w:rPr>
              <w:t>基础下沉、基础移位</w:t>
            </w:r>
          </w:p>
        </w:tc>
        <w:tc>
          <w:tcPr>
            <w:tcW w:w="1810" w:type="dxa"/>
            <w:vAlign w:val="center"/>
          </w:tcPr>
          <w:p>
            <w:pPr>
              <w:spacing w:line="240" w:lineRule="exact"/>
              <w:jc w:val="center"/>
              <w:rPr>
                <w:rFonts w:ascii="宋体" w:hAnsi="宋体" w:cs="宋体"/>
                <w:color w:val="auto"/>
                <w:sz w:val="24"/>
                <w:szCs w:val="24"/>
              </w:rPr>
            </w:pPr>
            <w:r>
              <w:rPr>
                <w:rFonts w:hint="eastAsia" w:ascii="宋体" w:hAnsi="宋体" w:cs="宋体"/>
                <w:color w:val="auto"/>
                <w:sz w:val="24"/>
                <w:szCs w:val="24"/>
              </w:rPr>
              <w:t>500元/处扣0.25分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48" w:type="dxa"/>
            <w:vMerge w:val="continue"/>
            <w:vAlign w:val="center"/>
          </w:tcPr>
          <w:p>
            <w:pPr>
              <w:spacing w:line="240" w:lineRule="exact"/>
              <w:jc w:val="center"/>
              <w:rPr>
                <w:rFonts w:ascii="宋体" w:hAnsi="宋体" w:cs="宋体"/>
                <w:color w:val="auto"/>
                <w:sz w:val="24"/>
                <w:szCs w:val="24"/>
              </w:rPr>
            </w:pPr>
          </w:p>
        </w:tc>
        <w:tc>
          <w:tcPr>
            <w:tcW w:w="1498" w:type="dxa"/>
            <w:vMerge w:val="continue"/>
            <w:vAlign w:val="center"/>
          </w:tcPr>
          <w:p>
            <w:pPr>
              <w:spacing w:line="240" w:lineRule="exact"/>
              <w:jc w:val="center"/>
              <w:rPr>
                <w:rFonts w:ascii="宋体" w:hAnsi="宋体" w:cs="宋体"/>
                <w:color w:val="auto"/>
                <w:sz w:val="24"/>
                <w:szCs w:val="24"/>
              </w:rPr>
            </w:pPr>
          </w:p>
        </w:tc>
        <w:tc>
          <w:tcPr>
            <w:tcW w:w="4938" w:type="dxa"/>
            <w:vAlign w:val="center"/>
          </w:tcPr>
          <w:p>
            <w:pPr>
              <w:spacing w:line="240" w:lineRule="exact"/>
              <w:ind w:left="0" w:leftChars="0" w:firstLine="0" w:firstLineChars="0"/>
              <w:rPr>
                <w:rFonts w:ascii="宋体" w:hAnsi="宋体" w:cs="宋体"/>
                <w:color w:val="auto"/>
                <w:sz w:val="24"/>
                <w:szCs w:val="24"/>
              </w:rPr>
            </w:pPr>
            <w:r>
              <w:rPr>
                <w:rFonts w:hint="eastAsia" w:ascii="宋体" w:hAnsi="宋体" w:cs="宋体"/>
                <w:color w:val="auto"/>
                <w:sz w:val="24"/>
                <w:szCs w:val="24"/>
              </w:rPr>
              <w:t>栏杆结构不牢、排水孔堵塞、挡墙损坏开裂的</w:t>
            </w:r>
          </w:p>
        </w:tc>
        <w:tc>
          <w:tcPr>
            <w:tcW w:w="1810" w:type="dxa"/>
            <w:vAlign w:val="center"/>
          </w:tcPr>
          <w:p>
            <w:pPr>
              <w:spacing w:line="240" w:lineRule="exact"/>
              <w:jc w:val="center"/>
              <w:rPr>
                <w:rFonts w:ascii="宋体" w:hAnsi="宋体" w:cs="宋体"/>
                <w:color w:val="auto"/>
                <w:sz w:val="24"/>
                <w:szCs w:val="24"/>
              </w:rPr>
            </w:pPr>
            <w:r>
              <w:rPr>
                <w:rFonts w:hint="eastAsia" w:ascii="宋体" w:hAnsi="宋体" w:cs="宋体"/>
                <w:color w:val="auto"/>
                <w:sz w:val="24"/>
                <w:szCs w:val="24"/>
              </w:rPr>
              <w:t>200元/处，扣0.1分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48" w:type="dxa"/>
            <w:vMerge w:val="continue"/>
            <w:vAlign w:val="center"/>
          </w:tcPr>
          <w:p>
            <w:pPr>
              <w:spacing w:line="240" w:lineRule="exact"/>
              <w:jc w:val="center"/>
              <w:rPr>
                <w:rFonts w:ascii="宋体" w:hAnsi="宋体" w:cs="宋体"/>
                <w:color w:val="auto"/>
                <w:sz w:val="24"/>
                <w:szCs w:val="24"/>
              </w:rPr>
            </w:pPr>
          </w:p>
        </w:tc>
        <w:tc>
          <w:tcPr>
            <w:tcW w:w="1498" w:type="dxa"/>
            <w:vMerge w:val="continue"/>
            <w:vAlign w:val="center"/>
          </w:tcPr>
          <w:p>
            <w:pPr>
              <w:spacing w:line="240" w:lineRule="exact"/>
              <w:jc w:val="center"/>
              <w:rPr>
                <w:rFonts w:ascii="宋体" w:hAnsi="宋体" w:cs="宋体"/>
                <w:color w:val="auto"/>
                <w:sz w:val="24"/>
                <w:szCs w:val="24"/>
              </w:rPr>
            </w:pPr>
          </w:p>
        </w:tc>
        <w:tc>
          <w:tcPr>
            <w:tcW w:w="4938" w:type="dxa"/>
            <w:vAlign w:val="center"/>
          </w:tcPr>
          <w:p>
            <w:pPr>
              <w:spacing w:line="240" w:lineRule="exact"/>
              <w:ind w:left="0" w:leftChars="0" w:firstLine="0" w:firstLineChars="0"/>
              <w:rPr>
                <w:rFonts w:ascii="宋体" w:hAnsi="宋体" w:cs="宋体"/>
                <w:color w:val="auto"/>
                <w:sz w:val="24"/>
                <w:szCs w:val="24"/>
              </w:rPr>
            </w:pPr>
            <w:r>
              <w:rPr>
                <w:rFonts w:hint="eastAsia" w:ascii="宋体" w:hAnsi="宋体" w:cs="宋体"/>
                <w:color w:val="auto"/>
                <w:sz w:val="24"/>
                <w:szCs w:val="24"/>
              </w:rPr>
              <w:t>桥梁发生严重结构性损坏，未及时上报的</w:t>
            </w:r>
          </w:p>
        </w:tc>
        <w:tc>
          <w:tcPr>
            <w:tcW w:w="1810" w:type="dxa"/>
            <w:vAlign w:val="center"/>
          </w:tcPr>
          <w:p>
            <w:pPr>
              <w:spacing w:line="240" w:lineRule="exact"/>
              <w:jc w:val="center"/>
              <w:rPr>
                <w:rFonts w:ascii="宋体" w:hAnsi="宋体" w:cs="宋体"/>
                <w:color w:val="auto"/>
                <w:sz w:val="24"/>
                <w:szCs w:val="24"/>
              </w:rPr>
            </w:pPr>
            <w:r>
              <w:rPr>
                <w:rFonts w:hint="eastAsia" w:ascii="宋体" w:hAnsi="宋体" w:cs="宋体"/>
                <w:color w:val="auto"/>
                <w:sz w:val="24"/>
                <w:szCs w:val="24"/>
              </w:rPr>
              <w:t>1000元/处，扣0.5分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48" w:type="dxa"/>
            <w:vMerge w:val="restart"/>
            <w:vAlign w:val="center"/>
          </w:tcPr>
          <w:p>
            <w:pPr>
              <w:spacing w:line="240" w:lineRule="exact"/>
              <w:ind w:left="0" w:leftChars="0" w:firstLine="0" w:firstLineChars="0"/>
              <w:jc w:val="both"/>
              <w:rPr>
                <w:rFonts w:ascii="宋体" w:hAnsi="宋体" w:cs="宋体"/>
                <w:color w:val="auto"/>
                <w:sz w:val="24"/>
                <w:szCs w:val="24"/>
              </w:rPr>
            </w:pPr>
            <w:r>
              <w:rPr>
                <w:rFonts w:hint="eastAsia" w:ascii="宋体" w:hAnsi="宋体" w:cs="宋体"/>
                <w:color w:val="auto"/>
                <w:sz w:val="24"/>
                <w:szCs w:val="24"/>
              </w:rPr>
              <w:t>附属设施</w:t>
            </w:r>
          </w:p>
        </w:tc>
        <w:tc>
          <w:tcPr>
            <w:tcW w:w="1498" w:type="dxa"/>
            <w:vAlign w:val="center"/>
          </w:tcPr>
          <w:p>
            <w:pPr>
              <w:spacing w:line="240" w:lineRule="exact"/>
              <w:ind w:left="0" w:leftChars="0" w:firstLine="0" w:firstLineChars="0"/>
              <w:jc w:val="both"/>
              <w:rPr>
                <w:rFonts w:ascii="宋体" w:hAnsi="宋体" w:cs="宋体"/>
                <w:color w:val="auto"/>
                <w:sz w:val="24"/>
                <w:szCs w:val="24"/>
              </w:rPr>
            </w:pPr>
            <w:r>
              <w:rPr>
                <w:rFonts w:hint="eastAsia" w:ascii="宋体" w:hAnsi="宋体" w:cs="宋体"/>
                <w:color w:val="auto"/>
                <w:sz w:val="24"/>
                <w:szCs w:val="24"/>
              </w:rPr>
              <w:t>公交候车亭</w:t>
            </w:r>
          </w:p>
        </w:tc>
        <w:tc>
          <w:tcPr>
            <w:tcW w:w="4938" w:type="dxa"/>
            <w:vAlign w:val="center"/>
          </w:tcPr>
          <w:p>
            <w:pPr>
              <w:spacing w:line="240" w:lineRule="exact"/>
              <w:ind w:left="0" w:leftChars="0" w:firstLine="0" w:firstLineChars="0"/>
              <w:rPr>
                <w:rFonts w:ascii="宋体" w:hAnsi="宋体" w:cs="宋体"/>
                <w:color w:val="auto"/>
                <w:sz w:val="24"/>
                <w:szCs w:val="24"/>
              </w:rPr>
            </w:pPr>
            <w:r>
              <w:rPr>
                <w:rFonts w:hint="eastAsia" w:ascii="宋体" w:hAnsi="宋体" w:cs="宋体"/>
                <w:color w:val="auto"/>
                <w:sz w:val="24"/>
                <w:szCs w:val="24"/>
              </w:rPr>
              <w:t>公交候车亭破损未及时修复的</w:t>
            </w:r>
          </w:p>
        </w:tc>
        <w:tc>
          <w:tcPr>
            <w:tcW w:w="1810" w:type="dxa"/>
            <w:vAlign w:val="center"/>
          </w:tcPr>
          <w:p>
            <w:pPr>
              <w:spacing w:line="240" w:lineRule="exact"/>
              <w:jc w:val="center"/>
              <w:rPr>
                <w:rFonts w:ascii="宋体" w:hAnsi="宋体" w:cs="宋体"/>
                <w:color w:val="auto"/>
                <w:sz w:val="24"/>
                <w:szCs w:val="24"/>
              </w:rPr>
            </w:pPr>
            <w:r>
              <w:rPr>
                <w:rFonts w:hint="eastAsia" w:ascii="宋体" w:hAnsi="宋体" w:cs="宋体"/>
                <w:color w:val="auto"/>
                <w:sz w:val="24"/>
                <w:szCs w:val="24"/>
              </w:rPr>
              <w:t>500元/处扣0.25分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48" w:type="dxa"/>
            <w:vMerge w:val="continue"/>
            <w:vAlign w:val="center"/>
          </w:tcPr>
          <w:p>
            <w:pPr>
              <w:spacing w:line="240" w:lineRule="exact"/>
              <w:jc w:val="center"/>
              <w:rPr>
                <w:rFonts w:ascii="宋体" w:hAnsi="宋体" w:cs="宋体"/>
                <w:color w:val="auto"/>
                <w:sz w:val="24"/>
                <w:szCs w:val="24"/>
              </w:rPr>
            </w:pPr>
          </w:p>
        </w:tc>
        <w:tc>
          <w:tcPr>
            <w:tcW w:w="1498" w:type="dxa"/>
            <w:vAlign w:val="center"/>
          </w:tcPr>
          <w:p>
            <w:pPr>
              <w:spacing w:line="240" w:lineRule="exact"/>
              <w:ind w:left="0" w:leftChars="0" w:firstLine="0" w:firstLineChars="0"/>
              <w:jc w:val="both"/>
              <w:rPr>
                <w:rFonts w:ascii="宋体" w:hAnsi="宋体" w:cs="宋体"/>
                <w:color w:val="auto"/>
                <w:sz w:val="24"/>
                <w:szCs w:val="24"/>
              </w:rPr>
            </w:pPr>
            <w:r>
              <w:rPr>
                <w:rFonts w:hint="eastAsia" w:ascii="宋体" w:hAnsi="宋体" w:cs="宋体"/>
                <w:color w:val="auto"/>
                <w:sz w:val="24"/>
                <w:szCs w:val="24"/>
              </w:rPr>
              <w:t>交安设施</w:t>
            </w:r>
          </w:p>
        </w:tc>
        <w:tc>
          <w:tcPr>
            <w:tcW w:w="4938" w:type="dxa"/>
            <w:vAlign w:val="center"/>
          </w:tcPr>
          <w:p>
            <w:pPr>
              <w:spacing w:line="240" w:lineRule="exact"/>
              <w:ind w:left="0" w:leftChars="0" w:firstLine="0" w:firstLineChars="0"/>
              <w:rPr>
                <w:rFonts w:ascii="宋体" w:hAnsi="宋体" w:cs="宋体"/>
                <w:color w:val="auto"/>
                <w:sz w:val="24"/>
                <w:szCs w:val="24"/>
              </w:rPr>
            </w:pPr>
            <w:r>
              <w:rPr>
                <w:rFonts w:hint="eastAsia" w:ascii="宋体" w:hAnsi="宋体" w:cs="宋体"/>
                <w:color w:val="auto"/>
                <w:sz w:val="24"/>
                <w:szCs w:val="24"/>
              </w:rPr>
              <w:t>交安设施损坏未及时维修或损坏的</w:t>
            </w:r>
          </w:p>
        </w:tc>
        <w:tc>
          <w:tcPr>
            <w:tcW w:w="1810" w:type="dxa"/>
            <w:vAlign w:val="center"/>
          </w:tcPr>
          <w:p>
            <w:pPr>
              <w:spacing w:line="240" w:lineRule="exact"/>
              <w:jc w:val="center"/>
              <w:rPr>
                <w:rFonts w:ascii="宋体" w:hAnsi="宋体" w:cs="宋体"/>
                <w:color w:val="auto"/>
                <w:sz w:val="24"/>
                <w:szCs w:val="24"/>
              </w:rPr>
            </w:pPr>
            <w:r>
              <w:rPr>
                <w:rFonts w:hint="eastAsia" w:ascii="宋体" w:hAnsi="宋体" w:cs="宋体"/>
                <w:color w:val="auto"/>
                <w:sz w:val="24"/>
                <w:szCs w:val="24"/>
              </w:rPr>
              <w:t>200元/处，扣0.1分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48" w:type="dxa"/>
            <w:vMerge w:val="continue"/>
            <w:vAlign w:val="center"/>
          </w:tcPr>
          <w:p>
            <w:pPr>
              <w:spacing w:line="240" w:lineRule="exact"/>
              <w:jc w:val="center"/>
              <w:rPr>
                <w:rFonts w:ascii="宋体" w:hAnsi="宋体" w:cs="宋体"/>
                <w:color w:val="auto"/>
                <w:sz w:val="24"/>
                <w:szCs w:val="24"/>
              </w:rPr>
            </w:pPr>
          </w:p>
        </w:tc>
        <w:tc>
          <w:tcPr>
            <w:tcW w:w="1498" w:type="dxa"/>
            <w:vAlign w:val="center"/>
          </w:tcPr>
          <w:p>
            <w:pPr>
              <w:spacing w:line="240" w:lineRule="exact"/>
              <w:ind w:left="0" w:leftChars="0" w:firstLine="0" w:firstLineChars="0"/>
              <w:jc w:val="both"/>
              <w:rPr>
                <w:rFonts w:ascii="宋体" w:hAnsi="宋体" w:cs="宋体"/>
                <w:color w:val="auto"/>
                <w:sz w:val="24"/>
                <w:szCs w:val="24"/>
              </w:rPr>
            </w:pPr>
            <w:r>
              <w:rPr>
                <w:rFonts w:hint="eastAsia" w:ascii="宋体" w:hAnsi="宋体" w:cs="宋体"/>
                <w:color w:val="auto"/>
                <w:sz w:val="24"/>
                <w:szCs w:val="24"/>
              </w:rPr>
              <w:t>标志标线</w:t>
            </w:r>
          </w:p>
        </w:tc>
        <w:tc>
          <w:tcPr>
            <w:tcW w:w="4938" w:type="dxa"/>
            <w:vAlign w:val="center"/>
          </w:tcPr>
          <w:p>
            <w:pPr>
              <w:spacing w:line="240" w:lineRule="exact"/>
              <w:ind w:left="0" w:leftChars="0" w:firstLine="0" w:firstLineChars="0"/>
              <w:rPr>
                <w:rFonts w:ascii="宋体" w:hAnsi="宋体" w:cs="宋体"/>
                <w:color w:val="auto"/>
                <w:sz w:val="24"/>
                <w:szCs w:val="24"/>
              </w:rPr>
            </w:pPr>
            <w:r>
              <w:rPr>
                <w:rFonts w:hint="eastAsia" w:ascii="宋体" w:hAnsi="宋体" w:cs="宋体"/>
                <w:color w:val="auto"/>
                <w:sz w:val="24"/>
                <w:szCs w:val="24"/>
              </w:rPr>
              <w:t>标志标线模糊不清未及时重新喷涂的</w:t>
            </w:r>
          </w:p>
        </w:tc>
        <w:tc>
          <w:tcPr>
            <w:tcW w:w="1810" w:type="dxa"/>
            <w:vAlign w:val="center"/>
          </w:tcPr>
          <w:p>
            <w:pPr>
              <w:spacing w:line="240" w:lineRule="exact"/>
              <w:jc w:val="center"/>
              <w:rPr>
                <w:rFonts w:ascii="宋体" w:hAnsi="宋体" w:cs="宋体"/>
                <w:color w:val="auto"/>
                <w:sz w:val="24"/>
                <w:szCs w:val="24"/>
              </w:rPr>
            </w:pPr>
            <w:r>
              <w:rPr>
                <w:rFonts w:hint="eastAsia" w:ascii="宋体" w:hAnsi="宋体" w:cs="宋体"/>
                <w:color w:val="auto"/>
                <w:sz w:val="24"/>
                <w:szCs w:val="24"/>
              </w:rPr>
              <w:t>500元/处扣0.25分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748" w:type="dxa"/>
            <w:vMerge w:val="restart"/>
            <w:vAlign w:val="center"/>
          </w:tcPr>
          <w:p>
            <w:pPr>
              <w:spacing w:line="240" w:lineRule="exact"/>
              <w:ind w:left="0" w:leftChars="0" w:firstLine="0" w:firstLineChars="0"/>
              <w:jc w:val="both"/>
              <w:rPr>
                <w:rFonts w:ascii="宋体" w:hAnsi="宋体" w:cs="宋体"/>
                <w:color w:val="auto"/>
                <w:sz w:val="24"/>
                <w:szCs w:val="24"/>
              </w:rPr>
            </w:pPr>
            <w:r>
              <w:rPr>
                <w:rFonts w:hint="eastAsia" w:ascii="宋体" w:hAnsi="宋体" w:cs="宋体"/>
                <w:color w:val="auto"/>
                <w:sz w:val="24"/>
                <w:szCs w:val="24"/>
              </w:rPr>
              <w:t>抄告单处理</w:t>
            </w:r>
          </w:p>
        </w:tc>
        <w:tc>
          <w:tcPr>
            <w:tcW w:w="6436" w:type="dxa"/>
            <w:gridSpan w:val="2"/>
            <w:vAlign w:val="center"/>
          </w:tcPr>
          <w:p>
            <w:pPr>
              <w:spacing w:line="240" w:lineRule="exact"/>
              <w:ind w:left="0" w:leftChars="0" w:firstLine="0" w:firstLineChars="0"/>
              <w:rPr>
                <w:rFonts w:ascii="宋体" w:hAnsi="宋体" w:cs="宋体"/>
                <w:color w:val="auto"/>
                <w:spacing w:val="-8"/>
                <w:sz w:val="24"/>
                <w:szCs w:val="24"/>
              </w:rPr>
            </w:pPr>
            <w:r>
              <w:rPr>
                <w:rFonts w:hint="eastAsia" w:ascii="宋体" w:hAnsi="宋体" w:cs="宋体"/>
                <w:color w:val="auto"/>
                <w:sz w:val="24"/>
                <w:szCs w:val="24"/>
              </w:rPr>
              <w:t>中标单位原因造成市查、区查、街道查抄告单未及时整改或整改不彻底的；数字城管抄告未在规定期限内整改或整改不到位的。</w:t>
            </w:r>
          </w:p>
        </w:tc>
        <w:tc>
          <w:tcPr>
            <w:tcW w:w="1810" w:type="dxa"/>
            <w:vAlign w:val="center"/>
          </w:tcPr>
          <w:p>
            <w:pPr>
              <w:spacing w:line="240" w:lineRule="exact"/>
              <w:jc w:val="center"/>
              <w:rPr>
                <w:rFonts w:ascii="宋体" w:hAnsi="宋体" w:cs="宋体"/>
                <w:color w:val="auto"/>
                <w:sz w:val="24"/>
                <w:szCs w:val="24"/>
              </w:rPr>
            </w:pPr>
            <w:r>
              <w:rPr>
                <w:rFonts w:hint="eastAsia" w:ascii="宋体" w:hAnsi="宋体" w:cs="宋体"/>
                <w:color w:val="auto"/>
                <w:sz w:val="24"/>
                <w:szCs w:val="24"/>
              </w:rPr>
              <w:t>1000元/处，扣0.5分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748" w:type="dxa"/>
            <w:vMerge w:val="continue"/>
            <w:vAlign w:val="center"/>
          </w:tcPr>
          <w:p>
            <w:pPr>
              <w:spacing w:line="240" w:lineRule="exact"/>
              <w:jc w:val="center"/>
              <w:rPr>
                <w:rFonts w:ascii="宋体" w:hAnsi="宋体" w:cs="宋体"/>
                <w:color w:val="auto"/>
                <w:sz w:val="24"/>
                <w:szCs w:val="24"/>
              </w:rPr>
            </w:pPr>
          </w:p>
        </w:tc>
        <w:tc>
          <w:tcPr>
            <w:tcW w:w="6436" w:type="dxa"/>
            <w:gridSpan w:val="2"/>
            <w:vAlign w:val="center"/>
          </w:tcPr>
          <w:p>
            <w:pPr>
              <w:spacing w:line="240" w:lineRule="exact"/>
              <w:ind w:left="0" w:leftChars="0" w:firstLine="0" w:firstLineChars="0"/>
              <w:rPr>
                <w:rFonts w:ascii="宋体" w:hAnsi="宋体" w:cs="宋体"/>
                <w:color w:val="auto"/>
                <w:spacing w:val="-8"/>
                <w:sz w:val="24"/>
                <w:szCs w:val="24"/>
              </w:rPr>
            </w:pPr>
            <w:r>
              <w:rPr>
                <w:rFonts w:hint="eastAsia" w:ascii="宋体" w:hAnsi="宋体" w:cs="宋体"/>
                <w:color w:val="auto"/>
                <w:sz w:val="24"/>
                <w:szCs w:val="24"/>
              </w:rPr>
              <w:t>中标单位原因造成</w:t>
            </w:r>
            <w:r>
              <w:rPr>
                <w:rFonts w:hint="eastAsia" w:ascii="宋体" w:hAnsi="宋体" w:cs="宋体"/>
                <w:color w:val="auto"/>
                <w:spacing w:val="-8"/>
                <w:sz w:val="24"/>
                <w:szCs w:val="24"/>
              </w:rPr>
              <w:t>区级抄告单被上级通报批评或被区级媒体曝光的。</w:t>
            </w:r>
          </w:p>
        </w:tc>
        <w:tc>
          <w:tcPr>
            <w:tcW w:w="1810" w:type="dxa"/>
            <w:vAlign w:val="center"/>
          </w:tcPr>
          <w:p>
            <w:pPr>
              <w:spacing w:line="240" w:lineRule="exact"/>
              <w:jc w:val="center"/>
              <w:rPr>
                <w:rFonts w:ascii="宋体" w:hAnsi="宋体" w:cs="宋体"/>
                <w:color w:val="auto"/>
                <w:sz w:val="24"/>
                <w:szCs w:val="24"/>
              </w:rPr>
            </w:pPr>
            <w:r>
              <w:rPr>
                <w:rFonts w:hint="eastAsia" w:ascii="宋体" w:hAnsi="宋体" w:cs="宋体"/>
                <w:color w:val="auto"/>
                <w:sz w:val="24"/>
                <w:szCs w:val="24"/>
              </w:rPr>
              <w:t>5000元/次，扣</w:t>
            </w:r>
            <w:r>
              <w:rPr>
                <w:rFonts w:hint="eastAsia" w:ascii="宋体" w:hAnsi="宋体" w:cs="宋体"/>
                <w:color w:val="auto"/>
                <w:sz w:val="24"/>
                <w:szCs w:val="24"/>
                <w:lang w:val="en-US" w:eastAsia="zh-CN"/>
              </w:rPr>
              <w:t>2.</w:t>
            </w:r>
            <w:r>
              <w:rPr>
                <w:rFonts w:hint="eastAsia" w:ascii="宋体" w:hAnsi="宋体" w:cs="宋体"/>
                <w:color w:val="auto"/>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748" w:type="dxa"/>
            <w:vMerge w:val="continue"/>
            <w:vAlign w:val="center"/>
          </w:tcPr>
          <w:p>
            <w:pPr>
              <w:spacing w:line="240" w:lineRule="exact"/>
              <w:jc w:val="center"/>
              <w:rPr>
                <w:rFonts w:ascii="宋体" w:hAnsi="宋体" w:cs="宋体"/>
                <w:color w:val="auto"/>
                <w:sz w:val="24"/>
                <w:szCs w:val="24"/>
              </w:rPr>
            </w:pPr>
          </w:p>
        </w:tc>
        <w:tc>
          <w:tcPr>
            <w:tcW w:w="6436" w:type="dxa"/>
            <w:gridSpan w:val="2"/>
            <w:vAlign w:val="center"/>
          </w:tcPr>
          <w:p>
            <w:pPr>
              <w:spacing w:line="240" w:lineRule="exact"/>
              <w:ind w:left="0" w:leftChars="0" w:firstLine="0" w:firstLineChars="0"/>
              <w:rPr>
                <w:rFonts w:ascii="宋体" w:hAnsi="宋体" w:cs="宋体"/>
                <w:color w:val="auto"/>
                <w:spacing w:val="-8"/>
                <w:sz w:val="24"/>
                <w:szCs w:val="24"/>
              </w:rPr>
            </w:pPr>
            <w:r>
              <w:rPr>
                <w:rFonts w:hint="eastAsia" w:ascii="宋体" w:hAnsi="宋体" w:cs="宋体"/>
                <w:color w:val="auto"/>
                <w:sz w:val="24"/>
                <w:szCs w:val="24"/>
              </w:rPr>
              <w:t>中标单位原因造成</w:t>
            </w:r>
            <w:r>
              <w:rPr>
                <w:rFonts w:hint="eastAsia" w:ascii="宋体" w:hAnsi="宋体" w:cs="宋体"/>
                <w:color w:val="auto"/>
                <w:spacing w:val="-8"/>
                <w:sz w:val="24"/>
                <w:szCs w:val="24"/>
              </w:rPr>
              <w:t>市查抄告单被上级通报批评或被市级媒体曝光的</w:t>
            </w:r>
          </w:p>
        </w:tc>
        <w:tc>
          <w:tcPr>
            <w:tcW w:w="1810" w:type="dxa"/>
            <w:vAlign w:val="center"/>
          </w:tcPr>
          <w:p>
            <w:pPr>
              <w:spacing w:line="240" w:lineRule="exact"/>
              <w:jc w:val="center"/>
              <w:rPr>
                <w:rFonts w:ascii="宋体" w:hAnsi="宋体" w:cs="宋体"/>
                <w:color w:val="auto"/>
                <w:sz w:val="24"/>
                <w:szCs w:val="24"/>
              </w:rPr>
            </w:pPr>
            <w:r>
              <w:rPr>
                <w:rFonts w:hint="eastAsia" w:ascii="宋体" w:hAnsi="宋体" w:cs="宋体"/>
                <w:color w:val="auto"/>
                <w:sz w:val="24"/>
                <w:szCs w:val="24"/>
              </w:rPr>
              <w:t>10000元/次，扣</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r>
    </w:tbl>
    <w:p>
      <w:pPr>
        <w:bidi w:val="0"/>
        <w:rPr>
          <w:rFonts w:hint="eastAsia" w:ascii="宋体" w:hAnsi="Arial" w:eastAsia="宋体" w:cs="Arial"/>
          <w:snapToGrid w:val="0"/>
          <w:color w:val="000000"/>
          <w:kern w:val="2"/>
          <w:sz w:val="24"/>
          <w:szCs w:val="21"/>
          <w:lang w:val="en-US" w:eastAsia="zh-CN" w:bidi="ar-SA"/>
        </w:rPr>
      </w:pPr>
      <w:r>
        <w:rPr>
          <w:rFonts w:hint="eastAsia" w:ascii="宋体" w:hAnsi="Arial" w:eastAsia="宋体" w:cs="Arial"/>
          <w:snapToGrid w:val="0"/>
          <w:color w:val="000000"/>
          <w:kern w:val="2"/>
          <w:sz w:val="24"/>
          <w:szCs w:val="21"/>
          <w:lang w:val="en-US" w:eastAsia="zh-CN" w:bidi="ar-SA"/>
        </w:rPr>
        <w:t>考核办法：管理考核采取日常巡查管理和季度考核相结合。</w:t>
      </w:r>
    </w:p>
    <w:p>
      <w:pPr>
        <w:bidi w:val="0"/>
        <w:rPr>
          <w:rFonts w:hint="eastAsia" w:ascii="宋体" w:hAnsi="Arial" w:eastAsia="宋体" w:cs="Arial"/>
          <w:snapToGrid w:val="0"/>
          <w:color w:val="000000"/>
          <w:kern w:val="2"/>
          <w:sz w:val="24"/>
          <w:szCs w:val="21"/>
          <w:lang w:val="en-US" w:eastAsia="zh-CN" w:bidi="ar-SA"/>
        </w:rPr>
      </w:pPr>
      <w:r>
        <w:rPr>
          <w:rFonts w:hint="eastAsia" w:ascii="宋体" w:hAnsi="Arial" w:eastAsia="宋体" w:cs="Arial"/>
          <w:snapToGrid w:val="0"/>
          <w:color w:val="000000"/>
          <w:kern w:val="2"/>
          <w:sz w:val="24"/>
          <w:szCs w:val="21"/>
          <w:lang w:val="en-US" w:eastAsia="zh-CN" w:bidi="ar-SA"/>
        </w:rPr>
        <w:t>季度考核按甲方的招标文件及其它有关规定、技术标准执行，由甲方对修复管理质量进行综合考核评定，每季度考核一次，合格考核分为90分，对修复管理考核分数达不到90分的，按每差1分扣除</w:t>
      </w:r>
      <w:r>
        <w:rPr>
          <w:rFonts w:hint="eastAsia" w:ascii="宋体" w:hAnsi="Arial" w:cs="Arial"/>
          <w:snapToGrid w:val="0"/>
          <w:color w:val="000000"/>
          <w:kern w:val="2"/>
          <w:sz w:val="24"/>
          <w:szCs w:val="21"/>
          <w:lang w:val="en-US" w:eastAsia="zh-CN" w:bidi="ar-SA"/>
        </w:rPr>
        <w:t>项目</w:t>
      </w:r>
      <w:r>
        <w:rPr>
          <w:rFonts w:hint="eastAsia" w:ascii="宋体" w:hAnsi="Arial" w:eastAsia="宋体" w:cs="Arial"/>
          <w:snapToGrid w:val="0"/>
          <w:color w:val="000000"/>
          <w:kern w:val="2"/>
          <w:sz w:val="24"/>
          <w:szCs w:val="21"/>
          <w:lang w:val="en-US" w:eastAsia="zh-CN" w:bidi="ar-SA"/>
        </w:rPr>
        <w:t>款10000元。</w:t>
      </w:r>
    </w:p>
    <w:p>
      <w:pPr>
        <w:bidi w:val="0"/>
        <w:rPr>
          <w:rFonts w:hint="eastAsia" w:ascii="宋体" w:hAnsi="Arial" w:eastAsia="宋体" w:cs="Arial"/>
          <w:snapToGrid w:val="0"/>
          <w:color w:val="000000"/>
          <w:kern w:val="2"/>
          <w:sz w:val="24"/>
          <w:szCs w:val="21"/>
          <w:lang w:val="en-US" w:eastAsia="zh-CN" w:bidi="ar-SA"/>
        </w:rPr>
      </w:pPr>
      <w:r>
        <w:rPr>
          <w:rFonts w:hint="eastAsia" w:ascii="宋体" w:hAnsi="Arial" w:eastAsia="宋体" w:cs="Arial"/>
          <w:snapToGrid w:val="0"/>
          <w:color w:val="000000"/>
          <w:kern w:val="2"/>
          <w:sz w:val="24"/>
          <w:szCs w:val="21"/>
          <w:lang w:val="en-US" w:eastAsia="zh-CN" w:bidi="ar-SA"/>
        </w:rPr>
        <w:t xml:space="preserve">    2、警告退出办法</w:t>
      </w:r>
    </w:p>
    <w:p>
      <w:pPr>
        <w:bidi w:val="0"/>
        <w:rPr>
          <w:rFonts w:hint="eastAsia" w:ascii="宋体" w:hAnsi="Arial" w:eastAsia="宋体" w:cs="Arial"/>
          <w:snapToGrid w:val="0"/>
          <w:color w:val="000000"/>
          <w:kern w:val="2"/>
          <w:sz w:val="24"/>
          <w:szCs w:val="21"/>
          <w:lang w:val="en-US" w:eastAsia="zh-CN" w:bidi="ar-SA"/>
        </w:rPr>
      </w:pPr>
      <w:r>
        <w:rPr>
          <w:rFonts w:hint="eastAsia" w:ascii="宋体" w:hAnsi="Arial" w:eastAsia="宋体" w:cs="Arial"/>
          <w:snapToGrid w:val="0"/>
          <w:color w:val="000000"/>
          <w:kern w:val="2"/>
          <w:sz w:val="24"/>
          <w:szCs w:val="21"/>
          <w:lang w:val="en-US" w:eastAsia="zh-CN" w:bidi="ar-SA"/>
        </w:rPr>
        <w:t xml:space="preserve">    2.1警告。在市政设施养护作业合同期间，有下列情景之一的给予一次警告：</w:t>
      </w:r>
    </w:p>
    <w:p>
      <w:pPr>
        <w:bidi w:val="0"/>
        <w:rPr>
          <w:rFonts w:hint="eastAsia" w:ascii="宋体" w:hAnsi="Arial" w:eastAsia="宋体" w:cs="Arial"/>
          <w:snapToGrid w:val="0"/>
          <w:color w:val="000000"/>
          <w:kern w:val="2"/>
          <w:sz w:val="24"/>
          <w:szCs w:val="21"/>
          <w:lang w:val="en-US" w:eastAsia="zh-CN" w:bidi="ar-SA"/>
        </w:rPr>
      </w:pPr>
      <w:r>
        <w:rPr>
          <w:rFonts w:hint="eastAsia" w:ascii="宋体" w:hAnsi="Arial" w:eastAsia="宋体" w:cs="Arial"/>
          <w:snapToGrid w:val="0"/>
          <w:color w:val="000000"/>
          <w:kern w:val="2"/>
          <w:sz w:val="24"/>
          <w:szCs w:val="21"/>
          <w:lang w:val="en-US" w:eastAsia="zh-CN" w:bidi="ar-SA"/>
        </w:rPr>
        <w:t xml:space="preserve">    (1)不遵守交通法规，未按照规程操作发生有责交通事故的。</w:t>
      </w:r>
    </w:p>
    <w:p>
      <w:pPr>
        <w:bidi w:val="0"/>
        <w:rPr>
          <w:rFonts w:hint="eastAsia" w:ascii="宋体" w:hAnsi="Arial" w:eastAsia="宋体" w:cs="Arial"/>
          <w:snapToGrid w:val="0"/>
          <w:color w:val="000000"/>
          <w:kern w:val="2"/>
          <w:sz w:val="24"/>
          <w:szCs w:val="21"/>
          <w:lang w:val="en-US" w:eastAsia="zh-CN" w:bidi="ar-SA"/>
        </w:rPr>
      </w:pPr>
      <w:r>
        <w:rPr>
          <w:rFonts w:hint="eastAsia" w:ascii="宋体" w:hAnsi="Arial" w:eastAsia="宋体" w:cs="Arial"/>
          <w:snapToGrid w:val="0"/>
          <w:color w:val="000000"/>
          <w:kern w:val="2"/>
          <w:sz w:val="24"/>
          <w:szCs w:val="21"/>
          <w:lang w:val="en-US" w:eastAsia="zh-CN" w:bidi="ar-SA"/>
        </w:rPr>
        <w:t xml:space="preserve">    (2)遇有重大活动或突发事件时，未按要求落实作业机具和人员，保障不力而造成不良影响的。</w:t>
      </w:r>
    </w:p>
    <w:p>
      <w:pPr>
        <w:bidi w:val="0"/>
        <w:rPr>
          <w:rFonts w:hint="eastAsia" w:ascii="宋体" w:hAnsi="Arial" w:eastAsia="宋体" w:cs="Arial"/>
          <w:snapToGrid w:val="0"/>
          <w:color w:val="000000"/>
          <w:kern w:val="2"/>
          <w:sz w:val="24"/>
          <w:szCs w:val="21"/>
          <w:lang w:val="en-US" w:eastAsia="zh-CN" w:bidi="ar-SA"/>
        </w:rPr>
      </w:pPr>
      <w:r>
        <w:rPr>
          <w:rFonts w:hint="eastAsia" w:ascii="宋体" w:hAnsi="Arial" w:eastAsia="宋体" w:cs="Arial"/>
          <w:snapToGrid w:val="0"/>
          <w:color w:val="000000"/>
          <w:kern w:val="2"/>
          <w:sz w:val="24"/>
          <w:szCs w:val="21"/>
          <w:lang w:val="en-US" w:eastAsia="zh-CN" w:bidi="ar-SA"/>
        </w:rPr>
        <w:t xml:space="preserve">    (3)市领导或市、区监管职能部门检查发现抄告问题未限期整改到位的。</w:t>
      </w:r>
    </w:p>
    <w:p>
      <w:pPr>
        <w:bidi w:val="0"/>
        <w:rPr>
          <w:rFonts w:hint="eastAsia" w:ascii="宋体" w:hAnsi="Arial" w:eastAsia="宋体" w:cs="Arial"/>
          <w:snapToGrid w:val="0"/>
          <w:color w:val="000000"/>
          <w:kern w:val="2"/>
          <w:sz w:val="24"/>
          <w:szCs w:val="21"/>
          <w:lang w:val="en-US" w:eastAsia="zh-CN" w:bidi="ar-SA"/>
        </w:rPr>
      </w:pPr>
      <w:r>
        <w:rPr>
          <w:rFonts w:hint="eastAsia" w:ascii="宋体" w:hAnsi="Arial" w:eastAsia="宋体" w:cs="Arial"/>
          <w:snapToGrid w:val="0"/>
          <w:color w:val="000000"/>
          <w:kern w:val="2"/>
          <w:sz w:val="24"/>
          <w:szCs w:val="21"/>
          <w:lang w:val="en-US" w:eastAsia="zh-CN" w:bidi="ar-SA"/>
        </w:rPr>
        <w:t xml:space="preserve">    (4)养管抄告问题及时整改率未达到100%的。</w:t>
      </w:r>
    </w:p>
    <w:p>
      <w:pPr>
        <w:bidi w:val="0"/>
        <w:rPr>
          <w:rFonts w:hint="eastAsia" w:ascii="宋体" w:hAnsi="Arial" w:eastAsia="宋体" w:cs="Arial"/>
          <w:snapToGrid w:val="0"/>
          <w:color w:val="000000"/>
          <w:kern w:val="2"/>
          <w:sz w:val="24"/>
          <w:szCs w:val="21"/>
          <w:lang w:val="en-US" w:eastAsia="zh-CN" w:bidi="ar-SA"/>
        </w:rPr>
      </w:pPr>
      <w:r>
        <w:rPr>
          <w:rFonts w:hint="eastAsia" w:ascii="宋体" w:hAnsi="Arial" w:eastAsia="宋体" w:cs="Arial"/>
          <w:snapToGrid w:val="0"/>
          <w:color w:val="000000"/>
          <w:kern w:val="2"/>
          <w:sz w:val="24"/>
          <w:szCs w:val="21"/>
          <w:lang w:val="en-US" w:eastAsia="zh-CN" w:bidi="ar-SA"/>
        </w:rPr>
        <w:t xml:space="preserve">    (5)管理混乱，发生管养人员集体上访的。</w:t>
      </w:r>
    </w:p>
    <w:p>
      <w:pPr>
        <w:bidi w:val="0"/>
        <w:rPr>
          <w:rFonts w:hint="eastAsia" w:ascii="宋体" w:hAnsi="Arial" w:eastAsia="宋体" w:cs="Arial"/>
          <w:snapToGrid w:val="0"/>
          <w:color w:val="000000"/>
          <w:kern w:val="2"/>
          <w:sz w:val="24"/>
          <w:szCs w:val="21"/>
          <w:lang w:val="en-US" w:eastAsia="zh-CN" w:bidi="ar-SA"/>
        </w:rPr>
      </w:pPr>
      <w:r>
        <w:rPr>
          <w:rFonts w:hint="eastAsia" w:ascii="宋体" w:hAnsi="Arial" w:eastAsia="宋体" w:cs="Arial"/>
          <w:snapToGrid w:val="0"/>
          <w:color w:val="000000"/>
          <w:kern w:val="2"/>
          <w:sz w:val="24"/>
          <w:szCs w:val="21"/>
          <w:lang w:val="en-US" w:eastAsia="zh-CN" w:bidi="ar-SA"/>
        </w:rPr>
        <w:t xml:space="preserve">    2.2退出。在市政设施养护作业合同期间，发生以下情况之一的，甲方有权终止合同，乙方承担相应损失，并抄报行业主管部门：</w:t>
      </w:r>
    </w:p>
    <w:p>
      <w:pPr>
        <w:bidi w:val="0"/>
        <w:rPr>
          <w:rFonts w:hint="eastAsia" w:ascii="宋体" w:hAnsi="Arial" w:eastAsia="宋体" w:cs="Arial"/>
          <w:snapToGrid w:val="0"/>
          <w:color w:val="000000"/>
          <w:kern w:val="2"/>
          <w:sz w:val="24"/>
          <w:szCs w:val="21"/>
          <w:lang w:val="en-US" w:eastAsia="zh-CN" w:bidi="ar-SA"/>
        </w:rPr>
      </w:pPr>
      <w:r>
        <w:rPr>
          <w:rFonts w:hint="eastAsia" w:ascii="宋体" w:hAnsi="Arial" w:eastAsia="宋体" w:cs="Arial"/>
          <w:snapToGrid w:val="0"/>
          <w:color w:val="000000"/>
          <w:kern w:val="2"/>
          <w:sz w:val="24"/>
          <w:szCs w:val="21"/>
          <w:lang w:val="en-US" w:eastAsia="zh-CN" w:bidi="ar-SA"/>
        </w:rPr>
        <w:t xml:space="preserve">    (1)组织管理机构、人员素质、养护人数与投标承诺不符，无法完成道路综合管养任务的。</w:t>
      </w:r>
    </w:p>
    <w:p>
      <w:pPr>
        <w:bidi w:val="0"/>
        <w:rPr>
          <w:rFonts w:hint="eastAsia" w:ascii="宋体" w:hAnsi="Arial" w:eastAsia="宋体" w:cs="Arial"/>
          <w:snapToGrid w:val="0"/>
          <w:color w:val="000000"/>
          <w:kern w:val="2"/>
          <w:sz w:val="24"/>
          <w:szCs w:val="21"/>
          <w:lang w:val="en-US" w:eastAsia="zh-CN" w:bidi="ar-SA"/>
        </w:rPr>
      </w:pPr>
      <w:r>
        <w:rPr>
          <w:rFonts w:hint="eastAsia" w:ascii="宋体" w:hAnsi="Arial" w:eastAsia="宋体" w:cs="Arial"/>
          <w:snapToGrid w:val="0"/>
          <w:color w:val="000000"/>
          <w:kern w:val="2"/>
          <w:sz w:val="24"/>
          <w:szCs w:val="21"/>
          <w:lang w:val="en-US" w:eastAsia="zh-CN" w:bidi="ar-SA"/>
        </w:rPr>
        <w:t xml:space="preserve">    (2)合同期一年内累计被警告3次的。</w:t>
      </w:r>
    </w:p>
    <w:p>
      <w:pPr>
        <w:bidi w:val="0"/>
        <w:rPr>
          <w:rFonts w:hint="eastAsia" w:ascii="宋体" w:hAnsi="Arial" w:eastAsia="宋体" w:cs="Arial"/>
          <w:snapToGrid w:val="0"/>
          <w:color w:val="000000"/>
          <w:kern w:val="2"/>
          <w:sz w:val="24"/>
          <w:szCs w:val="21"/>
          <w:lang w:val="en-US" w:eastAsia="zh-CN" w:bidi="ar-SA"/>
        </w:rPr>
      </w:pPr>
      <w:r>
        <w:rPr>
          <w:rFonts w:hint="eastAsia" w:ascii="宋体" w:hAnsi="Arial" w:eastAsia="宋体" w:cs="Arial"/>
          <w:snapToGrid w:val="0"/>
          <w:color w:val="000000"/>
          <w:kern w:val="2"/>
          <w:sz w:val="24"/>
          <w:szCs w:val="21"/>
          <w:lang w:val="en-US" w:eastAsia="zh-CN" w:bidi="ar-SA"/>
        </w:rPr>
        <w:t>(3)当季考核分数在70分以下或连续2个季度考核分数达不到85分的。</w:t>
      </w:r>
    </w:p>
    <w:p>
      <w:pPr>
        <w:bidi w:val="0"/>
        <w:rPr>
          <w:rFonts w:hint="eastAsia" w:ascii="宋体" w:hAnsi="Arial" w:eastAsia="宋体" w:cs="Arial"/>
          <w:snapToGrid w:val="0"/>
          <w:color w:val="000000"/>
          <w:kern w:val="2"/>
          <w:sz w:val="24"/>
          <w:szCs w:val="21"/>
          <w:lang w:val="en-US" w:eastAsia="zh-CN" w:bidi="ar-SA"/>
        </w:rPr>
      </w:pPr>
      <w:r>
        <w:rPr>
          <w:rFonts w:hint="eastAsia" w:ascii="宋体" w:hAnsi="Arial" w:eastAsia="宋体" w:cs="Arial"/>
          <w:snapToGrid w:val="0"/>
          <w:color w:val="000000"/>
          <w:kern w:val="2"/>
          <w:sz w:val="24"/>
          <w:szCs w:val="21"/>
          <w:lang w:val="en-US" w:eastAsia="zh-CN" w:bidi="ar-SA"/>
        </w:rPr>
        <w:t>三、养护期限满后的续签标准：招标合同期限为2年，采取一次招标2年沿用、一年一考核一签合同的形式，第一年考核合格，经班子会议研究决定同意，再续签第二年合同。</w:t>
      </w:r>
    </w:p>
    <w:p>
      <w:pPr>
        <w:pStyle w:val="24"/>
        <w:spacing w:line="360" w:lineRule="auto"/>
        <w:rPr>
          <w:b/>
          <w:bCs/>
          <w:color w:val="000000"/>
          <w:lang w:eastAsia="zh-CN"/>
        </w:rPr>
      </w:pPr>
      <w:r>
        <w:rPr>
          <w:b/>
          <w:bCs/>
          <w:color w:val="000000"/>
          <w:lang w:eastAsia="zh-CN"/>
        </w:rPr>
        <w:t>四、养护费用的结算标准和支付方式</w:t>
      </w:r>
      <w:bookmarkStart w:id="33" w:name="_bookmark163"/>
      <w:bookmarkEnd w:id="33"/>
      <w:r>
        <w:rPr>
          <w:b/>
          <w:bCs/>
          <w:color w:val="000000"/>
          <w:lang w:eastAsia="zh-CN"/>
        </w:rPr>
        <w:t>：</w:t>
      </w:r>
    </w:p>
    <w:p>
      <w:pPr>
        <w:pStyle w:val="24"/>
        <w:spacing w:line="360" w:lineRule="auto"/>
        <w:rPr>
          <w:color w:val="000000"/>
          <w:lang w:eastAsia="zh-CN"/>
        </w:rPr>
      </w:pPr>
      <w:r>
        <w:rPr>
          <w:color w:val="000000"/>
          <w:lang w:eastAsia="zh-CN"/>
        </w:rPr>
        <w:t>（一）、养护费用的结算标准：</w:t>
      </w:r>
    </w:p>
    <w:p>
      <w:pPr>
        <w:pStyle w:val="24"/>
        <w:spacing w:line="360" w:lineRule="auto"/>
        <w:ind w:firstLine="480" w:firstLineChars="200"/>
        <w:rPr>
          <w:color w:val="000000"/>
          <w:lang w:eastAsia="zh-CN"/>
        </w:rPr>
      </w:pPr>
      <w:r>
        <w:rPr>
          <w:color w:val="000000"/>
          <w:lang w:eastAsia="zh-CN"/>
        </w:rPr>
        <w:t>1、结算编制约定：</w:t>
      </w:r>
    </w:p>
    <w:p>
      <w:pPr>
        <w:pStyle w:val="24"/>
        <w:spacing w:line="360" w:lineRule="auto"/>
        <w:ind w:firstLine="600" w:firstLineChars="250"/>
        <w:rPr>
          <w:b w:val="0"/>
          <w:bCs/>
          <w:color w:val="000000"/>
          <w:szCs w:val="21"/>
          <w:lang w:eastAsia="zh-CN"/>
        </w:rPr>
      </w:pPr>
      <w:r>
        <w:rPr>
          <w:b w:val="0"/>
          <w:color w:val="000000"/>
          <w:lang w:eastAsia="zh-CN"/>
        </w:rPr>
        <w:t>①、以实际工作量为基础，按</w:t>
      </w:r>
      <w:r>
        <w:rPr>
          <w:b w:val="0"/>
          <w:color w:val="000000"/>
        </w:rPr>
        <w:t>《浙江省市政设施养护维修定额（20</w:t>
      </w:r>
      <w:r>
        <w:rPr>
          <w:b w:val="0"/>
          <w:color w:val="000000"/>
          <w:lang w:val="en-US" w:eastAsia="zh-CN"/>
        </w:rPr>
        <w:t>18</w:t>
      </w:r>
      <w:r>
        <w:rPr>
          <w:b w:val="0"/>
          <w:color w:val="000000"/>
        </w:rPr>
        <w:t>版）》</w:t>
      </w:r>
      <w:r>
        <w:rPr>
          <w:b w:val="0"/>
          <w:color w:val="000000"/>
          <w:lang w:eastAsia="zh-CN"/>
        </w:rPr>
        <w:t>（优先套用）、《浙江省市政工程预算定额》（2018版）、</w:t>
      </w:r>
      <w:r>
        <w:rPr>
          <w:b w:val="0"/>
          <w:bCs/>
          <w:color w:val="000000"/>
          <w:szCs w:val="21"/>
        </w:rPr>
        <w:t>《浙江省房屋建筑与装饰工程预算定额》（2018版）、《浙江省通用安装工程预算定额》（2018版）、《浙江省建设工程施工机械台班费用定额》（2018版）</w:t>
      </w:r>
      <w:r>
        <w:rPr>
          <w:b w:val="0"/>
          <w:bCs/>
          <w:color w:val="000000"/>
          <w:szCs w:val="21"/>
          <w:lang w:eastAsia="zh-CN"/>
        </w:rPr>
        <w:t>的先后顺序套用定额（上述定额中均没有的按市场价），结合招标人或其委托的监理机构确认的</w:t>
      </w:r>
      <w:r>
        <w:rPr>
          <w:b w:val="0"/>
          <w:bCs/>
          <w:color w:val="000000"/>
          <w:szCs w:val="21"/>
        </w:rPr>
        <w:t>项目现场实际情况</w:t>
      </w:r>
      <w:r>
        <w:rPr>
          <w:b w:val="0"/>
          <w:bCs/>
          <w:color w:val="000000"/>
          <w:szCs w:val="21"/>
          <w:lang w:eastAsia="zh-CN"/>
        </w:rPr>
        <w:t>（包含影像资料），</w:t>
      </w:r>
      <w:r>
        <w:rPr>
          <w:b w:val="0"/>
          <w:bCs/>
          <w:color w:val="000000"/>
          <w:szCs w:val="21"/>
        </w:rPr>
        <w:t>按《浙江省建设工程计价规则》（2018版）规定的各专业工程分别编制，管理费、利润均按其所属类工程的中值费率计取；工程施工组织措施费按照《浙江省建设工程计价规则》（2018版）及相应配套文件规定的中值费率计取（其中提前竣工增加费和标化工地增加费不予计取），规费（按招标控制价编制计算口径）、税金按现行相应政策规定计取，风险费不予计取。</w:t>
      </w:r>
      <w:r>
        <w:rPr>
          <w:color w:val="000000"/>
          <w:szCs w:val="21"/>
          <w:lang w:eastAsia="zh-CN"/>
        </w:rPr>
        <w:t>（</w:t>
      </w:r>
      <w:r>
        <w:rPr>
          <w:color w:val="000000"/>
          <w:szCs w:val="21"/>
          <w:lang w:val="en-US" w:eastAsia="zh-CN"/>
        </w:rPr>
        <w:t>注：本项目结算编制按当前最新文件来编制</w:t>
      </w:r>
      <w:r>
        <w:rPr>
          <w:color w:val="000000"/>
          <w:szCs w:val="21"/>
          <w:lang w:eastAsia="zh-CN"/>
        </w:rPr>
        <w:t>）</w:t>
      </w:r>
    </w:p>
    <w:p>
      <w:pPr>
        <w:tabs>
          <w:tab w:val="left" w:pos="616"/>
        </w:tabs>
        <w:spacing w:line="360" w:lineRule="auto"/>
        <w:ind w:firstLine="540" w:firstLineChars="224"/>
        <w:rPr>
          <w:rFonts w:hint="eastAsia" w:ascii="宋体" w:hAnsi="宋体"/>
          <w:b/>
          <w:bCs/>
          <w:color w:val="000000"/>
          <w:sz w:val="24"/>
          <w:szCs w:val="24"/>
        </w:rPr>
      </w:pPr>
      <w:r>
        <w:rPr>
          <w:rFonts w:hint="eastAsia" w:ascii="宋体" w:hAnsi="宋体"/>
          <w:b/>
          <w:bCs/>
          <w:color w:val="000000"/>
          <w:sz w:val="24"/>
          <w:szCs w:val="24"/>
        </w:rPr>
        <w:t>②、材料、人工价格按照实际发生月份所颁布的《杭州造价信息》、《浙江造价信息》正刊信息价（优先适用市正刊相应信息价和工程所在地相应信息价）；无信息价材料和设备按市场价计入，但应明确品牌、生产厂家、产地、规格、型号、系列、等级等。</w:t>
      </w:r>
    </w:p>
    <w:p>
      <w:pPr>
        <w:tabs>
          <w:tab w:val="left" w:pos="616"/>
        </w:tabs>
        <w:spacing w:line="360" w:lineRule="auto"/>
        <w:ind w:firstLine="540" w:firstLineChars="224"/>
        <w:rPr>
          <w:rFonts w:hint="eastAsia" w:ascii="宋体" w:hAnsi="宋体"/>
          <w:b/>
          <w:bCs/>
          <w:color w:val="000000"/>
          <w:sz w:val="24"/>
          <w:szCs w:val="24"/>
        </w:rPr>
      </w:pPr>
      <w:r>
        <w:rPr>
          <w:rFonts w:hint="eastAsia" w:ascii="宋体" w:hAnsi="宋体"/>
          <w:b/>
          <w:bCs/>
          <w:color w:val="000000"/>
          <w:sz w:val="24"/>
          <w:szCs w:val="24"/>
        </w:rPr>
        <w:t>③、不考虑因市场价格波动引起的人工、材料价格的调整。</w:t>
      </w:r>
    </w:p>
    <w:p>
      <w:pPr>
        <w:tabs>
          <w:tab w:val="left" w:pos="616"/>
        </w:tabs>
        <w:spacing w:line="360" w:lineRule="auto"/>
        <w:ind w:firstLine="540" w:firstLineChars="224"/>
        <w:rPr>
          <w:rFonts w:hint="eastAsia" w:ascii="宋体" w:hAnsi="宋体"/>
          <w:b/>
          <w:bCs/>
          <w:color w:val="000000"/>
          <w:sz w:val="24"/>
          <w:szCs w:val="24"/>
        </w:rPr>
      </w:pPr>
      <w:r>
        <w:rPr>
          <w:rFonts w:hint="eastAsia" w:ascii="宋体" w:hAnsi="宋体"/>
          <w:b/>
          <w:bCs/>
          <w:color w:val="000000"/>
          <w:sz w:val="24"/>
          <w:szCs w:val="24"/>
        </w:rPr>
        <w:t>④、如有弃土、建筑垃圾、泥浆等需外运处置的运距均按</w:t>
      </w:r>
      <w:r>
        <w:rPr>
          <w:rFonts w:hint="eastAsia" w:ascii="宋体" w:hAnsi="宋体"/>
          <w:b/>
          <w:bCs/>
          <w:color w:val="000000"/>
          <w:sz w:val="24"/>
          <w:szCs w:val="24"/>
          <w:u w:val="single"/>
        </w:rPr>
        <w:t xml:space="preserve"> </w:t>
      </w:r>
      <w:r>
        <w:rPr>
          <w:rFonts w:hint="eastAsia" w:ascii="宋体" w:hAnsi="宋体"/>
          <w:b/>
          <w:bCs/>
          <w:color w:val="000000"/>
          <w:sz w:val="24"/>
          <w:szCs w:val="24"/>
          <w:u w:val="single"/>
          <w:lang w:val="en-US" w:eastAsia="zh-CN"/>
        </w:rPr>
        <w:t>20</w:t>
      </w:r>
      <w:r>
        <w:rPr>
          <w:rFonts w:hint="eastAsia" w:ascii="宋体" w:hAnsi="宋体"/>
          <w:b/>
          <w:bCs/>
          <w:color w:val="000000"/>
          <w:sz w:val="24"/>
          <w:szCs w:val="24"/>
          <w:u w:val="single"/>
        </w:rPr>
        <w:t xml:space="preserve"> </w:t>
      </w:r>
      <w:r>
        <w:rPr>
          <w:rFonts w:hint="eastAsia" w:ascii="宋体" w:hAnsi="宋体"/>
          <w:b/>
          <w:bCs/>
          <w:color w:val="000000"/>
          <w:sz w:val="24"/>
          <w:szCs w:val="24"/>
        </w:rPr>
        <w:t>公里计算并不予调整，上述运距所计算的费用已综合考虑土方渣土处置费等。</w:t>
      </w:r>
    </w:p>
    <w:p>
      <w:pPr>
        <w:tabs>
          <w:tab w:val="left" w:pos="616"/>
        </w:tabs>
        <w:spacing w:line="360" w:lineRule="auto"/>
        <w:ind w:firstLine="540" w:firstLineChars="224"/>
        <w:rPr>
          <w:rFonts w:hint="eastAsia" w:ascii="宋体" w:hAnsi="宋体"/>
          <w:b/>
          <w:bCs/>
          <w:color w:val="000000"/>
          <w:sz w:val="24"/>
          <w:szCs w:val="24"/>
        </w:rPr>
      </w:pPr>
      <w:r>
        <w:rPr>
          <w:rFonts w:hint="eastAsia" w:ascii="宋体" w:hAnsi="宋体"/>
          <w:b/>
          <w:bCs/>
          <w:color w:val="000000"/>
          <w:sz w:val="24"/>
          <w:szCs w:val="24"/>
        </w:rPr>
        <w:t>2、结算由养护单位负责编制，招标人委托第三方进行审核。最终以审核结算价为准并乘以中标费率以后作为实际养护费用。</w:t>
      </w:r>
    </w:p>
    <w:p>
      <w:pPr>
        <w:pStyle w:val="24"/>
        <w:spacing w:line="360" w:lineRule="auto"/>
        <w:rPr>
          <w:color w:val="000000"/>
          <w:lang w:eastAsia="zh-CN"/>
        </w:rPr>
      </w:pPr>
      <w:r>
        <w:rPr>
          <w:b w:val="0"/>
          <w:bCs/>
          <w:color w:val="000000"/>
          <w:lang w:eastAsia="zh-CN"/>
        </w:rPr>
        <w:t>（二）、</w:t>
      </w:r>
      <w:r>
        <w:rPr>
          <w:color w:val="000000"/>
          <w:lang w:eastAsia="zh-CN"/>
        </w:rPr>
        <w:t>养护费用的支付方式：</w:t>
      </w:r>
    </w:p>
    <w:p>
      <w:pPr>
        <w:adjustRightInd w:val="0"/>
        <w:snapToGrid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lang w:eastAsia="zh-CN"/>
        </w:rPr>
        <w:t>项目进度</w:t>
      </w:r>
      <w:r>
        <w:rPr>
          <w:rFonts w:hint="eastAsia" w:ascii="宋体" w:hAnsi="宋体" w:cs="宋体"/>
          <w:color w:val="000000"/>
          <w:sz w:val="24"/>
          <w:u w:val="single"/>
        </w:rPr>
        <w:t>款按自然季度进行支付，乙方于每季度末前将本季度养护结算书送至甲方审核，并由甲方委托相关专业单位进行</w:t>
      </w:r>
      <w:r>
        <w:rPr>
          <w:rFonts w:hint="eastAsia" w:ascii="宋体" w:hAnsi="宋体" w:cs="宋体"/>
          <w:color w:val="000000"/>
          <w:sz w:val="24"/>
          <w:u w:val="single"/>
          <w:lang w:eastAsia="zh-CN"/>
        </w:rPr>
        <w:t>复核</w:t>
      </w:r>
      <w:r>
        <w:rPr>
          <w:rFonts w:hint="eastAsia" w:ascii="宋体" w:hAnsi="宋体" w:cs="宋体"/>
          <w:color w:val="000000"/>
          <w:sz w:val="24"/>
          <w:u w:val="single"/>
        </w:rPr>
        <w:t>。以</w:t>
      </w:r>
      <w:r>
        <w:rPr>
          <w:rFonts w:hint="eastAsia" w:ascii="宋体" w:hAnsi="宋体" w:cs="宋体"/>
          <w:color w:val="000000"/>
          <w:sz w:val="24"/>
          <w:u w:val="single"/>
          <w:lang w:eastAsia="zh-CN"/>
        </w:rPr>
        <w:t>复核</w:t>
      </w:r>
      <w:r>
        <w:rPr>
          <w:rFonts w:hint="eastAsia" w:ascii="宋体" w:hAnsi="宋体" w:cs="宋体"/>
          <w:color w:val="000000"/>
          <w:sz w:val="24"/>
          <w:u w:val="single"/>
        </w:rPr>
        <w:t>单位出具的报告和每季度考核得分为依据支付当季</w:t>
      </w:r>
      <w:r>
        <w:rPr>
          <w:rFonts w:hint="eastAsia" w:ascii="宋体" w:hAnsi="宋体" w:cs="宋体"/>
          <w:color w:val="000000"/>
          <w:sz w:val="24"/>
          <w:u w:val="single"/>
          <w:lang w:eastAsia="zh-CN"/>
        </w:rPr>
        <w:t>项目进度</w:t>
      </w:r>
      <w:r>
        <w:rPr>
          <w:rFonts w:hint="eastAsia" w:ascii="宋体" w:hAnsi="宋体" w:cs="宋体"/>
          <w:color w:val="000000"/>
          <w:sz w:val="24"/>
          <w:u w:val="single"/>
        </w:rPr>
        <w:t>款。</w:t>
      </w:r>
    </w:p>
    <w:p>
      <w:pPr>
        <w:spacing w:line="360" w:lineRule="auto"/>
        <w:rPr>
          <w:rFonts w:hint="eastAsia" w:ascii="宋体" w:hAnsi="宋体"/>
          <w:b/>
          <w:bCs/>
          <w:color w:val="000000" w:themeColor="text1"/>
          <w:kern w:val="0"/>
          <w:sz w:val="24"/>
          <w:szCs w:val="24"/>
          <w14:textFill>
            <w14:solidFill>
              <w14:schemeClr w14:val="tx1"/>
            </w14:solidFill>
          </w14:textFill>
        </w:rPr>
      </w:pPr>
      <w:r>
        <w:rPr>
          <w:rFonts w:hint="eastAsia" w:ascii="宋体" w:hAnsi="宋体"/>
          <w:b/>
          <w:bCs/>
          <w:color w:val="000000" w:themeColor="text1"/>
          <w:kern w:val="0"/>
          <w:sz w:val="24"/>
          <w:szCs w:val="24"/>
          <w14:textFill>
            <w14:solidFill>
              <w14:schemeClr w14:val="tx1"/>
            </w14:solidFill>
          </w14:textFill>
        </w:rPr>
        <w:t>五</w:t>
      </w:r>
      <w:r>
        <w:rPr>
          <w:rFonts w:ascii="宋体" w:hAnsi="宋体"/>
          <w:b/>
          <w:bCs/>
          <w:color w:val="000000" w:themeColor="text1"/>
          <w:kern w:val="0"/>
          <w:sz w:val="24"/>
          <w:szCs w:val="24"/>
          <w14:textFill>
            <w14:solidFill>
              <w14:schemeClr w14:val="tx1"/>
            </w14:solidFill>
          </w14:textFill>
        </w:rPr>
        <w:t>、招标人的其他要求</w:t>
      </w:r>
      <w:r>
        <w:rPr>
          <w:rFonts w:hint="eastAsia" w:ascii="宋体" w:hAnsi="宋体"/>
          <w:b/>
          <w:bCs/>
          <w:color w:val="000000" w:themeColor="text1"/>
          <w:kern w:val="0"/>
          <w:sz w:val="24"/>
          <w:szCs w:val="24"/>
          <w14:textFill>
            <w14:solidFill>
              <w14:schemeClr w14:val="tx1"/>
            </w14:solidFill>
          </w14:textFill>
        </w:rPr>
        <w:t>：（招标人自行编制）</w:t>
      </w:r>
    </w:p>
    <w:p>
      <w:pPr>
        <w:pStyle w:val="80"/>
        <w:rPr>
          <w:rFonts w:hint="eastAsia"/>
        </w:rPr>
      </w:pPr>
      <w:r>
        <w:rPr>
          <w:rFonts w:hint="eastAsia" w:ascii="宋体" w:hAnsi="宋体" w:cs="宋体"/>
          <w:b/>
          <w:bCs/>
          <w:color w:val="000000"/>
          <w:sz w:val="24"/>
        </w:rPr>
        <w:t xml:space="preserve">    </w:t>
      </w:r>
    </w:p>
    <w:p>
      <w:pPr>
        <w:spacing w:line="360" w:lineRule="auto"/>
        <w:rPr>
          <w:rFonts w:ascii="仿宋" w:hAnsi="仿宋" w:eastAsia="仿宋" w:cs="仿宋"/>
          <w:color w:val="auto"/>
          <w:sz w:val="24"/>
          <w:highlight w:val="none"/>
        </w:rPr>
      </w:pPr>
    </w:p>
    <w:p>
      <w:pPr>
        <w:pStyle w:val="28"/>
        <w:spacing w:line="360" w:lineRule="auto"/>
        <w:ind w:firstLine="420"/>
        <w:rPr>
          <w:rFonts w:hint="eastAsia" w:ascii="仿宋" w:hAnsi="仿宋" w:eastAsia="仿宋" w:cs="仿宋"/>
          <w:color w:val="auto"/>
          <w:sz w:val="24"/>
          <w:highlight w:val="none"/>
        </w:rPr>
        <w:sectPr>
          <w:headerReference r:id="rId9" w:type="first"/>
          <w:footerReference r:id="rId11" w:type="first"/>
          <w:headerReference r:id="rId8" w:type="default"/>
          <w:footerReference r:id="rId10" w:type="default"/>
          <w:type w:val="continuous"/>
          <w:pgSz w:w="11906" w:h="16838"/>
          <w:pgMar w:top="1276" w:right="1418" w:bottom="1247" w:left="1418" w:header="851" w:footer="992" w:gutter="0"/>
          <w:cols w:space="720" w:num="1"/>
          <w:titlePg/>
          <w:docGrid w:linePitch="312" w:charSpace="0"/>
        </w:sectPr>
      </w:pPr>
    </w:p>
    <w:p>
      <w:pPr>
        <w:tabs>
          <w:tab w:val="left" w:pos="0"/>
        </w:tabs>
        <w:spacing w:line="360" w:lineRule="auto"/>
        <w:jc w:val="center"/>
        <w:rPr>
          <w:rFonts w:hint="eastAsia" w:ascii="仿宋" w:hAnsi="仿宋" w:eastAsia="仿宋" w:cs="仿宋_GB2312"/>
          <w:b/>
          <w:color w:val="auto"/>
          <w:sz w:val="36"/>
          <w:szCs w:val="36"/>
          <w:highlight w:val="none"/>
          <w:lang w:eastAsia="zh-CN"/>
        </w:rPr>
      </w:pP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34" w:name="_Toc184310327"/>
      <w:bookmarkEnd w:id="34"/>
      <w:bookmarkStart w:id="35" w:name="_Toc184310290"/>
      <w:bookmarkEnd w:id="35"/>
      <w:bookmarkStart w:id="36" w:name="_Toc184308042"/>
      <w:bookmarkEnd w:id="36"/>
      <w:bookmarkStart w:id="37" w:name="_Toc184313309"/>
      <w:bookmarkEnd w:id="37"/>
      <w:bookmarkStart w:id="38" w:name="_Toc184312092"/>
      <w:bookmarkEnd w:id="38"/>
      <w:bookmarkStart w:id="39" w:name="_Toc184313297"/>
      <w:bookmarkEnd w:id="39"/>
      <w:bookmarkStart w:id="40" w:name="_Toc184310333"/>
      <w:bookmarkEnd w:id="40"/>
      <w:bookmarkStart w:id="41" w:name="_Toc184312112"/>
      <w:bookmarkEnd w:id="41"/>
      <w:bookmarkStart w:id="42" w:name="_Toc184314467"/>
      <w:bookmarkEnd w:id="42"/>
      <w:bookmarkStart w:id="43" w:name="_Toc184314478"/>
      <w:bookmarkEnd w:id="43"/>
      <w:bookmarkStart w:id="44" w:name="_Toc184312137"/>
      <w:bookmarkEnd w:id="44"/>
      <w:bookmarkStart w:id="45" w:name="_Toc184314453"/>
      <w:bookmarkEnd w:id="45"/>
      <w:bookmarkStart w:id="46" w:name="_Toc184313255"/>
      <w:bookmarkEnd w:id="46"/>
      <w:bookmarkStart w:id="47" w:name="_Toc184314425"/>
      <w:bookmarkEnd w:id="47"/>
      <w:bookmarkStart w:id="48" w:name="_Toc184310299"/>
      <w:bookmarkEnd w:id="48"/>
      <w:bookmarkStart w:id="49" w:name="_Toc184312104"/>
      <w:bookmarkEnd w:id="49"/>
      <w:bookmarkStart w:id="50" w:name="_Toc184313245"/>
      <w:bookmarkEnd w:id="50"/>
      <w:bookmarkStart w:id="51" w:name="_Toc184314445"/>
      <w:bookmarkEnd w:id="51"/>
      <w:bookmarkStart w:id="52" w:name="_Toc184310336"/>
      <w:bookmarkEnd w:id="52"/>
      <w:bookmarkStart w:id="53" w:name="_Toc184308052"/>
      <w:bookmarkEnd w:id="53"/>
      <w:bookmarkStart w:id="54" w:name="_Toc184314443"/>
      <w:bookmarkEnd w:id="54"/>
      <w:bookmarkStart w:id="55" w:name="_Toc184310324"/>
      <w:bookmarkEnd w:id="55"/>
      <w:bookmarkStart w:id="56" w:name="_Toc184308081"/>
      <w:bookmarkEnd w:id="56"/>
      <w:bookmarkStart w:id="57" w:name="_Toc184312090"/>
      <w:bookmarkEnd w:id="57"/>
      <w:bookmarkStart w:id="58" w:name="_Toc184313260"/>
      <w:bookmarkEnd w:id="58"/>
      <w:bookmarkStart w:id="59" w:name="_Toc184313306"/>
      <w:bookmarkEnd w:id="59"/>
      <w:bookmarkStart w:id="60" w:name="_Toc184310340"/>
      <w:bookmarkEnd w:id="60"/>
      <w:bookmarkStart w:id="61" w:name="_Toc184312110"/>
      <w:bookmarkEnd w:id="61"/>
      <w:bookmarkStart w:id="62" w:name="_Toc184312105"/>
      <w:bookmarkEnd w:id="62"/>
      <w:bookmarkStart w:id="63" w:name="_Toc184312078"/>
      <w:bookmarkEnd w:id="63"/>
      <w:bookmarkStart w:id="64" w:name="_Toc184310291"/>
      <w:bookmarkEnd w:id="64"/>
      <w:bookmarkStart w:id="65" w:name="_Toc184312108"/>
      <w:bookmarkEnd w:id="65"/>
      <w:bookmarkStart w:id="66" w:name="_Toc184313292"/>
      <w:bookmarkEnd w:id="66"/>
      <w:bookmarkStart w:id="67" w:name="_Toc184310328"/>
      <w:bookmarkEnd w:id="67"/>
      <w:bookmarkStart w:id="68" w:name="_Toc184314471"/>
      <w:bookmarkEnd w:id="68"/>
      <w:bookmarkStart w:id="69" w:name="_Toc184310292"/>
      <w:bookmarkEnd w:id="69"/>
      <w:bookmarkStart w:id="70" w:name="_Toc184312083"/>
      <w:bookmarkEnd w:id="70"/>
      <w:bookmarkStart w:id="71" w:name="_Toc184314432"/>
      <w:bookmarkEnd w:id="71"/>
      <w:bookmarkStart w:id="72" w:name="_Toc184313278"/>
      <w:bookmarkEnd w:id="72"/>
      <w:bookmarkStart w:id="73" w:name="_Toc184308084"/>
      <w:bookmarkEnd w:id="73"/>
      <w:bookmarkStart w:id="74" w:name="_Toc184310300"/>
      <w:bookmarkEnd w:id="74"/>
      <w:bookmarkStart w:id="75" w:name="_Toc184308090"/>
      <w:bookmarkEnd w:id="75"/>
      <w:bookmarkStart w:id="76" w:name="_Toc184308091"/>
      <w:bookmarkEnd w:id="76"/>
      <w:bookmarkStart w:id="77" w:name="_Toc184308074"/>
      <w:bookmarkEnd w:id="77"/>
      <w:bookmarkStart w:id="78" w:name="_Toc184308037"/>
      <w:bookmarkEnd w:id="78"/>
      <w:bookmarkStart w:id="79" w:name="_Toc184310289"/>
      <w:bookmarkEnd w:id="79"/>
      <w:bookmarkStart w:id="80" w:name="_Toc184308073"/>
      <w:bookmarkEnd w:id="80"/>
      <w:bookmarkStart w:id="81" w:name="_Toc184313301"/>
      <w:bookmarkEnd w:id="81"/>
      <w:bookmarkStart w:id="82" w:name="_Toc184308070"/>
      <w:bookmarkEnd w:id="82"/>
      <w:bookmarkStart w:id="83" w:name="_Toc184310317"/>
      <w:bookmarkEnd w:id="83"/>
      <w:bookmarkStart w:id="84" w:name="_Toc184313283"/>
      <w:bookmarkEnd w:id="84"/>
      <w:bookmarkStart w:id="85" w:name="_Toc184310312"/>
      <w:bookmarkEnd w:id="85"/>
      <w:bookmarkStart w:id="86" w:name="_Toc184312127"/>
      <w:bookmarkEnd w:id="86"/>
      <w:bookmarkStart w:id="87" w:name="_Toc184314465"/>
      <w:bookmarkEnd w:id="87"/>
      <w:bookmarkStart w:id="88" w:name="_Toc184310275"/>
      <w:bookmarkEnd w:id="88"/>
      <w:bookmarkStart w:id="89" w:name="_Toc184308045"/>
      <w:bookmarkEnd w:id="89"/>
      <w:bookmarkStart w:id="90" w:name="_Toc184312129"/>
      <w:bookmarkEnd w:id="90"/>
      <w:bookmarkStart w:id="91" w:name="_Toc184313244"/>
      <w:bookmarkEnd w:id="91"/>
      <w:bookmarkStart w:id="92" w:name="_Toc184313307"/>
      <w:bookmarkEnd w:id="92"/>
      <w:bookmarkStart w:id="93" w:name="_Toc184313282"/>
      <w:bookmarkEnd w:id="93"/>
      <w:bookmarkStart w:id="94" w:name="_Toc184308047"/>
      <w:bookmarkEnd w:id="94"/>
      <w:bookmarkStart w:id="95" w:name="_Toc184314477"/>
      <w:bookmarkEnd w:id="95"/>
      <w:bookmarkStart w:id="96" w:name="_Toc184313284"/>
      <w:bookmarkEnd w:id="96"/>
      <w:bookmarkStart w:id="97" w:name="_Toc184312082"/>
      <w:bookmarkEnd w:id="97"/>
      <w:bookmarkStart w:id="98" w:name="_Toc184308059"/>
      <w:bookmarkEnd w:id="98"/>
      <w:bookmarkStart w:id="99" w:name="_Toc184314417"/>
      <w:bookmarkEnd w:id="99"/>
      <w:bookmarkStart w:id="100" w:name="_Toc184312086"/>
      <w:bookmarkEnd w:id="100"/>
      <w:bookmarkStart w:id="101" w:name="_Toc184310278"/>
      <w:bookmarkEnd w:id="101"/>
      <w:bookmarkStart w:id="102" w:name="_Toc184310293"/>
      <w:bookmarkEnd w:id="102"/>
      <w:bookmarkStart w:id="103" w:name="_Toc184314475"/>
      <w:bookmarkEnd w:id="103"/>
      <w:bookmarkStart w:id="104" w:name="_Toc184313300"/>
      <w:bookmarkEnd w:id="104"/>
      <w:bookmarkStart w:id="105" w:name="_Toc184310344"/>
      <w:bookmarkEnd w:id="105"/>
      <w:bookmarkStart w:id="106" w:name="_Toc184313295"/>
      <w:bookmarkEnd w:id="106"/>
      <w:bookmarkStart w:id="107" w:name="_Toc184312068"/>
      <w:bookmarkEnd w:id="107"/>
      <w:bookmarkStart w:id="108" w:name="_Toc184313289"/>
      <w:bookmarkEnd w:id="108"/>
      <w:bookmarkStart w:id="109" w:name="_Toc184308102"/>
      <w:bookmarkEnd w:id="109"/>
      <w:bookmarkStart w:id="110" w:name="_Toc184312074"/>
      <w:bookmarkEnd w:id="110"/>
      <w:bookmarkStart w:id="111" w:name="_Toc184312081"/>
      <w:bookmarkEnd w:id="111"/>
      <w:bookmarkStart w:id="112" w:name="_Toc184310321"/>
      <w:bookmarkEnd w:id="112"/>
      <w:bookmarkStart w:id="113" w:name="_Toc184308055"/>
      <w:bookmarkEnd w:id="113"/>
      <w:bookmarkStart w:id="114" w:name="_Toc184314439"/>
      <w:bookmarkEnd w:id="114"/>
      <w:bookmarkStart w:id="115" w:name="_Toc184312069"/>
      <w:bookmarkEnd w:id="115"/>
      <w:bookmarkStart w:id="116" w:name="_Toc184313264"/>
      <w:bookmarkEnd w:id="116"/>
      <w:bookmarkStart w:id="117" w:name="_Toc184312097"/>
      <w:bookmarkEnd w:id="117"/>
      <w:bookmarkStart w:id="118" w:name="_Toc184310341"/>
      <w:bookmarkEnd w:id="118"/>
      <w:bookmarkStart w:id="119" w:name="_Toc184313299"/>
      <w:bookmarkEnd w:id="119"/>
      <w:bookmarkStart w:id="120" w:name="_Toc184313257"/>
      <w:bookmarkEnd w:id="120"/>
      <w:bookmarkStart w:id="121" w:name="_Toc184310308"/>
      <w:bookmarkEnd w:id="121"/>
      <w:bookmarkStart w:id="122" w:name="_Toc184308104"/>
      <w:bookmarkEnd w:id="122"/>
      <w:bookmarkStart w:id="123" w:name="_Toc184310273"/>
      <w:bookmarkEnd w:id="123"/>
      <w:bookmarkStart w:id="124" w:name="_Toc184313298"/>
      <w:bookmarkEnd w:id="124"/>
      <w:bookmarkStart w:id="125" w:name="_Toc184314442"/>
      <w:bookmarkEnd w:id="125"/>
      <w:bookmarkStart w:id="126" w:name="_Toc184313279"/>
      <w:bookmarkEnd w:id="126"/>
      <w:bookmarkStart w:id="127" w:name="_Toc184312075"/>
      <w:bookmarkEnd w:id="127"/>
      <w:bookmarkStart w:id="128" w:name="_Toc184312102"/>
      <w:bookmarkEnd w:id="128"/>
      <w:bookmarkStart w:id="129" w:name="_Toc184312134"/>
      <w:bookmarkEnd w:id="129"/>
      <w:bookmarkStart w:id="130" w:name="_Toc184310294"/>
      <w:bookmarkEnd w:id="130"/>
      <w:bookmarkStart w:id="131" w:name="_Toc184314466"/>
      <w:bookmarkEnd w:id="131"/>
      <w:bookmarkStart w:id="132" w:name="_Toc184313273"/>
      <w:bookmarkEnd w:id="132"/>
      <w:bookmarkStart w:id="133" w:name="_Toc184308108"/>
      <w:bookmarkEnd w:id="133"/>
      <w:bookmarkStart w:id="134" w:name="_Toc184308046"/>
      <w:bookmarkEnd w:id="134"/>
      <w:bookmarkStart w:id="135" w:name="_Toc184310309"/>
      <w:bookmarkEnd w:id="135"/>
      <w:bookmarkStart w:id="136" w:name="_Toc184310315"/>
      <w:bookmarkEnd w:id="136"/>
      <w:bookmarkStart w:id="137" w:name="_Toc184314424"/>
      <w:bookmarkEnd w:id="137"/>
      <w:bookmarkStart w:id="138" w:name="_Toc184314440"/>
      <w:bookmarkEnd w:id="138"/>
      <w:bookmarkStart w:id="139" w:name="_Toc184312095"/>
      <w:bookmarkEnd w:id="139"/>
      <w:bookmarkStart w:id="140" w:name="_Toc184313261"/>
      <w:bookmarkEnd w:id="140"/>
      <w:bookmarkStart w:id="141" w:name="_Toc184310276"/>
      <w:bookmarkEnd w:id="141"/>
      <w:bookmarkStart w:id="142" w:name="_Toc184308101"/>
      <w:bookmarkEnd w:id="142"/>
      <w:bookmarkStart w:id="143" w:name="_Toc184312124"/>
      <w:bookmarkEnd w:id="143"/>
      <w:bookmarkStart w:id="144" w:name="_Toc184308038"/>
      <w:bookmarkEnd w:id="144"/>
      <w:bookmarkStart w:id="145" w:name="_Toc184312123"/>
      <w:bookmarkEnd w:id="145"/>
      <w:bookmarkStart w:id="146" w:name="_Toc184308064"/>
      <w:bookmarkEnd w:id="146"/>
      <w:bookmarkStart w:id="147" w:name="_Toc184310311"/>
      <w:bookmarkEnd w:id="147"/>
      <w:bookmarkStart w:id="148" w:name="_Toc184310279"/>
      <w:bookmarkEnd w:id="148"/>
      <w:bookmarkStart w:id="149" w:name="_Toc184310282"/>
      <w:bookmarkEnd w:id="149"/>
      <w:bookmarkStart w:id="150" w:name="_Toc184314434"/>
      <w:bookmarkEnd w:id="150"/>
      <w:bookmarkStart w:id="151" w:name="_Toc184308051"/>
      <w:bookmarkEnd w:id="151"/>
      <w:bookmarkStart w:id="152" w:name="_Toc184313268"/>
      <w:bookmarkEnd w:id="152"/>
      <w:bookmarkStart w:id="153" w:name="_Toc184313266"/>
      <w:bookmarkEnd w:id="153"/>
      <w:bookmarkStart w:id="154" w:name="_Toc184308107"/>
      <w:bookmarkEnd w:id="154"/>
      <w:bookmarkStart w:id="155" w:name="_Toc184310288"/>
      <w:bookmarkEnd w:id="155"/>
      <w:bookmarkStart w:id="156" w:name="_Toc184313253"/>
      <w:bookmarkEnd w:id="156"/>
      <w:bookmarkStart w:id="157" w:name="_Toc184312101"/>
      <w:bookmarkEnd w:id="157"/>
      <w:bookmarkStart w:id="158" w:name="_Toc184312136"/>
      <w:bookmarkEnd w:id="158"/>
      <w:bookmarkStart w:id="159" w:name="_Toc184314423"/>
      <w:bookmarkEnd w:id="159"/>
      <w:bookmarkStart w:id="160" w:name="_Toc184313277"/>
      <w:bookmarkEnd w:id="160"/>
      <w:bookmarkStart w:id="161" w:name="_Toc184314420"/>
      <w:bookmarkEnd w:id="161"/>
      <w:bookmarkStart w:id="162" w:name="_Toc184308086"/>
      <w:bookmarkEnd w:id="162"/>
      <w:bookmarkStart w:id="163" w:name="_Toc184310329"/>
      <w:bookmarkEnd w:id="163"/>
      <w:bookmarkStart w:id="164" w:name="_Toc184310280"/>
      <w:bookmarkEnd w:id="164"/>
      <w:bookmarkStart w:id="165" w:name="_Toc184310310"/>
      <w:bookmarkEnd w:id="165"/>
      <w:bookmarkStart w:id="166" w:name="_Toc184312126"/>
      <w:bookmarkEnd w:id="166"/>
      <w:bookmarkStart w:id="167" w:name="_Toc184312070"/>
      <w:bookmarkEnd w:id="167"/>
      <w:bookmarkStart w:id="168" w:name="_Toc184313249"/>
      <w:bookmarkEnd w:id="168"/>
      <w:bookmarkStart w:id="169" w:name="_Toc184314460"/>
      <w:bookmarkEnd w:id="169"/>
      <w:bookmarkStart w:id="170" w:name="_Toc184314457"/>
      <w:bookmarkEnd w:id="170"/>
      <w:bookmarkStart w:id="171" w:name="_Toc184308088"/>
      <w:bookmarkEnd w:id="171"/>
      <w:bookmarkStart w:id="172" w:name="_Toc184308044"/>
      <w:bookmarkEnd w:id="172"/>
      <w:bookmarkStart w:id="173" w:name="_Toc184310277"/>
      <w:bookmarkEnd w:id="173"/>
      <w:bookmarkStart w:id="174" w:name="_Toc184313238"/>
      <w:bookmarkEnd w:id="174"/>
      <w:bookmarkStart w:id="175" w:name="_Toc184313271"/>
      <w:bookmarkEnd w:id="175"/>
      <w:bookmarkStart w:id="176" w:name="_Toc184310343"/>
      <w:bookmarkEnd w:id="176"/>
      <w:bookmarkStart w:id="177" w:name="_Toc184313302"/>
      <w:bookmarkEnd w:id="177"/>
      <w:bookmarkStart w:id="178" w:name="_Toc184312115"/>
      <w:bookmarkEnd w:id="178"/>
      <w:bookmarkStart w:id="179" w:name="_Toc184310285"/>
      <w:bookmarkEnd w:id="179"/>
      <w:bookmarkStart w:id="180" w:name="_Toc184308096"/>
      <w:bookmarkEnd w:id="180"/>
      <w:bookmarkStart w:id="181" w:name="_Toc184314428"/>
      <w:bookmarkEnd w:id="181"/>
      <w:bookmarkStart w:id="182" w:name="_Toc184314433"/>
      <w:bookmarkEnd w:id="182"/>
      <w:bookmarkStart w:id="183" w:name="_Toc184314437"/>
      <w:bookmarkEnd w:id="183"/>
      <w:bookmarkStart w:id="184" w:name="_Toc184312118"/>
      <w:bookmarkEnd w:id="184"/>
      <w:bookmarkStart w:id="185" w:name="_Toc184312107"/>
      <w:bookmarkEnd w:id="185"/>
      <w:bookmarkStart w:id="186" w:name="_Toc184308040"/>
      <w:bookmarkEnd w:id="186"/>
      <w:bookmarkStart w:id="187" w:name="_Toc184313246"/>
      <w:bookmarkEnd w:id="187"/>
      <w:bookmarkStart w:id="188" w:name="_Toc184314441"/>
      <w:bookmarkEnd w:id="188"/>
      <w:bookmarkStart w:id="189" w:name="_Toc184314411"/>
      <w:bookmarkEnd w:id="189"/>
      <w:bookmarkStart w:id="190" w:name="_Toc184312072"/>
      <w:bookmarkEnd w:id="190"/>
      <w:bookmarkStart w:id="191" w:name="_Toc184308094"/>
      <w:bookmarkEnd w:id="191"/>
      <w:bookmarkStart w:id="192" w:name="_Toc184312094"/>
      <w:bookmarkEnd w:id="192"/>
      <w:bookmarkStart w:id="193" w:name="_Toc184310272"/>
      <w:bookmarkEnd w:id="193"/>
      <w:bookmarkStart w:id="194" w:name="_Toc184312084"/>
      <w:bookmarkEnd w:id="194"/>
      <w:bookmarkStart w:id="195" w:name="_Toc184312125"/>
      <w:bookmarkEnd w:id="195"/>
      <w:bookmarkStart w:id="196" w:name="_Toc184308076"/>
      <w:bookmarkEnd w:id="196"/>
      <w:bookmarkStart w:id="197" w:name="_Toc184308103"/>
      <w:bookmarkEnd w:id="197"/>
      <w:bookmarkStart w:id="198" w:name="_Toc184313254"/>
      <w:bookmarkEnd w:id="198"/>
      <w:bookmarkStart w:id="199" w:name="_Toc184313293"/>
      <w:bookmarkEnd w:id="199"/>
      <w:bookmarkStart w:id="200" w:name="_Toc184312130"/>
      <w:bookmarkEnd w:id="200"/>
      <w:bookmarkStart w:id="201" w:name="_Toc184312093"/>
      <w:bookmarkEnd w:id="201"/>
      <w:bookmarkStart w:id="202" w:name="_Toc184313241"/>
      <w:bookmarkEnd w:id="202"/>
      <w:bookmarkStart w:id="203" w:name="_Toc184308099"/>
      <w:bookmarkEnd w:id="203"/>
      <w:bookmarkStart w:id="204" w:name="_Toc184313243"/>
      <w:bookmarkEnd w:id="204"/>
      <w:bookmarkStart w:id="205" w:name="_Toc184313239"/>
      <w:bookmarkEnd w:id="205"/>
      <w:bookmarkStart w:id="206" w:name="_Toc184314436"/>
      <w:bookmarkEnd w:id="206"/>
      <w:bookmarkStart w:id="207" w:name="_Toc184313290"/>
      <w:bookmarkEnd w:id="207"/>
      <w:bookmarkStart w:id="208" w:name="_Toc184308083"/>
      <w:bookmarkEnd w:id="208"/>
      <w:bookmarkStart w:id="209" w:name="_Toc184314482"/>
      <w:bookmarkEnd w:id="209"/>
      <w:bookmarkStart w:id="210" w:name="_Toc184312139"/>
      <w:bookmarkEnd w:id="210"/>
      <w:bookmarkStart w:id="211" w:name="_Toc184308098"/>
      <w:bookmarkEnd w:id="211"/>
      <w:bookmarkStart w:id="212" w:name="_Toc184310296"/>
      <w:bookmarkEnd w:id="212"/>
      <w:bookmarkStart w:id="213" w:name="_Toc184314455"/>
      <w:bookmarkEnd w:id="213"/>
      <w:bookmarkStart w:id="214" w:name="_Toc184314429"/>
      <w:bookmarkEnd w:id="214"/>
      <w:bookmarkStart w:id="215" w:name="_Toc184312133"/>
      <w:bookmarkEnd w:id="215"/>
      <w:bookmarkStart w:id="216" w:name="_Toc184308100"/>
      <w:bookmarkEnd w:id="216"/>
      <w:bookmarkStart w:id="217" w:name="_Toc184314463"/>
      <w:bookmarkEnd w:id="217"/>
      <w:bookmarkStart w:id="218" w:name="_Toc184308041"/>
      <w:bookmarkEnd w:id="218"/>
      <w:bookmarkStart w:id="219" w:name="_Toc184312098"/>
      <w:bookmarkEnd w:id="219"/>
      <w:bookmarkStart w:id="220" w:name="_Toc184310318"/>
      <w:bookmarkEnd w:id="220"/>
      <w:bookmarkStart w:id="221" w:name="_Toc184312073"/>
      <w:bookmarkEnd w:id="221"/>
      <w:bookmarkStart w:id="222" w:name="_Toc184308063"/>
      <w:bookmarkEnd w:id="222"/>
      <w:bookmarkStart w:id="223" w:name="_Toc184313280"/>
      <w:bookmarkEnd w:id="223"/>
      <w:bookmarkStart w:id="224" w:name="_Toc184314480"/>
      <w:bookmarkEnd w:id="224"/>
      <w:bookmarkStart w:id="225" w:name="_Toc184310338"/>
      <w:bookmarkEnd w:id="225"/>
      <w:bookmarkStart w:id="226" w:name="_Toc184313240"/>
      <w:bookmarkEnd w:id="226"/>
      <w:bookmarkStart w:id="227" w:name="_Toc184312109"/>
      <w:bookmarkEnd w:id="227"/>
      <w:bookmarkStart w:id="228" w:name="_Toc184313259"/>
      <w:bookmarkEnd w:id="228"/>
      <w:bookmarkStart w:id="229" w:name="_Toc184312080"/>
      <w:bookmarkEnd w:id="229"/>
      <w:bookmarkStart w:id="230" w:name="_Toc184314451"/>
      <w:bookmarkEnd w:id="230"/>
      <w:bookmarkStart w:id="231" w:name="_Toc184313251"/>
      <w:bookmarkEnd w:id="231"/>
      <w:bookmarkStart w:id="232" w:name="_Toc184312091"/>
      <w:bookmarkEnd w:id="232"/>
      <w:bookmarkStart w:id="233" w:name="_Toc184313256"/>
      <w:bookmarkEnd w:id="233"/>
      <w:bookmarkStart w:id="234" w:name="_Toc184310323"/>
      <w:bookmarkEnd w:id="234"/>
      <w:bookmarkStart w:id="235" w:name="_Toc184312103"/>
      <w:bookmarkEnd w:id="235"/>
      <w:bookmarkStart w:id="236" w:name="_Toc184310319"/>
      <w:bookmarkEnd w:id="236"/>
      <w:bookmarkStart w:id="237" w:name="_Toc184313275"/>
      <w:bookmarkEnd w:id="237"/>
      <w:bookmarkStart w:id="238" w:name="_Toc184312100"/>
      <w:bookmarkEnd w:id="238"/>
      <w:bookmarkStart w:id="239" w:name="_Toc184308082"/>
      <w:bookmarkEnd w:id="239"/>
      <w:bookmarkStart w:id="240" w:name="_Toc184312079"/>
      <w:bookmarkEnd w:id="240"/>
      <w:bookmarkStart w:id="241" w:name="_Toc184312099"/>
      <w:bookmarkEnd w:id="241"/>
      <w:bookmarkStart w:id="242" w:name="_Toc184314447"/>
      <w:bookmarkEnd w:id="242"/>
      <w:bookmarkStart w:id="243" w:name="_Toc184310320"/>
      <w:bookmarkEnd w:id="243"/>
      <w:bookmarkStart w:id="244" w:name="_Toc184314449"/>
      <w:bookmarkEnd w:id="244"/>
      <w:bookmarkStart w:id="245" w:name="_Toc184313248"/>
      <w:bookmarkEnd w:id="245"/>
      <w:bookmarkStart w:id="246" w:name="_Toc184313252"/>
      <w:bookmarkEnd w:id="246"/>
      <w:bookmarkStart w:id="247" w:name="_Toc184313247"/>
      <w:bookmarkEnd w:id="247"/>
      <w:bookmarkStart w:id="248" w:name="_Toc184310284"/>
      <w:bookmarkEnd w:id="248"/>
      <w:bookmarkStart w:id="249" w:name="_Toc184308036"/>
      <w:bookmarkEnd w:id="249"/>
      <w:bookmarkStart w:id="250" w:name="_Toc184312138"/>
      <w:bookmarkEnd w:id="250"/>
      <w:bookmarkStart w:id="251" w:name="_Toc184313288"/>
      <w:bookmarkEnd w:id="251"/>
      <w:bookmarkStart w:id="252" w:name="_Toc184312067"/>
      <w:bookmarkEnd w:id="252"/>
      <w:bookmarkStart w:id="253" w:name="_Toc184308060"/>
      <w:bookmarkEnd w:id="253"/>
      <w:bookmarkStart w:id="254" w:name="_Toc184313270"/>
      <w:bookmarkEnd w:id="254"/>
      <w:bookmarkStart w:id="255" w:name="_Toc184312116"/>
      <w:bookmarkEnd w:id="255"/>
      <w:bookmarkStart w:id="256" w:name="_Toc184312131"/>
      <w:bookmarkEnd w:id="256"/>
      <w:bookmarkStart w:id="257" w:name="_Toc184314422"/>
      <w:bookmarkEnd w:id="257"/>
      <w:bookmarkStart w:id="258" w:name="_Toc184310281"/>
      <w:bookmarkEnd w:id="258"/>
      <w:bookmarkStart w:id="259" w:name="_Toc184308050"/>
      <w:bookmarkEnd w:id="259"/>
      <w:bookmarkStart w:id="260" w:name="_Toc184310332"/>
      <w:bookmarkEnd w:id="260"/>
      <w:bookmarkStart w:id="261" w:name="_Toc184308061"/>
      <w:bookmarkEnd w:id="261"/>
      <w:bookmarkStart w:id="262" w:name="_Toc184308065"/>
      <w:bookmarkEnd w:id="262"/>
      <w:bookmarkStart w:id="263" w:name="_Toc184312121"/>
      <w:bookmarkEnd w:id="263"/>
      <w:bookmarkStart w:id="264" w:name="_Toc184308071"/>
      <w:bookmarkEnd w:id="264"/>
      <w:bookmarkStart w:id="265" w:name="_Toc184314476"/>
      <w:bookmarkEnd w:id="265"/>
      <w:bookmarkStart w:id="266" w:name="_Toc184313286"/>
      <w:bookmarkEnd w:id="266"/>
      <w:bookmarkStart w:id="267" w:name="_Toc184308078"/>
      <w:bookmarkEnd w:id="267"/>
      <w:bookmarkStart w:id="268" w:name="_Toc184308049"/>
      <w:bookmarkEnd w:id="268"/>
      <w:bookmarkStart w:id="269" w:name="_Toc184314469"/>
      <w:bookmarkEnd w:id="269"/>
      <w:bookmarkStart w:id="270" w:name="_Toc184314410"/>
      <w:bookmarkEnd w:id="270"/>
      <w:bookmarkStart w:id="271" w:name="_Toc184314421"/>
      <w:bookmarkEnd w:id="271"/>
      <w:bookmarkStart w:id="272" w:name="_Toc184308095"/>
      <w:bookmarkEnd w:id="272"/>
      <w:bookmarkStart w:id="273" w:name="_Toc184312114"/>
      <w:bookmarkEnd w:id="273"/>
      <w:bookmarkStart w:id="274" w:name="_Toc184314446"/>
      <w:bookmarkEnd w:id="274"/>
      <w:bookmarkStart w:id="275" w:name="_Toc184313285"/>
      <w:bookmarkEnd w:id="275"/>
      <w:bookmarkStart w:id="276" w:name="_Toc184312113"/>
      <w:bookmarkEnd w:id="276"/>
      <w:bookmarkStart w:id="277" w:name="_Toc184308068"/>
      <w:bookmarkEnd w:id="277"/>
      <w:bookmarkStart w:id="278" w:name="_Toc184310304"/>
      <w:bookmarkEnd w:id="278"/>
      <w:bookmarkStart w:id="279" w:name="_Toc184308058"/>
      <w:bookmarkEnd w:id="279"/>
      <w:bookmarkStart w:id="280" w:name="_Toc184310335"/>
      <w:bookmarkEnd w:id="280"/>
      <w:bookmarkStart w:id="281" w:name="_Toc184310331"/>
      <w:bookmarkEnd w:id="281"/>
      <w:bookmarkStart w:id="282" w:name="_Toc184313304"/>
      <w:bookmarkEnd w:id="282"/>
      <w:bookmarkStart w:id="283" w:name="_Toc184312119"/>
      <w:bookmarkEnd w:id="283"/>
      <w:bookmarkStart w:id="284" w:name="_Toc184314426"/>
      <w:bookmarkEnd w:id="284"/>
      <w:bookmarkStart w:id="285" w:name="_Toc184314468"/>
      <w:bookmarkEnd w:id="285"/>
      <w:bookmarkStart w:id="286" w:name="_Toc184310322"/>
      <w:bookmarkEnd w:id="286"/>
      <w:bookmarkStart w:id="287" w:name="_Toc184314462"/>
      <w:bookmarkEnd w:id="287"/>
      <w:bookmarkStart w:id="288" w:name="_Toc184313305"/>
      <w:bookmarkEnd w:id="288"/>
      <w:bookmarkStart w:id="289" w:name="_Toc184308057"/>
      <w:bookmarkEnd w:id="289"/>
      <w:bookmarkStart w:id="290" w:name="_Toc184310326"/>
      <w:bookmarkEnd w:id="290"/>
      <w:bookmarkStart w:id="291" w:name="_Toc184312076"/>
      <w:bookmarkEnd w:id="291"/>
      <w:bookmarkStart w:id="292" w:name="_Toc184312089"/>
      <w:bookmarkEnd w:id="292"/>
      <w:bookmarkStart w:id="293" w:name="_Toc184313276"/>
      <w:bookmarkEnd w:id="293"/>
      <w:bookmarkStart w:id="294" w:name="_Toc184308062"/>
      <w:bookmarkEnd w:id="294"/>
      <w:bookmarkStart w:id="295" w:name="_Toc184308087"/>
      <w:bookmarkEnd w:id="295"/>
      <w:bookmarkStart w:id="296" w:name="_Toc184312122"/>
      <w:bookmarkEnd w:id="296"/>
      <w:bookmarkStart w:id="297" w:name="_Toc184310314"/>
      <w:bookmarkEnd w:id="297"/>
      <w:bookmarkStart w:id="298" w:name="_Toc184308079"/>
      <w:bookmarkEnd w:id="298"/>
      <w:bookmarkStart w:id="299" w:name="_Toc184308054"/>
      <w:bookmarkEnd w:id="299"/>
      <w:bookmarkStart w:id="300" w:name="_Toc184310307"/>
      <w:bookmarkEnd w:id="300"/>
      <w:bookmarkStart w:id="301" w:name="_Toc184308089"/>
      <w:bookmarkEnd w:id="301"/>
      <w:bookmarkStart w:id="302" w:name="_Toc184313250"/>
      <w:bookmarkEnd w:id="302"/>
      <w:bookmarkStart w:id="303" w:name="_Toc184308092"/>
      <w:bookmarkEnd w:id="303"/>
      <w:bookmarkStart w:id="304" w:name="_Toc184314452"/>
      <w:bookmarkEnd w:id="304"/>
      <w:bookmarkStart w:id="305" w:name="_Toc184314481"/>
      <w:bookmarkEnd w:id="305"/>
      <w:bookmarkStart w:id="306" w:name="_Toc184313242"/>
      <w:bookmarkEnd w:id="306"/>
      <w:bookmarkStart w:id="307" w:name="_Toc184312096"/>
      <w:bookmarkEnd w:id="307"/>
      <w:bookmarkStart w:id="308" w:name="_Toc184310337"/>
      <w:bookmarkEnd w:id="308"/>
      <w:bookmarkStart w:id="309" w:name="_Toc184310313"/>
      <w:bookmarkEnd w:id="309"/>
      <w:bookmarkStart w:id="310" w:name="_Toc184308069"/>
      <w:bookmarkEnd w:id="310"/>
      <w:bookmarkStart w:id="311" w:name="_Toc184310305"/>
      <w:bookmarkEnd w:id="311"/>
      <w:bookmarkStart w:id="312" w:name="_Toc184313303"/>
      <w:bookmarkEnd w:id="312"/>
      <w:bookmarkStart w:id="313" w:name="_Toc184314474"/>
      <w:bookmarkEnd w:id="313"/>
      <w:bookmarkStart w:id="314" w:name="_Toc184310274"/>
      <w:bookmarkEnd w:id="314"/>
      <w:bookmarkStart w:id="315" w:name="_Toc184314438"/>
      <w:bookmarkEnd w:id="315"/>
      <w:bookmarkStart w:id="316" w:name="_Toc184308056"/>
      <w:bookmarkEnd w:id="316"/>
      <w:bookmarkStart w:id="317" w:name="_Toc184314412"/>
      <w:bookmarkEnd w:id="317"/>
      <w:bookmarkStart w:id="318" w:name="_Toc184310298"/>
      <w:bookmarkEnd w:id="318"/>
      <w:bookmarkStart w:id="319" w:name="_Toc184313269"/>
      <w:bookmarkEnd w:id="319"/>
      <w:bookmarkStart w:id="320" w:name="_Toc184310287"/>
      <w:bookmarkEnd w:id="320"/>
      <w:bookmarkStart w:id="321" w:name="_Toc184314418"/>
      <w:bookmarkEnd w:id="321"/>
      <w:bookmarkStart w:id="322" w:name="_Toc184312135"/>
      <w:bookmarkEnd w:id="322"/>
      <w:bookmarkStart w:id="323" w:name="_Toc184310286"/>
      <w:bookmarkEnd w:id="323"/>
      <w:bookmarkStart w:id="324" w:name="_Toc184312085"/>
      <w:bookmarkEnd w:id="324"/>
      <w:bookmarkStart w:id="325" w:name="_Toc184314472"/>
      <w:bookmarkEnd w:id="325"/>
      <w:bookmarkStart w:id="326" w:name="_Toc184312120"/>
      <w:bookmarkEnd w:id="326"/>
      <w:bookmarkStart w:id="327" w:name="_Toc184314458"/>
      <w:bookmarkEnd w:id="327"/>
      <w:bookmarkStart w:id="328" w:name="_Toc184308048"/>
      <w:bookmarkEnd w:id="328"/>
      <w:bookmarkStart w:id="329" w:name="_Toc184310283"/>
      <w:bookmarkEnd w:id="329"/>
      <w:bookmarkStart w:id="330" w:name="_Toc184308105"/>
      <w:bookmarkEnd w:id="330"/>
      <w:bookmarkStart w:id="331" w:name="_Toc184312087"/>
      <w:bookmarkEnd w:id="331"/>
      <w:bookmarkStart w:id="332" w:name="_Toc184314419"/>
      <w:bookmarkEnd w:id="332"/>
      <w:bookmarkStart w:id="333" w:name="_Toc184314464"/>
      <w:bookmarkEnd w:id="333"/>
      <w:bookmarkStart w:id="334" w:name="_Toc184312071"/>
      <w:bookmarkEnd w:id="334"/>
      <w:bookmarkStart w:id="335" w:name="_Toc184313296"/>
      <w:bookmarkEnd w:id="335"/>
      <w:bookmarkStart w:id="336" w:name="_Toc184308039"/>
      <w:bookmarkEnd w:id="336"/>
      <w:bookmarkStart w:id="337" w:name="_Toc184313262"/>
      <w:bookmarkEnd w:id="337"/>
      <w:bookmarkStart w:id="338" w:name="_Toc184308043"/>
      <w:bookmarkEnd w:id="338"/>
      <w:bookmarkStart w:id="339" w:name="_Toc184313272"/>
      <w:bookmarkEnd w:id="339"/>
      <w:bookmarkStart w:id="340" w:name="_Toc184308066"/>
      <w:bookmarkEnd w:id="340"/>
      <w:bookmarkStart w:id="341" w:name="_Toc184308085"/>
      <w:bookmarkEnd w:id="341"/>
      <w:bookmarkStart w:id="342" w:name="_Toc184310295"/>
      <w:bookmarkEnd w:id="342"/>
      <w:bookmarkStart w:id="343" w:name="_Toc184310301"/>
      <w:bookmarkEnd w:id="343"/>
      <w:bookmarkStart w:id="344" w:name="_Toc184308053"/>
      <w:bookmarkEnd w:id="344"/>
      <w:bookmarkStart w:id="345" w:name="_Toc184310334"/>
      <w:bookmarkEnd w:id="345"/>
      <w:bookmarkStart w:id="346" w:name="_Toc184313281"/>
      <w:bookmarkEnd w:id="346"/>
      <w:bookmarkStart w:id="347" w:name="_Toc184308077"/>
      <w:bookmarkEnd w:id="347"/>
      <w:bookmarkStart w:id="348" w:name="_Toc184314479"/>
      <w:bookmarkEnd w:id="348"/>
      <w:bookmarkStart w:id="349" w:name="_Toc184314413"/>
      <w:bookmarkEnd w:id="349"/>
      <w:bookmarkStart w:id="350" w:name="_Toc184314461"/>
      <w:bookmarkEnd w:id="350"/>
      <w:bookmarkStart w:id="351" w:name="_Toc184313287"/>
      <w:bookmarkEnd w:id="351"/>
      <w:bookmarkStart w:id="352" w:name="_Toc184314435"/>
      <w:bookmarkEnd w:id="352"/>
      <w:bookmarkStart w:id="353" w:name="_Toc184313263"/>
      <w:bookmarkEnd w:id="353"/>
      <w:bookmarkStart w:id="354" w:name="_Toc184313310"/>
      <w:bookmarkEnd w:id="354"/>
      <w:bookmarkStart w:id="355" w:name="_Toc184314414"/>
      <w:bookmarkEnd w:id="355"/>
      <w:bookmarkStart w:id="356" w:name="_Toc184308093"/>
      <w:bookmarkEnd w:id="356"/>
      <w:bookmarkStart w:id="357" w:name="_Toc184313274"/>
      <w:bookmarkEnd w:id="357"/>
      <w:bookmarkStart w:id="358" w:name="_Toc184314450"/>
      <w:bookmarkEnd w:id="358"/>
      <w:bookmarkStart w:id="359" w:name="_Toc184313294"/>
      <w:bookmarkEnd w:id="359"/>
      <w:bookmarkStart w:id="360" w:name="_Toc184312117"/>
      <w:bookmarkEnd w:id="360"/>
      <w:bookmarkStart w:id="361" w:name="_Toc184310342"/>
      <w:bookmarkEnd w:id="361"/>
      <w:bookmarkStart w:id="362" w:name="_Toc184314431"/>
      <w:bookmarkEnd w:id="362"/>
      <w:bookmarkStart w:id="363" w:name="_Toc184314456"/>
      <w:bookmarkEnd w:id="363"/>
      <w:bookmarkStart w:id="364" w:name="_Toc184313258"/>
      <w:bookmarkEnd w:id="364"/>
      <w:bookmarkStart w:id="365" w:name="_Toc184312077"/>
      <w:bookmarkEnd w:id="365"/>
      <w:bookmarkStart w:id="366" w:name="_Toc184313265"/>
      <w:bookmarkEnd w:id="366"/>
      <w:bookmarkStart w:id="367" w:name="_Toc184310316"/>
      <w:bookmarkEnd w:id="367"/>
      <w:bookmarkStart w:id="368" w:name="_Toc184310297"/>
      <w:bookmarkEnd w:id="368"/>
      <w:bookmarkStart w:id="369" w:name="_Toc184312128"/>
      <w:bookmarkEnd w:id="369"/>
      <w:bookmarkStart w:id="370" w:name="_Toc184310306"/>
      <w:bookmarkEnd w:id="370"/>
      <w:bookmarkStart w:id="371" w:name="_Toc184314444"/>
      <w:bookmarkEnd w:id="371"/>
      <w:bookmarkStart w:id="372" w:name="_Toc184314427"/>
      <w:bookmarkEnd w:id="372"/>
      <w:bookmarkStart w:id="373" w:name="_Toc184313308"/>
      <w:bookmarkEnd w:id="373"/>
      <w:bookmarkStart w:id="374" w:name="_Toc184313267"/>
      <w:bookmarkEnd w:id="374"/>
      <w:bookmarkStart w:id="375" w:name="_Toc184314470"/>
      <w:bookmarkEnd w:id="375"/>
      <w:bookmarkStart w:id="376" w:name="_Toc184314430"/>
      <w:bookmarkEnd w:id="376"/>
      <w:bookmarkStart w:id="377" w:name="_Toc184314448"/>
      <w:bookmarkEnd w:id="377"/>
      <w:bookmarkStart w:id="378" w:name="_Toc184312088"/>
      <w:bookmarkEnd w:id="378"/>
      <w:bookmarkStart w:id="379" w:name="_Toc184314459"/>
      <w:bookmarkEnd w:id="379"/>
      <w:bookmarkStart w:id="380" w:name="_Toc184310302"/>
      <w:bookmarkEnd w:id="380"/>
      <w:bookmarkStart w:id="381" w:name="_Toc184313291"/>
      <w:bookmarkEnd w:id="381"/>
      <w:bookmarkStart w:id="382" w:name="_Toc184314415"/>
      <w:bookmarkEnd w:id="382"/>
      <w:bookmarkStart w:id="383" w:name="_Toc184310303"/>
      <w:bookmarkEnd w:id="383"/>
      <w:bookmarkStart w:id="384" w:name="_Toc184308067"/>
      <w:bookmarkEnd w:id="384"/>
      <w:bookmarkStart w:id="385" w:name="_Toc184308075"/>
      <w:bookmarkEnd w:id="385"/>
      <w:bookmarkStart w:id="386" w:name="_Toc184308106"/>
      <w:bookmarkEnd w:id="386"/>
      <w:bookmarkStart w:id="387" w:name="_Toc184314416"/>
      <w:bookmarkEnd w:id="387"/>
      <w:bookmarkStart w:id="388" w:name="_Toc184312106"/>
      <w:bookmarkEnd w:id="388"/>
      <w:bookmarkStart w:id="389" w:name="_Toc184308080"/>
      <w:bookmarkEnd w:id="389"/>
      <w:bookmarkStart w:id="390" w:name="_Toc184308097"/>
      <w:bookmarkEnd w:id="390"/>
      <w:bookmarkStart w:id="391" w:name="_Toc184314473"/>
      <w:bookmarkEnd w:id="391"/>
      <w:bookmarkStart w:id="392" w:name="_Toc184314454"/>
      <w:bookmarkEnd w:id="392"/>
      <w:bookmarkStart w:id="393" w:name="_Toc184310330"/>
      <w:bookmarkEnd w:id="393"/>
      <w:bookmarkStart w:id="394" w:name="_Toc184312111"/>
      <w:bookmarkEnd w:id="394"/>
      <w:bookmarkStart w:id="395" w:name="_Toc184308072"/>
      <w:bookmarkEnd w:id="395"/>
      <w:bookmarkStart w:id="396" w:name="_Toc184310339"/>
      <w:bookmarkEnd w:id="396"/>
      <w:bookmarkStart w:id="397" w:name="_Toc184310325"/>
      <w:bookmarkEnd w:id="397"/>
      <w:bookmarkStart w:id="398" w:name="_Toc184312132"/>
      <w:bookmarkEnd w:id="398"/>
      <w:r>
        <w:rPr>
          <w:rFonts w:hint="eastAsia" w:ascii="仿宋" w:hAnsi="仿宋" w:eastAsia="仿宋" w:cs="仿宋_GB2312"/>
          <w:b/>
          <w:color w:val="auto"/>
          <w:sz w:val="36"/>
          <w:szCs w:val="36"/>
          <w:highlight w:val="none"/>
        </w:rPr>
        <w:t>评标办法</w:t>
      </w:r>
      <w:r>
        <w:rPr>
          <w:rFonts w:hint="eastAsia" w:ascii="仿宋" w:hAnsi="仿宋" w:eastAsia="仿宋" w:cs="仿宋_GB2312"/>
          <w:b/>
          <w:color w:val="auto"/>
          <w:sz w:val="36"/>
          <w:szCs w:val="36"/>
          <w:highlight w:val="none"/>
          <w:lang w:val="en-US" w:eastAsia="zh-CN"/>
        </w:rPr>
        <w:t xml:space="preserve"> </w:t>
      </w:r>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p>
      <w:pPr>
        <w:widowControl/>
        <w:spacing w:line="360" w:lineRule="auto"/>
        <w:jc w:val="left"/>
        <w:rPr>
          <w:rFonts w:ascii="宋体" w:hAnsi="宋体"/>
          <w:color w:val="000000"/>
          <w:sz w:val="24"/>
          <w:szCs w:val="24"/>
        </w:rPr>
      </w:pPr>
      <w:r>
        <w:rPr>
          <w:rFonts w:hint="eastAsia" w:ascii="宋体" w:hAnsi="宋体" w:cs="仿宋"/>
          <w:b/>
          <w:bCs/>
          <w:color w:val="000000"/>
          <w:sz w:val="24"/>
          <w:szCs w:val="24"/>
          <w:lang w:bidi="ar"/>
        </w:rPr>
        <w:t>1资信部分评分细则（满分</w:t>
      </w:r>
      <w:r>
        <w:rPr>
          <w:rFonts w:hint="eastAsia" w:ascii="宋体" w:hAnsi="宋体" w:cs="仿宋"/>
          <w:b/>
          <w:bCs/>
          <w:color w:val="000000"/>
          <w:sz w:val="24"/>
          <w:szCs w:val="24"/>
          <w:lang w:val="en-US" w:eastAsia="zh-CN" w:bidi="ar"/>
        </w:rPr>
        <w:t>44</w:t>
      </w:r>
      <w:r>
        <w:rPr>
          <w:rFonts w:hint="eastAsia" w:ascii="宋体" w:hAnsi="宋体" w:cs="仿宋"/>
          <w:b/>
          <w:bCs/>
          <w:color w:val="000000"/>
          <w:sz w:val="24"/>
          <w:szCs w:val="24"/>
          <w:lang w:bidi="ar"/>
        </w:rPr>
        <w:t>分）</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52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widowControl/>
              <w:jc w:val="center"/>
              <w:rPr>
                <w:rFonts w:hint="eastAsia" w:ascii="宋体" w:hAnsi="宋体" w:cs="仿宋"/>
                <w:b/>
                <w:bCs/>
                <w:color w:val="000000"/>
                <w:sz w:val="24"/>
                <w:szCs w:val="24"/>
                <w:lang w:bidi="ar"/>
              </w:rPr>
            </w:pPr>
            <w:r>
              <w:rPr>
                <w:rFonts w:hint="eastAsia" w:ascii="宋体" w:hAnsi="宋体" w:cs="仿宋"/>
                <w:b/>
                <w:bCs/>
                <w:color w:val="000000"/>
                <w:sz w:val="24"/>
                <w:szCs w:val="24"/>
                <w:lang w:bidi="ar"/>
              </w:rPr>
              <w:t>评审因素</w:t>
            </w:r>
          </w:p>
        </w:tc>
        <w:tc>
          <w:tcPr>
            <w:tcW w:w="6521" w:type="dxa"/>
            <w:noWrap w:val="0"/>
            <w:vAlign w:val="center"/>
          </w:tcPr>
          <w:p>
            <w:pPr>
              <w:widowControl/>
              <w:jc w:val="center"/>
              <w:rPr>
                <w:rFonts w:hint="eastAsia" w:ascii="宋体" w:hAnsi="宋体" w:cs="仿宋"/>
                <w:b/>
                <w:bCs/>
                <w:color w:val="000000"/>
                <w:sz w:val="24"/>
                <w:szCs w:val="24"/>
                <w:lang w:bidi="ar"/>
              </w:rPr>
            </w:pPr>
            <w:r>
              <w:rPr>
                <w:rFonts w:hint="eastAsia" w:ascii="宋体" w:hAnsi="宋体" w:cs="仿宋"/>
                <w:b/>
                <w:bCs/>
                <w:color w:val="000000"/>
                <w:sz w:val="24"/>
                <w:szCs w:val="24"/>
                <w:lang w:bidi="ar"/>
              </w:rPr>
              <w:t>评审内容</w:t>
            </w:r>
          </w:p>
        </w:tc>
        <w:tc>
          <w:tcPr>
            <w:tcW w:w="850" w:type="dxa"/>
            <w:noWrap w:val="0"/>
            <w:vAlign w:val="center"/>
          </w:tcPr>
          <w:p>
            <w:pPr>
              <w:widowControl/>
              <w:tabs>
                <w:tab w:val="left" w:pos="1152"/>
              </w:tabs>
              <w:snapToGrid w:val="0"/>
              <w:ind w:right="-189" w:rightChars="-90"/>
              <w:jc w:val="center"/>
              <w:rPr>
                <w:rFonts w:hint="eastAsia" w:ascii="宋体" w:hAnsi="宋体" w:cs="仿宋"/>
                <w:b/>
                <w:bCs/>
                <w:color w:val="000000"/>
                <w:sz w:val="24"/>
                <w:szCs w:val="24"/>
                <w:lang w:bidi="ar"/>
              </w:rPr>
            </w:pPr>
            <w:r>
              <w:rPr>
                <w:rFonts w:hint="eastAsia" w:ascii="宋体" w:hAnsi="宋体" w:cs="仿宋"/>
                <w:b/>
                <w:bCs/>
                <w:color w:val="000000"/>
                <w:sz w:val="24"/>
                <w:szCs w:val="24"/>
                <w:lang w:bidi="ar"/>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242" w:type="dxa"/>
            <w:noWrap w:val="0"/>
            <w:vAlign w:val="center"/>
          </w:tcPr>
          <w:p>
            <w:pPr>
              <w:widowControl/>
              <w:snapToGrid w:val="0"/>
              <w:jc w:val="left"/>
              <w:rPr>
                <w:rFonts w:hint="eastAsia" w:ascii="宋体" w:hAnsi="宋体" w:cs="仿宋"/>
                <w:b/>
                <w:bCs/>
                <w:color w:val="000000"/>
                <w:sz w:val="24"/>
                <w:szCs w:val="24"/>
                <w:lang w:bidi="ar"/>
              </w:rPr>
            </w:pPr>
            <w:r>
              <w:rPr>
                <w:rFonts w:hint="eastAsia" w:ascii="宋体" w:hAnsi="宋体" w:cs="仿宋"/>
                <w:color w:val="000000"/>
                <w:sz w:val="24"/>
                <w:szCs w:val="24"/>
                <w:lang w:val="en-US" w:eastAsia="zh-CN" w:bidi="ar"/>
              </w:rPr>
              <w:t>一、企业业绩</w:t>
            </w:r>
          </w:p>
        </w:tc>
        <w:tc>
          <w:tcPr>
            <w:tcW w:w="6521" w:type="dxa"/>
            <w:noWrap w:val="0"/>
            <w:vAlign w:val="center"/>
          </w:tcPr>
          <w:p>
            <w:pPr>
              <w:widowControl/>
              <w:snapToGrid w:val="0"/>
              <w:jc w:val="left"/>
              <w:rPr>
                <w:rFonts w:hint="eastAsia" w:ascii="宋体" w:hAnsi="宋体" w:cs="仿宋"/>
                <w:color w:val="000000"/>
                <w:sz w:val="24"/>
                <w:szCs w:val="24"/>
                <w:lang w:bidi="ar"/>
              </w:rPr>
            </w:pPr>
            <w:r>
              <w:rPr>
                <w:rFonts w:hint="eastAsia" w:ascii="宋体" w:hAnsi="宋体" w:eastAsia="宋体" w:cs="宋体"/>
                <w:bCs/>
                <w:sz w:val="24"/>
                <w:szCs w:val="28"/>
                <w:lang w:val="en-US" w:eastAsia="zh-CN"/>
              </w:rPr>
              <w:t>自2019年1月1日以来投标人有类似业绩的得0.5分，最多1分。（提供中标通知书及合同复印件加盖公章，不提供不得分）</w:t>
            </w:r>
          </w:p>
        </w:tc>
        <w:tc>
          <w:tcPr>
            <w:tcW w:w="850" w:type="dxa"/>
            <w:noWrap w:val="0"/>
            <w:vAlign w:val="center"/>
          </w:tcPr>
          <w:p>
            <w:pPr>
              <w:widowControl/>
              <w:snapToGrid w:val="0"/>
              <w:jc w:val="left"/>
              <w:rPr>
                <w:rFonts w:ascii="宋体" w:hAnsi="宋体" w:cs="仿宋"/>
                <w:color w:val="000000"/>
                <w:sz w:val="24"/>
                <w:szCs w:val="24"/>
                <w:lang w:bidi="ar"/>
              </w:rPr>
            </w:pPr>
            <w:r>
              <w:rPr>
                <w:rFonts w:hint="eastAsia" w:ascii="宋体" w:hAnsi="宋体" w:cs="仿宋"/>
                <w:color w:val="000000"/>
                <w:sz w:val="24"/>
                <w:szCs w:val="24"/>
                <w:lang w:val="en-US" w:eastAsia="zh-CN" w:bidi="ar"/>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42" w:type="dxa"/>
            <w:noWrap w:val="0"/>
            <w:vAlign w:val="center"/>
          </w:tcPr>
          <w:p>
            <w:pPr>
              <w:widowControl/>
              <w:snapToGrid w:val="0"/>
              <w:jc w:val="left"/>
              <w:rPr>
                <w:rFonts w:ascii="宋体" w:hAnsi="宋体" w:cs="仿宋"/>
                <w:b/>
                <w:bCs/>
                <w:color w:val="000000"/>
                <w:sz w:val="24"/>
                <w:szCs w:val="24"/>
                <w:lang w:bidi="ar"/>
              </w:rPr>
            </w:pPr>
            <w:r>
              <w:rPr>
                <w:rFonts w:hint="eastAsia" w:ascii="宋体" w:hAnsi="宋体" w:cs="仿宋"/>
                <w:color w:val="000000"/>
                <w:sz w:val="24"/>
                <w:szCs w:val="24"/>
                <w:lang w:bidi="ar"/>
              </w:rPr>
              <w:t>二、投入车辆设备</w:t>
            </w:r>
          </w:p>
        </w:tc>
        <w:tc>
          <w:tcPr>
            <w:tcW w:w="6521" w:type="dxa"/>
            <w:noWrap w:val="0"/>
            <w:vAlign w:val="center"/>
          </w:tcPr>
          <w:p>
            <w:pPr>
              <w:rPr>
                <w:rFonts w:hint="eastAsia" w:eastAsia="宋体"/>
                <w:bCs/>
                <w:sz w:val="24"/>
                <w:szCs w:val="28"/>
              </w:rPr>
            </w:pPr>
            <w:r>
              <w:rPr>
                <w:rFonts w:hint="eastAsia"/>
                <w:bCs/>
                <w:sz w:val="24"/>
                <w:szCs w:val="28"/>
                <w:lang w:eastAsia="zh-CN"/>
              </w:rPr>
              <w:t>（</w:t>
            </w:r>
            <w:r>
              <w:rPr>
                <w:rFonts w:hint="eastAsia"/>
                <w:bCs/>
                <w:sz w:val="24"/>
                <w:szCs w:val="28"/>
                <w:lang w:val="en-US" w:eastAsia="zh-CN"/>
              </w:rPr>
              <w:t>1</w:t>
            </w:r>
            <w:r>
              <w:rPr>
                <w:rFonts w:hint="eastAsia"/>
                <w:bCs/>
                <w:sz w:val="24"/>
                <w:szCs w:val="28"/>
                <w:lang w:eastAsia="zh-CN"/>
              </w:rPr>
              <w:t>）</w:t>
            </w:r>
            <w:r>
              <w:rPr>
                <w:rFonts w:hint="eastAsia" w:eastAsia="宋体"/>
                <w:bCs/>
                <w:sz w:val="24"/>
                <w:szCs w:val="28"/>
              </w:rPr>
              <w:t>提供7米以上登高车的，每辆得3分，最高3分；</w:t>
            </w:r>
          </w:p>
          <w:p>
            <w:pPr>
              <w:rPr>
                <w:rFonts w:hint="eastAsia" w:eastAsia="宋体"/>
                <w:bCs/>
                <w:sz w:val="24"/>
                <w:szCs w:val="28"/>
              </w:rPr>
            </w:pPr>
            <w:r>
              <w:rPr>
                <w:rFonts w:hint="eastAsia"/>
                <w:bCs/>
                <w:sz w:val="24"/>
                <w:szCs w:val="28"/>
                <w:lang w:eastAsia="zh-CN"/>
              </w:rPr>
              <w:t>（</w:t>
            </w:r>
            <w:r>
              <w:rPr>
                <w:rFonts w:hint="eastAsia"/>
                <w:bCs/>
                <w:sz w:val="24"/>
                <w:szCs w:val="28"/>
                <w:lang w:val="en-US" w:eastAsia="zh-CN"/>
              </w:rPr>
              <w:t>2</w:t>
            </w:r>
            <w:r>
              <w:rPr>
                <w:rFonts w:hint="eastAsia"/>
                <w:bCs/>
                <w:sz w:val="24"/>
                <w:szCs w:val="28"/>
                <w:lang w:eastAsia="zh-CN"/>
              </w:rPr>
              <w:t>）</w:t>
            </w:r>
            <w:r>
              <w:rPr>
                <w:rFonts w:hint="eastAsia" w:eastAsia="宋体"/>
                <w:bCs/>
                <w:sz w:val="24"/>
                <w:szCs w:val="28"/>
              </w:rPr>
              <w:t>提供道路抢修抢险的车辆，养护车辆中有统一企业标识及车身颜色（黄色）（行驶证上使用性质须为“工程救险或工程抢险”）的每辆得3分，最高得6分；</w:t>
            </w:r>
          </w:p>
          <w:p>
            <w:pPr>
              <w:rPr>
                <w:rFonts w:hint="eastAsia" w:eastAsia="宋体"/>
                <w:bCs/>
                <w:sz w:val="24"/>
                <w:szCs w:val="28"/>
              </w:rPr>
            </w:pPr>
            <w:r>
              <w:rPr>
                <w:rFonts w:hint="eastAsia"/>
                <w:bCs/>
                <w:sz w:val="24"/>
                <w:szCs w:val="28"/>
                <w:lang w:eastAsia="zh-CN"/>
              </w:rPr>
              <w:t>（</w:t>
            </w:r>
            <w:r>
              <w:rPr>
                <w:rFonts w:hint="eastAsia"/>
                <w:bCs/>
                <w:sz w:val="24"/>
                <w:szCs w:val="28"/>
                <w:lang w:val="en-US" w:eastAsia="zh-CN"/>
              </w:rPr>
              <w:t>3</w:t>
            </w:r>
            <w:r>
              <w:rPr>
                <w:rFonts w:hint="eastAsia"/>
                <w:bCs/>
                <w:sz w:val="24"/>
                <w:szCs w:val="28"/>
                <w:lang w:eastAsia="zh-CN"/>
              </w:rPr>
              <w:t>）</w:t>
            </w:r>
            <w:r>
              <w:rPr>
                <w:rFonts w:hint="eastAsia" w:eastAsia="宋体"/>
                <w:bCs/>
                <w:sz w:val="24"/>
                <w:szCs w:val="28"/>
              </w:rPr>
              <w:t>提</w:t>
            </w:r>
            <w:r>
              <w:rPr>
                <w:rFonts w:hint="eastAsia"/>
                <w:bCs/>
                <w:sz w:val="24"/>
                <w:szCs w:val="28"/>
                <w:lang w:val="en-US" w:eastAsia="zh-CN"/>
              </w:rPr>
              <w:t>供</w:t>
            </w:r>
            <w:r>
              <w:rPr>
                <w:rFonts w:hint="eastAsia" w:eastAsia="宋体"/>
                <w:bCs/>
                <w:sz w:val="24"/>
                <w:szCs w:val="28"/>
              </w:rPr>
              <w:t>多功能道路供抑尘车得2分，最高得2分；</w:t>
            </w:r>
          </w:p>
          <w:p>
            <w:pPr>
              <w:rPr>
                <w:rFonts w:hint="eastAsia" w:eastAsia="宋体"/>
                <w:bCs/>
                <w:sz w:val="24"/>
                <w:szCs w:val="28"/>
              </w:rPr>
            </w:pPr>
            <w:r>
              <w:rPr>
                <w:rFonts w:hint="eastAsia"/>
                <w:bCs/>
                <w:sz w:val="24"/>
                <w:szCs w:val="28"/>
                <w:lang w:eastAsia="zh-CN"/>
              </w:rPr>
              <w:t>（</w:t>
            </w:r>
            <w:r>
              <w:rPr>
                <w:rFonts w:hint="eastAsia"/>
                <w:bCs/>
                <w:sz w:val="24"/>
                <w:szCs w:val="28"/>
                <w:lang w:val="en-US" w:eastAsia="zh-CN"/>
              </w:rPr>
              <w:t>4</w:t>
            </w:r>
            <w:r>
              <w:rPr>
                <w:rFonts w:hint="eastAsia"/>
                <w:bCs/>
                <w:sz w:val="24"/>
                <w:szCs w:val="28"/>
                <w:lang w:eastAsia="zh-CN"/>
              </w:rPr>
              <w:t>）</w:t>
            </w:r>
            <w:r>
              <w:rPr>
                <w:rFonts w:hint="eastAsia" w:eastAsia="宋体"/>
                <w:bCs/>
                <w:sz w:val="24"/>
                <w:szCs w:val="28"/>
              </w:rPr>
              <w:t>提供市政养护巡查车辆的每辆得2分，最高得2分；</w:t>
            </w:r>
          </w:p>
          <w:p>
            <w:pPr>
              <w:rPr>
                <w:rFonts w:hint="eastAsia" w:eastAsia="宋体"/>
                <w:bCs/>
                <w:sz w:val="24"/>
                <w:szCs w:val="28"/>
              </w:rPr>
            </w:pPr>
            <w:r>
              <w:rPr>
                <w:rFonts w:hint="eastAsia"/>
                <w:bCs/>
                <w:sz w:val="24"/>
                <w:szCs w:val="28"/>
                <w:lang w:eastAsia="zh-CN"/>
              </w:rPr>
              <w:t>（</w:t>
            </w:r>
            <w:r>
              <w:rPr>
                <w:rFonts w:hint="eastAsia"/>
                <w:bCs/>
                <w:sz w:val="24"/>
                <w:szCs w:val="28"/>
                <w:lang w:val="en-US" w:eastAsia="zh-CN"/>
              </w:rPr>
              <w:t>5</w:t>
            </w:r>
            <w:r>
              <w:rPr>
                <w:rFonts w:hint="eastAsia"/>
                <w:bCs/>
                <w:sz w:val="24"/>
                <w:szCs w:val="28"/>
                <w:lang w:eastAsia="zh-CN"/>
              </w:rPr>
              <w:t>）</w:t>
            </w:r>
            <w:r>
              <w:rPr>
                <w:rFonts w:hint="eastAsia" w:eastAsia="宋体"/>
                <w:bCs/>
                <w:sz w:val="24"/>
                <w:szCs w:val="28"/>
              </w:rPr>
              <w:t>提供沥青保温车的每辆得2分，最高得2分；</w:t>
            </w:r>
          </w:p>
          <w:p>
            <w:pPr>
              <w:rPr>
                <w:rFonts w:hint="eastAsia" w:eastAsia="宋体"/>
                <w:bCs/>
                <w:sz w:val="24"/>
                <w:szCs w:val="28"/>
              </w:rPr>
            </w:pPr>
            <w:r>
              <w:rPr>
                <w:rFonts w:hint="eastAsia" w:eastAsia="宋体"/>
                <w:b/>
                <w:bCs w:val="0"/>
                <w:sz w:val="24"/>
                <w:szCs w:val="28"/>
              </w:rPr>
              <w:t>以上设备及车辆要求开标时提供车辆行驶证和发票的</w:t>
            </w:r>
            <w:r>
              <w:rPr>
                <w:rFonts w:hint="eastAsia"/>
                <w:b/>
                <w:bCs w:val="0"/>
                <w:sz w:val="24"/>
                <w:szCs w:val="28"/>
                <w:lang w:val="en-US" w:eastAsia="zh-CN"/>
              </w:rPr>
              <w:t>复印件或扫描件</w:t>
            </w:r>
            <w:r>
              <w:rPr>
                <w:rFonts w:hint="eastAsia" w:eastAsia="宋体"/>
                <w:b/>
                <w:bCs w:val="0"/>
                <w:sz w:val="24"/>
                <w:szCs w:val="28"/>
              </w:rPr>
              <w:t>，否则该项不得分；如租赁的，要求开标时提供租赁合同、车辆行驶证和发票的复印件加盖设备或车辆所有人公章及投标单位公章，否则该项不得分。</w:t>
            </w:r>
          </w:p>
        </w:tc>
        <w:tc>
          <w:tcPr>
            <w:tcW w:w="850" w:type="dxa"/>
            <w:noWrap w:val="0"/>
            <w:vAlign w:val="center"/>
          </w:tcPr>
          <w:p>
            <w:pPr>
              <w:widowControl/>
              <w:snapToGrid w:val="0"/>
              <w:jc w:val="left"/>
              <w:rPr>
                <w:rFonts w:ascii="宋体" w:hAnsi="宋体" w:cs="仿宋"/>
                <w:color w:val="000000"/>
                <w:sz w:val="24"/>
                <w:szCs w:val="24"/>
                <w:lang w:bidi="ar"/>
              </w:rPr>
            </w:pPr>
            <w:r>
              <w:rPr>
                <w:rFonts w:hint="eastAsia" w:ascii="宋体" w:hAnsi="宋体" w:cs="仿宋"/>
                <w:color w:val="000000"/>
                <w:sz w:val="24"/>
                <w:szCs w:val="24"/>
                <w:lang w:bidi="ar"/>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5" w:hRule="atLeast"/>
        </w:trPr>
        <w:tc>
          <w:tcPr>
            <w:tcW w:w="1242" w:type="dxa"/>
            <w:noWrap w:val="0"/>
            <w:vAlign w:val="center"/>
          </w:tcPr>
          <w:p>
            <w:pPr>
              <w:widowControl/>
              <w:snapToGrid w:val="0"/>
              <w:jc w:val="left"/>
              <w:rPr>
                <w:rFonts w:hint="eastAsia" w:ascii="宋体" w:hAnsi="宋体" w:cs="仿宋"/>
                <w:color w:val="000000"/>
                <w:sz w:val="24"/>
                <w:szCs w:val="24"/>
                <w:lang w:bidi="ar"/>
              </w:rPr>
            </w:pPr>
            <w:r>
              <w:rPr>
                <w:rFonts w:hint="eastAsia" w:ascii="宋体" w:hAnsi="宋体" w:cs="仿宋"/>
                <w:color w:val="000000"/>
                <w:sz w:val="24"/>
                <w:szCs w:val="24"/>
                <w:lang w:val="en-US" w:eastAsia="zh-CN" w:bidi="ar"/>
              </w:rPr>
              <w:t>三</w:t>
            </w:r>
            <w:r>
              <w:rPr>
                <w:rFonts w:hint="eastAsia" w:ascii="宋体" w:hAnsi="宋体" w:cs="仿宋"/>
                <w:color w:val="000000"/>
                <w:sz w:val="24"/>
                <w:szCs w:val="24"/>
                <w:lang w:bidi="ar"/>
              </w:rPr>
              <w:t>、人员</w:t>
            </w:r>
          </w:p>
        </w:tc>
        <w:tc>
          <w:tcPr>
            <w:tcW w:w="6521" w:type="dxa"/>
            <w:noWrap w:val="0"/>
            <w:vAlign w:val="center"/>
          </w:tcPr>
          <w:p>
            <w:pPr>
              <w:widowControl/>
              <w:snapToGrid w:val="0"/>
              <w:jc w:val="left"/>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cs="宋体"/>
                <w:sz w:val="24"/>
                <w:szCs w:val="24"/>
              </w:rPr>
              <w:t>项目负责人具有市政工程贰级及以上建造师的得2分，项目负责人具有中级及以上职称的得2分，本项最高4分；</w:t>
            </w: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常驻现场管理人员具有市政工程贰级及以上建造师的得2分，同时具备中级及以上职称的得2分，本项最高4分；（与项目负责人非同一人）</w:t>
            </w:r>
          </w:p>
          <w:p>
            <w:pPr>
              <w:widowControl/>
              <w:snapToGrid w:val="0"/>
              <w:jc w:val="left"/>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rPr>
              <w:t>本项目需配备日常巡查人员，用于每日在闲林街道辖区范围内巡查市政状况，每日不少于两次，每次不少于4人，本项最高4分；</w:t>
            </w:r>
          </w:p>
          <w:p>
            <w:pPr>
              <w:widowControl/>
              <w:snapToGrid w:val="0"/>
              <w:jc w:val="left"/>
              <w:rPr>
                <w:rFonts w:hint="eastAsia"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hAnsi="宋体" w:cs="宋体"/>
                <w:sz w:val="24"/>
                <w:szCs w:val="24"/>
              </w:rPr>
              <w:t>本项目需配备常驻资料员，用于人员进场记录与材料、维修状况等记录，本项最高3分；</w:t>
            </w:r>
          </w:p>
          <w:p>
            <w:pPr>
              <w:widowControl/>
              <w:snapToGrid w:val="0"/>
              <w:jc w:val="left"/>
              <w:rPr>
                <w:rFonts w:hint="eastAsia" w:ascii="宋体" w:hAnsi="宋体" w:cs="仿宋"/>
                <w:color w:val="000000"/>
                <w:sz w:val="24"/>
                <w:szCs w:val="24"/>
                <w:lang w:bidi="ar"/>
              </w:rPr>
            </w:pPr>
            <w:r>
              <w:rPr>
                <w:rFonts w:hint="eastAsia" w:hAnsi="宋体" w:cs="宋体"/>
                <w:b/>
                <w:bCs/>
                <w:sz w:val="24"/>
                <w:szCs w:val="24"/>
              </w:rPr>
              <w:t>提供</w:t>
            </w:r>
            <w:r>
              <w:rPr>
                <w:rFonts w:hint="eastAsia" w:hAnsi="宋体" w:cs="宋体"/>
                <w:b/>
                <w:bCs/>
                <w:sz w:val="24"/>
                <w:szCs w:val="24"/>
                <w:lang w:val="en-US" w:eastAsia="zh-CN"/>
              </w:rPr>
              <w:t>相关证书和</w:t>
            </w:r>
            <w:r>
              <w:rPr>
                <w:rFonts w:hint="eastAsia" w:hAnsi="宋体" w:cs="宋体"/>
                <w:b/>
                <w:bCs/>
                <w:sz w:val="24"/>
                <w:szCs w:val="24"/>
              </w:rPr>
              <w:t>最近</w:t>
            </w:r>
            <w:r>
              <w:rPr>
                <w:rFonts w:hint="eastAsia" w:hAnsi="宋体" w:cs="宋体"/>
                <w:b/>
                <w:bCs/>
                <w:sz w:val="24"/>
                <w:szCs w:val="24"/>
                <w:lang w:val="en-US" w:eastAsia="zh-CN"/>
              </w:rPr>
              <w:t>一</w:t>
            </w:r>
            <w:r>
              <w:rPr>
                <w:rFonts w:hint="eastAsia" w:hAnsi="宋体" w:cs="宋体"/>
                <w:b/>
                <w:bCs/>
                <w:sz w:val="24"/>
                <w:szCs w:val="24"/>
              </w:rPr>
              <w:t>个月社保</w:t>
            </w:r>
            <w:r>
              <w:rPr>
                <w:rFonts w:hint="eastAsia" w:ascii="宋体" w:hAnsi="宋体" w:cs="宋体"/>
                <w:b/>
                <w:bCs/>
                <w:sz w:val="24"/>
                <w:szCs w:val="24"/>
                <w:lang w:val="en-US" w:eastAsia="zh-CN"/>
              </w:rPr>
              <w:t>复印件或扫描件</w:t>
            </w:r>
            <w:r>
              <w:rPr>
                <w:rFonts w:hint="eastAsia" w:hAnsi="宋体" w:cs="宋体"/>
                <w:b/>
                <w:bCs/>
                <w:sz w:val="24"/>
                <w:szCs w:val="24"/>
              </w:rPr>
              <w:t>，否则不得分</w:t>
            </w:r>
          </w:p>
        </w:tc>
        <w:tc>
          <w:tcPr>
            <w:tcW w:w="850" w:type="dxa"/>
            <w:noWrap w:val="0"/>
            <w:vAlign w:val="center"/>
          </w:tcPr>
          <w:p>
            <w:pPr>
              <w:widowControl/>
              <w:snapToGrid w:val="0"/>
              <w:jc w:val="left"/>
              <w:rPr>
                <w:rFonts w:ascii="宋体" w:hAnsi="宋体" w:cs="仿宋"/>
                <w:color w:val="000000"/>
                <w:sz w:val="24"/>
                <w:szCs w:val="24"/>
                <w:lang w:bidi="ar"/>
              </w:rPr>
            </w:pPr>
            <w:r>
              <w:rPr>
                <w:rFonts w:hint="eastAsia" w:ascii="宋体" w:hAnsi="宋体" w:cs="仿宋"/>
                <w:color w:val="000000"/>
                <w:sz w:val="24"/>
                <w:szCs w:val="24"/>
                <w:lang w:bidi="ar"/>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42" w:type="dxa"/>
            <w:noWrap w:val="0"/>
            <w:vAlign w:val="center"/>
          </w:tcPr>
          <w:p>
            <w:pPr>
              <w:widowControl/>
              <w:snapToGrid w:val="0"/>
              <w:jc w:val="left"/>
              <w:rPr>
                <w:rFonts w:hint="eastAsia" w:ascii="宋体" w:hAnsi="宋体" w:cs="仿宋"/>
                <w:color w:val="000000"/>
                <w:sz w:val="24"/>
                <w:szCs w:val="24"/>
                <w:lang w:bidi="ar"/>
              </w:rPr>
            </w:pPr>
            <w:r>
              <w:rPr>
                <w:rFonts w:hint="eastAsia" w:ascii="宋体" w:hAnsi="宋体" w:cs="仿宋"/>
                <w:color w:val="000000"/>
                <w:sz w:val="24"/>
                <w:szCs w:val="24"/>
                <w:lang w:val="en-US" w:eastAsia="zh-CN" w:bidi="ar"/>
              </w:rPr>
              <w:t>四</w:t>
            </w:r>
            <w:r>
              <w:rPr>
                <w:rFonts w:hint="eastAsia" w:ascii="宋体" w:hAnsi="宋体" w:cs="仿宋"/>
                <w:color w:val="000000"/>
                <w:sz w:val="24"/>
                <w:szCs w:val="24"/>
                <w:lang w:bidi="ar"/>
              </w:rPr>
              <w:t>、企业现有且能投入本项目的养护设备情况</w:t>
            </w:r>
          </w:p>
        </w:tc>
        <w:tc>
          <w:tcPr>
            <w:tcW w:w="6521" w:type="dxa"/>
            <w:noWrap w:val="0"/>
            <w:vAlign w:val="center"/>
          </w:tcPr>
          <w:p>
            <w:pPr>
              <w:widowControl/>
              <w:snapToGrid w:val="0"/>
              <w:jc w:val="left"/>
              <w:rPr>
                <w:rFonts w:hint="eastAsia" w:ascii="宋体" w:hAnsi="宋体" w:eastAsia="宋体" w:cs="宋体"/>
                <w:bCs/>
                <w:sz w:val="24"/>
                <w:szCs w:val="28"/>
              </w:rPr>
            </w:pPr>
            <w:r>
              <w:rPr>
                <w:rFonts w:hint="eastAsia" w:ascii="宋体" w:hAnsi="宋体" w:cs="宋体"/>
                <w:bCs/>
                <w:sz w:val="24"/>
                <w:szCs w:val="28"/>
                <w:lang w:eastAsia="zh-CN"/>
              </w:rPr>
              <w:t>（</w:t>
            </w:r>
            <w:r>
              <w:rPr>
                <w:rFonts w:hint="eastAsia" w:ascii="宋体" w:hAnsi="宋体" w:cs="宋体"/>
                <w:bCs/>
                <w:sz w:val="24"/>
                <w:szCs w:val="28"/>
                <w:lang w:val="en-US" w:eastAsia="zh-CN"/>
              </w:rPr>
              <w:t>1）</w:t>
            </w:r>
            <w:r>
              <w:rPr>
                <w:rFonts w:hint="eastAsia" w:ascii="宋体" w:hAnsi="宋体" w:eastAsia="宋体" w:cs="宋体"/>
                <w:bCs/>
                <w:sz w:val="24"/>
                <w:szCs w:val="28"/>
              </w:rPr>
              <w:t>根据本项目实际情况提供大功率抽水水泵（200m³/小时）每台得1分，最高得2分；</w:t>
            </w:r>
          </w:p>
          <w:p>
            <w:pPr>
              <w:widowControl/>
              <w:snapToGrid w:val="0"/>
              <w:jc w:val="left"/>
              <w:rPr>
                <w:rFonts w:hint="eastAsia" w:ascii="宋体" w:hAnsi="宋体" w:eastAsia="宋体" w:cs="宋体"/>
                <w:bCs/>
                <w:sz w:val="24"/>
                <w:szCs w:val="28"/>
              </w:rPr>
            </w:pPr>
            <w:r>
              <w:rPr>
                <w:rFonts w:hint="eastAsia" w:ascii="宋体" w:hAnsi="宋体" w:cs="宋体"/>
                <w:bCs/>
                <w:sz w:val="24"/>
                <w:szCs w:val="28"/>
                <w:lang w:eastAsia="zh-CN"/>
              </w:rPr>
              <w:t>（</w:t>
            </w:r>
            <w:r>
              <w:rPr>
                <w:rFonts w:hint="eastAsia" w:ascii="宋体" w:hAnsi="宋体" w:cs="宋体"/>
                <w:bCs/>
                <w:sz w:val="24"/>
                <w:szCs w:val="28"/>
                <w:lang w:val="en-US" w:eastAsia="zh-CN"/>
              </w:rPr>
              <w:t>2）</w:t>
            </w:r>
            <w:r>
              <w:rPr>
                <w:rFonts w:hint="eastAsia" w:ascii="宋体" w:hAnsi="宋体" w:eastAsia="宋体" w:cs="宋体"/>
                <w:bCs/>
                <w:sz w:val="24"/>
                <w:szCs w:val="28"/>
              </w:rPr>
              <w:t>提供2吨以上压路机的得3分，最高得3分；</w:t>
            </w:r>
          </w:p>
          <w:p>
            <w:pPr>
              <w:widowControl/>
              <w:snapToGrid w:val="0"/>
              <w:jc w:val="left"/>
              <w:rPr>
                <w:rFonts w:hint="eastAsia" w:ascii="宋体" w:hAnsi="宋体" w:eastAsia="宋体" w:cs="宋体"/>
                <w:bCs/>
                <w:sz w:val="24"/>
                <w:szCs w:val="28"/>
              </w:rPr>
            </w:pPr>
            <w:r>
              <w:rPr>
                <w:rFonts w:hint="eastAsia" w:ascii="宋体" w:hAnsi="宋体" w:cs="宋体"/>
                <w:bCs/>
                <w:sz w:val="24"/>
                <w:szCs w:val="28"/>
                <w:lang w:eastAsia="zh-CN"/>
              </w:rPr>
              <w:t>（</w:t>
            </w:r>
            <w:r>
              <w:rPr>
                <w:rFonts w:hint="eastAsia" w:ascii="宋体" w:hAnsi="宋体" w:cs="宋体"/>
                <w:bCs/>
                <w:sz w:val="24"/>
                <w:szCs w:val="28"/>
                <w:lang w:val="en-US" w:eastAsia="zh-CN"/>
              </w:rPr>
              <w:t>3）</w:t>
            </w:r>
            <w:r>
              <w:rPr>
                <w:rFonts w:hint="eastAsia" w:ascii="宋体" w:hAnsi="宋体" w:eastAsia="宋体" w:cs="宋体"/>
                <w:bCs/>
                <w:sz w:val="24"/>
                <w:szCs w:val="28"/>
              </w:rPr>
              <w:t>提供沥青摊铺机的得3分，最高得3分；</w:t>
            </w:r>
          </w:p>
          <w:p>
            <w:pPr>
              <w:widowControl/>
              <w:snapToGrid w:val="0"/>
              <w:jc w:val="left"/>
              <w:rPr>
                <w:rFonts w:hint="eastAsia" w:ascii="宋体" w:hAnsi="宋体" w:cs="仿宋"/>
                <w:color w:val="000000"/>
                <w:sz w:val="24"/>
                <w:szCs w:val="24"/>
                <w:lang w:bidi="ar"/>
              </w:rPr>
            </w:pPr>
            <w:r>
              <w:rPr>
                <w:rFonts w:hint="eastAsia" w:ascii="宋体" w:hAnsi="宋体" w:cs="宋体"/>
                <w:bCs/>
                <w:sz w:val="24"/>
                <w:szCs w:val="28"/>
                <w:lang w:eastAsia="zh-CN"/>
              </w:rPr>
              <w:t>（</w:t>
            </w:r>
            <w:r>
              <w:rPr>
                <w:rFonts w:hint="eastAsia" w:ascii="宋体" w:hAnsi="宋体" w:cs="宋体"/>
                <w:bCs/>
                <w:sz w:val="24"/>
                <w:szCs w:val="28"/>
                <w:lang w:val="en-US" w:eastAsia="zh-CN"/>
              </w:rPr>
              <w:t>4）</w:t>
            </w:r>
            <w:r>
              <w:rPr>
                <w:rFonts w:hint="eastAsia" w:ascii="宋体" w:hAnsi="宋体" w:eastAsia="宋体" w:cs="宋体"/>
                <w:bCs/>
                <w:sz w:val="24"/>
                <w:szCs w:val="28"/>
              </w:rPr>
              <w:t>提供300毫米以上沥青铣刨机的得3分，最高得3分；</w:t>
            </w:r>
            <w:r>
              <w:rPr>
                <w:rFonts w:hint="eastAsia" w:ascii="宋体" w:hAnsi="宋体" w:eastAsia="宋体" w:cs="宋体"/>
                <w:b/>
                <w:bCs w:val="0"/>
                <w:sz w:val="24"/>
                <w:szCs w:val="28"/>
              </w:rPr>
              <w:t>以上设备要求提发票的</w:t>
            </w:r>
            <w:r>
              <w:rPr>
                <w:rFonts w:hint="eastAsia" w:ascii="宋体" w:hAnsi="宋体" w:cs="宋体"/>
                <w:b/>
                <w:bCs w:val="0"/>
                <w:sz w:val="24"/>
                <w:szCs w:val="28"/>
                <w:lang w:val="en-US" w:eastAsia="zh-CN"/>
              </w:rPr>
              <w:t>复印件或扫描件</w:t>
            </w:r>
            <w:r>
              <w:rPr>
                <w:rFonts w:hint="eastAsia" w:ascii="宋体" w:hAnsi="宋体" w:eastAsia="宋体" w:cs="宋体"/>
                <w:b/>
                <w:bCs w:val="0"/>
                <w:sz w:val="24"/>
                <w:szCs w:val="28"/>
              </w:rPr>
              <w:t>（如租赁的，提供租赁合同、发票的复印件加盖设备或车辆所有人公章及投标单位公章），否则该项不得分。</w:t>
            </w:r>
          </w:p>
        </w:tc>
        <w:tc>
          <w:tcPr>
            <w:tcW w:w="850" w:type="dxa"/>
            <w:noWrap w:val="0"/>
            <w:vAlign w:val="center"/>
          </w:tcPr>
          <w:p>
            <w:pPr>
              <w:widowControl/>
              <w:snapToGrid w:val="0"/>
              <w:jc w:val="left"/>
              <w:rPr>
                <w:rFonts w:ascii="宋体" w:hAnsi="宋体" w:cs="仿宋"/>
                <w:color w:val="000000"/>
                <w:sz w:val="24"/>
                <w:szCs w:val="24"/>
                <w:lang w:bidi="ar"/>
              </w:rPr>
            </w:pPr>
            <w:r>
              <w:rPr>
                <w:rFonts w:hint="eastAsia" w:ascii="宋体" w:hAnsi="宋体" w:cs="仿宋"/>
                <w:color w:val="000000"/>
                <w:sz w:val="24"/>
                <w:szCs w:val="24"/>
                <w:lang w:bidi="ar"/>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42" w:type="dxa"/>
            <w:noWrap w:val="0"/>
            <w:vAlign w:val="center"/>
          </w:tcPr>
          <w:p>
            <w:pPr>
              <w:widowControl/>
              <w:snapToGrid w:val="0"/>
              <w:jc w:val="left"/>
              <w:rPr>
                <w:rFonts w:hint="eastAsia" w:ascii="宋体" w:hAnsi="宋体" w:eastAsia="宋体" w:cs="仿宋"/>
                <w:color w:val="000000"/>
                <w:kern w:val="2"/>
                <w:sz w:val="24"/>
                <w:szCs w:val="24"/>
                <w:lang w:val="en-US" w:eastAsia="zh-CN" w:bidi="ar"/>
              </w:rPr>
            </w:pPr>
            <w:r>
              <w:rPr>
                <w:rFonts w:hint="eastAsia" w:ascii="宋体" w:hAnsi="宋体" w:cs="仿宋"/>
                <w:color w:val="000000"/>
                <w:sz w:val="24"/>
                <w:szCs w:val="24"/>
                <w:lang w:val="en-US" w:eastAsia="zh-CN" w:bidi="ar"/>
              </w:rPr>
              <w:t>五</w:t>
            </w:r>
            <w:r>
              <w:rPr>
                <w:rFonts w:hint="eastAsia" w:ascii="宋体" w:hAnsi="宋体" w:cs="仿宋"/>
                <w:color w:val="000000"/>
                <w:sz w:val="24"/>
                <w:szCs w:val="24"/>
                <w:lang w:bidi="ar"/>
              </w:rPr>
              <w:t>、企业管理</w:t>
            </w:r>
          </w:p>
        </w:tc>
        <w:tc>
          <w:tcPr>
            <w:tcW w:w="6521" w:type="dxa"/>
            <w:noWrap w:val="0"/>
            <w:vAlign w:val="center"/>
          </w:tcPr>
          <w:p>
            <w:pPr>
              <w:widowControl/>
              <w:snapToGrid w:val="0"/>
              <w:jc w:val="left"/>
              <w:rPr>
                <w:rFonts w:hint="eastAsia" w:ascii="宋体" w:hAnsi="宋体" w:eastAsia="宋体" w:cs="宋体"/>
                <w:bCs/>
                <w:kern w:val="2"/>
                <w:sz w:val="24"/>
                <w:szCs w:val="28"/>
                <w:lang w:val="en-US" w:eastAsia="zh-CN" w:bidi="ar-SA"/>
              </w:rPr>
            </w:pPr>
            <w:r>
              <w:rPr>
                <w:rFonts w:hint="eastAsia" w:ascii="宋体" w:hAnsi="宋体" w:cs="宋体"/>
                <w:bCs/>
                <w:sz w:val="24"/>
                <w:szCs w:val="28"/>
              </w:rPr>
              <w:t>企业有完善的安全生产制度、安全管理台帐、安全生产培训记录，并有专职安全员，每项得0.25分，共1分。近两年未发生安全生产事故的得1分。</w:t>
            </w:r>
          </w:p>
        </w:tc>
        <w:tc>
          <w:tcPr>
            <w:tcW w:w="850" w:type="dxa"/>
            <w:noWrap w:val="0"/>
            <w:vAlign w:val="center"/>
          </w:tcPr>
          <w:p>
            <w:pPr>
              <w:widowControl/>
              <w:snapToGrid w:val="0"/>
              <w:jc w:val="left"/>
              <w:rPr>
                <w:rFonts w:hint="eastAsia" w:ascii="宋体" w:hAnsi="宋体" w:eastAsia="宋体" w:cs="仿宋"/>
                <w:color w:val="000000"/>
                <w:kern w:val="2"/>
                <w:sz w:val="24"/>
                <w:szCs w:val="24"/>
                <w:lang w:val="en-US" w:eastAsia="zh-CN" w:bidi="ar"/>
              </w:rPr>
            </w:pPr>
            <w:r>
              <w:rPr>
                <w:rFonts w:hint="eastAsia" w:ascii="宋体" w:hAnsi="宋体" w:cs="仿宋"/>
                <w:color w:val="000000"/>
                <w:sz w:val="24"/>
                <w:szCs w:val="24"/>
                <w:lang w:bidi="ar"/>
              </w:rPr>
              <w:t>0-2</w:t>
            </w:r>
          </w:p>
        </w:tc>
      </w:tr>
    </w:tbl>
    <w:p>
      <w:pPr>
        <w:widowControl/>
        <w:spacing w:line="360" w:lineRule="auto"/>
        <w:jc w:val="left"/>
        <w:rPr>
          <w:rFonts w:ascii="宋体" w:hAnsi="宋体"/>
          <w:color w:val="000000"/>
          <w:sz w:val="24"/>
          <w:szCs w:val="24"/>
        </w:rPr>
      </w:pPr>
      <w:r>
        <w:rPr>
          <w:rFonts w:hint="eastAsia" w:ascii="宋体" w:hAnsi="宋体" w:cs="仿宋"/>
          <w:b/>
          <w:bCs/>
          <w:color w:val="000000"/>
          <w:sz w:val="24"/>
          <w:szCs w:val="24"/>
          <w:lang w:bidi="ar"/>
        </w:rPr>
        <w:t>2技术部分评分细则（满分</w:t>
      </w:r>
      <w:r>
        <w:rPr>
          <w:rFonts w:hint="eastAsia" w:ascii="宋体" w:hAnsi="宋体" w:cs="仿宋"/>
          <w:b/>
          <w:bCs/>
          <w:color w:val="000000"/>
          <w:sz w:val="24"/>
          <w:szCs w:val="24"/>
          <w:lang w:val="en-US" w:eastAsia="zh-CN" w:bidi="ar"/>
        </w:rPr>
        <w:t>46</w:t>
      </w:r>
      <w:r>
        <w:rPr>
          <w:rFonts w:hint="eastAsia" w:ascii="宋体" w:hAnsi="宋体" w:cs="仿宋"/>
          <w:b/>
          <w:bCs/>
          <w:color w:val="000000"/>
          <w:sz w:val="24"/>
          <w:szCs w:val="24"/>
          <w:lang w:bidi="ar"/>
        </w:rPr>
        <w:t>分）</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095"/>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pPr>
              <w:widowControl/>
              <w:jc w:val="center"/>
              <w:rPr>
                <w:rFonts w:hint="eastAsia" w:ascii="宋体" w:hAnsi="宋体" w:cs="仿宋"/>
                <w:b/>
                <w:bCs/>
                <w:color w:val="000000"/>
                <w:sz w:val="24"/>
                <w:szCs w:val="24"/>
                <w:lang w:bidi="ar"/>
              </w:rPr>
            </w:pPr>
            <w:r>
              <w:rPr>
                <w:rFonts w:hint="eastAsia" w:ascii="宋体" w:hAnsi="宋体" w:cs="仿宋"/>
                <w:b/>
                <w:bCs/>
                <w:color w:val="000000"/>
                <w:sz w:val="24"/>
                <w:szCs w:val="24"/>
                <w:lang w:bidi="ar"/>
              </w:rPr>
              <w:t>评审因素</w:t>
            </w:r>
          </w:p>
        </w:tc>
        <w:tc>
          <w:tcPr>
            <w:tcW w:w="6095" w:type="dxa"/>
            <w:noWrap w:val="0"/>
            <w:vAlign w:val="center"/>
          </w:tcPr>
          <w:p>
            <w:pPr>
              <w:widowControl/>
              <w:jc w:val="center"/>
              <w:rPr>
                <w:rFonts w:hint="eastAsia" w:ascii="宋体" w:hAnsi="宋体" w:cs="仿宋"/>
                <w:b/>
                <w:bCs/>
                <w:color w:val="000000"/>
                <w:sz w:val="24"/>
                <w:szCs w:val="24"/>
                <w:lang w:bidi="ar"/>
              </w:rPr>
            </w:pPr>
            <w:r>
              <w:rPr>
                <w:rFonts w:hint="eastAsia" w:ascii="宋体" w:hAnsi="宋体" w:cs="仿宋"/>
                <w:b/>
                <w:bCs/>
                <w:color w:val="000000"/>
                <w:sz w:val="24"/>
                <w:szCs w:val="24"/>
                <w:lang w:bidi="ar"/>
              </w:rPr>
              <w:t>评审内容</w:t>
            </w:r>
          </w:p>
        </w:tc>
        <w:tc>
          <w:tcPr>
            <w:tcW w:w="723" w:type="dxa"/>
            <w:noWrap w:val="0"/>
            <w:vAlign w:val="center"/>
          </w:tcPr>
          <w:p>
            <w:pPr>
              <w:widowControl/>
              <w:tabs>
                <w:tab w:val="left" w:pos="1152"/>
              </w:tabs>
              <w:snapToGrid w:val="0"/>
              <w:jc w:val="center"/>
              <w:rPr>
                <w:rFonts w:hint="eastAsia" w:ascii="宋体" w:hAnsi="宋体" w:cs="仿宋"/>
                <w:b/>
                <w:bCs/>
                <w:color w:val="000000"/>
                <w:sz w:val="24"/>
                <w:szCs w:val="24"/>
                <w:lang w:bidi="ar"/>
              </w:rPr>
            </w:pPr>
            <w:r>
              <w:rPr>
                <w:rFonts w:hint="eastAsia" w:ascii="宋体" w:hAnsi="宋体" w:cs="仿宋"/>
                <w:b/>
                <w:bCs/>
                <w:color w:val="000000"/>
                <w:sz w:val="24"/>
                <w:szCs w:val="24"/>
                <w:lang w:bidi="ar"/>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noWrap w:val="0"/>
            <w:vAlign w:val="center"/>
          </w:tcPr>
          <w:p>
            <w:pPr>
              <w:widowControl/>
              <w:snapToGrid w:val="0"/>
              <w:jc w:val="left"/>
              <w:rPr>
                <w:rFonts w:hint="eastAsia" w:ascii="宋体" w:hAnsi="宋体" w:cs="仿宋"/>
                <w:color w:val="000000"/>
                <w:sz w:val="24"/>
                <w:szCs w:val="24"/>
                <w:lang w:bidi="ar"/>
              </w:rPr>
            </w:pPr>
            <w:r>
              <w:rPr>
                <w:rFonts w:hint="eastAsia" w:ascii="宋体" w:hAnsi="宋体" w:cs="仿宋"/>
                <w:color w:val="000000"/>
                <w:sz w:val="24"/>
                <w:szCs w:val="24"/>
                <w:lang w:bidi="ar"/>
              </w:rPr>
              <w:t xml:space="preserve">相关承诺 </w:t>
            </w:r>
          </w:p>
        </w:tc>
        <w:tc>
          <w:tcPr>
            <w:tcW w:w="6095" w:type="dxa"/>
            <w:noWrap w:val="0"/>
            <w:vAlign w:val="center"/>
          </w:tcPr>
          <w:p>
            <w:pPr>
              <w:widowControl/>
              <w:snapToGrid w:val="0"/>
              <w:jc w:val="left"/>
              <w:rPr>
                <w:rFonts w:hint="eastAsia" w:ascii="宋体" w:hAnsi="宋体" w:cs="仿宋"/>
                <w:color w:val="000000"/>
                <w:sz w:val="24"/>
                <w:szCs w:val="24"/>
                <w:lang w:bidi="ar"/>
              </w:rPr>
            </w:pPr>
            <w:r>
              <w:rPr>
                <w:rFonts w:hint="eastAsia" w:ascii="宋体" w:hAnsi="宋体" w:cs="宋体"/>
                <w:sz w:val="24"/>
                <w:szCs w:val="24"/>
              </w:rPr>
              <w:t>投标人能配合甲方完成智能化管理的得</w:t>
            </w:r>
            <w:r>
              <w:rPr>
                <w:rFonts w:hint="eastAsia" w:ascii="宋体" w:hAnsi="宋体" w:cs="宋体"/>
                <w:sz w:val="24"/>
                <w:szCs w:val="24"/>
                <w:lang w:val="en-US" w:eastAsia="zh-CN"/>
              </w:rPr>
              <w:t>3</w:t>
            </w:r>
            <w:r>
              <w:rPr>
                <w:rFonts w:hint="eastAsia" w:ascii="宋体" w:hAnsi="宋体" w:cs="宋体"/>
                <w:sz w:val="24"/>
                <w:szCs w:val="24"/>
              </w:rPr>
              <w:t>分，须提供书面承诺书，否则该项不得分。</w:t>
            </w:r>
          </w:p>
        </w:tc>
        <w:tc>
          <w:tcPr>
            <w:tcW w:w="723" w:type="dxa"/>
            <w:noWrap w:val="0"/>
            <w:vAlign w:val="center"/>
          </w:tcPr>
          <w:p>
            <w:pPr>
              <w:widowControl/>
              <w:snapToGrid w:val="0"/>
              <w:jc w:val="left"/>
              <w:rPr>
                <w:rFonts w:hint="eastAsia" w:ascii="宋体" w:hAnsi="宋体" w:eastAsia="宋体" w:cs="仿宋"/>
                <w:color w:val="000000"/>
                <w:sz w:val="24"/>
                <w:szCs w:val="24"/>
                <w:lang w:eastAsia="zh-CN" w:bidi="ar"/>
              </w:rPr>
            </w:pPr>
            <w:r>
              <w:rPr>
                <w:rFonts w:hint="eastAsia" w:ascii="宋体" w:hAnsi="宋体" w:cs="仿宋"/>
                <w:color w:val="000000"/>
                <w:sz w:val="24"/>
                <w:szCs w:val="24"/>
                <w:lang w:val="en-US" w:eastAsia="zh-CN"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noWrap w:val="0"/>
            <w:vAlign w:val="center"/>
          </w:tcPr>
          <w:p>
            <w:pPr>
              <w:widowControl/>
              <w:snapToGrid w:val="0"/>
              <w:jc w:val="left"/>
              <w:rPr>
                <w:rFonts w:hint="eastAsia" w:ascii="宋体" w:hAnsi="宋体" w:cs="仿宋"/>
                <w:color w:val="000000"/>
                <w:sz w:val="24"/>
                <w:szCs w:val="24"/>
                <w:lang w:bidi="ar"/>
              </w:rPr>
            </w:pPr>
          </w:p>
        </w:tc>
        <w:tc>
          <w:tcPr>
            <w:tcW w:w="6095" w:type="dxa"/>
            <w:noWrap w:val="0"/>
            <w:vAlign w:val="center"/>
          </w:tcPr>
          <w:p>
            <w:pPr>
              <w:spacing w:line="360" w:lineRule="auto"/>
              <w:jc w:val="left"/>
              <w:rPr>
                <w:rFonts w:hint="eastAsia" w:ascii="宋体" w:hAnsi="宋体" w:cs="仿宋"/>
                <w:color w:val="000000"/>
                <w:sz w:val="24"/>
                <w:szCs w:val="24"/>
                <w:lang w:bidi="ar"/>
              </w:rPr>
            </w:pPr>
            <w:r>
              <w:rPr>
                <w:rFonts w:hint="eastAsia" w:ascii="宋体" w:hAnsi="宋体" w:cs="宋体"/>
                <w:sz w:val="24"/>
                <w:szCs w:val="24"/>
              </w:rPr>
              <w:t>投标人能承诺所提供的车辆、机具做到专车专用的得</w:t>
            </w:r>
            <w:r>
              <w:rPr>
                <w:rFonts w:hint="eastAsia" w:ascii="宋体" w:hAnsi="宋体" w:cs="宋体"/>
                <w:sz w:val="24"/>
                <w:szCs w:val="24"/>
                <w:lang w:val="en-US" w:eastAsia="zh-CN"/>
              </w:rPr>
              <w:t>3</w:t>
            </w:r>
            <w:r>
              <w:rPr>
                <w:rFonts w:hint="eastAsia" w:ascii="宋体" w:hAnsi="宋体" w:cs="宋体"/>
                <w:sz w:val="24"/>
                <w:szCs w:val="24"/>
              </w:rPr>
              <w:t>分，须提供书面承诺书，否则该项不得分。</w:t>
            </w:r>
          </w:p>
        </w:tc>
        <w:tc>
          <w:tcPr>
            <w:tcW w:w="723" w:type="dxa"/>
            <w:noWrap w:val="0"/>
            <w:vAlign w:val="center"/>
          </w:tcPr>
          <w:p>
            <w:pPr>
              <w:widowControl/>
              <w:snapToGrid w:val="0"/>
              <w:jc w:val="left"/>
              <w:rPr>
                <w:rFonts w:hint="eastAsia" w:ascii="宋体" w:hAnsi="宋体" w:eastAsia="宋体" w:cs="仿宋"/>
                <w:color w:val="000000"/>
                <w:sz w:val="24"/>
                <w:szCs w:val="24"/>
                <w:lang w:eastAsia="zh-CN" w:bidi="ar"/>
              </w:rPr>
            </w:pPr>
            <w:r>
              <w:rPr>
                <w:rFonts w:hint="eastAsia" w:ascii="宋体" w:hAnsi="宋体" w:cs="仿宋"/>
                <w:color w:val="000000"/>
                <w:sz w:val="24"/>
                <w:szCs w:val="24"/>
                <w:lang w:val="en-US" w:eastAsia="zh-CN"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noWrap w:val="0"/>
            <w:vAlign w:val="center"/>
          </w:tcPr>
          <w:p>
            <w:pPr>
              <w:widowControl/>
              <w:snapToGrid w:val="0"/>
              <w:jc w:val="left"/>
              <w:rPr>
                <w:rFonts w:hint="eastAsia" w:ascii="宋体" w:hAnsi="宋体" w:cs="仿宋"/>
                <w:color w:val="000000"/>
                <w:sz w:val="24"/>
                <w:szCs w:val="24"/>
                <w:lang w:bidi="ar"/>
              </w:rPr>
            </w:pPr>
            <w:r>
              <w:rPr>
                <w:rFonts w:hint="eastAsia" w:ascii="宋体" w:hAnsi="宋体" w:cs="仿宋"/>
                <w:color w:val="000000"/>
                <w:sz w:val="24"/>
                <w:szCs w:val="24"/>
                <w:lang w:bidi="ar"/>
              </w:rPr>
              <w:t>二、养护方案具体内容情况</w:t>
            </w:r>
          </w:p>
        </w:tc>
        <w:tc>
          <w:tcPr>
            <w:tcW w:w="6095" w:type="dxa"/>
            <w:noWrap w:val="0"/>
            <w:vAlign w:val="center"/>
          </w:tcPr>
          <w:p>
            <w:pPr>
              <w:widowControl/>
              <w:snapToGrid w:val="0"/>
              <w:jc w:val="left"/>
              <w:rPr>
                <w:rFonts w:hint="default" w:ascii="宋体" w:hAnsi="宋体" w:eastAsia="宋体" w:cs="仿宋"/>
                <w:bCs/>
                <w:color w:val="000000"/>
                <w:sz w:val="24"/>
                <w:szCs w:val="24"/>
                <w:lang w:val="en-US" w:eastAsia="zh-CN" w:bidi="ar"/>
              </w:rPr>
            </w:pPr>
            <w:r>
              <w:rPr>
                <w:rFonts w:hint="eastAsia" w:ascii="宋体" w:hAnsi="宋体" w:cs="宋体"/>
                <w:sz w:val="24"/>
                <w:szCs w:val="24"/>
              </w:rPr>
              <w:t>综合养护方案：符合规范要求，具有针对性，合理性，综合养护措施能突出重点，具有创新性。</w:t>
            </w:r>
            <w:r>
              <w:rPr>
                <w:rFonts w:hint="eastAsia" w:ascii="宋体" w:hAnsi="宋体" w:cs="宋体"/>
                <w:sz w:val="24"/>
                <w:szCs w:val="24"/>
                <w:lang w:val="en-US" w:eastAsia="zh-CN"/>
              </w:rPr>
              <w:t>合理的得4分，一般的得2分，不合理不得分。</w:t>
            </w:r>
          </w:p>
        </w:tc>
        <w:tc>
          <w:tcPr>
            <w:tcW w:w="723" w:type="dxa"/>
            <w:noWrap w:val="0"/>
            <w:vAlign w:val="center"/>
          </w:tcPr>
          <w:p>
            <w:pPr>
              <w:widowControl/>
              <w:snapToGrid w:val="0"/>
              <w:jc w:val="left"/>
              <w:rPr>
                <w:rFonts w:hint="eastAsia" w:ascii="宋体" w:hAnsi="宋体" w:eastAsia="宋体" w:cs="仿宋"/>
                <w:color w:val="000000"/>
                <w:sz w:val="24"/>
                <w:szCs w:val="24"/>
                <w:lang w:eastAsia="zh-CN" w:bidi="ar"/>
              </w:rPr>
            </w:pPr>
            <w:r>
              <w:rPr>
                <w:rFonts w:hint="eastAsia" w:ascii="宋体" w:hAnsi="宋体" w:cs="仿宋"/>
                <w:color w:val="000000"/>
                <w:sz w:val="24"/>
                <w:szCs w:val="24"/>
                <w:lang w:bidi="ar"/>
              </w:rPr>
              <w:t>0-</w:t>
            </w:r>
            <w:r>
              <w:rPr>
                <w:rFonts w:hint="eastAsia" w:ascii="宋体" w:hAnsi="宋体" w:cs="仿宋"/>
                <w:color w:val="000000"/>
                <w:sz w:val="24"/>
                <w:szCs w:val="24"/>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noWrap w:val="0"/>
            <w:vAlign w:val="center"/>
          </w:tcPr>
          <w:p>
            <w:pPr>
              <w:widowControl/>
              <w:snapToGrid w:val="0"/>
              <w:jc w:val="left"/>
              <w:rPr>
                <w:rFonts w:hint="eastAsia" w:ascii="宋体" w:hAnsi="宋体" w:cs="仿宋"/>
                <w:color w:val="000000"/>
                <w:sz w:val="24"/>
                <w:szCs w:val="24"/>
                <w:lang w:bidi="ar"/>
              </w:rPr>
            </w:pPr>
          </w:p>
        </w:tc>
        <w:tc>
          <w:tcPr>
            <w:tcW w:w="6095" w:type="dxa"/>
            <w:noWrap w:val="0"/>
            <w:vAlign w:val="center"/>
          </w:tcPr>
          <w:p>
            <w:pPr>
              <w:widowControl/>
              <w:snapToGrid w:val="0"/>
              <w:jc w:val="left"/>
              <w:rPr>
                <w:rFonts w:hint="eastAsia" w:ascii="宋体" w:hAnsi="宋体" w:eastAsia="宋体"/>
                <w:color w:val="000000"/>
                <w:sz w:val="24"/>
                <w:lang w:eastAsia="zh-CN"/>
              </w:rPr>
            </w:pPr>
            <w:r>
              <w:rPr>
                <w:rFonts w:hint="eastAsia" w:ascii="宋体" w:hAnsi="宋体" w:cs="宋体"/>
                <w:sz w:val="24"/>
                <w:szCs w:val="24"/>
              </w:rPr>
              <w:t>综合养护考核方案：管理制度、考核制度完善</w:t>
            </w:r>
            <w:r>
              <w:rPr>
                <w:rFonts w:hint="eastAsia" w:ascii="宋体" w:hAnsi="宋体" w:cs="宋体"/>
                <w:sz w:val="24"/>
                <w:szCs w:val="24"/>
                <w:lang w:eastAsia="zh-CN"/>
              </w:rPr>
              <w:t>。</w:t>
            </w:r>
            <w:r>
              <w:rPr>
                <w:rFonts w:hint="eastAsia" w:ascii="宋体" w:hAnsi="宋体" w:cs="宋体"/>
                <w:sz w:val="24"/>
                <w:szCs w:val="24"/>
                <w:lang w:val="en-US" w:eastAsia="zh-CN"/>
              </w:rPr>
              <w:t>合理的得4分，一般的得2分，不合理不得分。</w:t>
            </w:r>
          </w:p>
        </w:tc>
        <w:tc>
          <w:tcPr>
            <w:tcW w:w="723" w:type="dxa"/>
            <w:noWrap w:val="0"/>
            <w:vAlign w:val="center"/>
          </w:tcPr>
          <w:p>
            <w:pPr>
              <w:widowControl/>
              <w:snapToGrid w:val="0"/>
              <w:jc w:val="left"/>
              <w:rPr>
                <w:rFonts w:hint="eastAsia" w:ascii="宋体" w:hAnsi="宋体" w:eastAsia="宋体" w:cs="仿宋"/>
                <w:color w:val="000000"/>
                <w:sz w:val="24"/>
                <w:szCs w:val="24"/>
                <w:lang w:eastAsia="zh-CN" w:bidi="ar"/>
              </w:rPr>
            </w:pPr>
            <w:r>
              <w:rPr>
                <w:rFonts w:hint="eastAsia" w:ascii="宋体" w:hAnsi="宋体" w:cs="仿宋"/>
                <w:color w:val="000000"/>
                <w:sz w:val="24"/>
                <w:szCs w:val="24"/>
                <w:lang w:bidi="ar"/>
              </w:rPr>
              <w:t>0-</w:t>
            </w:r>
            <w:r>
              <w:rPr>
                <w:rFonts w:hint="eastAsia" w:ascii="宋体" w:hAnsi="宋体" w:cs="仿宋"/>
                <w:color w:val="000000"/>
                <w:sz w:val="24"/>
                <w:szCs w:val="24"/>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noWrap w:val="0"/>
            <w:vAlign w:val="center"/>
          </w:tcPr>
          <w:p>
            <w:pPr>
              <w:widowControl/>
              <w:snapToGrid w:val="0"/>
              <w:jc w:val="left"/>
              <w:rPr>
                <w:rFonts w:hint="eastAsia" w:ascii="宋体" w:hAnsi="宋体" w:cs="仿宋"/>
                <w:color w:val="000000"/>
                <w:sz w:val="24"/>
                <w:szCs w:val="24"/>
                <w:lang w:bidi="ar"/>
              </w:rPr>
            </w:pPr>
          </w:p>
        </w:tc>
        <w:tc>
          <w:tcPr>
            <w:tcW w:w="6095" w:type="dxa"/>
            <w:noWrap w:val="0"/>
            <w:vAlign w:val="center"/>
          </w:tcPr>
          <w:p>
            <w:pPr>
              <w:widowControl/>
              <w:snapToGrid w:val="0"/>
              <w:jc w:val="left"/>
              <w:rPr>
                <w:rFonts w:hint="eastAsia" w:ascii="宋体" w:hAnsi="宋体" w:cs="宋体"/>
                <w:color w:val="000000"/>
                <w:kern w:val="0"/>
                <w:sz w:val="24"/>
              </w:rPr>
            </w:pPr>
            <w:r>
              <w:rPr>
                <w:rFonts w:hint="eastAsia" w:ascii="宋体" w:hAnsi="宋体" w:cs="宋体"/>
                <w:sz w:val="24"/>
                <w:szCs w:val="24"/>
              </w:rPr>
              <w:t>综合养护工作质量管理体系完善，制定内部考核制度，有专门的组织机构负责对本项目进行质量监管，针对本项目制定了具体的质量管理考核细则。</w:t>
            </w:r>
            <w:r>
              <w:rPr>
                <w:rFonts w:hint="eastAsia" w:ascii="宋体" w:hAnsi="宋体" w:cs="宋体"/>
                <w:sz w:val="24"/>
                <w:szCs w:val="24"/>
                <w:lang w:val="en-US" w:eastAsia="zh-CN"/>
              </w:rPr>
              <w:t>合理的得4分，一般的得2分，不合理不得分。</w:t>
            </w:r>
          </w:p>
        </w:tc>
        <w:tc>
          <w:tcPr>
            <w:tcW w:w="723" w:type="dxa"/>
            <w:noWrap w:val="0"/>
            <w:vAlign w:val="center"/>
          </w:tcPr>
          <w:p>
            <w:pPr>
              <w:widowControl/>
              <w:snapToGrid w:val="0"/>
              <w:jc w:val="left"/>
              <w:rPr>
                <w:rFonts w:hint="eastAsia" w:ascii="宋体" w:hAnsi="宋体" w:eastAsia="宋体" w:cs="仿宋"/>
                <w:color w:val="000000"/>
                <w:sz w:val="24"/>
                <w:szCs w:val="24"/>
                <w:lang w:eastAsia="zh-CN" w:bidi="ar"/>
              </w:rPr>
            </w:pPr>
            <w:r>
              <w:rPr>
                <w:rFonts w:hint="eastAsia" w:ascii="宋体" w:hAnsi="宋体" w:cs="仿宋"/>
                <w:color w:val="000000"/>
                <w:sz w:val="24"/>
                <w:szCs w:val="24"/>
                <w:lang w:bidi="ar"/>
              </w:rPr>
              <w:t>0-</w:t>
            </w:r>
            <w:r>
              <w:rPr>
                <w:rFonts w:hint="eastAsia" w:ascii="宋体" w:hAnsi="宋体" w:cs="仿宋"/>
                <w:color w:val="000000"/>
                <w:sz w:val="24"/>
                <w:szCs w:val="24"/>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noWrap w:val="0"/>
            <w:vAlign w:val="center"/>
          </w:tcPr>
          <w:p>
            <w:pPr>
              <w:widowControl/>
              <w:snapToGrid w:val="0"/>
              <w:jc w:val="left"/>
              <w:rPr>
                <w:rFonts w:hint="eastAsia" w:ascii="宋体" w:hAnsi="宋体" w:cs="仿宋"/>
                <w:color w:val="000000"/>
                <w:sz w:val="24"/>
                <w:szCs w:val="24"/>
                <w:lang w:bidi="ar"/>
              </w:rPr>
            </w:pPr>
          </w:p>
        </w:tc>
        <w:tc>
          <w:tcPr>
            <w:tcW w:w="6095" w:type="dxa"/>
            <w:noWrap w:val="0"/>
            <w:vAlign w:val="center"/>
          </w:tcPr>
          <w:p>
            <w:pPr>
              <w:jc w:val="left"/>
              <w:rPr>
                <w:rFonts w:hint="eastAsia" w:ascii="宋体" w:hAnsi="宋体" w:cs="宋体"/>
                <w:color w:val="000000"/>
                <w:kern w:val="0"/>
                <w:sz w:val="24"/>
              </w:rPr>
            </w:pPr>
            <w:r>
              <w:rPr>
                <w:rFonts w:hint="eastAsia" w:ascii="宋体" w:hAnsi="宋体" w:cs="宋体"/>
                <w:sz w:val="24"/>
                <w:szCs w:val="24"/>
              </w:rPr>
              <w:t>组织管理体系完善，项目主管、班组长、管理员等管理人员配备齐全到位，项目管理事项明确，严格执行企业管理规范。</w:t>
            </w:r>
            <w:r>
              <w:rPr>
                <w:rFonts w:hint="eastAsia" w:ascii="宋体" w:hAnsi="宋体" w:cs="宋体"/>
                <w:sz w:val="24"/>
                <w:szCs w:val="24"/>
                <w:lang w:val="en-US" w:eastAsia="zh-CN"/>
              </w:rPr>
              <w:t>合理的得4分，一般的得2分，不合理不得分。</w:t>
            </w:r>
          </w:p>
        </w:tc>
        <w:tc>
          <w:tcPr>
            <w:tcW w:w="723" w:type="dxa"/>
            <w:noWrap w:val="0"/>
            <w:vAlign w:val="center"/>
          </w:tcPr>
          <w:p>
            <w:pPr>
              <w:widowControl/>
              <w:snapToGrid w:val="0"/>
              <w:jc w:val="left"/>
              <w:rPr>
                <w:rFonts w:hint="eastAsia" w:ascii="宋体" w:hAnsi="宋体" w:eastAsia="宋体" w:cs="仿宋"/>
                <w:color w:val="000000"/>
                <w:sz w:val="24"/>
                <w:szCs w:val="24"/>
                <w:lang w:eastAsia="zh-CN" w:bidi="ar"/>
              </w:rPr>
            </w:pPr>
            <w:r>
              <w:rPr>
                <w:rFonts w:hint="eastAsia" w:ascii="宋体" w:hAnsi="宋体" w:cs="仿宋"/>
                <w:color w:val="000000"/>
                <w:sz w:val="24"/>
                <w:szCs w:val="24"/>
                <w:lang w:bidi="ar"/>
              </w:rPr>
              <w:t>0-</w:t>
            </w:r>
            <w:r>
              <w:rPr>
                <w:rFonts w:hint="eastAsia" w:ascii="宋体" w:hAnsi="宋体" w:cs="仿宋"/>
                <w:color w:val="000000"/>
                <w:sz w:val="24"/>
                <w:szCs w:val="24"/>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noWrap w:val="0"/>
            <w:vAlign w:val="center"/>
          </w:tcPr>
          <w:p>
            <w:pPr>
              <w:widowControl/>
              <w:snapToGrid w:val="0"/>
              <w:jc w:val="left"/>
              <w:rPr>
                <w:rFonts w:hint="eastAsia" w:ascii="宋体" w:hAnsi="宋体" w:cs="仿宋"/>
                <w:color w:val="000000"/>
                <w:sz w:val="24"/>
                <w:szCs w:val="24"/>
                <w:lang w:bidi="ar"/>
              </w:rPr>
            </w:pPr>
          </w:p>
        </w:tc>
        <w:tc>
          <w:tcPr>
            <w:tcW w:w="6095" w:type="dxa"/>
            <w:noWrap w:val="0"/>
            <w:vAlign w:val="center"/>
          </w:tcPr>
          <w:p>
            <w:pPr>
              <w:widowControl/>
              <w:snapToGrid w:val="0"/>
              <w:jc w:val="left"/>
              <w:rPr>
                <w:rFonts w:hint="eastAsia" w:ascii="宋体" w:hAnsi="宋体" w:cs="宋体"/>
                <w:color w:val="000000"/>
                <w:kern w:val="0"/>
                <w:sz w:val="24"/>
              </w:rPr>
            </w:pPr>
            <w:r>
              <w:rPr>
                <w:rFonts w:hint="eastAsia" w:ascii="宋体" w:hAnsi="宋体" w:cs="宋体"/>
                <w:sz w:val="24"/>
                <w:szCs w:val="24"/>
              </w:rPr>
              <w:t>应急响应方案：防汛防台、抗雪防冻、突发事件应急处理及重大活动保障的人员配备、物资储备和启动、应急处置等方案是否科学合理、具有针对性及可操作性。</w:t>
            </w:r>
            <w:r>
              <w:rPr>
                <w:rFonts w:hint="eastAsia" w:ascii="宋体" w:hAnsi="宋体" w:cs="宋体"/>
                <w:sz w:val="24"/>
                <w:szCs w:val="24"/>
                <w:lang w:val="en-US" w:eastAsia="zh-CN"/>
              </w:rPr>
              <w:t>合理的得4分，一般的得2分，不合理不得分。</w:t>
            </w:r>
          </w:p>
        </w:tc>
        <w:tc>
          <w:tcPr>
            <w:tcW w:w="723" w:type="dxa"/>
            <w:noWrap w:val="0"/>
            <w:vAlign w:val="center"/>
          </w:tcPr>
          <w:p>
            <w:pPr>
              <w:widowControl/>
              <w:snapToGrid w:val="0"/>
              <w:jc w:val="left"/>
              <w:rPr>
                <w:rFonts w:hint="eastAsia" w:ascii="宋体" w:hAnsi="宋体" w:eastAsia="宋体" w:cs="仿宋"/>
                <w:color w:val="000000"/>
                <w:sz w:val="24"/>
                <w:szCs w:val="24"/>
                <w:lang w:eastAsia="zh-CN" w:bidi="ar"/>
              </w:rPr>
            </w:pPr>
            <w:r>
              <w:rPr>
                <w:rFonts w:hint="eastAsia" w:ascii="宋体" w:hAnsi="宋体" w:cs="仿宋"/>
                <w:color w:val="000000"/>
                <w:sz w:val="24"/>
                <w:szCs w:val="24"/>
                <w:lang w:bidi="ar"/>
              </w:rPr>
              <w:t>0-</w:t>
            </w:r>
            <w:r>
              <w:rPr>
                <w:rFonts w:hint="eastAsia" w:ascii="宋体" w:hAnsi="宋体" w:cs="仿宋"/>
                <w:color w:val="000000"/>
                <w:sz w:val="24"/>
                <w:szCs w:val="24"/>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noWrap w:val="0"/>
            <w:vAlign w:val="center"/>
          </w:tcPr>
          <w:p>
            <w:pPr>
              <w:widowControl/>
              <w:snapToGrid w:val="0"/>
              <w:jc w:val="left"/>
              <w:rPr>
                <w:rFonts w:hint="eastAsia" w:ascii="宋体" w:hAnsi="宋体" w:cs="仿宋"/>
                <w:color w:val="000000"/>
                <w:sz w:val="24"/>
                <w:szCs w:val="24"/>
                <w:lang w:bidi="ar"/>
              </w:rPr>
            </w:pPr>
          </w:p>
        </w:tc>
        <w:tc>
          <w:tcPr>
            <w:tcW w:w="6095" w:type="dxa"/>
            <w:noWrap w:val="0"/>
            <w:vAlign w:val="center"/>
          </w:tcPr>
          <w:p>
            <w:pPr>
              <w:widowControl/>
              <w:snapToGrid w:val="0"/>
              <w:jc w:val="left"/>
              <w:rPr>
                <w:rFonts w:hint="eastAsia" w:ascii="宋体" w:hAnsi="宋体" w:cs="宋体"/>
                <w:color w:val="000000"/>
                <w:kern w:val="0"/>
                <w:sz w:val="24"/>
              </w:rPr>
            </w:pPr>
            <w:r>
              <w:rPr>
                <w:rFonts w:hint="eastAsia" w:ascii="宋体" w:hAnsi="宋体" w:cs="宋体"/>
                <w:sz w:val="24"/>
                <w:szCs w:val="24"/>
              </w:rPr>
              <w:t>防汛防台、突发事件应急处理及重大活动保障的人员配备、物资储备和启动、应急处置等方案是否科学合理、具有针对性及可操作性。</w:t>
            </w:r>
            <w:r>
              <w:rPr>
                <w:rFonts w:hint="eastAsia" w:ascii="宋体" w:hAnsi="宋体" w:cs="宋体"/>
                <w:sz w:val="24"/>
                <w:szCs w:val="24"/>
                <w:lang w:val="en-US" w:eastAsia="zh-CN"/>
              </w:rPr>
              <w:t>合理的得4分，一般的得2分，不合理不得分。</w:t>
            </w:r>
          </w:p>
        </w:tc>
        <w:tc>
          <w:tcPr>
            <w:tcW w:w="723" w:type="dxa"/>
            <w:noWrap w:val="0"/>
            <w:vAlign w:val="center"/>
          </w:tcPr>
          <w:p>
            <w:pPr>
              <w:widowControl/>
              <w:snapToGrid w:val="0"/>
              <w:jc w:val="left"/>
              <w:rPr>
                <w:rFonts w:hint="eastAsia" w:ascii="宋体" w:hAnsi="宋体" w:eastAsia="宋体" w:cs="仿宋"/>
                <w:color w:val="000000"/>
                <w:sz w:val="24"/>
                <w:szCs w:val="24"/>
                <w:lang w:eastAsia="zh-CN" w:bidi="ar"/>
              </w:rPr>
            </w:pPr>
            <w:r>
              <w:rPr>
                <w:rFonts w:hint="eastAsia" w:ascii="宋体" w:hAnsi="宋体" w:cs="仿宋"/>
                <w:color w:val="000000"/>
                <w:sz w:val="24"/>
                <w:szCs w:val="24"/>
                <w:lang w:bidi="ar"/>
              </w:rPr>
              <w:t>0-</w:t>
            </w:r>
            <w:r>
              <w:rPr>
                <w:rFonts w:hint="eastAsia" w:ascii="宋体" w:hAnsi="宋体" w:cs="仿宋"/>
                <w:color w:val="000000"/>
                <w:sz w:val="24"/>
                <w:szCs w:val="24"/>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noWrap w:val="0"/>
            <w:vAlign w:val="center"/>
          </w:tcPr>
          <w:p>
            <w:pPr>
              <w:widowControl/>
              <w:snapToGrid w:val="0"/>
              <w:jc w:val="left"/>
              <w:rPr>
                <w:rFonts w:hint="eastAsia" w:ascii="宋体" w:hAnsi="宋体" w:cs="仿宋"/>
                <w:color w:val="000000"/>
                <w:sz w:val="24"/>
                <w:szCs w:val="24"/>
                <w:lang w:bidi="ar"/>
              </w:rPr>
            </w:pPr>
          </w:p>
        </w:tc>
        <w:tc>
          <w:tcPr>
            <w:tcW w:w="6095" w:type="dxa"/>
            <w:noWrap w:val="0"/>
            <w:vAlign w:val="center"/>
          </w:tcPr>
          <w:p>
            <w:pPr>
              <w:kinsoku w:val="0"/>
              <w:overflowPunct w:val="0"/>
              <w:jc w:val="left"/>
              <w:rPr>
                <w:rFonts w:hint="eastAsia" w:ascii="宋体" w:hAnsi="宋体" w:cs="宋体"/>
                <w:color w:val="000000"/>
                <w:kern w:val="0"/>
                <w:sz w:val="24"/>
              </w:rPr>
            </w:pPr>
            <w:r>
              <w:rPr>
                <w:rFonts w:hint="eastAsia" w:ascii="宋体" w:hAnsi="宋体" w:cs="宋体"/>
                <w:sz w:val="24"/>
                <w:szCs w:val="24"/>
              </w:rPr>
              <w:t>突发事件应急处理及重大活动保障的人员配备、物资储备和启动、应急处置等方案是否科学合理、具有针对性及可操作。</w:t>
            </w:r>
            <w:r>
              <w:rPr>
                <w:rFonts w:hint="eastAsia" w:ascii="宋体" w:hAnsi="宋体" w:cs="宋体"/>
                <w:sz w:val="24"/>
                <w:szCs w:val="24"/>
                <w:lang w:val="en-US" w:eastAsia="zh-CN"/>
              </w:rPr>
              <w:t>合理的得4分，一般的得2分，不合理不得分。</w:t>
            </w:r>
          </w:p>
        </w:tc>
        <w:tc>
          <w:tcPr>
            <w:tcW w:w="723" w:type="dxa"/>
            <w:noWrap w:val="0"/>
            <w:vAlign w:val="center"/>
          </w:tcPr>
          <w:p>
            <w:pPr>
              <w:widowControl/>
              <w:snapToGrid w:val="0"/>
              <w:jc w:val="left"/>
              <w:rPr>
                <w:rFonts w:hint="eastAsia" w:ascii="宋体" w:hAnsi="宋体" w:eastAsia="宋体" w:cs="仿宋"/>
                <w:color w:val="000000"/>
                <w:sz w:val="24"/>
                <w:szCs w:val="24"/>
                <w:lang w:eastAsia="zh-CN" w:bidi="ar"/>
              </w:rPr>
            </w:pPr>
            <w:r>
              <w:rPr>
                <w:rFonts w:hint="eastAsia" w:ascii="宋体" w:hAnsi="宋体" w:cs="仿宋"/>
                <w:color w:val="000000"/>
                <w:sz w:val="24"/>
                <w:szCs w:val="24"/>
                <w:lang w:bidi="ar"/>
              </w:rPr>
              <w:t>0-</w:t>
            </w:r>
            <w:r>
              <w:rPr>
                <w:rFonts w:hint="eastAsia" w:ascii="宋体" w:hAnsi="宋体" w:cs="仿宋"/>
                <w:color w:val="000000"/>
                <w:sz w:val="24"/>
                <w:szCs w:val="24"/>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noWrap w:val="0"/>
            <w:vAlign w:val="center"/>
          </w:tcPr>
          <w:p>
            <w:pPr>
              <w:widowControl/>
              <w:snapToGrid w:val="0"/>
              <w:jc w:val="left"/>
              <w:rPr>
                <w:rFonts w:hint="eastAsia" w:ascii="宋体" w:hAnsi="宋体" w:cs="仿宋"/>
                <w:color w:val="000000"/>
                <w:sz w:val="24"/>
                <w:szCs w:val="24"/>
                <w:lang w:bidi="ar"/>
              </w:rPr>
            </w:pPr>
          </w:p>
        </w:tc>
        <w:tc>
          <w:tcPr>
            <w:tcW w:w="6095" w:type="dxa"/>
            <w:noWrap w:val="0"/>
            <w:vAlign w:val="center"/>
          </w:tcPr>
          <w:p>
            <w:pPr>
              <w:kinsoku w:val="0"/>
              <w:overflowPunct w:val="0"/>
              <w:jc w:val="left"/>
              <w:rPr>
                <w:rFonts w:hint="eastAsia" w:ascii="宋体" w:hAnsi="宋体" w:cs="宋体"/>
                <w:color w:val="000000"/>
                <w:kern w:val="0"/>
                <w:sz w:val="24"/>
              </w:rPr>
            </w:pPr>
            <w:r>
              <w:rPr>
                <w:rFonts w:hint="eastAsia" w:ascii="宋体" w:hAnsi="宋体" w:cs="宋体"/>
                <w:sz w:val="24"/>
                <w:szCs w:val="24"/>
              </w:rPr>
              <w:t>资料管理方案：日常养护、维修、检测、技术状况评价等资料的整理归档方案是否符合相关规范要求。达到项目预定要求，科学合理、具有针对性及可操作性的。</w:t>
            </w:r>
            <w:r>
              <w:rPr>
                <w:rFonts w:hint="eastAsia" w:ascii="宋体" w:hAnsi="宋体" w:cs="宋体"/>
                <w:sz w:val="24"/>
                <w:szCs w:val="24"/>
                <w:lang w:val="en-US" w:eastAsia="zh-CN"/>
              </w:rPr>
              <w:t>合理的得4分，一般的得2分，不合理不得分。</w:t>
            </w:r>
          </w:p>
        </w:tc>
        <w:tc>
          <w:tcPr>
            <w:tcW w:w="723" w:type="dxa"/>
            <w:noWrap w:val="0"/>
            <w:vAlign w:val="center"/>
          </w:tcPr>
          <w:p>
            <w:pPr>
              <w:widowControl/>
              <w:snapToGrid w:val="0"/>
              <w:jc w:val="left"/>
              <w:rPr>
                <w:rFonts w:hint="eastAsia" w:ascii="宋体" w:hAnsi="宋体" w:eastAsia="宋体" w:cs="仿宋"/>
                <w:color w:val="000000"/>
                <w:sz w:val="24"/>
                <w:szCs w:val="24"/>
                <w:lang w:eastAsia="zh-CN" w:bidi="ar"/>
              </w:rPr>
            </w:pPr>
            <w:r>
              <w:rPr>
                <w:rFonts w:hint="eastAsia" w:ascii="宋体" w:hAnsi="宋体" w:cs="仿宋"/>
                <w:color w:val="000000"/>
                <w:sz w:val="24"/>
                <w:szCs w:val="24"/>
                <w:lang w:bidi="ar"/>
              </w:rPr>
              <w:t>0-</w:t>
            </w:r>
            <w:r>
              <w:rPr>
                <w:rFonts w:hint="eastAsia" w:ascii="宋体" w:hAnsi="宋体" w:cs="仿宋"/>
                <w:color w:val="000000"/>
                <w:sz w:val="24"/>
                <w:szCs w:val="24"/>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trPr>
        <w:tc>
          <w:tcPr>
            <w:tcW w:w="1668" w:type="dxa"/>
            <w:vMerge w:val="continue"/>
            <w:noWrap w:val="0"/>
            <w:vAlign w:val="center"/>
          </w:tcPr>
          <w:p>
            <w:pPr>
              <w:widowControl/>
              <w:snapToGrid w:val="0"/>
              <w:jc w:val="left"/>
              <w:rPr>
                <w:rFonts w:hint="eastAsia" w:ascii="宋体" w:hAnsi="宋体" w:cs="仿宋"/>
                <w:color w:val="000000"/>
                <w:sz w:val="24"/>
                <w:szCs w:val="24"/>
                <w:lang w:bidi="ar"/>
              </w:rPr>
            </w:pPr>
          </w:p>
        </w:tc>
        <w:tc>
          <w:tcPr>
            <w:tcW w:w="6095" w:type="dxa"/>
            <w:noWrap w:val="0"/>
            <w:vAlign w:val="center"/>
          </w:tcPr>
          <w:p>
            <w:pPr>
              <w:kinsoku w:val="0"/>
              <w:overflowPunct w:val="0"/>
              <w:jc w:val="left"/>
              <w:rPr>
                <w:rFonts w:hint="eastAsia" w:ascii="宋体" w:hAnsi="宋体" w:cs="宋体"/>
                <w:color w:val="000000"/>
                <w:kern w:val="0"/>
                <w:sz w:val="24"/>
              </w:rPr>
            </w:pPr>
            <w:r>
              <w:rPr>
                <w:rFonts w:hint="eastAsia" w:ascii="宋体" w:hAnsi="宋体" w:cs="宋体"/>
                <w:sz w:val="24"/>
                <w:szCs w:val="24"/>
              </w:rPr>
              <w:t>投标人对项目需求的理解和解决方案是否有独到的优势，是否有针对各类养护问题需采用不同的养护维修工艺或处理方法，是否有健全、稳定、成熟可行的方案及优化建议的情况等，如突破传统运作模式，养护管理、作业方案是否有创新等。</w:t>
            </w:r>
            <w:r>
              <w:rPr>
                <w:rFonts w:hint="eastAsia" w:ascii="宋体" w:hAnsi="宋体" w:cs="宋体"/>
                <w:sz w:val="24"/>
                <w:szCs w:val="24"/>
                <w:lang w:val="en-US" w:eastAsia="zh-CN"/>
              </w:rPr>
              <w:t>合理的得4分，一般的得2分，不合理不得分。</w:t>
            </w:r>
          </w:p>
        </w:tc>
        <w:tc>
          <w:tcPr>
            <w:tcW w:w="723" w:type="dxa"/>
            <w:noWrap w:val="0"/>
            <w:vAlign w:val="center"/>
          </w:tcPr>
          <w:p>
            <w:pPr>
              <w:widowControl/>
              <w:snapToGrid w:val="0"/>
              <w:jc w:val="left"/>
              <w:rPr>
                <w:rFonts w:hint="eastAsia" w:ascii="宋体" w:hAnsi="宋体" w:eastAsia="宋体" w:cs="仿宋"/>
                <w:color w:val="000000"/>
                <w:sz w:val="24"/>
                <w:szCs w:val="24"/>
                <w:lang w:eastAsia="zh-CN" w:bidi="ar"/>
              </w:rPr>
            </w:pPr>
            <w:r>
              <w:rPr>
                <w:rFonts w:hint="eastAsia" w:ascii="宋体" w:hAnsi="宋体" w:cs="仿宋"/>
                <w:color w:val="000000"/>
                <w:sz w:val="24"/>
                <w:szCs w:val="24"/>
                <w:lang w:bidi="ar"/>
              </w:rPr>
              <w:t>0-</w:t>
            </w:r>
            <w:r>
              <w:rPr>
                <w:rFonts w:hint="eastAsia" w:ascii="宋体" w:hAnsi="宋体" w:cs="仿宋"/>
                <w:color w:val="000000"/>
                <w:sz w:val="24"/>
                <w:szCs w:val="24"/>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668" w:type="dxa"/>
            <w:vMerge w:val="continue"/>
            <w:noWrap w:val="0"/>
            <w:vAlign w:val="center"/>
          </w:tcPr>
          <w:p>
            <w:pPr>
              <w:widowControl/>
              <w:snapToGrid w:val="0"/>
              <w:jc w:val="left"/>
              <w:rPr>
                <w:rFonts w:hint="eastAsia" w:ascii="宋体" w:hAnsi="宋体" w:cs="仿宋"/>
                <w:color w:val="000000"/>
                <w:sz w:val="24"/>
                <w:szCs w:val="24"/>
                <w:lang w:bidi="ar"/>
              </w:rPr>
            </w:pPr>
          </w:p>
        </w:tc>
        <w:tc>
          <w:tcPr>
            <w:tcW w:w="6095" w:type="dxa"/>
            <w:noWrap w:val="0"/>
            <w:vAlign w:val="center"/>
          </w:tcPr>
          <w:p>
            <w:pPr>
              <w:kinsoku w:val="0"/>
              <w:overflowPunct w:val="0"/>
              <w:jc w:val="left"/>
              <w:rPr>
                <w:rFonts w:hint="eastAsia" w:ascii="宋体" w:hAnsi="宋体" w:cs="宋体"/>
                <w:sz w:val="24"/>
                <w:szCs w:val="24"/>
              </w:rPr>
            </w:pPr>
            <w:r>
              <w:rPr>
                <w:rFonts w:hint="eastAsia" w:ascii="宋体" w:hAnsi="宋体" w:cs="宋体"/>
                <w:sz w:val="24"/>
                <w:szCs w:val="24"/>
              </w:rPr>
              <w:t>投标人对发标范围的各类考核、投诉的处理效率、时效及回复举措等。</w:t>
            </w:r>
            <w:r>
              <w:rPr>
                <w:rFonts w:hint="eastAsia" w:ascii="宋体" w:hAnsi="宋体" w:cs="宋体"/>
                <w:sz w:val="24"/>
                <w:szCs w:val="24"/>
                <w:lang w:val="en-US" w:eastAsia="zh-CN"/>
              </w:rPr>
              <w:t>合理的得4分，一般的得2分，不合理不得分。</w:t>
            </w:r>
          </w:p>
        </w:tc>
        <w:tc>
          <w:tcPr>
            <w:tcW w:w="723" w:type="dxa"/>
            <w:noWrap w:val="0"/>
            <w:vAlign w:val="center"/>
          </w:tcPr>
          <w:p>
            <w:pPr>
              <w:widowControl/>
              <w:snapToGrid w:val="0"/>
              <w:jc w:val="left"/>
              <w:rPr>
                <w:rFonts w:hint="eastAsia" w:ascii="宋体" w:hAnsi="宋体" w:eastAsia="宋体" w:cs="仿宋"/>
                <w:color w:val="000000"/>
                <w:sz w:val="24"/>
                <w:szCs w:val="24"/>
                <w:lang w:eastAsia="zh-CN" w:bidi="ar"/>
              </w:rPr>
            </w:pPr>
            <w:r>
              <w:rPr>
                <w:rFonts w:hint="eastAsia" w:ascii="宋体" w:hAnsi="宋体" w:cs="仿宋"/>
                <w:color w:val="000000"/>
                <w:sz w:val="24"/>
                <w:szCs w:val="24"/>
                <w:lang w:bidi="ar"/>
              </w:rPr>
              <w:t>0-</w:t>
            </w:r>
            <w:r>
              <w:rPr>
                <w:rFonts w:hint="eastAsia" w:ascii="宋体" w:hAnsi="宋体" w:cs="仿宋"/>
                <w:color w:val="000000"/>
                <w:sz w:val="24"/>
                <w:szCs w:val="24"/>
                <w:lang w:val="en-US" w:eastAsia="zh-CN" w:bidi="ar"/>
              </w:rPr>
              <w:t>4</w:t>
            </w:r>
          </w:p>
        </w:tc>
      </w:tr>
    </w:tbl>
    <w:p>
      <w:pPr>
        <w:spacing w:line="360" w:lineRule="auto"/>
        <w:ind w:firstLine="470" w:firstLineChars="196"/>
        <w:rPr>
          <w:rFonts w:ascii="仿宋" w:hAnsi="仿宋" w:eastAsia="仿宋" w:cs="Arial"/>
          <w:color w:val="auto"/>
          <w:kern w:val="0"/>
          <w:sz w:val="24"/>
          <w:highlight w:val="none"/>
        </w:rPr>
      </w:pPr>
      <w:r>
        <w:rPr>
          <w:rFonts w:hint="eastAsia" w:ascii="仿宋" w:hAnsi="仿宋" w:eastAsia="仿宋" w:cs="Arial"/>
          <w:color w:val="auto"/>
          <w:kern w:val="0"/>
          <w:sz w:val="24"/>
          <w:highlight w:val="none"/>
          <w:lang w:val="en-US" w:eastAsia="zh-CN"/>
        </w:rPr>
        <w:t>1</w:t>
      </w:r>
      <w:r>
        <w:rPr>
          <w:rFonts w:ascii="仿宋" w:hAnsi="仿宋" w:eastAsia="仿宋" w:cs="Arial"/>
          <w:color w:val="auto"/>
          <w:kern w:val="0"/>
          <w:sz w:val="24"/>
          <w:highlight w:val="none"/>
        </w:rPr>
        <w:t>、商务分+技术分=评标委员会所有成员评分合计数/评标委员会组成人员数</w:t>
      </w:r>
    </w:p>
    <w:p>
      <w:pPr>
        <w:spacing w:line="360" w:lineRule="auto"/>
        <w:ind w:firstLine="470" w:firstLineChars="196"/>
        <w:rPr>
          <w:rFonts w:ascii="仿宋" w:hAnsi="仿宋" w:eastAsia="仿宋" w:cs="Arial"/>
          <w:color w:val="auto"/>
          <w:kern w:val="0"/>
          <w:sz w:val="24"/>
          <w:highlight w:val="none"/>
        </w:rPr>
      </w:pPr>
      <w:r>
        <w:rPr>
          <w:rFonts w:hint="eastAsia" w:ascii="仿宋" w:hAnsi="仿宋" w:eastAsia="仿宋" w:cs="Arial"/>
          <w:color w:val="auto"/>
          <w:kern w:val="0"/>
          <w:sz w:val="24"/>
          <w:highlight w:val="none"/>
          <w:lang w:val="en-US" w:eastAsia="zh-CN"/>
        </w:rPr>
        <w:t>2</w:t>
      </w:r>
      <w:r>
        <w:rPr>
          <w:rFonts w:ascii="仿宋" w:hAnsi="仿宋" w:eastAsia="仿宋" w:cs="Arial"/>
          <w:color w:val="auto"/>
          <w:kern w:val="0"/>
          <w:sz w:val="24"/>
          <w:highlight w:val="none"/>
        </w:rPr>
        <w:t>、价格分 (</w:t>
      </w:r>
      <w:r>
        <w:rPr>
          <w:rFonts w:hint="eastAsia" w:ascii="仿宋" w:hAnsi="仿宋" w:eastAsia="仿宋" w:cs="Arial"/>
          <w:color w:val="auto"/>
          <w:kern w:val="0"/>
          <w:sz w:val="24"/>
          <w:highlight w:val="none"/>
          <w:lang w:val="en-US" w:eastAsia="zh-CN"/>
        </w:rPr>
        <w:t>1</w:t>
      </w:r>
      <w:r>
        <w:rPr>
          <w:rFonts w:ascii="仿宋" w:hAnsi="仿宋" w:eastAsia="仿宋" w:cs="Arial"/>
          <w:color w:val="auto"/>
          <w:kern w:val="0"/>
          <w:sz w:val="24"/>
          <w:highlight w:val="none"/>
        </w:rPr>
        <w:t>0 分) 采用低价优先法计算，即满足招标文件要求且投标价格最低的 投标报价为评标基准价，其他投标人的价格分按照下列公式计算：</w:t>
      </w:r>
    </w:p>
    <w:p>
      <w:pPr>
        <w:spacing w:line="360" w:lineRule="auto"/>
        <w:ind w:firstLine="470" w:firstLineChars="196"/>
        <w:rPr>
          <w:rFonts w:ascii="仿宋" w:hAnsi="仿宋" w:eastAsia="仿宋" w:cs="Arial"/>
          <w:color w:val="auto"/>
          <w:kern w:val="0"/>
          <w:sz w:val="24"/>
          <w:highlight w:val="none"/>
        </w:rPr>
      </w:pPr>
      <w:r>
        <w:rPr>
          <w:rFonts w:ascii="仿宋" w:hAnsi="仿宋" w:eastAsia="仿宋" w:cs="Arial"/>
          <w:color w:val="auto"/>
          <w:kern w:val="0"/>
          <w:sz w:val="24"/>
          <w:highlight w:val="none"/>
        </w:rPr>
        <w:t>价格分= (评标基准价/投标报价) ×</w:t>
      </w:r>
      <w:r>
        <w:rPr>
          <w:rFonts w:hint="eastAsia" w:ascii="仿宋" w:hAnsi="仿宋" w:eastAsia="仿宋" w:cs="Arial"/>
          <w:color w:val="auto"/>
          <w:kern w:val="0"/>
          <w:sz w:val="24"/>
          <w:highlight w:val="none"/>
          <w:lang w:val="en-US" w:eastAsia="zh-CN"/>
        </w:rPr>
        <w:t>1</w:t>
      </w:r>
      <w:r>
        <w:rPr>
          <w:rFonts w:ascii="仿宋" w:hAnsi="仿宋" w:eastAsia="仿宋" w:cs="Arial"/>
          <w:color w:val="auto"/>
          <w:kern w:val="0"/>
          <w:sz w:val="24"/>
          <w:highlight w:val="none"/>
        </w:rPr>
        <w:t>0%×100</w:t>
      </w:r>
    </w:p>
    <w:p>
      <w:pPr>
        <w:spacing w:line="360" w:lineRule="auto"/>
        <w:ind w:firstLine="470" w:firstLineChars="196"/>
        <w:rPr>
          <w:rFonts w:ascii="仿宋" w:hAnsi="仿宋" w:eastAsia="仿宋" w:cs="Arial"/>
          <w:color w:val="auto"/>
          <w:kern w:val="0"/>
          <w:sz w:val="24"/>
          <w:highlight w:val="none"/>
        </w:rPr>
      </w:pPr>
      <w:r>
        <w:rPr>
          <w:rFonts w:ascii="仿宋" w:hAnsi="仿宋" w:eastAsia="仿宋" w:cs="Arial"/>
          <w:color w:val="auto"/>
          <w:kern w:val="0"/>
          <w:sz w:val="24"/>
          <w:highlight w:val="none"/>
        </w:rPr>
        <w:t>因落实政府采购政策进行价格调整的， 以调整后的价格计算评标基准价和投标报价。</w:t>
      </w:r>
    </w:p>
    <w:p>
      <w:pPr>
        <w:rPr>
          <w:rFonts w:ascii="仿宋" w:hAnsi="仿宋" w:eastAsia="仿宋"/>
          <w:b/>
          <w:color w:val="auto"/>
          <w:sz w:val="28"/>
          <w:szCs w:val="28"/>
          <w:highlight w:val="none"/>
        </w:rPr>
      </w:pPr>
      <w:r>
        <w:rPr>
          <w:rFonts w:hint="eastAsia" w:ascii="仿宋" w:hAnsi="仿宋" w:eastAsia="仿宋" w:cs="仿宋_GB2312"/>
          <w:b/>
          <w:color w:val="auto"/>
          <w:sz w:val="32"/>
          <w:highlight w:val="none"/>
        </w:rPr>
        <w:t>一、评标方法</w:t>
      </w:r>
    </w:p>
    <w:p>
      <w:pPr>
        <w:adjustRightInd/>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1.</w:t>
      </w:r>
      <w:r>
        <w:rPr>
          <w:rFonts w:hint="eastAsia" w:ascii="仿宋" w:hAnsi="仿宋" w:eastAsia="仿宋" w:cs="Arial"/>
          <w:b/>
          <w:color w:val="auto"/>
          <w:kern w:val="0"/>
          <w:sz w:val="24"/>
          <w:highlight w:val="none"/>
        </w:rPr>
        <w:t>本项目采用综合评分法。</w:t>
      </w:r>
      <w:r>
        <w:rPr>
          <w:rFonts w:hint="eastAsia" w:ascii="仿宋" w:hAnsi="仿宋" w:eastAsia="仿宋" w:cs="Arial"/>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Arial"/>
          <w:color w:val="auto"/>
          <w:kern w:val="0"/>
          <w:sz w:val="24"/>
          <w:highlight w:val="none"/>
        </w:rPr>
      </w:pPr>
      <w:r>
        <w:rPr>
          <w:rFonts w:hint="eastAsia" w:ascii="仿宋" w:hAnsi="仿宋" w:eastAsia="仿宋" w:cs="仿宋_GB2312"/>
          <w:b/>
          <w:color w:val="auto"/>
          <w:sz w:val="32"/>
          <w:highlight w:val="none"/>
        </w:rPr>
        <w:t>二、评标标准</w:t>
      </w:r>
    </w:p>
    <w:p>
      <w:pPr>
        <w:spacing w:line="360" w:lineRule="auto"/>
        <w:ind w:firstLine="472" w:firstLineChars="196"/>
        <w:rPr>
          <w:rFonts w:ascii="仿宋" w:hAnsi="仿宋" w:eastAsia="仿宋" w:cs="仿宋_GB2312"/>
          <w:b/>
          <w:color w:val="auto"/>
          <w:sz w:val="24"/>
          <w:highlight w:val="none"/>
        </w:rPr>
      </w:pPr>
      <w:r>
        <w:rPr>
          <w:rFonts w:ascii="仿宋" w:hAnsi="仿宋" w:eastAsia="仿宋" w:cs="仿宋_GB2312"/>
          <w:b/>
          <w:color w:val="auto"/>
          <w:sz w:val="24"/>
          <w:highlight w:val="none"/>
        </w:rPr>
        <w:t>2.</w:t>
      </w:r>
      <w:r>
        <w:rPr>
          <w:rFonts w:ascii="仿宋" w:hAnsi="仿宋" w:eastAsia="仿宋"/>
          <w:color w:val="auto"/>
          <w:highlight w:val="none"/>
        </w:rPr>
        <w:t xml:space="preserve"> </w:t>
      </w:r>
      <w:r>
        <w:rPr>
          <w:rFonts w:hint="eastAsia" w:ascii="仿宋" w:hAnsi="仿宋" w:eastAsia="仿宋" w:cs="仿宋_GB2312"/>
          <w:b/>
          <w:color w:val="auto"/>
          <w:sz w:val="24"/>
          <w:highlight w:val="none"/>
        </w:rPr>
        <w:t>评标标准：</w:t>
      </w:r>
      <w:r>
        <w:rPr>
          <w:rFonts w:hint="eastAsia" w:ascii="仿宋" w:hAnsi="仿宋" w:eastAsia="仿宋" w:cs="Arial"/>
          <w:color w:val="auto"/>
          <w:kern w:val="0"/>
          <w:sz w:val="24"/>
          <w:highlight w:val="none"/>
        </w:rPr>
        <w:t>见评标办法前附表。</w:t>
      </w:r>
    </w:p>
    <w:p>
      <w:pPr>
        <w:snapToGrid w:val="0"/>
        <w:spacing w:line="360" w:lineRule="auto"/>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三、评标程序</w:t>
      </w:r>
    </w:p>
    <w:p>
      <w:pPr>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3.1符合性审查。</w:t>
      </w:r>
      <w:r>
        <w:rPr>
          <w:rFonts w:ascii="仿宋" w:hAnsi="仿宋" w:eastAsia="仿宋" w:cs="Arial"/>
          <w:color w:val="auto"/>
          <w:kern w:val="0"/>
          <w:sz w:val="24"/>
          <w:highlight w:val="none"/>
        </w:rPr>
        <w:t>评标委员会应当对符合资格的投标人的投标文件进行符合性审查，以确定其是否满足招标文件的实质性要求。</w:t>
      </w:r>
      <w:r>
        <w:rPr>
          <w:rFonts w:hint="eastAsia" w:ascii="仿宋" w:hAnsi="仿宋" w:eastAsia="仿宋" w:cs="Arial"/>
          <w:color w:val="auto"/>
          <w:kern w:val="0"/>
          <w:sz w:val="24"/>
          <w:highlight w:val="none"/>
        </w:rPr>
        <w:t>不</w:t>
      </w:r>
      <w:r>
        <w:rPr>
          <w:rFonts w:ascii="仿宋" w:hAnsi="仿宋" w:eastAsia="仿宋" w:cs="Arial"/>
          <w:color w:val="auto"/>
          <w:kern w:val="0"/>
          <w:sz w:val="24"/>
          <w:highlight w:val="none"/>
        </w:rPr>
        <w:t>满足招标文件的实质性要求</w:t>
      </w:r>
      <w:r>
        <w:rPr>
          <w:rFonts w:hint="eastAsia" w:ascii="仿宋" w:hAnsi="仿宋" w:eastAsia="仿宋" w:cs="Arial"/>
          <w:color w:val="auto"/>
          <w:kern w:val="0"/>
          <w:sz w:val="24"/>
          <w:highlight w:val="none"/>
        </w:rPr>
        <w:t>的，投标无效。</w:t>
      </w:r>
    </w:p>
    <w:p>
      <w:pPr>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 xml:space="preserve">3.2 </w:t>
      </w:r>
      <w:r>
        <w:rPr>
          <w:rFonts w:hint="eastAsia" w:ascii="仿宋" w:hAnsi="仿宋" w:eastAsia="仿宋" w:cs="Arial"/>
          <w:b/>
          <w:color w:val="auto"/>
          <w:kern w:val="0"/>
          <w:sz w:val="24"/>
          <w:highlight w:val="none"/>
        </w:rPr>
        <w:t>比较与评价。</w:t>
      </w:r>
      <w:r>
        <w:rPr>
          <w:rFonts w:ascii="仿宋" w:hAnsi="仿宋" w:eastAsia="仿宋" w:cs="Arial"/>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3.3汇总商务技术得分。</w:t>
      </w:r>
      <w:r>
        <w:rPr>
          <w:rFonts w:hint="eastAsia" w:ascii="仿宋" w:hAnsi="仿宋" w:eastAsia="仿宋" w:cs="Arial"/>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 w:hAnsi="仿宋" w:eastAsia="仿宋" w:cs="Arial"/>
          <w:b/>
          <w:color w:val="auto"/>
          <w:kern w:val="0"/>
          <w:sz w:val="24"/>
          <w:highlight w:val="none"/>
        </w:rPr>
      </w:pPr>
      <w:r>
        <w:rPr>
          <w:rFonts w:ascii="仿宋" w:hAnsi="仿宋" w:eastAsia="仿宋" w:cs="Arial"/>
          <w:b/>
          <w:color w:val="auto"/>
          <w:kern w:val="0"/>
          <w:sz w:val="24"/>
          <w:highlight w:val="none"/>
        </w:rPr>
        <w:t>3.4报价评审。</w:t>
      </w:r>
    </w:p>
    <w:p>
      <w:pPr>
        <w:pStyle w:val="87"/>
        <w:spacing w:before="0"/>
        <w:ind w:firstLine="508" w:firstLineChars="212"/>
        <w:rPr>
          <w:rFonts w:ascii="仿宋" w:hAnsi="仿宋" w:eastAsia="仿宋" w:cs="Arial"/>
          <w:color w:val="auto"/>
          <w:kern w:val="0"/>
          <w:highlight w:val="none"/>
        </w:rPr>
      </w:pPr>
      <w:r>
        <w:rPr>
          <w:rFonts w:ascii="仿宋" w:hAnsi="仿宋" w:eastAsia="仿宋" w:cs="Arial"/>
          <w:color w:val="auto"/>
          <w:kern w:val="0"/>
          <w:highlight w:val="none"/>
        </w:rPr>
        <w:t>3.4.1投标文件报价出现前后不一致的，按照下列规定修正：</w:t>
      </w:r>
    </w:p>
    <w:p>
      <w:pPr>
        <w:pStyle w:val="87"/>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pPr>
        <w:pStyle w:val="87"/>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87"/>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87"/>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pPr>
        <w:pStyle w:val="87"/>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87"/>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pPr>
        <w:pStyle w:val="87"/>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20</w:t>
      </w:r>
      <w:r>
        <w:rPr>
          <w:rFonts w:hint="eastAsia" w:ascii="仿宋" w:hAnsi="仿宋" w:eastAsia="仿宋" w:cs="仿宋"/>
          <w:color w:val="auto"/>
          <w:kern w:val="0"/>
          <w:szCs w:val="24"/>
          <w:highlight w:val="none"/>
        </w:rPr>
        <w:t>%的扣除，用扣除后的价格参与评审。</w:t>
      </w:r>
      <w:r>
        <w:rPr>
          <w:rFonts w:hint="eastAsia" w:ascii="仿宋" w:hAnsi="仿宋" w:eastAsia="仿宋" w:cs="仿宋"/>
          <w:kern w:val="0"/>
          <w:szCs w:val="24"/>
          <w:highlight w:val="none"/>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Cs w:val="24"/>
          <w:highlight w:val="none"/>
          <w:lang w:val="en-US" w:eastAsia="zh-CN"/>
        </w:rPr>
        <w:t>6</w:t>
      </w:r>
      <w:r>
        <w:rPr>
          <w:rFonts w:hint="eastAsia" w:ascii="仿宋" w:hAnsi="仿宋" w:eastAsia="仿宋" w:cs="仿宋"/>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Arial"/>
          <w:color w:val="auto"/>
          <w:kern w:val="0"/>
          <w:sz w:val="24"/>
          <w:highlight w:val="none"/>
        </w:rPr>
      </w:pPr>
      <w:r>
        <w:rPr>
          <w:rFonts w:ascii="仿宋" w:hAnsi="仿宋" w:eastAsia="仿宋" w:cs="Arial"/>
          <w:b/>
          <w:color w:val="auto"/>
          <w:kern w:val="0"/>
          <w:sz w:val="24"/>
          <w:highlight w:val="none"/>
        </w:rPr>
        <w:t>3.5</w:t>
      </w:r>
      <w:r>
        <w:rPr>
          <w:rFonts w:hint="eastAsia" w:ascii="仿宋" w:hAnsi="仿宋" w:eastAsia="仿宋" w:cs="Arial"/>
          <w:b/>
          <w:color w:val="auto"/>
          <w:kern w:val="0"/>
          <w:sz w:val="24"/>
          <w:highlight w:val="none"/>
        </w:rPr>
        <w:t>排序与推荐。</w:t>
      </w:r>
      <w:r>
        <w:rPr>
          <w:rFonts w:ascii="仿宋" w:hAnsi="仿宋" w:eastAsia="仿宋"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Arial"/>
          <w:color w:val="auto"/>
          <w:kern w:val="0"/>
          <w:sz w:val="24"/>
          <w:highlight w:val="none"/>
        </w:rPr>
        <w:t>。</w:t>
      </w:r>
    </w:p>
    <w:p>
      <w:pPr>
        <w:spacing w:line="360" w:lineRule="auto"/>
        <w:ind w:firstLine="420"/>
        <w:rPr>
          <w:rFonts w:ascii="仿宋" w:hAnsi="仿宋" w:eastAsia="仿宋" w:cs="Arial"/>
          <w:b/>
          <w:color w:val="auto"/>
          <w:kern w:val="0"/>
          <w:sz w:val="24"/>
          <w:highlight w:val="none"/>
        </w:rPr>
      </w:pPr>
      <w:r>
        <w:rPr>
          <w:rFonts w:hint="eastAsia" w:ascii="仿宋" w:hAnsi="仿宋" w:eastAsia="仿宋"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3.6编写评标报告。</w:t>
      </w:r>
      <w:r>
        <w:rPr>
          <w:rFonts w:ascii="仿宋" w:hAnsi="仿宋" w:eastAsia="仿宋" w:cs="Arial"/>
          <w:color w:val="auto"/>
          <w:kern w:val="0"/>
          <w:sz w:val="24"/>
          <w:highlight w:val="none"/>
        </w:rPr>
        <w:t>评标委员会根据全体评标成员签字的原始评标记录和评标结果编写评标报告。</w:t>
      </w:r>
      <w:r>
        <w:rPr>
          <w:rFonts w:hint="eastAsia" w:ascii="仿宋" w:hAnsi="仿宋" w:eastAsia="仿宋"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四、评标中的其他事项</w:t>
      </w:r>
    </w:p>
    <w:p>
      <w:pPr>
        <w:pStyle w:val="87"/>
        <w:spacing w:before="0"/>
        <w:ind w:firstLine="472" w:firstLineChars="196"/>
        <w:rPr>
          <w:rFonts w:ascii="仿宋" w:hAnsi="仿宋" w:eastAsia="仿宋" w:cs="Arial"/>
          <w:color w:val="auto"/>
          <w:kern w:val="0"/>
          <w:szCs w:val="24"/>
          <w:highlight w:val="none"/>
        </w:rPr>
      </w:pPr>
      <w:r>
        <w:rPr>
          <w:rFonts w:ascii="仿宋" w:hAnsi="仿宋" w:eastAsia="仿宋" w:cs="Arial"/>
          <w:b/>
          <w:color w:val="auto"/>
          <w:kern w:val="0"/>
          <w:szCs w:val="24"/>
          <w:highlight w:val="none"/>
        </w:rPr>
        <w:t>4.1</w:t>
      </w:r>
      <w:r>
        <w:rPr>
          <w:rFonts w:hint="eastAsia" w:ascii="仿宋" w:hAnsi="仿宋" w:eastAsia="仿宋" w:cs="Arial"/>
          <w:b/>
          <w:color w:val="auto"/>
          <w:kern w:val="0"/>
          <w:szCs w:val="24"/>
          <w:highlight w:val="none"/>
        </w:rPr>
        <w:t>投标人澄清、说明或者补正。</w:t>
      </w:r>
      <w:r>
        <w:rPr>
          <w:rFonts w:hint="eastAsia" w:ascii="仿宋" w:hAnsi="仿宋" w:eastAsia="仿宋"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ascii="仿宋" w:hAnsi="仿宋" w:eastAsia="仿宋" w:cs="仿宋_GB2312"/>
          <w:color w:val="auto"/>
          <w:szCs w:val="21"/>
          <w:highlight w:val="none"/>
        </w:rPr>
      </w:pPr>
      <w:r>
        <w:rPr>
          <w:rFonts w:ascii="仿宋" w:hAnsi="仿宋" w:eastAsia="仿宋" w:cs="Arial"/>
          <w:b/>
          <w:color w:val="auto"/>
          <w:kern w:val="0"/>
          <w:highlight w:val="none"/>
        </w:rPr>
        <w:t>4.2投标无效。</w:t>
      </w:r>
      <w:r>
        <w:rPr>
          <w:rFonts w:hint="eastAsia" w:ascii="仿宋" w:hAnsi="仿宋" w:eastAsia="仿宋" w:cs="仿宋_GB2312"/>
          <w:color w:val="auto"/>
          <w:szCs w:val="21"/>
          <w:highlight w:val="none"/>
        </w:rPr>
        <w:t>有下列情况之一的，投标无效：</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4.2.2投标文件未按照招标文件要求签署、盖章的；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4.2.3投标文件含有采购人不能接受的附加条件的；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4.2.4投标文件中承诺的投标有效期少于招标文件中载明的投标有效期的；</w:t>
      </w:r>
    </w:p>
    <w:p>
      <w:pPr>
        <w:snapToGrid w:val="0"/>
        <w:spacing w:line="360" w:lineRule="auto"/>
        <w:ind w:firstLine="120" w:firstLineChars="50"/>
        <w:jc w:val="left"/>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 xml:space="preserve">  </w:t>
      </w:r>
      <w:r>
        <w:rPr>
          <w:rFonts w:hint="eastAsia" w:ascii="仿宋" w:hAnsi="仿宋" w:eastAsia="仿宋" w:cs="Arial"/>
          <w:b/>
          <w:bCs/>
          <w:color w:val="auto"/>
          <w:kern w:val="0"/>
          <w:sz w:val="24"/>
          <w:highlight w:val="none"/>
        </w:rPr>
        <w:t xml:space="preserve"> </w:t>
      </w:r>
      <w:r>
        <w:rPr>
          <w:rFonts w:ascii="仿宋" w:hAnsi="仿宋" w:eastAsia="仿宋" w:cs="Arial"/>
          <w:b/>
          <w:bCs/>
          <w:color w:val="auto"/>
          <w:kern w:val="0"/>
          <w:sz w:val="24"/>
          <w:highlight w:val="none"/>
        </w:rPr>
        <w:t>4.2.5投标文件出现不是唯一的、有选择性投标报价的;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4.2.6投标报价超过招标文件中规定的预算金额或者最高限价的;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4.2.7报价明显低于其他通过符合性审查投标人的报价，有可能影响产品质量或者不能诚信履约的，未能按要求提供书面说明或者提交相关证明材料，不能证明其报价合理性的;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4.2.8投标人对根据修正原则修正后的报价不确认的；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4.2.9投标人提供虚假材料投标的；</w:t>
      </w:r>
    </w:p>
    <w:p>
      <w:pPr>
        <w:spacing w:line="360" w:lineRule="auto"/>
        <w:ind w:firstLine="241" w:firstLineChars="1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 xml:space="preserve">  4.2.10投标人有恶意串通、妨碍其他投标人的竞争行为、损害采购人或者其他投标人的合法权益情形的；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4.2.11投标人仅提交备份投标文件，没有在电子交易平台传输递交投标文件的，投标无效；</w:t>
      </w:r>
    </w:p>
    <w:p>
      <w:pPr>
        <w:pStyle w:val="4"/>
        <w:ind w:left="862" w:leftChars="205"/>
        <w:rPr>
          <w:rFonts w:ascii="仿宋" w:eastAsia="仿宋" w:cs="Arial"/>
          <w:color w:val="auto"/>
          <w:kern w:val="0"/>
          <w:sz w:val="24"/>
          <w:szCs w:val="24"/>
          <w:highlight w:val="none"/>
          <w:lang w:val="en-US"/>
        </w:rPr>
      </w:pPr>
      <w:r>
        <w:rPr>
          <w:rFonts w:ascii="仿宋" w:eastAsia="仿宋" w:cs="Arial"/>
          <w:color w:val="auto"/>
          <w:kern w:val="0"/>
          <w:sz w:val="24"/>
          <w:szCs w:val="24"/>
          <w:highlight w:val="none"/>
          <w:lang w:val="en-US"/>
        </w:rPr>
        <w:t xml:space="preserve">4.2.12 </w:t>
      </w:r>
      <w:r>
        <w:rPr>
          <w:rFonts w:hint="eastAsia" w:ascii="仿宋" w:eastAsia="仿宋" w:cs="Arial"/>
          <w:color w:val="auto"/>
          <w:kern w:val="0"/>
          <w:sz w:val="24"/>
          <w:szCs w:val="24"/>
          <w:highlight w:val="none"/>
          <w:lang w:val="en-US"/>
        </w:rPr>
        <w:t>投标文件不满足招标文件的其它实质性要求的；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4.2.13法律、法规、规章（适用本市的）及省级以上规范性文件（适用本市的）规定的其他无效情形。</w:t>
      </w:r>
    </w:p>
    <w:p>
      <w:pPr>
        <w:pStyle w:val="27"/>
        <w:snapToGrid w:val="0"/>
        <w:spacing w:line="360" w:lineRule="auto"/>
        <w:ind w:firstLine="472" w:firstLineChars="196"/>
        <w:rPr>
          <w:rFonts w:ascii="仿宋" w:hAnsi="仿宋" w:eastAsia="仿宋" w:cs="仿宋_GB2312"/>
          <w:color w:val="auto"/>
          <w:highlight w:val="none"/>
        </w:rPr>
      </w:pPr>
      <w:r>
        <w:rPr>
          <w:rFonts w:ascii="仿宋" w:hAnsi="仿宋" w:eastAsia="仿宋" w:cs="仿宋_GB2312"/>
          <w:b/>
          <w:color w:val="auto"/>
          <w:highlight w:val="none"/>
        </w:rPr>
        <w:t>5.废标。</w:t>
      </w:r>
      <w:r>
        <w:rPr>
          <w:rFonts w:hint="eastAsia" w:ascii="仿宋" w:hAnsi="仿宋" w:eastAsia="仿宋" w:cs="仿宋_GB2312"/>
          <w:color w:val="auto"/>
          <w:highlight w:val="none"/>
        </w:rPr>
        <w:t>根据《中华人民共和国政府采购法》第三十六条之规定，在采购中，出现下列情形之一的，应予废标：</w:t>
      </w:r>
    </w:p>
    <w:p>
      <w:pPr>
        <w:pStyle w:val="27"/>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5.1符合专业条件的供应商或者对招标文件作实质响应的供应商不足3家的；</w:t>
      </w:r>
    </w:p>
    <w:p>
      <w:pPr>
        <w:pStyle w:val="27"/>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5.2出现影响采购公正的违法、违规行为的；</w:t>
      </w:r>
    </w:p>
    <w:p>
      <w:pPr>
        <w:pStyle w:val="27"/>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5.3投标人的报价均超过了采购预算，采购人不能支付的；</w:t>
      </w:r>
    </w:p>
    <w:p>
      <w:pPr>
        <w:pStyle w:val="27"/>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5.4因重大变故，采购任务取消的。</w:t>
      </w:r>
    </w:p>
    <w:p>
      <w:pPr>
        <w:pStyle w:val="27"/>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废标后，采购代理机构应当将废标理由通知所有投标人。</w:t>
      </w:r>
    </w:p>
    <w:p>
      <w:pPr>
        <w:pStyle w:val="27"/>
        <w:snapToGrid w:val="0"/>
        <w:spacing w:line="360" w:lineRule="auto"/>
        <w:ind w:firstLine="590" w:firstLineChars="245"/>
        <w:rPr>
          <w:rFonts w:ascii="仿宋" w:hAnsi="仿宋" w:eastAsia="仿宋" w:cs="仿宋_GB2312"/>
          <w:color w:val="auto"/>
          <w:highlight w:val="none"/>
        </w:rPr>
      </w:pPr>
      <w:r>
        <w:rPr>
          <w:rFonts w:ascii="仿宋" w:hAnsi="仿宋" w:eastAsia="仿宋" w:cs="仿宋_GB2312"/>
          <w:b/>
          <w:color w:val="auto"/>
          <w:highlight w:val="none"/>
        </w:rPr>
        <w:t>6.修改招标文件，重新组织采购活动。</w:t>
      </w:r>
      <w:r>
        <w:rPr>
          <w:rFonts w:hint="eastAsia" w:ascii="仿宋" w:hAnsi="仿宋" w:eastAsia="仿宋" w:cs="仿宋_GB2312"/>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7"/>
        <w:snapToGrid w:val="0"/>
        <w:spacing w:line="360" w:lineRule="auto"/>
        <w:ind w:firstLine="590" w:firstLineChars="245"/>
        <w:rPr>
          <w:rFonts w:ascii="仿宋" w:hAnsi="仿宋" w:eastAsia="仿宋" w:cs="仿宋_GB2312"/>
          <w:color w:val="auto"/>
          <w:highlight w:val="none"/>
        </w:rPr>
      </w:pPr>
      <w:r>
        <w:rPr>
          <w:rFonts w:hint="eastAsia" w:ascii="仿宋" w:hAnsi="仿宋" w:eastAsia="仿宋" w:cs="Helvetica"/>
          <w:b/>
          <w:color w:val="auto"/>
          <w:kern w:val="0"/>
          <w:highlight w:val="none"/>
        </w:rPr>
        <w:t>7.重新开展采购。</w:t>
      </w:r>
      <w:r>
        <w:rPr>
          <w:rFonts w:hint="eastAsia" w:ascii="仿宋" w:hAnsi="仿宋" w:eastAsia="仿宋" w:cs="仿宋_GB2312"/>
          <w:color w:val="auto"/>
          <w:highlight w:val="none"/>
        </w:rPr>
        <w:t>有政府采购法第七十一条、第七十二条规定的违法行为之一，影响或者可能影响中标、成交结果的，依照下列规定处理：</w:t>
      </w:r>
    </w:p>
    <w:p>
      <w:pPr>
        <w:pStyle w:val="27"/>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7.1未确定中标或者中标人的，终止本次政府采购活动，重新开展政府采购</w:t>
      </w:r>
      <w:r>
        <w:rPr>
          <w:rFonts w:hint="eastAsia" w:ascii="仿宋" w:hAnsi="仿宋" w:eastAsia="仿宋" w:cs="仿宋_GB2312"/>
          <w:color w:val="auto"/>
          <w:highlight w:val="none"/>
        </w:rPr>
        <w:t>活动。</w:t>
      </w:r>
    </w:p>
    <w:p>
      <w:pPr>
        <w:pStyle w:val="27"/>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7"/>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7"/>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7.4政府采购合同已经履行，给采购人、供应</w:t>
      </w:r>
      <w:r>
        <w:rPr>
          <w:rFonts w:hint="eastAsia" w:ascii="仿宋" w:hAnsi="仿宋" w:eastAsia="仿宋" w:cs="仿宋_GB2312"/>
          <w:color w:val="auto"/>
          <w:highlight w:val="none"/>
        </w:rPr>
        <w:t>商造成损失的，由责任人承担赔偿责任。</w:t>
      </w:r>
    </w:p>
    <w:p>
      <w:pPr>
        <w:pStyle w:val="27"/>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7.5政府采购当事人有其他违反政府采购</w:t>
      </w:r>
      <w:r>
        <w:rPr>
          <w:rFonts w:hint="eastAsia" w:ascii="仿宋" w:hAnsi="仿宋" w:eastAsia="仿宋" w:cs="仿宋_GB2312"/>
          <w:color w:val="auto"/>
          <w:highlight w:val="none"/>
        </w:rPr>
        <w:t>法</w:t>
      </w:r>
      <w:r>
        <w:rPr>
          <w:rFonts w:hint="eastAsia" w:ascii="仿宋" w:hAnsi="仿宋" w:eastAsia="仿宋" w:cs="Arial"/>
          <w:color w:val="auto"/>
          <w:kern w:val="0"/>
          <w:highlight w:val="none"/>
        </w:rPr>
        <w:t>或者政府采购法实施条例等法律法规规定</w:t>
      </w:r>
      <w:r>
        <w:rPr>
          <w:rFonts w:hint="eastAsia" w:ascii="仿宋" w:hAnsi="仿宋" w:eastAsia="仿宋" w:cs="仿宋_GB2312"/>
          <w:color w:val="auto"/>
          <w:highlight w:val="none"/>
        </w:rPr>
        <w:t>的行为，经改正后仍然影响或者可能影响中标、成交结果或者依法被认定为中标、成交无效的，依照</w:t>
      </w:r>
      <w:r>
        <w:rPr>
          <w:rFonts w:ascii="仿宋" w:hAnsi="仿宋" w:eastAsia="仿宋" w:cs="仿宋_GB2312"/>
          <w:color w:val="auto"/>
          <w:highlight w:val="none"/>
        </w:rPr>
        <w:t>7.1-7.4规定处理。</w:t>
      </w:r>
    </w:p>
    <w:p>
      <w:pPr>
        <w:pStyle w:val="27"/>
        <w:snapToGrid w:val="0"/>
        <w:spacing w:line="360" w:lineRule="auto"/>
        <w:ind w:firstLine="0" w:firstLineChars="0"/>
        <w:rPr>
          <w:rFonts w:ascii="仿宋" w:hAnsi="仿宋" w:eastAsia="仿宋" w:cs="仿宋_GB2312"/>
          <w:color w:val="auto"/>
          <w:highlight w:val="none"/>
        </w:rPr>
      </w:pPr>
    </w:p>
    <w:bookmarkEnd w:id="32"/>
    <w:p>
      <w:pPr>
        <w:spacing w:line="360" w:lineRule="auto"/>
        <w:outlineLvl w:val="0"/>
        <w:rPr>
          <w:rFonts w:ascii="仿宋" w:hAnsi="仿宋" w:eastAsia="仿宋" w:cs="仿宋_GB2312"/>
          <w:b/>
          <w:color w:val="auto"/>
          <w:sz w:val="36"/>
          <w:szCs w:val="36"/>
          <w:highlight w:val="none"/>
        </w:rPr>
      </w:pPr>
      <w:bookmarkStart w:id="399" w:name="第五部分"/>
      <w:bookmarkStart w:id="400" w:name="_Toc86217003"/>
    </w:p>
    <w:p>
      <w:pP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br w:type="page"/>
      </w:r>
    </w:p>
    <w:p>
      <w:pPr>
        <w:spacing w:line="360" w:lineRule="auto"/>
        <w:ind w:left="720" w:leftChars="343" w:firstLine="1084" w:firstLineChars="300"/>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第五部分 拟签订的合同文本</w:t>
      </w:r>
    </w:p>
    <w:p>
      <w:pP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pPr>
        <w:spacing w:line="480" w:lineRule="auto"/>
        <w:jc w:val="center"/>
        <w:rPr>
          <w:rFonts w:hint="eastAsia" w:ascii="仿宋" w:hAnsi="仿宋" w:eastAsia="仿宋" w:cs="仿宋"/>
          <w:b/>
          <w:color w:val="auto"/>
          <w:sz w:val="28"/>
          <w:szCs w:val="28"/>
        </w:rPr>
      </w:pPr>
    </w:p>
    <w:p>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w:t>
      </w:r>
      <w:r>
        <w:rPr>
          <w:rFonts w:hint="eastAsia" w:ascii="仿宋" w:hAnsi="仿宋" w:eastAsia="仿宋" w:cs="仿宋"/>
          <w:b/>
          <w:color w:val="auto"/>
          <w:sz w:val="36"/>
          <w:szCs w:val="36"/>
          <w:lang w:val="en-US" w:eastAsia="zh-CN"/>
        </w:rPr>
        <w:t>服务</w:t>
      </w:r>
      <w:r>
        <w:rPr>
          <w:rFonts w:hint="eastAsia" w:ascii="仿宋" w:hAnsi="仿宋" w:eastAsia="仿宋" w:cs="仿宋"/>
          <w:b/>
          <w:color w:val="auto"/>
          <w:sz w:val="36"/>
          <w:szCs w:val="36"/>
        </w:rPr>
        <w:t>类）</w:t>
      </w:r>
    </w:p>
    <w:p>
      <w:pPr>
        <w:pStyle w:val="386"/>
        <w:rPr>
          <w:rFonts w:hint="eastAsia" w:ascii="仿宋" w:hAnsi="仿宋" w:eastAsia="仿宋" w:cs="仿宋"/>
          <w:color w:val="auto"/>
          <w:szCs w:val="24"/>
        </w:rPr>
      </w:pPr>
    </w:p>
    <w:p>
      <w:pPr>
        <w:spacing w:before="120" w:line="22" w:lineRule="atLeast"/>
        <w:ind w:firstLine="960" w:firstLineChars="400"/>
        <w:rPr>
          <w:rFonts w:hint="eastAsia" w:ascii="仿宋" w:hAnsi="仿宋" w:eastAsia="仿宋" w:cs="仿宋"/>
          <w:color w:val="auto"/>
          <w:sz w:val="24"/>
          <w:u w:val="single"/>
        </w:rPr>
      </w:pPr>
    </w:p>
    <w:p>
      <w:pPr>
        <w:widowControl/>
        <w:jc w:val="left"/>
        <w:rPr>
          <w:rFonts w:hint="eastAsia" w:ascii="仿宋" w:hAnsi="仿宋" w:eastAsia="仿宋" w:cs="仿宋"/>
          <w:color w:val="auto"/>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pStyle w:val="386"/>
        <w:ind w:left="0" w:leftChars="0" w:firstLine="0" w:firstLineChars="0"/>
        <w:jc w:val="center"/>
        <w:rPr>
          <w:rFonts w:hint="eastAsia" w:ascii="仿宋" w:hAnsi="仿宋" w:eastAsia="仿宋" w:cs="仿宋"/>
          <w:b/>
          <w:szCs w:val="24"/>
        </w:rPr>
      </w:pPr>
      <w:r>
        <w:rPr>
          <w:rFonts w:hint="eastAsia" w:ascii="仿宋" w:hAnsi="仿宋" w:eastAsia="仿宋" w:cs="仿宋"/>
          <w:b/>
          <w:sz w:val="28"/>
          <w:szCs w:val="28"/>
        </w:rPr>
        <w:t>第一部分 合同书</w:t>
      </w:r>
    </w:p>
    <w:p>
      <w:pPr>
        <w:pStyle w:val="386"/>
        <w:ind w:left="0" w:leftChars="0" w:firstLine="0" w:firstLineChars="0"/>
        <w:rPr>
          <w:rFonts w:hint="eastAsia" w:ascii="仿宋" w:hAnsi="仿宋" w:eastAsia="仿宋" w:cs="仿宋"/>
          <w:szCs w:val="24"/>
        </w:rPr>
      </w:pP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283"/>
        <w:spacing w:before="120" w:line="22" w:lineRule="atLeast"/>
        <w:rPr>
          <w:rFonts w:hint="eastAsia" w:ascii="仿宋" w:hAnsi="仿宋" w:eastAsia="仿宋" w:cs="仿宋"/>
          <w:szCs w:val="24"/>
        </w:rPr>
      </w:pPr>
    </w:p>
    <w:p>
      <w:pPr>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hint="eastAsia" w:ascii="仿宋" w:hAnsi="仿宋" w:eastAsia="仿宋" w:cs="仿宋"/>
          <w:kern w:val="0"/>
          <w:sz w:val="24"/>
        </w:rPr>
        <w:sectPr>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1" w:charSpace="0"/>
        </w:sectPr>
      </w:pP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日</w:t>
      </w:r>
      <w:r>
        <w:rPr>
          <w:rFonts w:hint="eastAsia" w:ascii="仿宋" w:hAnsi="仿宋" w:eastAsia="仿宋" w:cs="仿宋"/>
          <w:sz w:val="24"/>
          <w:szCs w:val="24"/>
        </w:rPr>
        <w:t>，</w:t>
      </w:r>
      <w:r>
        <w:rPr>
          <w:rFonts w:hint="eastAsia" w:ascii="仿宋" w:hAnsi="仿宋" w:eastAsia="仿宋" w:cs="仿宋"/>
          <w:sz w:val="24"/>
          <w:szCs w:val="24"/>
          <w:u w:val="single"/>
        </w:rPr>
        <w:t xml:space="preserve">   （采购人）   </w:t>
      </w:r>
      <w:r>
        <w:rPr>
          <w:rFonts w:hint="eastAsia" w:ascii="仿宋" w:hAnsi="仿宋" w:eastAsia="仿宋" w:cs="仿宋"/>
          <w:sz w:val="24"/>
          <w:szCs w:val="24"/>
        </w:rPr>
        <w:t>以</w:t>
      </w:r>
      <w:r>
        <w:rPr>
          <w:rFonts w:hint="eastAsia" w:ascii="仿宋" w:hAnsi="仿宋" w:eastAsia="仿宋" w:cs="仿宋"/>
          <w:sz w:val="24"/>
          <w:szCs w:val="24"/>
          <w:u w:val="single"/>
        </w:rPr>
        <w:t xml:space="preserve">   （政府采购方式）  </w:t>
      </w:r>
      <w:r>
        <w:rPr>
          <w:rFonts w:hint="eastAsia" w:ascii="仿宋" w:hAnsi="仿宋" w:eastAsia="仿宋" w:cs="仿宋"/>
          <w:sz w:val="24"/>
          <w:szCs w:val="24"/>
        </w:rPr>
        <w:t>对</w:t>
      </w:r>
      <w:r>
        <w:rPr>
          <w:rFonts w:hint="eastAsia" w:ascii="仿宋" w:hAnsi="仿宋" w:eastAsia="仿宋" w:cs="仿宋"/>
          <w:sz w:val="24"/>
          <w:szCs w:val="24"/>
          <w:u w:val="single"/>
        </w:rPr>
        <w:t xml:space="preserve">   （同前页项目名称）   </w:t>
      </w:r>
      <w:r>
        <w:rPr>
          <w:rFonts w:hint="eastAsia" w:ascii="仿宋" w:hAnsi="仿宋" w:eastAsia="仿宋" w:cs="仿宋"/>
          <w:sz w:val="24"/>
          <w:szCs w:val="24"/>
        </w:rPr>
        <w:t>项目进行了采购。经</w:t>
      </w:r>
      <w:r>
        <w:rPr>
          <w:rFonts w:hint="eastAsia" w:ascii="仿宋" w:hAnsi="仿宋" w:eastAsia="仿宋" w:cs="仿宋"/>
          <w:sz w:val="24"/>
          <w:szCs w:val="24"/>
          <w:u w:val="single"/>
        </w:rPr>
        <w:t xml:space="preserve">   （相关评定主体名称）   </w:t>
      </w:r>
      <w:r>
        <w:rPr>
          <w:rFonts w:hint="eastAsia" w:ascii="仿宋" w:hAnsi="仿宋" w:eastAsia="仿宋" w:cs="仿宋"/>
          <w:sz w:val="24"/>
          <w:szCs w:val="24"/>
        </w:rPr>
        <w:t>评定，</w:t>
      </w:r>
      <w:r>
        <w:rPr>
          <w:rFonts w:hint="eastAsia" w:ascii="仿宋" w:hAnsi="仿宋" w:eastAsia="仿宋" w:cs="仿宋"/>
          <w:sz w:val="24"/>
          <w:szCs w:val="24"/>
          <w:u w:val="single"/>
        </w:rPr>
        <w:t xml:space="preserve">   （中标供应商名称）</w:t>
      </w:r>
      <w:r>
        <w:rPr>
          <w:rFonts w:hint="eastAsia" w:ascii="仿宋" w:hAnsi="仿宋" w:eastAsia="仿宋" w:cs="仿宋"/>
          <w:sz w:val="24"/>
          <w:szCs w:val="24"/>
        </w:rPr>
        <w:t>为该项目中标供应商。现于中标通知书发出之日起三十日内，按照采购文件确定的事项签订本合同。</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szCs w:val="24"/>
          <w:u w:val="single"/>
        </w:rPr>
        <w:t xml:space="preserve">   （采购人）   </w:t>
      </w:r>
      <w:r>
        <w:rPr>
          <w:rFonts w:hint="eastAsia" w:ascii="仿宋" w:hAnsi="仿宋" w:eastAsia="仿宋" w:cs="仿宋"/>
          <w:sz w:val="24"/>
          <w:szCs w:val="24"/>
          <w:lang w:val="zh-CN"/>
        </w:rPr>
        <w:t>(以下简称：甲方）和</w:t>
      </w:r>
      <w:r>
        <w:rPr>
          <w:rFonts w:hint="eastAsia" w:ascii="仿宋" w:hAnsi="仿宋" w:eastAsia="仿宋" w:cs="仿宋"/>
          <w:sz w:val="24"/>
          <w:szCs w:val="24"/>
          <w:u w:val="single"/>
        </w:rPr>
        <w:t xml:space="preserve">   （中标供应商名称）   </w:t>
      </w:r>
      <w:r>
        <w:rPr>
          <w:rFonts w:hint="eastAsia" w:ascii="仿宋" w:hAnsi="仿宋" w:eastAsia="仿宋" w:cs="仿宋"/>
          <w:sz w:val="24"/>
          <w:szCs w:val="24"/>
          <w:lang w:val="zh-CN"/>
        </w:rPr>
        <w:t>(以下简称：乙方）协商一致，约定以下合同</w:t>
      </w:r>
      <w:r>
        <w:rPr>
          <w:rFonts w:hint="eastAsia" w:ascii="仿宋" w:hAnsi="仿宋" w:eastAsia="仿宋" w:cs="仿宋"/>
          <w:sz w:val="24"/>
          <w:szCs w:val="24"/>
        </w:rPr>
        <w:t>条款，以兹共同遵守、全面履行。</w:t>
      </w:r>
    </w:p>
    <w:p>
      <w:pPr>
        <w:wordWrap/>
        <w:spacing w:line="600" w:lineRule="exact"/>
        <w:ind w:firstLine="482" w:firstLineChars="200"/>
        <w:textAlignment w:val="auto"/>
        <w:outlineLvl w:val="0"/>
        <w:rPr>
          <w:rFonts w:hint="eastAsia" w:ascii="仿宋" w:hAnsi="仿宋" w:eastAsia="仿宋" w:cs="仿宋"/>
          <w:b/>
          <w:sz w:val="24"/>
          <w:szCs w:val="24"/>
        </w:rPr>
      </w:pPr>
      <w:bookmarkStart w:id="401" w:name="_Toc24059"/>
      <w:bookmarkStart w:id="402" w:name="_Toc3029"/>
      <w:bookmarkStart w:id="403" w:name="_Toc2232"/>
      <w:r>
        <w:rPr>
          <w:rFonts w:hint="eastAsia" w:ascii="仿宋" w:hAnsi="仿宋" w:eastAsia="仿宋" w:cs="仿宋"/>
          <w:b/>
          <w:sz w:val="24"/>
          <w:szCs w:val="24"/>
        </w:rPr>
        <w:t>1.1 合同组成部分</w:t>
      </w:r>
      <w:bookmarkEnd w:id="401"/>
      <w:bookmarkEnd w:id="402"/>
      <w:bookmarkEnd w:id="403"/>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1.1.1 本合同及其补充合同、变更协议；</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1.1.2 中标通知书；</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1.1.3 投标文件（含澄清或者说明文件）；</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1.1.4 招标文件（含澄清或者修改文件）；</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1.1.5 其他相关采购文件。</w:t>
      </w:r>
    </w:p>
    <w:p>
      <w:pPr>
        <w:wordWrap/>
        <w:spacing w:line="600" w:lineRule="exact"/>
        <w:ind w:firstLine="482" w:firstLineChars="200"/>
        <w:textAlignment w:val="auto"/>
        <w:outlineLvl w:val="0"/>
        <w:rPr>
          <w:rFonts w:hint="eastAsia" w:ascii="仿宋" w:hAnsi="仿宋" w:eastAsia="仿宋" w:cs="仿宋"/>
          <w:b/>
          <w:sz w:val="24"/>
          <w:szCs w:val="24"/>
        </w:rPr>
      </w:pPr>
      <w:bookmarkStart w:id="404" w:name="_Toc21295"/>
      <w:bookmarkStart w:id="405" w:name="_Toc24300"/>
      <w:bookmarkStart w:id="406" w:name="_Toc27126"/>
      <w:r>
        <w:rPr>
          <w:rFonts w:hint="eastAsia" w:ascii="仿宋" w:hAnsi="仿宋" w:eastAsia="仿宋" w:cs="仿宋"/>
          <w:b/>
          <w:sz w:val="24"/>
          <w:szCs w:val="24"/>
        </w:rPr>
        <w:t xml:space="preserve">1.2 </w:t>
      </w:r>
      <w:bookmarkEnd w:id="404"/>
      <w:bookmarkEnd w:id="405"/>
      <w:bookmarkEnd w:id="406"/>
      <w:r>
        <w:rPr>
          <w:rFonts w:hint="eastAsia" w:ascii="仿宋" w:hAnsi="仿宋" w:eastAsia="仿宋" w:cs="仿宋"/>
          <w:b/>
          <w:sz w:val="24"/>
          <w:szCs w:val="24"/>
          <w:lang w:eastAsia="zh-CN"/>
        </w:rPr>
        <w:t>服务</w:t>
      </w:r>
    </w:p>
    <w:p>
      <w:pPr>
        <w:wordWrap/>
        <w:spacing w:line="60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 xml:space="preserve">1.2.1 </w:t>
      </w:r>
      <w:r>
        <w:rPr>
          <w:rFonts w:hint="eastAsia" w:ascii="仿宋" w:hAnsi="仿宋" w:eastAsia="仿宋" w:cs="仿宋"/>
          <w:sz w:val="24"/>
          <w:szCs w:val="24"/>
          <w:lang w:eastAsia="zh-CN"/>
        </w:rPr>
        <w:t>服务</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wordWrap/>
        <w:spacing w:line="60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 xml:space="preserve">1.2.2 </w:t>
      </w:r>
      <w:r>
        <w:rPr>
          <w:rFonts w:hint="eastAsia" w:ascii="仿宋" w:hAnsi="仿宋" w:eastAsia="仿宋" w:cs="仿宋"/>
          <w:sz w:val="24"/>
          <w:szCs w:val="24"/>
          <w:lang w:eastAsia="zh-CN"/>
        </w:rPr>
        <w:t>服务</w:t>
      </w:r>
      <w:r>
        <w:rPr>
          <w:rFonts w:hint="eastAsia" w:ascii="仿宋" w:hAnsi="仿宋" w:eastAsia="仿宋" w:cs="仿宋"/>
          <w:sz w:val="24"/>
          <w:szCs w:val="24"/>
        </w:rPr>
        <w:t>数量：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服务</w:t>
      </w:r>
      <w:r>
        <w:rPr>
          <w:rFonts w:hint="eastAsia" w:ascii="仿宋" w:hAnsi="仿宋" w:eastAsia="仿宋" w:cs="仿宋"/>
          <w:sz w:val="24"/>
          <w:szCs w:val="24"/>
        </w:rPr>
        <w:t>质量：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wordWrap/>
        <w:spacing w:line="600" w:lineRule="exact"/>
        <w:ind w:firstLine="482" w:firstLineChars="200"/>
        <w:textAlignment w:val="auto"/>
        <w:outlineLvl w:val="0"/>
        <w:rPr>
          <w:rFonts w:hint="eastAsia" w:ascii="仿宋" w:hAnsi="仿宋" w:eastAsia="仿宋" w:cs="仿宋"/>
          <w:b/>
          <w:sz w:val="24"/>
          <w:szCs w:val="24"/>
        </w:rPr>
      </w:pPr>
      <w:bookmarkStart w:id="407" w:name="_Toc1814"/>
      <w:bookmarkStart w:id="408" w:name="_Toc10340"/>
      <w:bookmarkStart w:id="409" w:name="_Toc22618"/>
      <w:r>
        <w:rPr>
          <w:rFonts w:hint="eastAsia" w:ascii="仿宋" w:hAnsi="仿宋" w:eastAsia="仿宋" w:cs="仿宋"/>
          <w:b/>
          <w:sz w:val="24"/>
          <w:szCs w:val="24"/>
        </w:rPr>
        <w:t>1.</w:t>
      </w:r>
      <w:r>
        <w:rPr>
          <w:rFonts w:hint="eastAsia" w:ascii="仿宋" w:hAnsi="仿宋" w:eastAsia="仿宋" w:cs="仿宋"/>
          <w:b/>
          <w:sz w:val="24"/>
          <w:szCs w:val="24"/>
          <w:lang w:val="en-US" w:eastAsia="zh-CN"/>
        </w:rPr>
        <w:t>3</w:t>
      </w:r>
      <w:r>
        <w:rPr>
          <w:rFonts w:hint="eastAsia" w:ascii="仿宋" w:hAnsi="仿宋" w:eastAsia="仿宋" w:cs="仿宋"/>
          <w:b/>
          <w:sz w:val="24"/>
          <w:szCs w:val="24"/>
        </w:rPr>
        <w:t xml:space="preserve"> 付款</w:t>
      </w:r>
      <w:bookmarkEnd w:id="407"/>
      <w:bookmarkEnd w:id="408"/>
      <w:bookmarkEnd w:id="409"/>
      <w:r>
        <w:rPr>
          <w:rFonts w:hint="eastAsia" w:ascii="仿宋" w:hAnsi="仿宋" w:eastAsia="仿宋" w:cs="仿宋"/>
          <w:b/>
          <w:sz w:val="24"/>
          <w:szCs w:val="24"/>
        </w:rPr>
        <w:t>方式、时间和条件</w:t>
      </w:r>
    </w:p>
    <w:p>
      <w:pPr>
        <w:pStyle w:val="617"/>
        <w:wordWrap/>
        <w:spacing w:before="0" w:beforeAutospacing="0" w:after="0" w:afterAutospacing="0" w:line="600" w:lineRule="exact"/>
        <w:ind w:firstLine="48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.1</w:t>
      </w:r>
      <w:r>
        <w:rPr>
          <w:rFonts w:hint="eastAsia" w:ascii="仿宋" w:hAnsi="仿宋" w:eastAsia="仿宋" w:cs="仿宋"/>
          <w:kern w:val="2"/>
          <w:sz w:val="24"/>
          <w:szCs w:val="24"/>
          <w:lang w:val="en-US" w:eastAsia="zh-CN" w:bidi="ar-SA"/>
        </w:rPr>
        <w:t>对于满足合同约定支付条件的，甲方自收到发票后10个工作日内将资金支付到合同约定的乙方账户，有条件的甲方可以即时支付。甲方不得以机构变动、人员更替、政策调整、单位放假等为由延迟付款。</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1.3.2甲方在政府采购合同中约定预付款，预付款比例为合同金额的30％；项目分年安排预算的，每年预付款比例为项目年度计划支付资金额的30％。采购项目实施以人工投入为主的，可适当降低预付款比例，但不低于10%。甲方可以根据项目特点、乙方信用等实际情况提高预付款比例，最高预付比例可以达到50%。</w:t>
      </w:r>
      <w:r>
        <w:rPr>
          <w:rFonts w:hint="eastAsia" w:ascii="仿宋" w:hAnsi="仿宋" w:eastAsia="仿宋" w:cs="仿宋"/>
          <w:sz w:val="24"/>
          <w:szCs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.3甲方迟延支付乙方款项的，向乙方支付逾期利息。双方可以在合同专用条款中约定逾期利率，约定利率不得低于合同订立时1年期贷款市场报价利率；未作约定的，按照每日利率万分之五支付逾期利息。</w:t>
      </w:r>
    </w:p>
    <w:p>
      <w:pPr>
        <w:wordWrap/>
        <w:spacing w:line="600" w:lineRule="exact"/>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.4资金支付的方式、时间和条件详见</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pPr>
        <w:wordWrap/>
        <w:spacing w:line="600" w:lineRule="exact"/>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.5乙方可以登录：http</w:t>
      </w:r>
      <w:r>
        <w:rPr>
          <w:rFonts w:hint="eastAsia" w:ascii="仿宋" w:hAnsi="仿宋" w:eastAsia="仿宋" w:cs="仿宋"/>
          <w:sz w:val="24"/>
          <w:szCs w:val="24"/>
          <w:lang w:eastAsia="zh-CN"/>
        </w:rPr>
        <w:t>：</w:t>
      </w:r>
      <w:r>
        <w:rPr>
          <w:rFonts w:hint="eastAsia" w:ascii="仿宋" w:hAnsi="仿宋" w:eastAsia="仿宋" w:cs="仿宋"/>
          <w:sz w:val="24"/>
          <w:szCs w:val="24"/>
        </w:rPr>
        <w:t>//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wordWrap/>
        <w:spacing w:line="600" w:lineRule="exact"/>
        <w:ind w:firstLine="482" w:firstLineChars="200"/>
        <w:textAlignment w:val="auto"/>
        <w:outlineLvl w:val="0"/>
        <w:rPr>
          <w:rFonts w:hint="eastAsia" w:ascii="仿宋" w:hAnsi="仿宋" w:eastAsia="仿宋" w:cs="仿宋"/>
          <w:b/>
          <w:sz w:val="24"/>
          <w:szCs w:val="24"/>
        </w:rPr>
      </w:pPr>
      <w:bookmarkStart w:id="410" w:name="_Toc32071"/>
      <w:bookmarkStart w:id="411" w:name="_Toc19304"/>
      <w:bookmarkStart w:id="412" w:name="_Toc2846"/>
      <w:r>
        <w:rPr>
          <w:rFonts w:hint="eastAsia" w:ascii="仿宋" w:hAnsi="仿宋" w:eastAsia="仿宋" w:cs="仿宋"/>
          <w:b/>
          <w:sz w:val="24"/>
          <w:szCs w:val="24"/>
        </w:rPr>
        <w:t>1.</w:t>
      </w:r>
      <w:r>
        <w:rPr>
          <w:rFonts w:hint="eastAsia" w:ascii="仿宋" w:hAnsi="仿宋" w:eastAsia="仿宋" w:cs="仿宋"/>
          <w:b/>
          <w:sz w:val="24"/>
          <w:szCs w:val="24"/>
          <w:lang w:val="en-US" w:eastAsia="zh-CN"/>
        </w:rPr>
        <w:t>4</w:t>
      </w:r>
      <w:r>
        <w:rPr>
          <w:rFonts w:hint="eastAsia" w:ascii="仿宋" w:hAnsi="仿宋" w:eastAsia="仿宋" w:cs="仿宋"/>
          <w:b/>
          <w:sz w:val="24"/>
          <w:szCs w:val="24"/>
        </w:rPr>
        <w:t xml:space="preserve"> 服务期限、地点和方式</w:t>
      </w:r>
      <w:bookmarkEnd w:id="410"/>
      <w:bookmarkEnd w:id="411"/>
      <w:bookmarkEnd w:id="412"/>
    </w:p>
    <w:p>
      <w:pPr>
        <w:wordWrap/>
        <w:spacing w:line="60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.1 </w:t>
      </w:r>
      <w:r>
        <w:rPr>
          <w:rFonts w:hint="eastAsia" w:ascii="仿宋" w:hAnsi="仿宋" w:eastAsia="仿宋" w:cs="仿宋"/>
          <w:sz w:val="24"/>
          <w:szCs w:val="24"/>
          <w:lang w:eastAsia="zh-CN"/>
        </w:rPr>
        <w:t>服务</w:t>
      </w:r>
      <w:r>
        <w:rPr>
          <w:rFonts w:hint="eastAsia" w:ascii="仿宋" w:hAnsi="仿宋" w:eastAsia="仿宋" w:cs="仿宋"/>
          <w:sz w:val="24"/>
          <w:szCs w:val="24"/>
        </w:rPr>
        <w:t>期限：详见</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.2 </w:t>
      </w:r>
      <w:r>
        <w:rPr>
          <w:rFonts w:hint="eastAsia" w:ascii="仿宋" w:hAnsi="仿宋" w:eastAsia="仿宋" w:cs="仿宋"/>
          <w:sz w:val="24"/>
          <w:szCs w:val="24"/>
          <w:lang w:eastAsia="zh-CN"/>
        </w:rPr>
        <w:t>服务</w:t>
      </w:r>
      <w:r>
        <w:rPr>
          <w:rFonts w:hint="eastAsia" w:ascii="仿宋" w:hAnsi="仿宋" w:eastAsia="仿宋" w:cs="仿宋"/>
          <w:sz w:val="24"/>
          <w:szCs w:val="24"/>
        </w:rPr>
        <w:t>地点：</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.3 </w:t>
      </w:r>
      <w:r>
        <w:rPr>
          <w:rFonts w:hint="eastAsia" w:ascii="仿宋" w:hAnsi="仿宋" w:eastAsia="仿宋" w:cs="仿宋"/>
          <w:sz w:val="24"/>
          <w:szCs w:val="24"/>
          <w:lang w:eastAsia="zh-CN"/>
        </w:rPr>
        <w:t>服务</w:t>
      </w:r>
      <w:r>
        <w:rPr>
          <w:rFonts w:hint="eastAsia" w:ascii="仿宋" w:hAnsi="仿宋" w:eastAsia="仿宋" w:cs="仿宋"/>
          <w:sz w:val="24"/>
          <w:szCs w:val="24"/>
        </w:rPr>
        <w:t>方式：</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pPr>
        <w:wordWrap/>
        <w:spacing w:line="600" w:lineRule="exact"/>
        <w:ind w:firstLine="482" w:firstLineChars="200"/>
        <w:textAlignment w:val="auto"/>
        <w:outlineLvl w:val="0"/>
        <w:rPr>
          <w:rFonts w:hint="eastAsia" w:ascii="仿宋" w:hAnsi="仿宋" w:eastAsia="仿宋" w:cs="仿宋"/>
          <w:b/>
          <w:sz w:val="24"/>
          <w:szCs w:val="24"/>
        </w:rPr>
      </w:pPr>
      <w:bookmarkStart w:id="413" w:name="_Toc19554"/>
      <w:bookmarkStart w:id="414" w:name="_Toc27250"/>
      <w:bookmarkStart w:id="415" w:name="_Toc21423"/>
      <w:r>
        <w:rPr>
          <w:rFonts w:hint="eastAsia" w:ascii="仿宋" w:hAnsi="仿宋" w:eastAsia="仿宋" w:cs="仿宋"/>
          <w:b/>
          <w:sz w:val="24"/>
          <w:szCs w:val="24"/>
        </w:rPr>
        <w:t>1.</w:t>
      </w:r>
      <w:r>
        <w:rPr>
          <w:rFonts w:hint="eastAsia" w:ascii="仿宋" w:hAnsi="仿宋" w:eastAsia="仿宋" w:cs="仿宋"/>
          <w:b/>
          <w:sz w:val="24"/>
          <w:szCs w:val="24"/>
          <w:lang w:val="en-US" w:eastAsia="zh-CN"/>
        </w:rPr>
        <w:t>5</w:t>
      </w:r>
      <w:r>
        <w:rPr>
          <w:rFonts w:hint="eastAsia" w:ascii="仿宋" w:hAnsi="仿宋" w:eastAsia="仿宋" w:cs="仿宋"/>
          <w:b/>
          <w:sz w:val="24"/>
          <w:szCs w:val="24"/>
        </w:rPr>
        <w:t xml:space="preserve"> 违约责任</w:t>
      </w:r>
      <w:bookmarkEnd w:id="413"/>
      <w:bookmarkEnd w:id="414"/>
      <w:bookmarkEnd w:id="415"/>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.1</w:t>
      </w:r>
      <w:bookmarkStart w:id="416" w:name="_Toc15583"/>
      <w:bookmarkStart w:id="417" w:name="_Toc28375"/>
      <w:bookmarkStart w:id="418" w:name="_Toc16021"/>
      <w:r>
        <w:rPr>
          <w:rFonts w:hint="eastAsia" w:ascii="仿宋" w:hAnsi="仿宋" w:eastAsia="仿宋" w:cs="仿宋"/>
          <w:sz w:val="24"/>
          <w:szCs w:val="24"/>
        </w:rPr>
        <w:t>甲方无正当理由拒收接受服务的，甲方向乙方偿付合同款项百分之五作为违约金。</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1.5.2</w:t>
      </w:r>
      <w:r>
        <w:rPr>
          <w:rFonts w:hint="eastAsia" w:ascii="仿宋" w:hAnsi="仿宋" w:eastAsia="仿宋" w:cs="仿宋"/>
          <w:sz w:val="24"/>
          <w:szCs w:val="24"/>
        </w:rPr>
        <w:t>甲方无故逾期验收和办理款项支付手续的，甲方应按逾期付款总额每日万分之五向乙方支付违约金。</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1.5.3</w:t>
      </w:r>
      <w:r>
        <w:rPr>
          <w:rFonts w:hint="eastAsia" w:ascii="仿宋" w:hAnsi="仿宋" w:eastAsia="仿宋" w:cs="仿宋"/>
          <w:sz w:val="24"/>
          <w:szCs w:val="24"/>
        </w:rPr>
        <w:t>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pPr>
        <w:wordWrap/>
        <w:spacing w:line="60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6</w:t>
      </w:r>
      <w:r>
        <w:rPr>
          <w:rFonts w:hint="eastAsia" w:ascii="仿宋" w:hAnsi="仿宋" w:eastAsia="仿宋" w:cs="仿宋"/>
          <w:b/>
          <w:sz w:val="24"/>
          <w:szCs w:val="24"/>
        </w:rPr>
        <w:t xml:space="preserve"> 合同争议的解决</w:t>
      </w:r>
      <w:bookmarkEnd w:id="416"/>
      <w:bookmarkEnd w:id="417"/>
      <w:bookmarkEnd w:id="418"/>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本合同履行过程中发生的任何争议，双方当事人均可通过和解或者调解解决；不愿和解、调解或者和解、调解不成的，可以选择以下第</w:t>
      </w:r>
      <w:r>
        <w:rPr>
          <w:rFonts w:hint="eastAsia" w:ascii="仿宋" w:hAnsi="仿宋" w:eastAsia="仿宋" w:cs="仿宋"/>
          <w:b/>
          <w:i/>
          <w:sz w:val="24"/>
          <w:szCs w:val="24"/>
          <w:u w:val="single"/>
        </w:rPr>
        <w:t xml:space="preserve"> 合同专用条款  </w:t>
      </w:r>
      <w:r>
        <w:rPr>
          <w:rFonts w:hint="eastAsia" w:ascii="仿宋" w:hAnsi="仿宋" w:eastAsia="仿宋" w:cs="仿宋"/>
          <w:sz w:val="24"/>
          <w:szCs w:val="24"/>
        </w:rPr>
        <w:t>条款规定的方式解决：</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.1 将争议提交</w:t>
      </w:r>
      <w:r>
        <w:rPr>
          <w:rFonts w:hint="eastAsia" w:ascii="仿宋" w:hAnsi="仿宋" w:eastAsia="仿宋" w:cs="仿宋"/>
          <w:b/>
          <w:i/>
          <w:sz w:val="24"/>
          <w:szCs w:val="24"/>
          <w:u w:val="single"/>
        </w:rPr>
        <w:t>合同专用条款</w:t>
      </w:r>
      <w:r>
        <w:rPr>
          <w:rFonts w:hint="eastAsia" w:ascii="仿宋" w:hAnsi="仿宋" w:eastAsia="仿宋" w:cs="仿宋"/>
          <w:sz w:val="24"/>
          <w:szCs w:val="24"/>
        </w:rPr>
        <w:t>仲裁委员会依申请仲裁时其现行有效的仲裁规则裁决；</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.2 向</w:t>
      </w:r>
      <w:r>
        <w:rPr>
          <w:rFonts w:hint="eastAsia" w:ascii="仿宋" w:hAnsi="仿宋" w:eastAsia="仿宋" w:cs="仿宋"/>
          <w:b/>
          <w:i/>
          <w:sz w:val="24"/>
          <w:szCs w:val="24"/>
          <w:u w:val="single"/>
        </w:rPr>
        <w:t>合同专用条款</w:t>
      </w:r>
      <w:r>
        <w:rPr>
          <w:rFonts w:hint="eastAsia" w:ascii="仿宋" w:hAnsi="仿宋" w:eastAsia="仿宋" w:cs="仿宋"/>
          <w:sz w:val="24"/>
          <w:szCs w:val="24"/>
        </w:rPr>
        <w:t>人民法院起诉。</w:t>
      </w:r>
      <w:bookmarkStart w:id="419" w:name="_Toc15322"/>
      <w:bookmarkStart w:id="420" w:name="_Toc7245"/>
      <w:bookmarkStart w:id="421" w:name="_Toc11173"/>
    </w:p>
    <w:p>
      <w:pPr>
        <w:wordWrap/>
        <w:spacing w:line="60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7</w:t>
      </w:r>
      <w:r>
        <w:rPr>
          <w:rFonts w:hint="eastAsia" w:ascii="仿宋" w:hAnsi="仿宋" w:eastAsia="仿宋" w:cs="仿宋"/>
          <w:b/>
          <w:sz w:val="24"/>
          <w:szCs w:val="24"/>
        </w:rPr>
        <w:t xml:space="preserve"> 合同生效</w:t>
      </w:r>
      <w:bookmarkEnd w:id="419"/>
      <w:bookmarkEnd w:id="420"/>
      <w:bookmarkEnd w:id="421"/>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本合同自双方当事人盖章或者签字时生效。</w:t>
      </w:r>
    </w:p>
    <w:p>
      <w:pPr>
        <w:wordWrap/>
        <w:autoSpaceDE w:val="0"/>
        <w:autoSpaceDN w:val="0"/>
        <w:spacing w:line="600" w:lineRule="exact"/>
        <w:textAlignment w:val="auto"/>
        <w:rPr>
          <w:rFonts w:hint="eastAsia" w:ascii="仿宋" w:hAnsi="仿宋" w:eastAsia="仿宋" w:cs="仿宋"/>
          <w:sz w:val="24"/>
          <w:szCs w:val="24"/>
          <w:lang w:val="zh-CN"/>
        </w:rPr>
      </w:pP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b/>
          <w:sz w:val="24"/>
          <w:szCs w:val="24"/>
          <w:lang w:val="zh-CN"/>
        </w:rPr>
        <w:t>甲方</w:t>
      </w:r>
      <w:r>
        <w:rPr>
          <w:rFonts w:hint="eastAsia" w:ascii="仿宋" w:hAnsi="仿宋" w:eastAsia="仿宋" w:cs="仿宋"/>
          <w:sz w:val="24"/>
          <w:szCs w:val="24"/>
          <w:lang w:val="zh-CN"/>
        </w:rPr>
        <w:t xml:space="preserve">：                             </w:t>
      </w:r>
      <w:r>
        <w:rPr>
          <w:rFonts w:hint="eastAsia" w:ascii="仿宋" w:hAnsi="仿宋" w:eastAsia="仿宋" w:cs="仿宋"/>
          <w:b/>
          <w:sz w:val="24"/>
          <w:szCs w:val="24"/>
          <w:lang w:val="zh-CN"/>
        </w:rPr>
        <w:t xml:space="preserve">      乙方</w:t>
      </w:r>
      <w:r>
        <w:rPr>
          <w:rFonts w:hint="eastAsia" w:ascii="仿宋" w:hAnsi="仿宋" w:eastAsia="仿宋" w:cs="仿宋"/>
          <w:sz w:val="24"/>
          <w:szCs w:val="24"/>
          <w:lang w:val="zh-CN"/>
        </w:rPr>
        <w:t>：</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统一社会信用代码：                        统一社会信用代码或身份证号码：</w:t>
      </w:r>
    </w:p>
    <w:p>
      <w:pPr>
        <w:wordWrap/>
        <w:autoSpaceDE w:val="0"/>
        <w:autoSpaceDN w:val="0"/>
        <w:spacing w:line="600" w:lineRule="exact"/>
        <w:textAlignment w:val="auto"/>
        <w:rPr>
          <w:rFonts w:hint="eastAsia" w:ascii="仿宋" w:hAnsi="仿宋" w:eastAsia="仿宋" w:cs="仿宋"/>
          <w:sz w:val="24"/>
          <w:szCs w:val="24"/>
          <w:lang w:val="zh-CN"/>
        </w:rPr>
      </w:pP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住所：                                   住所：</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法定代表人或                             法定代表人</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授权代表（签字）：                        或授权代表（签字）：</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联系人：                                 联系人：</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约定送达地址：                           约定送达地址：</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邮政编码：                               邮政编码：</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 xml:space="preserve">电话：                                    电话： </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传真：                                    传真：</w:t>
      </w:r>
    </w:p>
    <w:p>
      <w:pPr>
        <w:wordWrap/>
        <w:autoSpaceDE w:val="0"/>
        <w:autoSpaceDN w:val="0"/>
        <w:spacing w:line="600" w:lineRule="exact"/>
        <w:textAlignment w:val="auto"/>
        <w:rPr>
          <w:rFonts w:hint="eastAsia" w:ascii="仿宋" w:hAnsi="仿宋" w:eastAsia="仿宋" w:cs="仿宋"/>
          <w:sz w:val="24"/>
          <w:szCs w:val="24"/>
        </w:rPr>
      </w:pPr>
      <w:r>
        <w:rPr>
          <w:rFonts w:hint="eastAsia" w:ascii="仿宋" w:hAnsi="仿宋" w:eastAsia="仿宋" w:cs="仿宋"/>
          <w:sz w:val="24"/>
          <w:szCs w:val="24"/>
          <w:lang w:val="zh-CN"/>
        </w:rPr>
        <w:t>电子邮箱：                               电子邮箱：</w:t>
      </w:r>
    </w:p>
    <w:p>
      <w:pPr>
        <w:wordWrap/>
        <w:autoSpaceDE w:val="0"/>
        <w:autoSpaceDN w:val="0"/>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开户银行：                               开户银行： </w:t>
      </w:r>
    </w:p>
    <w:p>
      <w:pPr>
        <w:wordWrap/>
        <w:autoSpaceDE w:val="0"/>
        <w:autoSpaceDN w:val="0"/>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开户名称：                               开户名称： </w:t>
      </w:r>
    </w:p>
    <w:p>
      <w:pPr>
        <w:wordWrap/>
        <w:autoSpaceDE w:val="0"/>
        <w:autoSpaceDN w:val="0"/>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开户账号：</w:t>
      </w:r>
      <w:r>
        <w:rPr>
          <w:rFonts w:hint="eastAsia" w:ascii="仿宋" w:hAnsi="仿宋" w:eastAsia="仿宋" w:cs="仿宋"/>
          <w:sz w:val="24"/>
          <w:szCs w:val="24"/>
          <w:lang w:val="zh-CN"/>
        </w:rPr>
        <w:t xml:space="preserve">                               </w:t>
      </w:r>
      <w:r>
        <w:rPr>
          <w:rFonts w:hint="eastAsia" w:ascii="仿宋" w:hAnsi="仿宋" w:eastAsia="仿宋" w:cs="仿宋"/>
          <w:sz w:val="24"/>
          <w:szCs w:val="24"/>
        </w:rPr>
        <w:t>开户账号：</w:t>
      </w:r>
      <w:bookmarkStart w:id="422" w:name="_Toc331685783"/>
    </w:p>
    <w:p>
      <w:pPr>
        <w:pStyle w:val="386"/>
        <w:wordWrap/>
        <w:spacing w:after="0" w:line="600" w:lineRule="exact"/>
        <w:ind w:left="0" w:leftChars="0" w:firstLine="0" w:firstLineChars="0"/>
        <w:jc w:val="both"/>
        <w:textAlignment w:val="auto"/>
        <w:rPr>
          <w:rFonts w:hint="eastAsia" w:ascii="仿宋" w:hAnsi="仿宋" w:eastAsia="仿宋" w:cs="仿宋"/>
          <w:b/>
          <w:sz w:val="24"/>
          <w:szCs w:val="24"/>
        </w:rPr>
      </w:pPr>
    </w:p>
    <w:p>
      <w:pPr>
        <w:pStyle w:val="386"/>
        <w:wordWrap/>
        <w:spacing w:after="0" w:line="600" w:lineRule="exact"/>
        <w:ind w:left="0" w:leftChars="0"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第二部分 合同一般条款</w:t>
      </w:r>
      <w:bookmarkEnd w:id="422"/>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23" w:name="_Ref467379101"/>
      <w:bookmarkStart w:id="424" w:name="_Ref467379195"/>
      <w:bookmarkStart w:id="425" w:name="_Toc28763"/>
      <w:bookmarkStart w:id="426" w:name="_Toc16917"/>
      <w:bookmarkStart w:id="427" w:name="_Ref467379205"/>
      <w:bookmarkStart w:id="428" w:name="_Ref467378404"/>
      <w:bookmarkStart w:id="429" w:name="_Ref467379225"/>
      <w:bookmarkStart w:id="430" w:name="_Ref467379214"/>
      <w:bookmarkStart w:id="431" w:name="_Ref467379094"/>
      <w:bookmarkStart w:id="432" w:name="_Toc19614"/>
      <w:bookmarkStart w:id="433" w:name="_Toc487900349"/>
      <w:bookmarkStart w:id="434" w:name="_Toc259093669"/>
      <w:bookmarkStart w:id="435" w:name="_Ref467379109"/>
      <w:bookmarkStart w:id="436" w:name="_Ref467378463"/>
      <w:bookmarkStart w:id="437" w:name="_Toc279701240"/>
      <w:bookmarkStart w:id="438" w:name="_Ref467378499"/>
      <w:r>
        <w:rPr>
          <w:rFonts w:hint="eastAsia" w:ascii="仿宋" w:hAnsi="仿宋" w:eastAsia="仿宋" w:cs="仿宋"/>
          <w:b/>
          <w:sz w:val="24"/>
          <w:szCs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本合同中的下列词语应按以下内容进行解释：</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2.1.1 “合同”系指采购人和中标供应商签订的载明双方当事人所达成的协议，并包括所有的附件、附录和构成合同的其他文件。</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2.1.2 “合同价”系指根据合同约定，中标供应商在完全履行合同义务后，采购人应支付给中标供应商的价格。</w:t>
      </w:r>
    </w:p>
    <w:p>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39" w:name="_Ref467378840"/>
      <w:r>
        <w:rPr>
          <w:rFonts w:hint="eastAsia" w:ascii="仿宋" w:hAnsi="仿宋" w:eastAsia="仿宋" w:cs="仿宋"/>
          <w:sz w:val="24"/>
          <w:szCs w:val="24"/>
        </w:rPr>
        <w:t>2.1.</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“甲方”系指与中标供应商签署合同的采购人</w:t>
      </w:r>
      <w:bookmarkEnd w:id="439"/>
      <w:r>
        <w:rPr>
          <w:rFonts w:hint="eastAsia" w:ascii="仿宋" w:hAnsi="仿宋" w:eastAsia="仿宋" w:cs="仿宋"/>
          <w:sz w:val="24"/>
          <w:szCs w:val="24"/>
        </w:rPr>
        <w:t>；采购人委托采购代理机构代表其与乙方签订合同的，采购人的授权委托书作为合同附件。</w:t>
      </w:r>
    </w:p>
    <w:p>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40" w:name="_Ref467379400"/>
      <w:r>
        <w:rPr>
          <w:rFonts w:hint="eastAsia" w:ascii="仿宋" w:hAnsi="仿宋" w:eastAsia="仿宋" w:cs="仿宋"/>
          <w:sz w:val="24"/>
          <w:szCs w:val="24"/>
        </w:rPr>
        <w:t>2.1.</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“乙方”系指根据合同约定交付货物的中标供应商</w:t>
      </w:r>
      <w:bookmarkEnd w:id="440"/>
      <w:r>
        <w:rPr>
          <w:rFonts w:hint="eastAsia" w:ascii="仿宋" w:hAnsi="仿宋" w:eastAsia="仿宋" w:cs="仿宋"/>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41" w:name="_Ref467379436"/>
      <w:r>
        <w:rPr>
          <w:rFonts w:hint="eastAsia" w:ascii="仿宋" w:hAnsi="仿宋" w:eastAsia="仿宋" w:cs="仿宋"/>
          <w:sz w:val="24"/>
          <w:szCs w:val="24"/>
        </w:rPr>
        <w:t>2.1.</w:t>
      </w: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 “现场”系指合同约定</w:t>
      </w:r>
      <w:r>
        <w:rPr>
          <w:rFonts w:hint="eastAsia" w:ascii="仿宋" w:hAnsi="仿宋" w:eastAsia="仿宋" w:cs="仿宋"/>
          <w:sz w:val="24"/>
          <w:szCs w:val="24"/>
          <w:lang w:eastAsia="zh-CN"/>
        </w:rPr>
        <w:t>服务</w:t>
      </w:r>
      <w:r>
        <w:rPr>
          <w:rFonts w:hint="eastAsia" w:ascii="仿宋" w:hAnsi="仿宋" w:eastAsia="仿宋" w:cs="仿宋"/>
          <w:sz w:val="24"/>
          <w:szCs w:val="24"/>
        </w:rPr>
        <w:t>地点。</w:t>
      </w:r>
      <w:bookmarkEnd w:id="441"/>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42" w:name="_Toc31634"/>
      <w:bookmarkStart w:id="443" w:name="_Toc487900351"/>
      <w:bookmarkStart w:id="444" w:name="_Toc27853"/>
      <w:bookmarkStart w:id="445" w:name="_Toc9829"/>
      <w:bookmarkStart w:id="446" w:name="_Toc279701242"/>
      <w:bookmarkStart w:id="447" w:name="_Toc259093671"/>
      <w:r>
        <w:rPr>
          <w:rFonts w:hint="eastAsia" w:ascii="仿宋" w:hAnsi="仿宋" w:eastAsia="仿宋" w:cs="仿宋"/>
          <w:b/>
          <w:sz w:val="24"/>
          <w:szCs w:val="24"/>
        </w:rPr>
        <w:t>2.</w:t>
      </w:r>
      <w:r>
        <w:rPr>
          <w:rFonts w:hint="eastAsia" w:ascii="仿宋" w:hAnsi="仿宋" w:eastAsia="仿宋" w:cs="仿宋"/>
          <w:b/>
          <w:sz w:val="24"/>
          <w:szCs w:val="24"/>
          <w:lang w:val="en-US" w:eastAsia="zh-CN"/>
        </w:rPr>
        <w:t>2</w:t>
      </w:r>
      <w:r>
        <w:rPr>
          <w:rFonts w:hint="eastAsia" w:ascii="仿宋" w:hAnsi="仿宋" w:eastAsia="仿宋" w:cs="仿宋"/>
          <w:b/>
          <w:sz w:val="24"/>
          <w:szCs w:val="24"/>
        </w:rPr>
        <w:t xml:space="preserve"> 知识产权</w:t>
      </w:r>
      <w:bookmarkEnd w:id="442"/>
      <w:bookmarkEnd w:id="443"/>
      <w:bookmarkEnd w:id="444"/>
      <w:bookmarkEnd w:id="445"/>
      <w:bookmarkEnd w:id="446"/>
      <w:bookmarkEnd w:id="447"/>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2</w:t>
      </w:r>
      <w:r>
        <w:rPr>
          <w:rFonts w:hint="eastAsia" w:ascii="仿宋" w:hAnsi="仿宋" w:eastAsia="仿宋" w:cs="仿宋"/>
          <w:sz w:val="24"/>
          <w:szCs w:val="24"/>
        </w:rPr>
        <w:t>.1 乙方应保证提供服务过程中不会侵犯任何第三方的知识产权。</w:t>
      </w:r>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48" w:name="_Toc7502"/>
      <w:bookmarkStart w:id="449" w:name="_Ref467378121"/>
      <w:bookmarkStart w:id="450" w:name="_Toc487900364"/>
      <w:bookmarkStart w:id="451" w:name="_Toc279701254"/>
      <w:bookmarkStart w:id="452" w:name="_Toc259093683"/>
      <w:r>
        <w:rPr>
          <w:rFonts w:hint="eastAsia" w:ascii="仿宋" w:hAnsi="仿宋" w:eastAsia="仿宋" w:cs="仿宋"/>
          <w:b/>
          <w:sz w:val="24"/>
          <w:szCs w:val="24"/>
        </w:rPr>
        <w:t>2.</w:t>
      </w:r>
      <w:r>
        <w:rPr>
          <w:rFonts w:hint="eastAsia" w:ascii="仿宋" w:hAnsi="仿宋" w:eastAsia="仿宋" w:cs="仿宋"/>
          <w:b/>
          <w:sz w:val="24"/>
          <w:szCs w:val="24"/>
          <w:lang w:val="en-US" w:eastAsia="zh-CN"/>
        </w:rPr>
        <w:t>3</w:t>
      </w:r>
      <w:r>
        <w:rPr>
          <w:rFonts w:hint="eastAsia" w:ascii="仿宋" w:hAnsi="仿宋" w:eastAsia="仿宋" w:cs="仿宋"/>
          <w:b/>
          <w:sz w:val="24"/>
          <w:szCs w:val="24"/>
        </w:rPr>
        <w:t>合同变更</w:t>
      </w:r>
      <w:bookmarkEnd w:id="448"/>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合同继续履行将损害国家利益和社会公共利益的，双方当事人应当以书面形式变更合同。有过错的一方应当承担赔偿责任，双方当事人都有过错的，各自承担相应的责任。</w:t>
      </w:r>
      <w:bookmarkStart w:id="453" w:name="_Toc487900369"/>
      <w:bookmarkStart w:id="454" w:name="_Toc259093688"/>
      <w:bookmarkStart w:id="455" w:name="_Toc279701259"/>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56" w:name="_Toc10366"/>
      <w:bookmarkStart w:id="457" w:name="_Toc15237"/>
      <w:bookmarkStart w:id="458" w:name="_Toc22955"/>
      <w:r>
        <w:rPr>
          <w:rFonts w:hint="eastAsia" w:ascii="仿宋" w:hAnsi="仿宋" w:eastAsia="仿宋" w:cs="仿宋"/>
          <w:b/>
          <w:sz w:val="24"/>
          <w:szCs w:val="24"/>
        </w:rPr>
        <w:t>2.</w:t>
      </w:r>
      <w:r>
        <w:rPr>
          <w:rFonts w:hint="eastAsia" w:ascii="仿宋" w:hAnsi="仿宋" w:eastAsia="仿宋" w:cs="仿宋"/>
          <w:b/>
          <w:sz w:val="24"/>
          <w:szCs w:val="24"/>
          <w:lang w:val="en-US" w:eastAsia="zh-CN"/>
        </w:rPr>
        <w:t>4</w:t>
      </w:r>
      <w:r>
        <w:rPr>
          <w:rFonts w:hint="eastAsia" w:ascii="仿宋" w:hAnsi="仿宋" w:eastAsia="仿宋" w:cs="仿宋"/>
          <w:b/>
          <w:sz w:val="24"/>
          <w:szCs w:val="24"/>
        </w:rPr>
        <w:t xml:space="preserve"> 转让</w:t>
      </w:r>
      <w:bookmarkEnd w:id="453"/>
      <w:bookmarkEnd w:id="454"/>
      <w:bookmarkEnd w:id="455"/>
      <w:r>
        <w:rPr>
          <w:rFonts w:hint="eastAsia" w:ascii="仿宋" w:hAnsi="仿宋" w:eastAsia="仿宋" w:cs="仿宋"/>
          <w:b/>
          <w:sz w:val="24"/>
          <w:szCs w:val="24"/>
        </w:rPr>
        <w:t>和分包</w:t>
      </w:r>
      <w:bookmarkEnd w:id="456"/>
      <w:bookmarkEnd w:id="457"/>
      <w:bookmarkEnd w:id="458"/>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r>
        <w:rPr>
          <w:rFonts w:hint="eastAsia" w:ascii="仿宋" w:hAnsi="仿宋" w:eastAsia="仿宋" w:cs="仿宋"/>
          <w:sz w:val="24"/>
          <w:szCs w:val="24"/>
        </w:rPr>
        <w:t>.1本合同范围的服务，一般应由乙方直接供应，不得转让他人供应；除非得到甲方同意，乙方不得将本合同范围的服务全部或部分分包给他人供应；如有转让和未经甲方同意的分包行为，甲方有权解除合同，并追究乙方的违约责任。</w:t>
      </w:r>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59" w:name="_Toc14066"/>
      <w:bookmarkStart w:id="460" w:name="_Toc16508"/>
      <w:bookmarkStart w:id="461" w:name="_Toc13566"/>
      <w:r>
        <w:rPr>
          <w:rFonts w:hint="eastAsia" w:ascii="仿宋" w:hAnsi="仿宋" w:eastAsia="仿宋" w:cs="仿宋"/>
          <w:b/>
          <w:sz w:val="24"/>
          <w:szCs w:val="24"/>
        </w:rPr>
        <w:t>2.</w:t>
      </w:r>
      <w:r>
        <w:rPr>
          <w:rFonts w:hint="eastAsia" w:ascii="仿宋" w:hAnsi="仿宋" w:eastAsia="仿宋" w:cs="仿宋"/>
          <w:b/>
          <w:sz w:val="24"/>
          <w:szCs w:val="24"/>
          <w:lang w:val="en-US" w:eastAsia="zh-CN"/>
        </w:rPr>
        <w:t>5</w:t>
      </w:r>
      <w:r>
        <w:rPr>
          <w:rFonts w:hint="eastAsia" w:ascii="仿宋" w:hAnsi="仿宋" w:eastAsia="仿宋" w:cs="仿宋"/>
          <w:b/>
          <w:sz w:val="24"/>
          <w:szCs w:val="24"/>
        </w:rPr>
        <w:t>不可抗力</w:t>
      </w:r>
      <w:bookmarkEnd w:id="459"/>
      <w:bookmarkEnd w:id="460"/>
      <w:bookmarkEnd w:id="461"/>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.1如果任何一方遭遇法律规定的不可抗力，致使合同履行受阻时，履行合同的期限应予延长，延长的期限应相当于不可抗力所影响的时间；</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.2 因不可抗力致使不能实现合同目的的，当事人可以解除合同；</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.3 因不可抗力致使合同有变更必要的，双方当事人应在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约定时间内以书面形式变更合同；</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.4受不可抗力影响的一方在不可抗力发生后，应在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约定时间内以书面形式通知对方当事人，并在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约定时间内，将有关部门出具的证明文件送达对方当事人。</w:t>
      </w:r>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62" w:name="_Toc487900365"/>
      <w:bookmarkStart w:id="463" w:name="_Toc689"/>
      <w:bookmarkStart w:id="464" w:name="_Toc279701255"/>
      <w:bookmarkStart w:id="465" w:name="_Toc6969"/>
      <w:bookmarkStart w:id="466" w:name="_Toc259093684"/>
      <w:bookmarkStart w:id="467" w:name="_Toc30676"/>
      <w:r>
        <w:rPr>
          <w:rFonts w:hint="eastAsia" w:ascii="仿宋" w:hAnsi="仿宋" w:eastAsia="仿宋" w:cs="仿宋"/>
          <w:b/>
          <w:sz w:val="24"/>
          <w:szCs w:val="24"/>
        </w:rPr>
        <w:t>2.</w:t>
      </w:r>
      <w:r>
        <w:rPr>
          <w:rFonts w:hint="eastAsia" w:ascii="仿宋" w:hAnsi="仿宋" w:eastAsia="仿宋" w:cs="仿宋"/>
          <w:b/>
          <w:sz w:val="24"/>
          <w:szCs w:val="24"/>
          <w:lang w:val="en-US" w:eastAsia="zh-CN"/>
        </w:rPr>
        <w:t>6</w:t>
      </w:r>
      <w:r>
        <w:rPr>
          <w:rFonts w:hint="eastAsia" w:ascii="仿宋" w:hAnsi="仿宋" w:eastAsia="仿宋" w:cs="仿宋"/>
          <w:b/>
          <w:sz w:val="24"/>
          <w:szCs w:val="24"/>
        </w:rPr>
        <w:t xml:space="preserve"> 税费</w:t>
      </w:r>
      <w:bookmarkEnd w:id="462"/>
      <w:bookmarkEnd w:id="463"/>
      <w:bookmarkEnd w:id="464"/>
      <w:bookmarkEnd w:id="465"/>
      <w:bookmarkEnd w:id="466"/>
      <w:bookmarkEnd w:id="467"/>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与合同有关的一切税费，均按照中华人民共和国法律的相关规定。</w:t>
      </w:r>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68" w:name="_Toc16959"/>
      <w:bookmarkStart w:id="469" w:name="_Toc487900368"/>
      <w:bookmarkStart w:id="470" w:name="_Toc259093687"/>
      <w:bookmarkStart w:id="471" w:name="_Toc7102"/>
      <w:bookmarkStart w:id="472" w:name="_Toc279701258"/>
      <w:bookmarkStart w:id="473" w:name="_Toc8298"/>
      <w:r>
        <w:rPr>
          <w:rFonts w:hint="eastAsia" w:ascii="仿宋" w:hAnsi="仿宋" w:eastAsia="仿宋" w:cs="仿宋"/>
          <w:b/>
          <w:sz w:val="24"/>
          <w:szCs w:val="24"/>
        </w:rPr>
        <w:t>2.</w:t>
      </w:r>
      <w:r>
        <w:rPr>
          <w:rFonts w:hint="eastAsia" w:ascii="仿宋" w:hAnsi="仿宋" w:eastAsia="仿宋" w:cs="仿宋"/>
          <w:b/>
          <w:sz w:val="24"/>
          <w:szCs w:val="24"/>
          <w:lang w:val="en-US" w:eastAsia="zh-CN"/>
        </w:rPr>
        <w:t>7</w:t>
      </w:r>
      <w:r>
        <w:rPr>
          <w:rFonts w:hint="eastAsia" w:ascii="仿宋" w:hAnsi="仿宋" w:eastAsia="仿宋" w:cs="仿宋"/>
          <w:b/>
          <w:sz w:val="24"/>
          <w:szCs w:val="24"/>
        </w:rPr>
        <w:t>乙方破产</w:t>
      </w:r>
      <w:bookmarkEnd w:id="468"/>
      <w:bookmarkEnd w:id="469"/>
      <w:bookmarkEnd w:id="470"/>
      <w:bookmarkEnd w:id="471"/>
      <w:bookmarkEnd w:id="472"/>
      <w:bookmarkEnd w:id="473"/>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74" w:name="_Toc15387"/>
      <w:bookmarkStart w:id="475" w:name="_Toc6134"/>
      <w:bookmarkStart w:id="476" w:name="_Toc29333"/>
      <w:r>
        <w:rPr>
          <w:rFonts w:hint="eastAsia" w:ascii="仿宋" w:hAnsi="仿宋" w:eastAsia="仿宋" w:cs="仿宋"/>
          <w:b/>
          <w:sz w:val="24"/>
          <w:szCs w:val="24"/>
        </w:rPr>
        <w:t>2.</w:t>
      </w:r>
      <w:r>
        <w:rPr>
          <w:rFonts w:hint="eastAsia" w:ascii="仿宋" w:hAnsi="仿宋" w:eastAsia="仿宋" w:cs="仿宋"/>
          <w:b/>
          <w:sz w:val="24"/>
          <w:szCs w:val="24"/>
          <w:lang w:val="en-US" w:eastAsia="zh-CN"/>
        </w:rPr>
        <w:t>8</w:t>
      </w:r>
      <w:r>
        <w:rPr>
          <w:rFonts w:hint="eastAsia" w:ascii="仿宋" w:hAnsi="仿宋" w:eastAsia="仿宋" w:cs="仿宋"/>
          <w:b/>
          <w:sz w:val="24"/>
          <w:szCs w:val="24"/>
        </w:rPr>
        <w:t xml:space="preserve"> 合同中止、终止</w:t>
      </w:r>
      <w:bookmarkEnd w:id="474"/>
      <w:bookmarkEnd w:id="475"/>
      <w:bookmarkEnd w:id="476"/>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8</w:t>
      </w:r>
      <w:r>
        <w:rPr>
          <w:rFonts w:hint="eastAsia" w:ascii="仿宋" w:hAnsi="仿宋" w:eastAsia="仿宋" w:cs="仿宋"/>
          <w:sz w:val="24"/>
          <w:szCs w:val="24"/>
        </w:rPr>
        <w:t>.1 双方当事人不得擅自中止或者终止合同；</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8</w:t>
      </w:r>
      <w:r>
        <w:rPr>
          <w:rFonts w:hint="eastAsia" w:ascii="仿宋" w:hAnsi="仿宋" w:eastAsia="仿宋" w:cs="仿宋"/>
          <w:sz w:val="24"/>
          <w:szCs w:val="24"/>
        </w:rPr>
        <w:t>.2合同继续履行将损害国家利益和社会公共利益的，双方当事人应当中止或者终止合同。有过错的一方应当承担赔偿责任，双方当事人都有过错的，各自承担相应的责任。</w:t>
      </w:r>
    </w:p>
    <w:bookmarkEnd w:id="449"/>
    <w:bookmarkEnd w:id="450"/>
    <w:bookmarkEnd w:id="451"/>
    <w:bookmarkEnd w:id="452"/>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77" w:name="_Toc279701261"/>
      <w:bookmarkStart w:id="478" w:name="_Toc487900371"/>
      <w:bookmarkStart w:id="479" w:name="_Toc259093690"/>
      <w:bookmarkStart w:id="480" w:name="_Toc19604"/>
      <w:bookmarkStart w:id="481" w:name="_Toc11284"/>
      <w:bookmarkStart w:id="482" w:name="_Toc25182"/>
      <w:r>
        <w:rPr>
          <w:rFonts w:hint="eastAsia" w:ascii="仿宋" w:hAnsi="仿宋" w:eastAsia="仿宋" w:cs="仿宋"/>
          <w:b/>
          <w:sz w:val="24"/>
          <w:szCs w:val="24"/>
        </w:rPr>
        <w:t>2.</w:t>
      </w:r>
      <w:r>
        <w:rPr>
          <w:rFonts w:hint="eastAsia" w:ascii="仿宋" w:hAnsi="仿宋" w:eastAsia="仿宋" w:cs="仿宋"/>
          <w:b/>
          <w:sz w:val="24"/>
          <w:szCs w:val="24"/>
          <w:lang w:val="en-US" w:eastAsia="zh-CN"/>
        </w:rPr>
        <w:t>9</w:t>
      </w:r>
      <w:r>
        <w:rPr>
          <w:rFonts w:hint="eastAsia" w:ascii="仿宋" w:hAnsi="仿宋" w:eastAsia="仿宋" w:cs="仿宋"/>
          <w:b/>
          <w:sz w:val="24"/>
          <w:szCs w:val="24"/>
        </w:rPr>
        <w:t xml:space="preserve"> 通知</w:t>
      </w:r>
      <w:bookmarkEnd w:id="477"/>
      <w:bookmarkEnd w:id="478"/>
      <w:bookmarkEnd w:id="479"/>
      <w:r>
        <w:rPr>
          <w:rFonts w:hint="eastAsia" w:ascii="仿宋" w:hAnsi="仿宋" w:eastAsia="仿宋" w:cs="仿宋"/>
          <w:b/>
          <w:sz w:val="24"/>
          <w:szCs w:val="24"/>
        </w:rPr>
        <w:t>和送达</w:t>
      </w:r>
      <w:bookmarkEnd w:id="480"/>
      <w:bookmarkEnd w:id="481"/>
      <w:bookmarkEnd w:id="482"/>
    </w:p>
    <w:p>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83" w:name="_Toc6698"/>
      <w:bookmarkStart w:id="484" w:name="_Toc3135"/>
      <w:bookmarkStart w:id="485" w:name="_Toc259093691"/>
      <w:bookmarkStart w:id="486" w:name="_Toc487900372"/>
      <w:bookmarkStart w:id="487" w:name="_Toc279701262"/>
      <w:r>
        <w:rPr>
          <w:rFonts w:hint="eastAsia" w:ascii="仿宋" w:hAnsi="仿宋" w:eastAsia="仿宋" w:cs="仿宋"/>
          <w:sz w:val="24"/>
          <w:szCs w:val="24"/>
        </w:rPr>
        <w:t>2.</w:t>
      </w:r>
      <w:r>
        <w:rPr>
          <w:rFonts w:hint="eastAsia" w:ascii="仿宋" w:hAnsi="仿宋" w:eastAsia="仿宋" w:cs="仿宋"/>
          <w:sz w:val="24"/>
          <w:szCs w:val="24"/>
          <w:lang w:val="en-US" w:eastAsia="zh-CN"/>
        </w:rPr>
        <w:t>9</w:t>
      </w:r>
      <w:r>
        <w:rPr>
          <w:rFonts w:hint="eastAsia" w:ascii="仿宋" w:hAnsi="仿宋" w:eastAsia="仿宋" w:cs="仿宋"/>
          <w:sz w:val="24"/>
          <w:szCs w:val="24"/>
        </w:rPr>
        <w:t xml:space="preserve">.1任何一方因履行合同而以合同第一部分尾部所列明的传真或电子邮件 </w:t>
      </w:r>
      <w:r>
        <w:rPr>
          <w:rFonts w:hint="eastAsia" w:ascii="仿宋" w:hAnsi="仿宋" w:eastAsia="仿宋" w:cs="仿宋"/>
          <w:sz w:val="24"/>
          <w:szCs w:val="24"/>
          <w:u w:val="single"/>
        </w:rPr>
        <w:t xml:space="preserve">       </w:t>
      </w:r>
      <w:r>
        <w:rPr>
          <w:rFonts w:hint="eastAsia" w:ascii="仿宋" w:hAnsi="仿宋" w:eastAsia="仿宋" w:cs="仿宋"/>
          <w:sz w:val="24"/>
          <w:szCs w:val="24"/>
        </w:rPr>
        <w:t>发出的所有通知、文件、材料，均视为已向对方当事人送达；任何一方变更上述送达方式或者地址的，应于</w:t>
      </w:r>
      <w:r>
        <w:rPr>
          <w:rFonts w:hint="eastAsia" w:ascii="仿宋" w:hAnsi="仿宋" w:eastAsia="仿宋" w:cs="仿宋"/>
          <w:sz w:val="24"/>
          <w:szCs w:val="24"/>
          <w:u w:val="single"/>
        </w:rPr>
        <w:t>3</w:t>
      </w:r>
      <w:r>
        <w:rPr>
          <w:rFonts w:hint="eastAsia" w:ascii="仿宋" w:hAnsi="仿宋" w:eastAsia="仿宋" w:cs="仿宋"/>
          <w:sz w:val="24"/>
          <w:szCs w:val="24"/>
        </w:rPr>
        <w:t>个工作日内书面通知对方当事人，在对方当事人收到有关变更通知之前，变更前的约定送达方式或者地址仍视为有效。</w:t>
      </w:r>
      <w:bookmarkEnd w:id="483"/>
      <w:bookmarkEnd w:id="484"/>
    </w:p>
    <w:p>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88" w:name="_Toc23128"/>
      <w:bookmarkStart w:id="489" w:name="_Toc23294"/>
      <w:r>
        <w:rPr>
          <w:rFonts w:hint="eastAsia" w:ascii="仿宋" w:hAnsi="仿宋" w:eastAsia="仿宋" w:cs="仿宋"/>
          <w:sz w:val="24"/>
          <w:szCs w:val="24"/>
        </w:rPr>
        <w:t>2.</w:t>
      </w:r>
      <w:r>
        <w:rPr>
          <w:rFonts w:hint="eastAsia" w:ascii="仿宋" w:hAnsi="仿宋" w:eastAsia="仿宋" w:cs="仿宋"/>
          <w:sz w:val="24"/>
          <w:szCs w:val="24"/>
          <w:lang w:val="en-US" w:eastAsia="zh-CN"/>
        </w:rPr>
        <w:t>9</w:t>
      </w:r>
      <w:r>
        <w:rPr>
          <w:rFonts w:hint="eastAsia" w:ascii="仿宋" w:hAnsi="仿宋" w:eastAsia="仿宋" w:cs="仿宋"/>
          <w:sz w:val="24"/>
          <w:szCs w:val="24"/>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5"/>
      <w:bookmarkEnd w:id="486"/>
      <w:bookmarkEnd w:id="487"/>
      <w:bookmarkEnd w:id="488"/>
      <w:bookmarkEnd w:id="489"/>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90" w:name="_Toc259093692"/>
      <w:bookmarkStart w:id="491" w:name="_Toc279701263"/>
      <w:bookmarkStart w:id="492" w:name="_Toc18567"/>
      <w:bookmarkStart w:id="493" w:name="_Toc12773"/>
      <w:bookmarkStart w:id="494" w:name="_Toc487900373"/>
      <w:bookmarkStart w:id="495" w:name="_Toc10330"/>
      <w:r>
        <w:rPr>
          <w:rFonts w:hint="eastAsia" w:ascii="仿宋" w:hAnsi="仿宋" w:eastAsia="仿宋" w:cs="仿宋"/>
          <w:b/>
          <w:sz w:val="24"/>
          <w:szCs w:val="24"/>
        </w:rPr>
        <w:t>2.1</w:t>
      </w:r>
      <w:r>
        <w:rPr>
          <w:rFonts w:hint="eastAsia" w:ascii="仿宋" w:hAnsi="仿宋" w:eastAsia="仿宋" w:cs="仿宋"/>
          <w:b/>
          <w:sz w:val="24"/>
          <w:szCs w:val="24"/>
          <w:lang w:val="en-US" w:eastAsia="zh-CN"/>
        </w:rPr>
        <w:t>0</w:t>
      </w:r>
      <w:r>
        <w:rPr>
          <w:rFonts w:hint="eastAsia" w:ascii="仿宋" w:hAnsi="仿宋" w:eastAsia="仿宋" w:cs="仿宋"/>
          <w:b/>
          <w:sz w:val="24"/>
          <w:szCs w:val="24"/>
        </w:rPr>
        <w:t xml:space="preserve"> 合同使用的文字和适用的法律</w:t>
      </w:r>
      <w:bookmarkEnd w:id="490"/>
      <w:bookmarkEnd w:id="491"/>
      <w:bookmarkEnd w:id="492"/>
      <w:bookmarkEnd w:id="493"/>
      <w:bookmarkEnd w:id="494"/>
      <w:bookmarkEnd w:id="495"/>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w:t>
      </w:r>
      <w:r>
        <w:rPr>
          <w:rFonts w:hint="eastAsia" w:ascii="仿宋" w:hAnsi="仿宋" w:eastAsia="仿宋" w:cs="仿宋"/>
          <w:sz w:val="24"/>
          <w:szCs w:val="24"/>
          <w:lang w:val="en-US" w:eastAsia="zh-CN"/>
        </w:rPr>
        <w:t>0</w:t>
      </w:r>
      <w:r>
        <w:rPr>
          <w:rFonts w:hint="eastAsia" w:ascii="仿宋" w:hAnsi="仿宋" w:eastAsia="仿宋" w:cs="仿宋"/>
          <w:sz w:val="24"/>
          <w:szCs w:val="24"/>
        </w:rPr>
        <w:t>.1 合同使用汉语书就、变更和解释；</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w:t>
      </w:r>
      <w:r>
        <w:rPr>
          <w:rFonts w:hint="eastAsia" w:ascii="仿宋" w:hAnsi="仿宋" w:eastAsia="仿宋" w:cs="仿宋"/>
          <w:sz w:val="24"/>
          <w:szCs w:val="24"/>
          <w:lang w:val="en-US" w:eastAsia="zh-CN"/>
        </w:rPr>
        <w:t>0</w:t>
      </w:r>
      <w:r>
        <w:rPr>
          <w:rFonts w:hint="eastAsia" w:ascii="仿宋" w:hAnsi="仿宋" w:eastAsia="仿宋" w:cs="仿宋"/>
          <w:sz w:val="24"/>
          <w:szCs w:val="24"/>
        </w:rPr>
        <w:t>.2 合同适用中华人民共和国法律。</w:t>
      </w:r>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96" w:name="_Toc279701264"/>
      <w:bookmarkStart w:id="497" w:name="_Toc12004"/>
      <w:bookmarkStart w:id="498" w:name="_Toc16673"/>
      <w:bookmarkStart w:id="499" w:name="_Toc259093693"/>
      <w:bookmarkStart w:id="500" w:name="_Toc3148"/>
      <w:bookmarkStart w:id="501" w:name="_Toc487900374"/>
      <w:r>
        <w:rPr>
          <w:rFonts w:hint="eastAsia" w:ascii="仿宋" w:hAnsi="仿宋" w:eastAsia="仿宋" w:cs="仿宋"/>
          <w:b/>
          <w:sz w:val="24"/>
          <w:szCs w:val="24"/>
        </w:rPr>
        <w:t>2.</w:t>
      </w:r>
      <w:r>
        <w:rPr>
          <w:rFonts w:hint="eastAsia" w:ascii="仿宋" w:hAnsi="仿宋" w:eastAsia="仿宋" w:cs="仿宋"/>
          <w:b/>
          <w:sz w:val="24"/>
          <w:szCs w:val="24"/>
          <w:lang w:val="en-US" w:eastAsia="zh-CN"/>
        </w:rPr>
        <w:t>11</w:t>
      </w:r>
      <w:r>
        <w:rPr>
          <w:rFonts w:hint="eastAsia" w:ascii="仿宋" w:hAnsi="仿宋" w:eastAsia="仿宋" w:cs="仿宋"/>
          <w:b/>
          <w:sz w:val="24"/>
          <w:szCs w:val="24"/>
        </w:rPr>
        <w:t xml:space="preserve"> 履约保证金</w:t>
      </w:r>
      <w:bookmarkEnd w:id="496"/>
      <w:bookmarkEnd w:id="497"/>
      <w:bookmarkEnd w:id="498"/>
      <w:bookmarkEnd w:id="499"/>
      <w:bookmarkEnd w:id="500"/>
    </w:p>
    <w:p>
      <w:pPr>
        <w:wordWrap/>
        <w:snapToGrid/>
        <w:spacing w:line="600" w:lineRule="exact"/>
        <w:ind w:left="0" w:leftChars="0" w:right="0" w:firstLine="480" w:firstLineChars="200"/>
        <w:textAlignment w:val="auto"/>
        <w:outlineLvl w:val="0"/>
        <w:rPr>
          <w:rFonts w:hint="eastAsia" w:ascii="仿宋" w:hAnsi="仿宋" w:eastAsia="仿宋" w:cs="仿宋"/>
          <w:color w:val="FF0000"/>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.1 采购文件要求乙方提交履约保证金的，乙方应按</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约定的方式，以支票、汇票、本票或者金融机构、担保机构出具的保函等非现金形式，提交不超过合同金额5%的履约保证金；鼓励和支持乙方以银行、保险公司出具的保函形式提供履约保证。</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.2  履约保证金在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约定期间内不予退还。</w:t>
      </w:r>
      <w:r>
        <w:rPr>
          <w:rFonts w:hint="eastAsia" w:ascii="仿宋" w:hAnsi="仿宋" w:eastAsia="仿宋" w:cs="仿宋"/>
          <w:color w:val="auto"/>
          <w:sz w:val="24"/>
          <w:szCs w:val="24"/>
        </w:rPr>
        <w:t>乙方在前述约定期间届满前能履行完合同约定义务事项的，甲方在前述约定期间届满之日起</w:t>
      </w:r>
      <w:r>
        <w:rPr>
          <w:rFonts w:hint="eastAsia" w:ascii="仿宋" w:hAnsi="仿宋" w:eastAsia="仿宋" w:cs="仿宋"/>
          <w:color w:val="auto"/>
          <w:sz w:val="24"/>
          <w:szCs w:val="24"/>
          <w:u w:val="single"/>
        </w:rPr>
        <w:t xml:space="preserve"> 5 </w:t>
      </w:r>
      <w:r>
        <w:rPr>
          <w:rFonts w:hint="eastAsia" w:ascii="仿宋" w:hAnsi="仿宋" w:eastAsia="仿宋" w:cs="仿宋"/>
          <w:color w:val="auto"/>
          <w:sz w:val="24"/>
          <w:szCs w:val="24"/>
        </w:rPr>
        <w:t>个工作日内，按</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约定的方式将履约保证金退还乙方，</w:t>
      </w:r>
      <w:r>
        <w:rPr>
          <w:rFonts w:hint="eastAsia" w:ascii="仿宋" w:hAnsi="仿宋" w:eastAsia="仿宋" w:cs="仿宋"/>
          <w:sz w:val="24"/>
          <w:szCs w:val="24"/>
        </w:rPr>
        <w:t>逾期退还的，乙方可要求甲方支付违约金，违约金按每迟延退还一日的应退还而未退还金额的</w:t>
      </w:r>
      <w:r>
        <w:rPr>
          <w:rFonts w:hint="eastAsia" w:ascii="仿宋" w:hAnsi="仿宋" w:eastAsia="仿宋" w:cs="仿宋"/>
          <w:sz w:val="24"/>
          <w:szCs w:val="24"/>
          <w:u w:val="single"/>
        </w:rPr>
        <w:t xml:space="preserve">  0.05  </w:t>
      </w:r>
      <w:r>
        <w:rPr>
          <w:rFonts w:hint="eastAsia" w:ascii="仿宋" w:hAnsi="仿宋" w:eastAsia="仿宋" w:cs="仿宋"/>
          <w:sz w:val="24"/>
          <w:szCs w:val="24"/>
        </w:rPr>
        <w:t>%计算，最高限额为本合同履约保证金的</w:t>
      </w:r>
      <w:r>
        <w:rPr>
          <w:rFonts w:hint="eastAsia" w:ascii="仿宋" w:hAnsi="仿宋" w:eastAsia="仿宋" w:cs="仿宋"/>
          <w:sz w:val="24"/>
          <w:szCs w:val="24"/>
          <w:u w:val="single"/>
        </w:rPr>
        <w:t xml:space="preserve">  20   </w:t>
      </w:r>
      <w:r>
        <w:rPr>
          <w:rFonts w:hint="eastAsia" w:ascii="仿宋" w:hAnsi="仿宋" w:eastAsia="仿宋" w:cs="仿宋"/>
          <w:sz w:val="24"/>
          <w:szCs w:val="24"/>
        </w:rPr>
        <w:t xml:space="preserve">%； </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.4 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5%。</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.5甲方在乙方履行完合同约定义务事项后及时退还，延迟退还的，应当按照合同约定和法律规定承担相应的赔偿责任。</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12</w:t>
      </w:r>
      <w:r>
        <w:rPr>
          <w:rFonts w:hint="eastAsia" w:ascii="仿宋" w:hAnsi="仿宋" w:eastAsia="仿宋" w:cs="仿宋"/>
          <w:sz w:val="24"/>
          <w:szCs w:val="24"/>
        </w:rPr>
        <w:t>对于因甲方原因导致变更、中止或者终止政府采购合同的，甲方应当依照合同约定对供应商受到的损失予以赔偿或者补偿。</w:t>
      </w:r>
    </w:p>
    <w:bookmarkEnd w:id="501"/>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502" w:name="_Toc14001"/>
      <w:bookmarkStart w:id="503" w:name="_Toc19890"/>
      <w:bookmarkStart w:id="504" w:name="_Toc6885"/>
      <w:r>
        <w:rPr>
          <w:rFonts w:hint="eastAsia" w:ascii="仿宋" w:hAnsi="仿宋" w:eastAsia="仿宋" w:cs="仿宋"/>
          <w:b/>
          <w:sz w:val="24"/>
          <w:szCs w:val="24"/>
        </w:rPr>
        <w:t>2.</w:t>
      </w:r>
      <w:r>
        <w:rPr>
          <w:rFonts w:hint="eastAsia" w:ascii="仿宋" w:hAnsi="仿宋" w:eastAsia="仿宋" w:cs="仿宋"/>
          <w:b/>
          <w:sz w:val="24"/>
          <w:szCs w:val="24"/>
          <w:lang w:val="en-US" w:eastAsia="zh-CN"/>
        </w:rPr>
        <w:t>13</w:t>
      </w:r>
      <w:r>
        <w:rPr>
          <w:rFonts w:hint="eastAsia" w:ascii="仿宋" w:hAnsi="仿宋" w:eastAsia="仿宋" w:cs="仿宋"/>
          <w:b/>
          <w:sz w:val="24"/>
          <w:szCs w:val="24"/>
        </w:rPr>
        <w:t>合同份数</w:t>
      </w:r>
      <w:bookmarkEnd w:id="502"/>
      <w:bookmarkEnd w:id="503"/>
      <w:bookmarkEnd w:id="504"/>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合同份数按</w:t>
      </w:r>
      <w:r>
        <w:rPr>
          <w:rFonts w:hint="eastAsia" w:ascii="仿宋" w:hAnsi="仿宋" w:eastAsia="仿宋" w:cs="仿宋"/>
          <w:b/>
          <w:i/>
          <w:sz w:val="24"/>
          <w:szCs w:val="24"/>
          <w:u w:val="single"/>
        </w:rPr>
        <w:t>合同专用条款</w:t>
      </w:r>
      <w:r>
        <w:rPr>
          <w:rFonts w:hint="eastAsia" w:ascii="仿宋" w:hAnsi="仿宋" w:eastAsia="仿宋" w:cs="仿宋"/>
          <w:sz w:val="24"/>
          <w:szCs w:val="24"/>
        </w:rPr>
        <w:t>规定，每份均具有同等法律效力。</w:t>
      </w:r>
    </w:p>
    <w:p>
      <w:pPr>
        <w:pStyle w:val="386"/>
        <w:wordWrap/>
        <w:spacing w:after="0" w:line="600" w:lineRule="exact"/>
        <w:jc w:val="center"/>
        <w:textAlignment w:val="auto"/>
        <w:rPr>
          <w:rFonts w:hint="eastAsia" w:ascii="仿宋" w:hAnsi="仿宋" w:eastAsia="仿宋" w:cs="仿宋"/>
          <w:b/>
          <w:sz w:val="28"/>
          <w:szCs w:val="28"/>
        </w:rPr>
      </w:pPr>
      <w:r>
        <w:rPr>
          <w:rFonts w:hint="eastAsia" w:ascii="仿宋" w:hAnsi="仿宋" w:eastAsia="仿宋" w:cs="仿宋"/>
          <w:kern w:val="0"/>
          <w:sz w:val="24"/>
          <w:szCs w:val="24"/>
        </w:rPr>
        <w:br w:type="page"/>
      </w:r>
      <w:r>
        <w:rPr>
          <w:rFonts w:hint="eastAsia" w:ascii="仿宋" w:hAnsi="仿宋" w:eastAsia="仿宋" w:cs="仿宋"/>
          <w:b/>
          <w:sz w:val="28"/>
          <w:szCs w:val="28"/>
        </w:rPr>
        <w:t>第三部分  合同专用条款</w:t>
      </w:r>
    </w:p>
    <w:p>
      <w:pPr>
        <w:wordWrap/>
        <w:spacing w:line="60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条款号</w:t>
            </w:r>
          </w:p>
        </w:tc>
        <w:tc>
          <w:tcPr>
            <w:tcW w:w="8275" w:type="dxa"/>
            <w:vAlign w:val="center"/>
          </w:tcPr>
          <w:p>
            <w:pPr>
              <w:wordWrap/>
              <w:spacing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1.4.4</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1.5.1</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1.5.2</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1.5.3</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1.6.7</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1.7</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1.7.1</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1.7.2</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2.3.2</w:t>
            </w:r>
          </w:p>
        </w:tc>
        <w:tc>
          <w:tcPr>
            <w:tcW w:w="8275" w:type="dxa"/>
            <w:vAlign w:val="center"/>
          </w:tcPr>
          <w:p>
            <w:pPr>
              <w:wordWrap/>
              <w:spacing w:line="240" w:lineRule="auto"/>
              <w:ind w:left="-420" w:leftChars="-200" w:right="-420" w:rightChars="-200" w:firstLine="480" w:firstLineChars="200"/>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2.4.1</w:t>
            </w:r>
          </w:p>
        </w:tc>
        <w:tc>
          <w:tcPr>
            <w:tcW w:w="8275" w:type="dxa"/>
            <w:vAlign w:val="center"/>
          </w:tcPr>
          <w:p>
            <w:pPr>
              <w:wordWrap/>
              <w:spacing w:line="240" w:lineRule="auto"/>
              <w:ind w:left="-420" w:leftChars="-200" w:right="-420" w:rightChars="-200" w:firstLine="480" w:firstLineChars="200"/>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2.4.2</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2.8</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2.12.3</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2.12.4</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2.16.1</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2.16.3</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2.20.1</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2.20.2</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ind w:left="-420" w:leftChars="-200" w:right="-420" w:rightChars="-200" w:firstLine="480" w:firstLineChars="200"/>
              <w:jc w:val="both"/>
              <w:textAlignment w:val="auto"/>
              <w:outlineLvl w:val="0"/>
              <w:rPr>
                <w:rFonts w:hint="eastAsia" w:ascii="仿宋" w:hAnsi="仿宋" w:eastAsia="仿宋" w:cs="仿宋"/>
                <w:sz w:val="24"/>
                <w:szCs w:val="24"/>
              </w:rPr>
            </w:pPr>
            <w:r>
              <w:rPr>
                <w:rFonts w:hint="eastAsia" w:ascii="仿宋" w:hAnsi="仿宋" w:eastAsia="仿宋" w:cs="仿宋"/>
                <w:sz w:val="24"/>
                <w:szCs w:val="24"/>
              </w:rPr>
              <w:t>2.22</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bl>
    <w:p>
      <w:pPr>
        <w:spacing w:line="360" w:lineRule="auto"/>
        <w:ind w:firstLine="723" w:firstLineChars="300"/>
        <w:rPr>
          <w:rFonts w:ascii="宋体" w:hAnsi="宋体" w:cs="宋体"/>
          <w:b/>
          <w:bCs/>
          <w:color w:val="auto"/>
          <w:sz w:val="24"/>
          <w:highlight w:val="none"/>
        </w:rPr>
      </w:pPr>
    </w:p>
    <w:p>
      <w:pPr>
        <w:rPr>
          <w:rFonts w:ascii="仿宋" w:hAnsi="仿宋" w:eastAsia="仿宋" w:cs="仿宋_GB2312"/>
          <w:b/>
          <w:color w:val="auto"/>
          <w:sz w:val="36"/>
          <w:szCs w:val="20"/>
          <w:highlight w:val="none"/>
        </w:rPr>
      </w:pPr>
    </w:p>
    <w:p>
      <w:pPr>
        <w:spacing w:line="360"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399"/>
      <w:r>
        <w:rPr>
          <w:rFonts w:ascii="仿宋" w:hAnsi="仿宋" w:eastAsia="仿宋" w:cs="仿宋_GB2312"/>
          <w:b/>
          <w:color w:val="auto"/>
          <w:sz w:val="36"/>
          <w:szCs w:val="20"/>
          <w:highlight w:val="none"/>
        </w:rPr>
        <w:t xml:space="preserve"> </w:t>
      </w:r>
      <w:bookmarkEnd w:id="400"/>
      <w:r>
        <w:rPr>
          <w:rFonts w:hint="eastAsia" w:ascii="仿宋" w:hAnsi="仿宋" w:eastAsia="仿宋" w:cs="仿宋_GB2312"/>
          <w:b/>
          <w:color w:val="auto"/>
          <w:sz w:val="36"/>
          <w:szCs w:val="20"/>
          <w:highlight w:val="none"/>
        </w:rPr>
        <w:t>应提交的有关格式范例</w:t>
      </w:r>
    </w:p>
    <w:p>
      <w:pPr>
        <w:spacing w:line="360" w:lineRule="auto"/>
        <w:jc w:val="center"/>
        <w:outlineLvl w:val="0"/>
        <w:rPr>
          <w:rFonts w:ascii="仿宋" w:hAnsi="仿宋" w:eastAsia="仿宋" w:cs="仿宋_GB2312"/>
          <w:b/>
          <w:color w:val="auto"/>
          <w:kern w:val="0"/>
          <w:sz w:val="36"/>
          <w:szCs w:val="36"/>
          <w:highlight w:val="none"/>
        </w:rPr>
      </w:pP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资格文件部分</w:t>
      </w: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pacing w:line="360" w:lineRule="auto"/>
        <w:jc w:val="center"/>
        <w:outlineLvl w:val="0"/>
        <w:rPr>
          <w:rFonts w:ascii="仿宋" w:hAnsi="仿宋" w:eastAsia="仿宋" w:cs="仿宋_GB2312"/>
          <w:b/>
          <w:color w:val="auto"/>
          <w:kern w:val="0"/>
          <w:sz w:val="36"/>
          <w:szCs w:val="36"/>
          <w:highlight w:val="none"/>
        </w:rPr>
      </w:pP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1）符合参加政府采购活动应当具备的一般条件的承诺函……</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2）落实政府采购政策需满足的资格要求……</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3）本项目的特定资格要求……</w:t>
      </w:r>
      <w:r>
        <w:rPr>
          <w:rFonts w:hint="eastAsia" w:ascii="仿宋" w:hAnsi="仿宋" w:eastAsia="仿宋" w:cs="仿宋_GB2312"/>
          <w:color w:val="auto"/>
          <w:sz w:val="24"/>
          <w:highlight w:val="none"/>
        </w:rPr>
        <w:t>…………………………………………（页码）</w:t>
      </w:r>
    </w:p>
    <w:p>
      <w:pPr>
        <w:snapToGrid w:val="0"/>
        <w:spacing w:line="360" w:lineRule="auto"/>
        <w:ind w:firstLine="480" w:firstLineChars="200"/>
        <w:rPr>
          <w:rFonts w:ascii="仿宋" w:hAnsi="仿宋" w:eastAsia="仿宋" w:cs="仿宋_GB2312"/>
          <w:color w:val="auto"/>
          <w:sz w:val="24"/>
          <w:highlight w:val="none"/>
        </w:rPr>
      </w:pPr>
    </w:p>
    <w:p>
      <w:pPr>
        <w:spacing w:line="360" w:lineRule="auto"/>
        <w:ind w:firstLine="480" w:firstLineChars="200"/>
        <w:rPr>
          <w:rFonts w:ascii="仿宋" w:hAnsi="仿宋" w:eastAsia="仿宋" w:cs="仿宋_GB2312"/>
          <w:color w:val="auto"/>
          <w:sz w:val="24"/>
          <w:highlight w:val="none"/>
        </w:rPr>
      </w:pPr>
    </w:p>
    <w:p>
      <w:pPr>
        <w:snapToGrid w:val="0"/>
        <w:spacing w:line="360" w:lineRule="auto"/>
        <w:ind w:right="480"/>
        <w:jc w:val="center"/>
        <w:rPr>
          <w:rFonts w:hint="eastAsia" w:ascii="仿宋" w:hAnsi="仿宋" w:eastAsia="仿宋" w:cs="仿宋"/>
          <w:b/>
          <w:kern w:val="0"/>
          <w:sz w:val="32"/>
          <w:szCs w:val="32"/>
          <w:highlight w:val="none"/>
        </w:rPr>
      </w:pPr>
      <w:r>
        <w:rPr>
          <w:rFonts w:ascii="仿宋" w:hAnsi="仿宋" w:eastAsia="仿宋" w:cs="仿宋_GB2312"/>
          <w:color w:val="auto"/>
          <w:kern w:val="0"/>
          <w:sz w:val="24"/>
          <w:highlight w:val="none"/>
        </w:rPr>
        <w:br w:type="page"/>
      </w:r>
      <w:r>
        <w:rPr>
          <w:rFonts w:hint="eastAsia" w:ascii="仿宋" w:hAnsi="仿宋" w:eastAsia="仿宋" w:cs="仿宋"/>
          <w:b/>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（采购人）、（采购代理机构）：</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我方参与（项目名称）【招标编号：（采购编号）】政府采购活动，郑重承诺：</w:t>
      </w:r>
    </w:p>
    <w:p>
      <w:pPr>
        <w:snapToGrid w:val="0"/>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（三）不存在以下情况：</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投标人名称(电子签名)：</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r>
        <w:rPr>
          <w:rFonts w:hint="eastAsia" w:ascii="仿宋" w:hAnsi="仿宋" w:eastAsia="仿宋" w:cs="仿宋"/>
          <w:b/>
          <w:kern w:val="0"/>
          <w:sz w:val="32"/>
          <w:szCs w:val="32"/>
          <w:highlight w:val="none"/>
        </w:rPr>
        <w:t>二、落实政府采购政策需满足的资格要求</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A</w:t>
      </w:r>
      <w:r>
        <w:rPr>
          <w:rFonts w:hint="eastAsia" w:ascii="仿宋" w:hAnsi="仿宋" w:eastAsia="仿宋" w:cs="仿宋"/>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sz w:val="24"/>
          <w:highlight w:val="none"/>
        </w:rPr>
      </w:pPr>
    </w:p>
    <w:p>
      <w:pPr>
        <w:widowControl/>
        <w:spacing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B.</w:t>
      </w:r>
      <w:r>
        <w:rPr>
          <w:rFonts w:hint="eastAsia" w:ascii="仿宋" w:hAnsi="仿宋" w:eastAsia="仿宋" w:cs="仿宋"/>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 xml:space="preserve">    </w:t>
      </w:r>
    </w:p>
    <w:p>
      <w:pPr>
        <w:snapToGrid w:val="0"/>
        <w:spacing w:before="50" w:after="50"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sz w:val="24"/>
          <w:highlight w:val="none"/>
        </w:rPr>
        <w:br w:type="page"/>
      </w:r>
      <w:r>
        <w:rPr>
          <w:rFonts w:hint="eastAsia" w:ascii="仿宋" w:hAnsi="仿宋" w:eastAsia="仿宋" w:cs="仿宋"/>
          <w:b/>
          <w:kern w:val="0"/>
          <w:sz w:val="32"/>
          <w:szCs w:val="32"/>
          <w:highlight w:val="none"/>
          <w:lang w:val="zh-CN"/>
        </w:rPr>
        <w:t>联合协议</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组成一个联合体，以一个投标人的身份</w:t>
      </w:r>
      <w:r>
        <w:rPr>
          <w:rFonts w:hint="eastAsia" w:ascii="仿宋" w:hAnsi="仿宋" w:eastAsia="仿宋" w:cs="仿宋"/>
          <w:kern w:val="0"/>
          <w:sz w:val="24"/>
          <w:highlight w:val="none"/>
        </w:rPr>
        <w:t>参加</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 xml:space="preserve">投标。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（某联合体成员名称）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三、本次联合投标中，分工如下：</w:t>
      </w:r>
      <w:r>
        <w:rPr>
          <w:rFonts w:hint="eastAsia" w:ascii="仿宋" w:hAnsi="仿宋" w:eastAsia="仿宋" w:cs="仿宋"/>
          <w:kern w:val="0"/>
          <w:sz w:val="24"/>
          <w:highlight w:val="none"/>
          <w:u w:val="single"/>
        </w:rPr>
        <w:t>（联合体其中一方成员名称）</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（联合体其中一方成员名称）</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w:t>
      </w:r>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六、有关本次联合投标的其他事宜：</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br w:type="page"/>
      </w:r>
      <w:r>
        <w:rPr>
          <w:rFonts w:hint="eastAsia" w:ascii="仿宋" w:hAnsi="仿宋" w:eastAsia="仿宋" w:cs="仿宋"/>
          <w:b/>
          <w:sz w:val="24"/>
          <w:highlight w:val="none"/>
        </w:rPr>
        <w:t>C、</w:t>
      </w:r>
      <w:r>
        <w:rPr>
          <w:rFonts w:hint="eastAsia" w:ascii="仿宋" w:hAnsi="仿宋" w:eastAsia="仿宋" w:cs="仿宋"/>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分包意向协议</w:t>
      </w:r>
    </w:p>
    <w:p>
      <w:pPr>
        <w:widowControl/>
        <w:spacing w:line="360" w:lineRule="auto"/>
        <w:ind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highlight w:val="none"/>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的中标供应商，将依法采取分包方式履行合同。</w:t>
      </w: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pPr>
        <w:pStyle w:val="4"/>
        <w:ind w:left="664" w:leftChars="316" w:firstLine="229" w:firstLineChars="95"/>
        <w:rPr>
          <w:rFonts w:hint="eastAsia" w:ascii="仿宋" w:hAnsi="仿宋" w:eastAsia="仿宋" w:cs="仿宋"/>
          <w:highlight w:val="none"/>
        </w:rPr>
      </w:pPr>
      <w:r>
        <w:rPr>
          <w:rFonts w:hint="eastAsia" w:ascii="仿宋" w:hAnsi="仿宋" w:eastAsia="仿宋" w:cs="仿宋"/>
          <w:kern w:val="0"/>
          <w:sz w:val="24"/>
          <w:szCs w:val="24"/>
          <w:highlight w:val="none"/>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二、分包工作履行期限、地点、方式</w:t>
      </w:r>
    </w:p>
    <w:p>
      <w:pPr>
        <w:snapToGrid w:val="0"/>
        <w:spacing w:line="360" w:lineRule="auto"/>
        <w:ind w:firstLine="576"/>
        <w:rPr>
          <w:rFonts w:hint="eastAsia" w:ascii="仿宋" w:hAnsi="仿宋" w:eastAsia="仿宋" w:cs="仿宋"/>
          <w:highlight w:val="none"/>
          <w:u w:val="single"/>
        </w:rPr>
      </w:pPr>
      <w:r>
        <w:rPr>
          <w:rFonts w:hint="eastAsia" w:ascii="仿宋" w:hAnsi="仿宋" w:eastAsia="仿宋" w:cs="仿宋"/>
          <w:highlight w:val="none"/>
          <w:u w:val="single"/>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三、质量</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四、价款或者报酬</w:t>
      </w:r>
    </w:p>
    <w:p>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五、违约责任</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六、争议解决的办法</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七、其他</w:t>
      </w:r>
    </w:p>
    <w:p>
      <w:pPr>
        <w:snapToGrid w:val="0"/>
        <w:spacing w:line="360" w:lineRule="auto"/>
        <w:ind w:left="5758" w:leftChars="342" w:hanging="5040" w:hangingChars="2100"/>
        <w:rPr>
          <w:rFonts w:hint="eastAsia" w:ascii="仿宋" w:hAnsi="仿宋" w:eastAsia="仿宋" w:cs="仿宋"/>
          <w:kern w:val="0"/>
          <w:sz w:val="24"/>
          <w:highlight w:val="none"/>
          <w:lang w:val="zh-CN"/>
        </w:rPr>
      </w:pPr>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 xml:space="preserve">  。                                           投标人名称(电子签名)：</w:t>
      </w:r>
    </w:p>
    <w:p>
      <w:pPr>
        <w:snapToGrid w:val="0"/>
        <w:spacing w:line="360" w:lineRule="auto"/>
        <w:ind w:left="5746" w:leftChars="273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w:t>
      </w:r>
    </w:p>
    <w:p>
      <w:pPr>
        <w:snapToGrid w:val="0"/>
        <w:spacing w:line="360" w:lineRule="auto"/>
        <w:ind w:left="5758" w:leftChars="342" w:hanging="5040" w:hanging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 xml:space="preserve">       日期：  年  月   日</w:t>
      </w:r>
    </w:p>
    <w:p>
      <w:pPr>
        <w:widowControl/>
        <w:spacing w:line="360" w:lineRule="auto"/>
        <w:ind w:left="15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三、本项目的特定资格要求</w:t>
      </w:r>
    </w:p>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（根据招标公告本项目的特定资格要求提供相应的材料；未要求的，无需提供）</w:t>
      </w:r>
    </w:p>
    <w:p>
      <w:pPr>
        <w:snapToGrid w:val="0"/>
        <w:spacing w:line="360" w:lineRule="auto"/>
        <w:ind w:right="480"/>
        <w:jc w:val="center"/>
        <w:rPr>
          <w:rFonts w:ascii="仿宋" w:hAnsi="仿宋" w:eastAsia="仿宋" w:cs="仿宋_GB2312"/>
          <w:b/>
          <w:color w:val="auto"/>
          <w:kern w:val="0"/>
          <w:sz w:val="24"/>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pacing w:line="360" w:lineRule="auto"/>
        <w:jc w:val="center"/>
        <w:outlineLvl w:val="0"/>
        <w:rPr>
          <w:rFonts w:ascii="仿宋" w:hAnsi="仿宋" w:eastAsia="仿宋" w:cs="仿宋_GB2312"/>
          <w:b/>
          <w:color w:val="auto"/>
          <w:kern w:val="0"/>
          <w:sz w:val="36"/>
          <w:szCs w:val="36"/>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pacing w:line="360" w:lineRule="auto"/>
        <w:jc w:val="center"/>
        <w:outlineLvl w:val="0"/>
        <w:rPr>
          <w:rFonts w:ascii="仿宋" w:hAnsi="仿宋" w:eastAsia="仿宋" w:cs="仿宋_GB2312"/>
          <w:b/>
          <w:color w:val="auto"/>
          <w:kern w:val="0"/>
          <w:sz w:val="36"/>
          <w:szCs w:val="36"/>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pacing w:line="360" w:lineRule="auto"/>
        <w:jc w:val="center"/>
        <w:outlineLvl w:val="0"/>
        <w:rPr>
          <w:rFonts w:ascii="仿宋" w:hAnsi="仿宋" w:eastAsia="仿宋" w:cs="仿宋_GB2312"/>
          <w:b/>
          <w:color w:val="auto"/>
          <w:kern w:val="0"/>
          <w:sz w:val="36"/>
          <w:szCs w:val="36"/>
          <w:highlight w:val="none"/>
        </w:rPr>
      </w:pPr>
    </w:p>
    <w:p>
      <w:pP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br w:type="page"/>
      </w:r>
    </w:p>
    <w:p>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（1）投标函</w:t>
      </w:r>
      <w:r>
        <w:rPr>
          <w:rFonts w:hint="eastAsia" w:ascii="仿宋" w:hAnsi="仿宋" w:eastAsia="仿宋" w:cs="仿宋"/>
          <w:highlight w:val="none"/>
        </w:rPr>
        <w:t>…………………………………………………………………………………（页码）</w:t>
      </w:r>
      <w:r>
        <w:rPr>
          <w:rFonts w:hint="eastAsia" w:ascii="仿宋" w:hAnsi="仿宋" w:eastAsia="仿宋" w:cs="仿宋"/>
          <w:sz w:val="24"/>
          <w:highlight w:val="none"/>
        </w:rPr>
        <w:t>（2）授权委托书或法定代表人（单位负责人、自然人本人）身份证明</w:t>
      </w:r>
      <w:r>
        <w:rPr>
          <w:rFonts w:hint="eastAsia" w:ascii="仿宋" w:hAnsi="仿宋" w:eastAsia="仿宋" w:cs="仿宋"/>
          <w:highlight w:val="none"/>
        </w:rPr>
        <w:t>………（页码）</w:t>
      </w:r>
    </w:p>
    <w:p>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（3）联合协议</w:t>
      </w:r>
      <w:r>
        <w:rPr>
          <w:rFonts w:hint="eastAsia" w:ascii="仿宋" w:hAnsi="仿宋" w:eastAsia="仿宋" w:cs="仿宋"/>
          <w:highlight w:val="none"/>
        </w:rPr>
        <w:t>………………………………………………………………………………（页码）</w:t>
      </w:r>
    </w:p>
    <w:p>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rPr>
        <w:t>（4）分包意向协议</w:t>
      </w:r>
      <w:r>
        <w:rPr>
          <w:rFonts w:hint="eastAsia" w:ascii="仿宋" w:hAnsi="仿宋" w:eastAsia="仿宋" w:cs="仿宋"/>
          <w:highlight w:val="none"/>
        </w:rPr>
        <w:t>…………………………………………………………………………（页码）</w:t>
      </w:r>
    </w:p>
    <w:p>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rPr>
        <w:t>（5）符合性审查资料</w:t>
      </w:r>
      <w:r>
        <w:rPr>
          <w:rFonts w:hint="eastAsia" w:ascii="仿宋" w:hAnsi="仿宋" w:eastAsia="仿宋" w:cs="仿宋"/>
          <w:highlight w:val="none"/>
        </w:rPr>
        <w:t>………………………………………………………………………（页码）</w:t>
      </w:r>
    </w:p>
    <w:p>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（6）评标标准相应的商务技术资料</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……………（页码）</w:t>
      </w:r>
    </w:p>
    <w:p>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（7）商务技术偏离表</w:t>
      </w:r>
      <w:r>
        <w:rPr>
          <w:rFonts w:hint="eastAsia" w:ascii="仿宋" w:hAnsi="仿宋" w:eastAsia="仿宋" w:cs="仿宋"/>
          <w:highlight w:val="none"/>
        </w:rPr>
        <w:t>………………………………………………………………………（页码）</w:t>
      </w:r>
    </w:p>
    <w:p>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r>
        <w:rPr>
          <w:rFonts w:hint="eastAsia" w:ascii="仿宋" w:hAnsi="仿宋" w:eastAsia="仿宋" w:cs="仿宋"/>
          <w:highlight w:val="none"/>
        </w:rPr>
        <w:t>…………………………………………………（页码）</w:t>
      </w: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outlineLvl w:val="0"/>
        <w:rPr>
          <w:rFonts w:hint="eastAsia" w:ascii="仿宋" w:hAnsi="仿宋" w:eastAsia="仿宋" w:cs="仿宋"/>
          <w:b/>
          <w:kern w:val="0"/>
          <w:sz w:val="32"/>
          <w:szCs w:val="32"/>
          <w:highlight w:val="none"/>
        </w:rPr>
      </w:pPr>
    </w:p>
    <w:p>
      <w:pPr>
        <w:snapToGrid w:val="0"/>
        <w:spacing w:line="360" w:lineRule="auto"/>
        <w:jc w:val="center"/>
        <w:outlineLvl w:val="0"/>
        <w:rPr>
          <w:rFonts w:hint="eastAsia" w:ascii="仿宋" w:hAnsi="仿宋" w:eastAsia="仿宋" w:cs="仿宋"/>
          <w:b/>
          <w:kern w:val="0"/>
          <w:sz w:val="32"/>
          <w:szCs w:val="32"/>
          <w:highlight w:val="none"/>
        </w:rPr>
      </w:pPr>
    </w:p>
    <w:p>
      <w:pPr>
        <w:rPr>
          <w:rFonts w:hint="eastAsia" w:ascii="仿宋" w:hAnsi="仿宋" w:eastAsia="仿宋" w:cs="仿宋"/>
          <w:highlight w:val="none"/>
        </w:rPr>
      </w:pPr>
    </w:p>
    <w:p>
      <w:pPr>
        <w:snapToGrid w:val="0"/>
        <w:spacing w:line="360" w:lineRule="auto"/>
        <w:jc w:val="center"/>
        <w:outlineLvl w:val="0"/>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br w:type="page"/>
      </w:r>
      <w:bookmarkStart w:id="505" w:name="_Toc26624"/>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bookmarkEnd w:id="505"/>
    </w:p>
    <w:p>
      <w:pPr>
        <w:snapToGrid w:val="0"/>
        <w:spacing w:line="360" w:lineRule="auto"/>
        <w:rPr>
          <w:rFonts w:hint="eastAsia" w:ascii="仿宋" w:hAnsi="仿宋" w:eastAsia="仿宋" w:cs="仿宋"/>
          <w:sz w:val="22"/>
          <w:szCs w:val="22"/>
          <w:highlight w:val="none"/>
        </w:rPr>
      </w:pPr>
      <w:r>
        <w:rPr>
          <w:rFonts w:hint="eastAsia" w:ascii="仿宋" w:hAnsi="仿宋" w:eastAsia="仿宋" w:cs="仿宋"/>
          <w:sz w:val="22"/>
          <w:szCs w:val="22"/>
          <w:highlight w:val="none"/>
        </w:rPr>
        <w:t>（采购人）、（采购代理机构）：</w:t>
      </w:r>
    </w:p>
    <w:p>
      <w:pPr>
        <w:snapToGrid w:val="0"/>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我方参加你方组织的（项目名称）【招标编号：（采购编号）】招标的有关活动，并对此项目进行投标。为此：</w:t>
      </w:r>
    </w:p>
    <w:p>
      <w:pPr>
        <w:snapToGrid w:val="0"/>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1、我方承诺投标有效期从提交投标文件的截止之日起</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天（不少于90天），本投标文件在投标有效期满之前均具有约束力。</w:t>
      </w:r>
    </w:p>
    <w:p>
      <w:pPr>
        <w:snapToGrid w:val="0"/>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2、我方的投标文件包括以下内容：</w:t>
      </w:r>
    </w:p>
    <w:p>
      <w:pPr>
        <w:snapToGrid w:val="0"/>
        <w:spacing w:line="360" w:lineRule="auto"/>
        <w:ind w:left="210" w:leftChars="100"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2.1资格文件：</w:t>
      </w:r>
    </w:p>
    <w:p>
      <w:pPr>
        <w:snapToGrid w:val="0"/>
        <w:spacing w:line="360" w:lineRule="auto"/>
        <w:ind w:left="420" w:leftChars="200"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2.1.1承诺函；</w:t>
      </w:r>
    </w:p>
    <w:p>
      <w:pPr>
        <w:snapToGrid w:val="0"/>
        <w:spacing w:line="360" w:lineRule="auto"/>
        <w:ind w:left="420" w:leftChars="200"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2.1.2落实政府采购政策需满足的资格要求（如果有）；</w:t>
      </w:r>
    </w:p>
    <w:p>
      <w:pPr>
        <w:snapToGrid w:val="0"/>
        <w:spacing w:line="360" w:lineRule="auto"/>
        <w:ind w:left="420" w:leftChars="200"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2.1.3本项目的特定资格要求（如果有）。</w:t>
      </w:r>
    </w:p>
    <w:p>
      <w:pPr>
        <w:snapToGrid w:val="0"/>
        <w:spacing w:line="360" w:lineRule="auto"/>
        <w:ind w:left="210" w:leftChars="100" w:firstLine="440" w:firstLineChars="200"/>
        <w:rPr>
          <w:rFonts w:hint="eastAsia" w:ascii="仿宋" w:hAnsi="仿宋" w:eastAsia="仿宋" w:cs="仿宋"/>
          <w:sz w:val="22"/>
          <w:szCs w:val="22"/>
          <w:highlight w:val="none"/>
          <w:lang w:val="zh-CN"/>
        </w:rPr>
      </w:pPr>
      <w:r>
        <w:rPr>
          <w:rFonts w:hint="eastAsia" w:ascii="仿宋" w:hAnsi="仿宋" w:eastAsia="仿宋" w:cs="仿宋"/>
          <w:sz w:val="22"/>
          <w:szCs w:val="22"/>
          <w:highlight w:val="none"/>
        </w:rPr>
        <w:t>2</w:t>
      </w:r>
      <w:r>
        <w:rPr>
          <w:rFonts w:hint="eastAsia" w:ascii="仿宋" w:hAnsi="仿宋" w:eastAsia="仿宋" w:cs="仿宋"/>
          <w:sz w:val="22"/>
          <w:szCs w:val="22"/>
          <w:highlight w:val="none"/>
          <w:lang w:val="zh-CN"/>
        </w:rPr>
        <w:t>.</w:t>
      </w:r>
      <w:r>
        <w:rPr>
          <w:rFonts w:hint="eastAsia" w:ascii="仿宋" w:hAnsi="仿宋" w:eastAsia="仿宋" w:cs="仿宋"/>
          <w:sz w:val="22"/>
          <w:szCs w:val="22"/>
          <w:highlight w:val="none"/>
        </w:rPr>
        <w:t>2</w:t>
      </w:r>
      <w:r>
        <w:rPr>
          <w:rFonts w:hint="eastAsia" w:ascii="仿宋" w:hAnsi="仿宋" w:eastAsia="仿宋" w:cs="仿宋"/>
          <w:sz w:val="22"/>
          <w:szCs w:val="22"/>
          <w:highlight w:val="none"/>
          <w:lang w:val="zh-CN"/>
        </w:rPr>
        <w:t xml:space="preserve"> </w:t>
      </w:r>
      <w:r>
        <w:rPr>
          <w:rFonts w:hint="eastAsia" w:ascii="仿宋" w:hAnsi="仿宋" w:eastAsia="仿宋" w:cs="仿宋"/>
          <w:sz w:val="22"/>
          <w:szCs w:val="22"/>
          <w:highlight w:val="none"/>
        </w:rPr>
        <w:t>商务技术</w:t>
      </w:r>
      <w:r>
        <w:rPr>
          <w:rFonts w:hint="eastAsia" w:ascii="仿宋" w:hAnsi="仿宋" w:eastAsia="仿宋" w:cs="仿宋"/>
          <w:sz w:val="22"/>
          <w:szCs w:val="22"/>
          <w:highlight w:val="none"/>
          <w:lang w:val="zh-CN"/>
        </w:rPr>
        <w:t>文件：</w:t>
      </w:r>
    </w:p>
    <w:p>
      <w:pPr>
        <w:snapToGrid w:val="0"/>
        <w:spacing w:line="360" w:lineRule="auto"/>
        <w:ind w:left="420" w:leftChars="200"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2.2.1投标函；</w:t>
      </w:r>
      <w:r>
        <w:rPr>
          <w:rFonts w:hint="eastAsia" w:ascii="仿宋" w:hAnsi="仿宋" w:eastAsia="仿宋" w:cs="仿宋"/>
          <w:sz w:val="22"/>
          <w:szCs w:val="22"/>
          <w:highlight w:val="none"/>
          <w:lang w:val="zh-CN"/>
        </w:rPr>
        <w:t xml:space="preserve"> </w:t>
      </w:r>
    </w:p>
    <w:p>
      <w:pPr>
        <w:snapToGrid w:val="0"/>
        <w:spacing w:line="360" w:lineRule="auto"/>
        <w:ind w:left="420" w:leftChars="200"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2.2.2授权委托书或法定代表人（单位负责人）身份证明；</w:t>
      </w:r>
    </w:p>
    <w:p>
      <w:pPr>
        <w:snapToGrid w:val="0"/>
        <w:spacing w:line="360" w:lineRule="auto"/>
        <w:ind w:left="420" w:leftChars="200"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2.2.3联合协议（如果有）；</w:t>
      </w:r>
    </w:p>
    <w:p>
      <w:pPr>
        <w:snapToGrid w:val="0"/>
        <w:spacing w:line="360" w:lineRule="auto"/>
        <w:ind w:left="420" w:leftChars="200"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2.2.4分包意向协议（如果有）；</w:t>
      </w:r>
    </w:p>
    <w:p>
      <w:pPr>
        <w:snapToGrid w:val="0"/>
        <w:spacing w:line="360" w:lineRule="auto"/>
        <w:ind w:left="420" w:leftChars="200"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2.2.5符合性审查资料；</w:t>
      </w:r>
    </w:p>
    <w:p>
      <w:pPr>
        <w:snapToGrid w:val="0"/>
        <w:spacing w:line="360" w:lineRule="auto"/>
        <w:ind w:left="420" w:leftChars="200"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2.2.6评标标准相应的商务技术资料；</w:t>
      </w:r>
    </w:p>
    <w:p>
      <w:pPr>
        <w:snapToGrid w:val="0"/>
        <w:spacing w:line="360" w:lineRule="auto"/>
        <w:ind w:left="420" w:leftChars="200"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2.2.7商务技术偏离表；</w:t>
      </w:r>
    </w:p>
    <w:p>
      <w:pPr>
        <w:snapToGrid w:val="0"/>
        <w:spacing w:line="360" w:lineRule="auto"/>
        <w:ind w:left="420" w:leftChars="200" w:firstLine="440" w:firstLineChars="200"/>
        <w:rPr>
          <w:rFonts w:hint="eastAsia" w:ascii="仿宋" w:hAnsi="仿宋" w:eastAsia="仿宋" w:cs="仿宋"/>
          <w:sz w:val="22"/>
          <w:szCs w:val="22"/>
          <w:highlight w:val="none"/>
          <w:lang w:val="zh-CN"/>
        </w:rPr>
      </w:pPr>
      <w:r>
        <w:rPr>
          <w:rFonts w:hint="eastAsia" w:ascii="仿宋" w:hAnsi="仿宋" w:eastAsia="仿宋" w:cs="仿宋"/>
          <w:sz w:val="22"/>
          <w:szCs w:val="22"/>
          <w:highlight w:val="none"/>
        </w:rPr>
        <w:t>2</w:t>
      </w:r>
      <w:r>
        <w:rPr>
          <w:rFonts w:hint="eastAsia" w:ascii="仿宋" w:hAnsi="仿宋" w:eastAsia="仿宋" w:cs="仿宋"/>
          <w:sz w:val="22"/>
          <w:szCs w:val="22"/>
          <w:highlight w:val="none"/>
          <w:lang w:val="zh-CN"/>
        </w:rPr>
        <w:t>.</w:t>
      </w:r>
      <w:r>
        <w:rPr>
          <w:rFonts w:hint="eastAsia" w:ascii="仿宋" w:hAnsi="仿宋" w:eastAsia="仿宋" w:cs="仿宋"/>
          <w:sz w:val="22"/>
          <w:szCs w:val="22"/>
          <w:highlight w:val="none"/>
        </w:rPr>
        <w:t>2</w:t>
      </w:r>
      <w:r>
        <w:rPr>
          <w:rFonts w:hint="eastAsia" w:ascii="仿宋" w:hAnsi="仿宋" w:eastAsia="仿宋" w:cs="仿宋"/>
          <w:sz w:val="22"/>
          <w:szCs w:val="22"/>
          <w:highlight w:val="none"/>
          <w:lang w:val="zh-CN"/>
        </w:rPr>
        <w:t>.</w:t>
      </w:r>
      <w:r>
        <w:rPr>
          <w:rFonts w:hint="eastAsia" w:ascii="仿宋" w:hAnsi="仿宋" w:eastAsia="仿宋" w:cs="仿宋"/>
          <w:sz w:val="22"/>
          <w:szCs w:val="22"/>
          <w:highlight w:val="none"/>
        </w:rPr>
        <w:t>8</w:t>
      </w:r>
      <w:r>
        <w:rPr>
          <w:rFonts w:hint="eastAsia" w:ascii="仿宋" w:hAnsi="仿宋" w:eastAsia="仿宋" w:cs="仿宋"/>
          <w:sz w:val="22"/>
          <w:szCs w:val="22"/>
          <w:highlight w:val="none"/>
          <w:lang w:val="zh-CN"/>
        </w:rPr>
        <w:t>政府采购供应商廉洁自律承诺书；</w:t>
      </w:r>
    </w:p>
    <w:p>
      <w:pPr>
        <w:snapToGrid w:val="0"/>
        <w:spacing w:line="360" w:lineRule="auto"/>
        <w:ind w:left="210" w:leftChars="100"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2</w:t>
      </w:r>
      <w:r>
        <w:rPr>
          <w:rFonts w:hint="eastAsia" w:ascii="仿宋" w:hAnsi="仿宋" w:eastAsia="仿宋" w:cs="仿宋"/>
          <w:sz w:val="22"/>
          <w:szCs w:val="22"/>
          <w:highlight w:val="none"/>
          <w:lang w:val="zh-CN"/>
        </w:rPr>
        <w:t>.</w:t>
      </w:r>
      <w:r>
        <w:rPr>
          <w:rFonts w:hint="eastAsia" w:ascii="仿宋" w:hAnsi="仿宋" w:eastAsia="仿宋" w:cs="仿宋"/>
          <w:sz w:val="22"/>
          <w:szCs w:val="22"/>
          <w:highlight w:val="none"/>
        </w:rPr>
        <w:t>3报价文件</w:t>
      </w:r>
    </w:p>
    <w:p>
      <w:pPr>
        <w:snapToGrid w:val="0"/>
        <w:spacing w:line="360" w:lineRule="auto"/>
        <w:ind w:left="420" w:leftChars="200"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2.3.1开标一览表（报价表）；</w:t>
      </w:r>
    </w:p>
    <w:p>
      <w:pPr>
        <w:snapToGrid w:val="0"/>
        <w:spacing w:line="360" w:lineRule="auto"/>
        <w:ind w:left="420" w:leftChars="200"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2.3.2中小企业声明函（如果有）。</w:t>
      </w:r>
    </w:p>
    <w:p>
      <w:pPr>
        <w:snapToGrid w:val="0"/>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3、我方承诺除商务技术偏离表列出的偏离外，我方响应招标文件的全部要求。</w:t>
      </w:r>
    </w:p>
    <w:p>
      <w:pPr>
        <w:snapToGrid w:val="0"/>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4、如我方中标，我方承诺：</w:t>
      </w:r>
    </w:p>
    <w:p>
      <w:pPr>
        <w:snapToGrid w:val="0"/>
        <w:spacing w:line="360" w:lineRule="auto"/>
        <w:ind w:left="210" w:leftChars="100"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 xml:space="preserve">4.1在收到中标通知书后，在中标通知书规定的期限内与你方签订合同； </w:t>
      </w:r>
    </w:p>
    <w:p>
      <w:pPr>
        <w:snapToGrid w:val="0"/>
        <w:spacing w:line="360" w:lineRule="auto"/>
        <w:ind w:left="210" w:leftChars="100"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 xml:space="preserve">4.2在签订合同时不向你方提出附加条件； </w:t>
      </w:r>
    </w:p>
    <w:p>
      <w:pPr>
        <w:snapToGrid w:val="0"/>
        <w:spacing w:line="360" w:lineRule="auto"/>
        <w:ind w:left="210" w:leftChars="100"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 xml:space="preserve">4.3按照招标文件要求提交履约保证金； </w:t>
      </w:r>
    </w:p>
    <w:p>
      <w:pPr>
        <w:snapToGrid w:val="0"/>
        <w:spacing w:line="360" w:lineRule="auto"/>
        <w:ind w:left="210" w:leftChars="100"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 xml:space="preserve">4.4在合同约定的期限内完成合同规定的全部义务。 </w:t>
      </w:r>
    </w:p>
    <w:p>
      <w:pPr>
        <w:snapToGrid w:val="0"/>
        <w:spacing w:line="360" w:lineRule="auto"/>
        <w:ind w:left="210" w:leftChars="100"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5、其他补充说明:</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w:t>
      </w:r>
    </w:p>
    <w:p>
      <w:pPr>
        <w:spacing w:line="360" w:lineRule="auto"/>
        <w:ind w:firstLine="3300" w:firstLineChars="1500"/>
        <w:rPr>
          <w:rFonts w:hint="eastAsia" w:ascii="仿宋" w:hAnsi="仿宋" w:eastAsia="仿宋" w:cs="仿宋"/>
          <w:sz w:val="22"/>
          <w:szCs w:val="22"/>
          <w:highlight w:val="none"/>
        </w:rPr>
      </w:pPr>
      <w:r>
        <w:rPr>
          <w:rFonts w:hint="eastAsia" w:ascii="仿宋" w:hAnsi="仿宋" w:eastAsia="仿宋" w:cs="仿宋"/>
          <w:sz w:val="22"/>
          <w:szCs w:val="22"/>
          <w:highlight w:val="none"/>
        </w:rPr>
        <w:t xml:space="preserve">投标人名称（电子签名）：                          </w:t>
      </w:r>
    </w:p>
    <w:p>
      <w:pPr>
        <w:spacing w:line="360" w:lineRule="auto"/>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 xml:space="preserve">     日期：  年   月   日</w:t>
      </w:r>
    </w:p>
    <w:p>
      <w:pPr>
        <w:jc w:val="center"/>
        <w:rPr>
          <w:rFonts w:hint="eastAsia" w:ascii="仿宋" w:hAnsi="仿宋" w:eastAsia="仿宋" w:cs="仿宋"/>
          <w:b/>
          <w:kern w:val="0"/>
          <w:sz w:val="32"/>
          <w:szCs w:val="32"/>
          <w:highlight w:val="none"/>
          <w:lang w:val="zh-CN"/>
        </w:rPr>
      </w:pPr>
    </w:p>
    <w:p>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snapToGrid w:val="0"/>
        <w:spacing w:line="360" w:lineRule="auto"/>
        <w:ind w:firstLine="2872" w:firstLineChars="894"/>
        <w:rPr>
          <w:rFonts w:hint="eastAsia" w:ascii="仿宋" w:hAnsi="仿宋" w:eastAsia="仿宋" w:cs="仿宋"/>
          <w:highlight w:val="none"/>
        </w:rPr>
      </w:pPr>
      <w:r>
        <w:rPr>
          <w:rFonts w:hint="eastAsia" w:ascii="仿宋" w:hAnsi="仿宋" w:eastAsia="仿宋" w:cs="仿宋"/>
          <w:b/>
          <w:kern w:val="0"/>
          <w:sz w:val="32"/>
          <w:szCs w:val="32"/>
          <w:highlight w:val="none"/>
          <w:lang w:val="zh-CN"/>
        </w:rPr>
        <w:t>授权委托书（适用于非联合体投标）</w:t>
      </w:r>
      <w:r>
        <w:rPr>
          <w:rFonts w:hint="eastAsia" w:ascii="仿宋" w:hAnsi="仿宋" w:eastAsia="仿宋" w:cs="仿宋"/>
          <w:highlight w:val="none"/>
        </w:rPr>
        <w:t xml:space="preserve">                               </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政府采购投标的一切事项，其法律后果由我方承担。</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投标人名称(电子签名)：</w:t>
      </w:r>
    </w:p>
    <w:p>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pPr>
        <w:snapToGrid w:val="0"/>
        <w:spacing w:line="360" w:lineRule="auto"/>
        <w:rPr>
          <w:rFonts w:hint="eastAsia" w:ascii="仿宋" w:hAnsi="仿宋" w:eastAsia="仿宋" w:cs="仿宋"/>
          <w:sz w:val="24"/>
          <w:highlight w:val="none"/>
        </w:rPr>
      </w:pPr>
    </w:p>
    <w:p>
      <w:pPr>
        <w:snapToGrid w:val="0"/>
        <w:spacing w:line="360" w:lineRule="auto"/>
        <w:rPr>
          <w:rFonts w:hint="eastAsia" w:ascii="仿宋" w:hAnsi="仿宋" w:eastAsia="仿宋" w:cs="仿宋"/>
          <w:sz w:val="24"/>
          <w:highlight w:val="none"/>
        </w:rPr>
      </w:pPr>
    </w:p>
    <w:p>
      <w:pPr>
        <w:snapToGrid w:val="0"/>
        <w:spacing w:line="360" w:lineRule="auto"/>
        <w:rPr>
          <w:rFonts w:hint="eastAsia" w:ascii="仿宋" w:hAnsi="仿宋" w:eastAsia="仿宋" w:cs="仿宋"/>
          <w:sz w:val="24"/>
          <w:highlight w:val="none"/>
        </w:rPr>
      </w:pPr>
    </w:p>
    <w:p>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t xml:space="preserve">      </w:t>
      </w:r>
      <w:r>
        <w:rPr>
          <w:rFonts w:hint="eastAsia" w:ascii="仿宋" w:hAnsi="仿宋" w:eastAsia="仿宋" w:cs="仿宋"/>
          <w:b/>
          <w:kern w:val="0"/>
          <w:sz w:val="32"/>
          <w:szCs w:val="32"/>
          <w:highlight w:val="none"/>
        </w:rPr>
        <w:t xml:space="preserve"> </w:t>
      </w:r>
      <w:r>
        <w:rPr>
          <w:rFonts w:hint="eastAsia" w:ascii="仿宋" w:hAnsi="仿宋" w:eastAsia="仿宋" w:cs="仿宋"/>
          <w:b/>
          <w:kern w:val="0"/>
          <w:sz w:val="32"/>
          <w:szCs w:val="32"/>
          <w:highlight w:val="none"/>
          <w:lang w:val="zh-CN"/>
        </w:rPr>
        <w:t>授权委托书（适用于联合体投标）</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政府采购投标的一切事项，其法律后果由我方承担。</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rPr>
          <w:rFonts w:hint="eastAsia" w:ascii="仿宋" w:hAnsi="仿宋" w:eastAsia="仿宋" w:cs="仿宋"/>
          <w:highlight w:val="none"/>
        </w:rPr>
      </w:pPr>
    </w:p>
    <w:p>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的身份证明（适用于法定代表人、单位负责人或者自然人本人代表投标人参加投标）</w:t>
      </w:r>
    </w:p>
    <w:p>
      <w:pPr>
        <w:pStyle w:val="89"/>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9"/>
              <w:adjustRightIn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正面：                                 反面：</w:t>
            </w:r>
          </w:p>
          <w:p>
            <w:pPr>
              <w:pStyle w:val="89"/>
              <w:adjustRightInd w:val="0"/>
              <w:spacing w:line="360" w:lineRule="auto"/>
              <w:rPr>
                <w:rFonts w:hint="eastAsia" w:ascii="仿宋" w:hAnsi="仿宋" w:eastAsia="仿宋" w:cs="仿宋"/>
                <w:bCs/>
                <w:sz w:val="24"/>
                <w:highlight w:val="none"/>
              </w:rPr>
            </w:pPr>
          </w:p>
        </w:tc>
      </w:tr>
    </w:tbl>
    <w:p>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投标人名称(电子签名)：                              </w:t>
      </w:r>
    </w:p>
    <w:p>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rPr>
        <w:br w:type="page"/>
      </w:r>
      <w:r>
        <w:rPr>
          <w:rFonts w:hint="eastAsia" w:ascii="仿宋" w:hAnsi="仿宋" w:eastAsia="仿宋" w:cs="仿宋"/>
          <w:b/>
          <w:kern w:val="0"/>
          <w:sz w:val="32"/>
          <w:szCs w:val="32"/>
          <w:highlight w:val="none"/>
        </w:rPr>
        <w:t>三、</w:t>
      </w:r>
      <w:r>
        <w:rPr>
          <w:rFonts w:hint="eastAsia" w:ascii="仿宋" w:hAnsi="仿宋" w:eastAsia="仿宋" w:cs="仿宋"/>
          <w:b/>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组成一个联合体，以一个投标人的身份</w:t>
      </w:r>
      <w:r>
        <w:rPr>
          <w:rFonts w:hint="eastAsia" w:ascii="仿宋" w:hAnsi="仿宋" w:eastAsia="仿宋" w:cs="仿宋"/>
          <w:kern w:val="0"/>
          <w:sz w:val="24"/>
          <w:highlight w:val="none"/>
        </w:rPr>
        <w:t>参加</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 xml:space="preserve">投标。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（某联合体成员名称）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三、本次联合投标中，分工如下：</w:t>
      </w:r>
      <w:r>
        <w:rPr>
          <w:rFonts w:hint="eastAsia" w:ascii="仿宋" w:hAnsi="仿宋" w:eastAsia="仿宋" w:cs="仿宋"/>
          <w:kern w:val="0"/>
          <w:sz w:val="24"/>
          <w:highlight w:val="none"/>
          <w:u w:val="single"/>
        </w:rPr>
        <w:t>（联合体其中一方成员名称）</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t>四、</w:t>
      </w:r>
      <w:r>
        <w:rPr>
          <w:rFonts w:hint="eastAsia" w:ascii="仿宋" w:hAnsi="仿宋" w:eastAsia="仿宋" w:cs="仿宋"/>
          <w:kern w:val="0"/>
          <w:sz w:val="24"/>
          <w:highlight w:val="none"/>
          <w:u w:val="single"/>
        </w:rPr>
        <w:t>（联合体其中一方成员名称）</w:t>
      </w:r>
      <w:r>
        <w:rPr>
          <w:rFonts w:hint="eastAsia" w:ascii="仿宋" w:hAnsi="仿宋" w:eastAsia="仿宋" w:cs="仿宋"/>
          <w:kern w:val="0"/>
          <w:sz w:val="24"/>
          <w:highlight w:val="none"/>
        </w:rPr>
        <w:t>提供的全部货物由小微企业制造，其合同份额占到合同总金额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highlight w:val="none"/>
          <w:lang w:val="en-US" w:eastAsia="zh-CN"/>
        </w:rPr>
        <w:t>6</w:t>
      </w:r>
      <w:r>
        <w:rPr>
          <w:rFonts w:hint="eastAsia" w:ascii="仿宋" w:hAnsi="仿宋" w:eastAsia="仿宋" w:cs="仿宋"/>
          <w:b/>
          <w:kern w:val="0"/>
          <w:sz w:val="24"/>
          <w:highlight w:val="none"/>
          <w:lang w:val="zh-CN"/>
        </w:rPr>
        <w:t>%的扣除）</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六、有关本次联合投标的其他事宜：</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snapToGrid w:val="0"/>
        <w:spacing w:line="360" w:lineRule="auto"/>
        <w:ind w:right="480"/>
        <w:rPr>
          <w:rFonts w:hint="eastAsia" w:ascii="仿宋" w:hAnsi="仿宋" w:eastAsia="仿宋" w:cs="仿宋"/>
          <w:b/>
          <w:kern w:val="0"/>
          <w:sz w:val="32"/>
          <w:szCs w:val="32"/>
          <w:highlight w:val="none"/>
          <w:lang w:val="zh-CN"/>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四、分包意向协议</w:t>
      </w:r>
    </w:p>
    <w:p>
      <w:pPr>
        <w:widowControl/>
        <w:spacing w:line="360" w:lineRule="auto"/>
        <w:ind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highlight w:val="none"/>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的中标供应商，将依法采取分包方式履行合同。</w:t>
      </w: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pPr>
        <w:pStyle w:val="4"/>
        <w:ind w:left="664" w:leftChars="316" w:firstLine="229" w:firstLineChars="95"/>
        <w:rPr>
          <w:rFonts w:hint="eastAsia" w:ascii="仿宋" w:hAnsi="仿宋" w:eastAsia="仿宋" w:cs="仿宋"/>
          <w:highlight w:val="none"/>
        </w:rPr>
      </w:pPr>
      <w:r>
        <w:rPr>
          <w:rFonts w:hint="eastAsia" w:ascii="仿宋" w:hAnsi="仿宋" w:eastAsia="仿宋" w:cs="仿宋"/>
          <w:kern w:val="0"/>
          <w:sz w:val="24"/>
          <w:szCs w:val="24"/>
          <w:highlight w:val="none"/>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二、分包工作履行期限、地点、方式</w:t>
      </w:r>
    </w:p>
    <w:p>
      <w:pPr>
        <w:snapToGrid w:val="0"/>
        <w:spacing w:line="360" w:lineRule="auto"/>
        <w:ind w:firstLine="576"/>
        <w:rPr>
          <w:rFonts w:hint="eastAsia" w:ascii="仿宋" w:hAnsi="仿宋" w:eastAsia="仿宋" w:cs="仿宋"/>
          <w:highlight w:val="none"/>
          <w:u w:val="single"/>
        </w:rPr>
      </w:pPr>
      <w:r>
        <w:rPr>
          <w:rFonts w:hint="eastAsia" w:ascii="仿宋" w:hAnsi="仿宋" w:eastAsia="仿宋" w:cs="仿宋"/>
          <w:highlight w:val="none"/>
          <w:u w:val="single"/>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三、质量</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四、价款或者报酬</w:t>
      </w:r>
    </w:p>
    <w:p>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五、违约责任</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六、争议解决的办法</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七、其他</w:t>
      </w:r>
    </w:p>
    <w:p>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u w:val="single"/>
        </w:rPr>
        <w:t>（分包供应商名称）提供的货物全部由小微企业制造，</w:t>
      </w:r>
      <w:r>
        <w:rPr>
          <w:rFonts w:hint="eastAsia" w:ascii="仿宋" w:hAnsi="仿宋" w:eastAsia="仿宋" w:cs="仿宋"/>
          <w:kern w:val="0"/>
          <w:sz w:val="24"/>
          <w:highlight w:val="none"/>
        </w:rPr>
        <w:t>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highlight w:val="none"/>
        </w:rPr>
        <w:t>。</w:t>
      </w:r>
      <w:r>
        <w:rPr>
          <w:rFonts w:hint="eastAsia" w:ascii="仿宋" w:hAnsi="仿宋" w:eastAsia="仿宋" w:cs="仿宋"/>
          <w:b/>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kern w:val="0"/>
          <w:sz w:val="24"/>
          <w:highlight w:val="none"/>
          <w:lang w:val="en-US" w:eastAsia="zh-CN"/>
        </w:rPr>
        <w:t>6</w:t>
      </w:r>
      <w:r>
        <w:rPr>
          <w:rFonts w:hint="eastAsia" w:ascii="仿宋" w:hAnsi="仿宋" w:eastAsia="仿宋" w:cs="仿宋"/>
          <w:b/>
          <w:kern w:val="0"/>
          <w:sz w:val="24"/>
          <w:highlight w:val="none"/>
          <w:lang w:val="zh-CN"/>
        </w:rPr>
        <w:t>%的扣除）</w:t>
      </w:r>
    </w:p>
    <w:p>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投标人名称(电子签名)：</w:t>
      </w:r>
    </w:p>
    <w:p>
      <w:pPr>
        <w:snapToGrid w:val="0"/>
        <w:spacing w:line="360" w:lineRule="auto"/>
        <w:ind w:firstLine="5640" w:firstLineChars="235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w:t>
      </w:r>
    </w:p>
    <w:p>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五、符合性审查资料</w:t>
      </w:r>
    </w:p>
    <w:p>
      <w:pPr>
        <w:jc w:val="center"/>
        <w:rPr>
          <w:rFonts w:hint="eastAsia" w:ascii="仿宋" w:hAnsi="仿宋" w:eastAsia="仿宋" w:cs="仿宋"/>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4991" w:type="dxa"/>
            <w:vAlign w:val="center"/>
          </w:tcPr>
          <w:p>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投标文件中的</w:t>
            </w:r>
          </w:p>
          <w:p>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highlight w:val="none"/>
              </w:rPr>
            </w:pPr>
            <w:r>
              <w:rPr>
                <w:rFonts w:hint="eastAsia" w:ascii="仿宋" w:hAnsi="仿宋" w:eastAsia="仿宋" w:cs="仿宋"/>
                <w:sz w:val="24"/>
                <w:highlight w:val="none"/>
              </w:rPr>
              <w:t>1</w:t>
            </w:r>
          </w:p>
        </w:tc>
        <w:tc>
          <w:tcPr>
            <w:tcW w:w="4991" w:type="dxa"/>
            <w:vAlign w:val="top"/>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投标文件按照招标文件要求签署、盖章。</w:t>
            </w:r>
          </w:p>
        </w:tc>
        <w:tc>
          <w:tcPr>
            <w:tcW w:w="2551" w:type="dxa"/>
            <w:vAlign w:val="center"/>
          </w:tcPr>
          <w:p>
            <w:pPr>
              <w:rPr>
                <w:rFonts w:hint="eastAsia" w:ascii="仿宋" w:hAnsi="仿宋" w:eastAsia="仿宋" w:cs="仿宋"/>
                <w:sz w:val="24"/>
                <w:highlight w:val="none"/>
              </w:rPr>
            </w:pPr>
            <w:r>
              <w:rPr>
                <w:rFonts w:hint="eastAsia" w:ascii="仿宋" w:hAnsi="仿宋" w:eastAsia="仿宋" w:cs="仿宋"/>
                <w:sz w:val="24"/>
                <w:highlight w:val="none"/>
              </w:rPr>
              <w:t>需要使用电子签名或者签字盖章的投标文件的组成部分</w:t>
            </w:r>
          </w:p>
        </w:tc>
        <w:tc>
          <w:tcPr>
            <w:tcW w:w="1418" w:type="dxa"/>
            <w:vAlign w:val="top"/>
          </w:tcPr>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见投标文件</w:t>
            </w:r>
          </w:p>
          <w:p>
            <w:pPr>
              <w:rPr>
                <w:rFonts w:hint="eastAsia"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w:t>
            </w:r>
          </w:p>
        </w:tc>
        <w:tc>
          <w:tcPr>
            <w:tcW w:w="4991" w:type="dxa"/>
            <w:vAlign w:val="top"/>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sz w:val="24"/>
                <w:highlight w:val="none"/>
              </w:rPr>
            </w:pPr>
            <w:r>
              <w:rPr>
                <w:rFonts w:hint="eastAsia" w:ascii="仿宋" w:hAnsi="仿宋" w:eastAsia="仿宋" w:cs="仿宋"/>
                <w:sz w:val="24"/>
                <w:highlight w:val="none"/>
              </w:rPr>
              <w:t>节能产品认证证书（本项目拟采购的产品不属于政府强制采购的节能产品品目清单范围的，无需提供）</w:t>
            </w:r>
          </w:p>
        </w:tc>
        <w:tc>
          <w:tcPr>
            <w:tcW w:w="1418" w:type="dxa"/>
            <w:vAlign w:val="top"/>
          </w:tcPr>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见投标文件</w:t>
            </w:r>
          </w:p>
          <w:p>
            <w:pPr>
              <w:pStyle w:val="4"/>
              <w:rPr>
                <w:rFonts w:hint="eastAsia" w:ascii="仿宋" w:hAnsi="仿宋" w:eastAsia="仿宋" w:cs="仿宋"/>
                <w:highlight w:val="none"/>
                <w:lang w:val="en-US"/>
              </w:rPr>
            </w:pPr>
            <w:r>
              <w:rPr>
                <w:rFonts w:hint="eastAsia" w:ascii="仿宋" w:hAnsi="仿宋" w:eastAsia="仿宋" w:cs="仿宋"/>
                <w:b w:val="0"/>
                <w:bCs w:val="0"/>
                <w:sz w:val="24"/>
                <w:szCs w:val="24"/>
                <w:highlight w:val="none"/>
                <w:lang w:val="en-US"/>
              </w:rPr>
              <w:t>第</w:t>
            </w:r>
            <w:r>
              <w:rPr>
                <w:rFonts w:hint="eastAsia" w:ascii="仿宋" w:hAnsi="仿宋" w:eastAsia="仿宋" w:cs="仿宋"/>
                <w:b w:val="0"/>
                <w:bCs w:val="0"/>
                <w:sz w:val="24"/>
                <w:szCs w:val="24"/>
                <w:highlight w:val="none"/>
                <w:u w:val="single"/>
                <w:lang w:val="en-US"/>
              </w:rPr>
              <w:t xml:space="preserve">  </w:t>
            </w:r>
            <w:r>
              <w:rPr>
                <w:rFonts w:hint="eastAsia" w:ascii="仿宋" w:hAnsi="仿宋" w:eastAsia="仿宋" w:cs="仿宋"/>
                <w:b w:val="0"/>
                <w:bCs w:val="0"/>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highlight w:val="none"/>
              </w:rPr>
            </w:pPr>
            <w:r>
              <w:rPr>
                <w:rFonts w:hint="eastAsia" w:ascii="仿宋" w:hAnsi="仿宋" w:eastAsia="仿宋" w:cs="仿宋"/>
                <w:sz w:val="24"/>
                <w:highlight w:val="none"/>
              </w:rPr>
              <w:t>3</w:t>
            </w:r>
          </w:p>
        </w:tc>
        <w:tc>
          <w:tcPr>
            <w:tcW w:w="4991" w:type="dxa"/>
            <w:vAlign w:val="top"/>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sz w:val="24"/>
                <w:highlight w:val="none"/>
              </w:rPr>
            </w:pPr>
            <w:r>
              <w:rPr>
                <w:rFonts w:hint="eastAsia" w:ascii="仿宋" w:hAnsi="仿宋" w:eastAsia="仿宋" w:cs="仿宋"/>
                <w:sz w:val="24"/>
                <w:highlight w:val="none"/>
              </w:rPr>
              <w:t>投标函</w:t>
            </w:r>
          </w:p>
        </w:tc>
        <w:tc>
          <w:tcPr>
            <w:tcW w:w="1418" w:type="dxa"/>
            <w:vAlign w:val="top"/>
          </w:tcPr>
          <w:p>
            <w:pPr>
              <w:rPr>
                <w:rFonts w:hint="eastAsia" w:ascii="仿宋" w:hAnsi="仿宋" w:eastAsia="仿宋" w:cs="仿宋"/>
                <w:highlight w:val="none"/>
              </w:rPr>
            </w:pPr>
            <w:r>
              <w:rPr>
                <w:rFonts w:hint="eastAsia" w:ascii="仿宋" w:hAnsi="仿宋" w:eastAsia="仿宋" w:cs="仿宋"/>
                <w:sz w:val="24"/>
                <w:highlight w:val="none"/>
              </w:rPr>
              <w:t>见投标文件第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highlight w:val="none"/>
              </w:rPr>
            </w:pPr>
            <w:r>
              <w:rPr>
                <w:rFonts w:hint="eastAsia" w:ascii="仿宋" w:hAnsi="仿宋" w:eastAsia="仿宋" w:cs="仿宋"/>
                <w:sz w:val="24"/>
                <w:highlight w:val="none"/>
              </w:rPr>
              <w:t>4</w:t>
            </w:r>
          </w:p>
        </w:tc>
        <w:tc>
          <w:tcPr>
            <w:tcW w:w="4991" w:type="dxa"/>
            <w:vAlign w:val="top"/>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投标文件满足招标文件的其它实质性要求。</w:t>
            </w:r>
          </w:p>
        </w:tc>
        <w:tc>
          <w:tcPr>
            <w:tcW w:w="2551" w:type="dxa"/>
            <w:vAlign w:val="center"/>
          </w:tcPr>
          <w:p>
            <w:pPr>
              <w:rPr>
                <w:rFonts w:hint="eastAsia" w:ascii="仿宋" w:hAnsi="仿宋" w:eastAsia="仿宋" w:cs="仿宋"/>
                <w:sz w:val="24"/>
                <w:highlight w:val="none"/>
              </w:rPr>
            </w:pPr>
            <w:r>
              <w:rPr>
                <w:rFonts w:hint="eastAsia" w:ascii="仿宋" w:hAnsi="仿宋" w:eastAsia="仿宋" w:cs="仿宋"/>
                <w:kern w:val="0"/>
                <w:sz w:val="24"/>
                <w:highlight w:val="none"/>
              </w:rPr>
              <w:t>招标文件其它实质性要求相应的材料（“▲” 系指实质性要求条款，招标文件无其它实质性要求的，无需提供）</w:t>
            </w:r>
          </w:p>
        </w:tc>
        <w:tc>
          <w:tcPr>
            <w:tcW w:w="1418" w:type="dxa"/>
            <w:vAlign w:val="top"/>
          </w:tcPr>
          <w:p>
            <w:pPr>
              <w:rPr>
                <w:rFonts w:hint="eastAsia" w:ascii="仿宋" w:hAnsi="仿宋" w:eastAsia="仿宋" w:cs="仿宋"/>
                <w:highlight w:val="none"/>
              </w:rPr>
            </w:pPr>
            <w:r>
              <w:rPr>
                <w:rFonts w:hint="eastAsia" w:ascii="仿宋" w:hAnsi="仿宋" w:eastAsia="仿宋" w:cs="仿宋"/>
                <w:sz w:val="24"/>
                <w:highlight w:val="none"/>
              </w:rPr>
              <w:t>见投标文件第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bl>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highlight w:val="none"/>
        </w:rPr>
      </w:pPr>
      <w:r>
        <w:rPr>
          <w:rFonts w:hint="eastAsia" w:ascii="仿宋" w:hAnsi="仿宋" w:eastAsia="仿宋" w:cs="仿宋"/>
          <w:b/>
          <w:kern w:val="0"/>
          <w:sz w:val="32"/>
          <w:szCs w:val="32"/>
          <w:highlight w:val="none"/>
        </w:rPr>
        <w:t>六、评标标准相应的商务技术资料</w:t>
      </w:r>
    </w:p>
    <w:p>
      <w:pPr>
        <w:snapToGrid w:val="0"/>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（按招标文件第四部分评标办法前附表中“投标文件中评标标准相应的商务技术资料目录”提供资料）</w:t>
      </w: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vAlign w:val="top"/>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3546" w:type="dxa"/>
            <w:vAlign w:val="top"/>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276" w:type="dxa"/>
            <w:vAlign w:val="top"/>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vAlign w:val="top"/>
          </w:tcPr>
          <w:p>
            <w:pPr>
              <w:jc w:val="center"/>
              <w:rPr>
                <w:rFonts w:hint="eastAsia" w:ascii="仿宋" w:hAnsi="仿宋" w:eastAsia="仿宋" w:cs="仿宋"/>
                <w:b/>
                <w:kern w:val="0"/>
                <w:sz w:val="32"/>
                <w:szCs w:val="32"/>
                <w:highlight w:val="none"/>
              </w:rPr>
            </w:pPr>
          </w:p>
        </w:tc>
        <w:tc>
          <w:tcPr>
            <w:tcW w:w="3546" w:type="dxa"/>
            <w:vAlign w:val="top"/>
          </w:tcPr>
          <w:p>
            <w:pPr>
              <w:jc w:val="center"/>
              <w:rPr>
                <w:rFonts w:hint="eastAsia" w:ascii="仿宋" w:hAnsi="仿宋" w:eastAsia="仿宋" w:cs="仿宋"/>
                <w:b/>
                <w:kern w:val="0"/>
                <w:sz w:val="32"/>
                <w:szCs w:val="32"/>
                <w:highlight w:val="none"/>
              </w:rPr>
            </w:pPr>
          </w:p>
        </w:tc>
        <w:tc>
          <w:tcPr>
            <w:tcW w:w="1276" w:type="dxa"/>
            <w:vAlign w:val="top"/>
          </w:tcPr>
          <w:p>
            <w:pPr>
              <w:jc w:val="center"/>
              <w:rPr>
                <w:rFonts w:hint="eastAsia"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vAlign w:val="top"/>
          </w:tcPr>
          <w:p>
            <w:pPr>
              <w:jc w:val="center"/>
              <w:rPr>
                <w:rFonts w:hint="eastAsia" w:ascii="仿宋" w:hAnsi="仿宋" w:eastAsia="仿宋" w:cs="仿宋"/>
                <w:b/>
                <w:kern w:val="0"/>
                <w:sz w:val="32"/>
                <w:szCs w:val="32"/>
                <w:highlight w:val="none"/>
              </w:rPr>
            </w:pPr>
          </w:p>
        </w:tc>
        <w:tc>
          <w:tcPr>
            <w:tcW w:w="3546" w:type="dxa"/>
            <w:vAlign w:val="top"/>
          </w:tcPr>
          <w:p>
            <w:pPr>
              <w:jc w:val="center"/>
              <w:rPr>
                <w:rFonts w:hint="eastAsia" w:ascii="仿宋" w:hAnsi="仿宋" w:eastAsia="仿宋" w:cs="仿宋"/>
                <w:b/>
                <w:kern w:val="0"/>
                <w:sz w:val="32"/>
                <w:szCs w:val="32"/>
                <w:highlight w:val="none"/>
              </w:rPr>
            </w:pPr>
          </w:p>
        </w:tc>
        <w:tc>
          <w:tcPr>
            <w:tcW w:w="1276" w:type="dxa"/>
            <w:vAlign w:val="top"/>
          </w:tcPr>
          <w:p>
            <w:pPr>
              <w:jc w:val="center"/>
              <w:rPr>
                <w:rFonts w:hint="eastAsia"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vAlign w:val="top"/>
          </w:tcPr>
          <w:p>
            <w:pPr>
              <w:jc w:val="center"/>
              <w:rPr>
                <w:rFonts w:hint="eastAsia" w:ascii="仿宋" w:hAnsi="仿宋" w:eastAsia="仿宋" w:cs="仿宋"/>
                <w:b/>
                <w:kern w:val="0"/>
                <w:sz w:val="32"/>
                <w:szCs w:val="32"/>
                <w:highlight w:val="none"/>
              </w:rPr>
            </w:pPr>
          </w:p>
        </w:tc>
        <w:tc>
          <w:tcPr>
            <w:tcW w:w="3546" w:type="dxa"/>
            <w:vAlign w:val="top"/>
          </w:tcPr>
          <w:p>
            <w:pPr>
              <w:jc w:val="center"/>
              <w:rPr>
                <w:rFonts w:hint="eastAsia" w:ascii="仿宋" w:hAnsi="仿宋" w:eastAsia="仿宋" w:cs="仿宋"/>
                <w:b/>
                <w:kern w:val="0"/>
                <w:sz w:val="32"/>
                <w:szCs w:val="32"/>
                <w:highlight w:val="none"/>
              </w:rPr>
            </w:pPr>
          </w:p>
        </w:tc>
        <w:tc>
          <w:tcPr>
            <w:tcW w:w="1276" w:type="dxa"/>
            <w:vAlign w:val="top"/>
          </w:tcPr>
          <w:p>
            <w:pPr>
              <w:jc w:val="center"/>
              <w:rPr>
                <w:rFonts w:hint="eastAsia" w:ascii="仿宋" w:hAnsi="仿宋" w:eastAsia="仿宋" w:cs="仿宋"/>
                <w:b/>
                <w:kern w:val="0"/>
                <w:sz w:val="32"/>
                <w:szCs w:val="32"/>
                <w:highlight w:val="none"/>
              </w:rPr>
            </w:pPr>
          </w:p>
        </w:tc>
      </w:tr>
    </w:tbl>
    <w:p>
      <w:pPr>
        <w:jc w:val="left"/>
        <w:rPr>
          <w:rFonts w:hint="eastAsia" w:ascii="仿宋" w:hAnsi="仿宋" w:eastAsia="仿宋" w:cs="仿宋"/>
          <w:kern w:val="0"/>
          <w:sz w:val="24"/>
          <w:highlight w:val="none"/>
        </w:rPr>
      </w:pPr>
      <w:r>
        <w:rPr>
          <w:rFonts w:hint="eastAsia" w:ascii="仿宋" w:hAnsi="仿宋" w:eastAsia="仿宋" w:cs="仿宋"/>
          <w:kern w:val="0"/>
          <w:sz w:val="24"/>
          <w:highlight w:val="none"/>
        </w:rPr>
        <w:t>投标人保证：除商务技术偏离表列出的偏离外，投标人响应招标文件的全部要求</w:t>
      </w: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ind w:firstLine="2891" w:firstLineChars="900"/>
        <w:rPr>
          <w:rFonts w:hint="eastAsia" w:ascii="仿宋" w:hAnsi="仿宋" w:eastAsia="仿宋" w:cs="仿宋"/>
          <w:b/>
          <w:bCs/>
          <w:sz w:val="32"/>
          <w:szCs w:val="32"/>
          <w:highlight w:val="none"/>
        </w:rPr>
      </w:pPr>
    </w:p>
    <w:p>
      <w:pPr>
        <w:ind w:firstLine="2891" w:firstLineChars="900"/>
        <w:rPr>
          <w:rFonts w:hint="eastAsia" w:ascii="仿宋" w:hAnsi="仿宋" w:eastAsia="仿宋" w:cs="仿宋"/>
          <w:b/>
          <w:bCs/>
          <w:sz w:val="32"/>
          <w:szCs w:val="32"/>
          <w:highlight w:val="none"/>
        </w:rPr>
      </w:pPr>
    </w:p>
    <w:p>
      <w:pPr>
        <w:ind w:firstLine="2891" w:firstLineChars="900"/>
        <w:rPr>
          <w:rFonts w:hint="eastAsia" w:ascii="仿宋" w:hAnsi="仿宋" w:eastAsia="仿宋" w:cs="仿宋"/>
          <w:b/>
          <w:bCs/>
          <w:sz w:val="32"/>
          <w:szCs w:val="32"/>
          <w:highlight w:val="none"/>
        </w:rPr>
      </w:pPr>
    </w:p>
    <w:p>
      <w:pPr>
        <w:ind w:firstLine="2891" w:firstLineChars="900"/>
        <w:rPr>
          <w:rFonts w:hint="eastAsia" w:ascii="仿宋" w:hAnsi="仿宋" w:eastAsia="仿宋" w:cs="仿宋"/>
          <w:b/>
          <w:bCs/>
          <w:sz w:val="32"/>
          <w:szCs w:val="32"/>
          <w:highlight w:val="none"/>
        </w:rPr>
      </w:pPr>
    </w:p>
    <w:p>
      <w:pPr>
        <w:ind w:firstLine="2891" w:firstLineChars="900"/>
        <w:rPr>
          <w:rFonts w:hint="eastAsia" w:ascii="仿宋" w:hAnsi="仿宋" w:eastAsia="仿宋" w:cs="仿宋"/>
          <w:b/>
          <w:bCs/>
          <w:sz w:val="32"/>
          <w:szCs w:val="32"/>
          <w:highlight w:val="none"/>
        </w:rPr>
      </w:pPr>
    </w:p>
    <w:p>
      <w:pPr>
        <w:ind w:firstLine="2891" w:firstLineChars="900"/>
        <w:rPr>
          <w:rFonts w:hint="eastAsia" w:ascii="仿宋" w:hAnsi="仿宋" w:eastAsia="仿宋" w:cs="仿宋"/>
          <w:b/>
          <w:bCs/>
          <w:sz w:val="32"/>
          <w:szCs w:val="32"/>
          <w:highlight w:val="none"/>
        </w:rPr>
      </w:pPr>
    </w:p>
    <w:p>
      <w:pPr>
        <w:ind w:firstLine="2891" w:firstLineChars="900"/>
        <w:rPr>
          <w:rFonts w:hint="eastAsia" w:ascii="仿宋" w:hAnsi="仿宋" w:eastAsia="仿宋" w:cs="仿宋"/>
          <w:b/>
          <w:kern w:val="0"/>
          <w:sz w:val="32"/>
          <w:szCs w:val="32"/>
          <w:highlight w:val="none"/>
        </w:rPr>
      </w:pPr>
    </w:p>
    <w:p>
      <w:pPr>
        <w:ind w:firstLine="1911" w:firstLineChars="595"/>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r>
        <w:rPr>
          <w:rFonts w:hint="eastAsia" w:ascii="仿宋" w:hAnsi="仿宋" w:eastAsia="仿宋" w:cs="仿宋"/>
          <w:b/>
          <w:kern w:val="0"/>
          <w:sz w:val="32"/>
          <w:szCs w:val="32"/>
          <w:highlight w:val="none"/>
        </w:rPr>
        <w:t>八、</w:t>
      </w:r>
      <w:r>
        <w:rPr>
          <w:rFonts w:hint="eastAsia" w:ascii="仿宋" w:hAnsi="仿宋" w:eastAsia="仿宋" w:cs="仿宋"/>
          <w:b/>
          <w:kern w:val="0"/>
          <w:sz w:val="32"/>
          <w:szCs w:val="32"/>
          <w:highlight w:val="none"/>
          <w:lang w:val="zh-CN"/>
        </w:rPr>
        <w:t>政府采购供应商廉洁自律承诺书</w:t>
      </w:r>
    </w:p>
    <w:p>
      <w:pPr>
        <w:snapToGrid w:val="0"/>
        <w:spacing w:line="360" w:lineRule="auto"/>
        <w:rPr>
          <w:rFonts w:hint="eastAsia" w:ascii="仿宋" w:hAnsi="仿宋" w:eastAsia="仿宋" w:cs="仿宋"/>
          <w:sz w:val="24"/>
          <w:highlight w:val="none"/>
        </w:rPr>
      </w:pPr>
    </w:p>
    <w:p>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招标投标</w:t>
      </w:r>
    </w:p>
    <w:p>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法》</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pPr>
        <w:spacing w:line="360" w:lineRule="auto"/>
        <w:jc w:val="center"/>
        <w:rPr>
          <w:rFonts w:hint="eastAsia" w:ascii="仿宋" w:hAnsi="仿宋" w:eastAsia="仿宋" w:cs="仿宋"/>
          <w:b/>
          <w:bCs/>
          <w:sz w:val="24"/>
          <w:highlight w:val="none"/>
        </w:rPr>
      </w:pPr>
    </w:p>
    <w:p>
      <w:pPr>
        <w:spacing w:line="360" w:lineRule="auto"/>
        <w:jc w:val="center"/>
        <w:rPr>
          <w:rFonts w:hint="eastAsia" w:ascii="仿宋" w:hAnsi="仿宋" w:eastAsia="仿宋" w:cs="仿宋"/>
          <w:b/>
          <w:bCs/>
          <w:sz w:val="24"/>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hint="eastAsia" w:ascii="仿宋" w:hAnsi="仿宋" w:eastAsia="仿宋" w:cs="仿宋"/>
          <w:b/>
          <w:kern w:val="0"/>
          <w:sz w:val="36"/>
          <w:szCs w:val="36"/>
          <w:highlight w:val="none"/>
        </w:rPr>
      </w:pPr>
      <w:bookmarkStart w:id="506" w:name="_Toc9278"/>
      <w:r>
        <w:rPr>
          <w:rFonts w:hint="eastAsia" w:ascii="仿宋" w:hAnsi="仿宋" w:eastAsia="仿宋" w:cs="仿宋"/>
          <w:b/>
          <w:kern w:val="0"/>
          <w:sz w:val="36"/>
          <w:szCs w:val="36"/>
          <w:highlight w:val="none"/>
        </w:rPr>
        <w:t>报价文件部分</w:t>
      </w:r>
      <w:bookmarkEnd w:id="506"/>
    </w:p>
    <w:p>
      <w:pPr>
        <w:spacing w:line="360" w:lineRule="auto"/>
        <w:jc w:val="center"/>
        <w:outlineLvl w:val="0"/>
        <w:rPr>
          <w:rFonts w:hint="eastAsia" w:ascii="仿宋" w:hAnsi="仿宋" w:eastAsia="仿宋" w:cs="仿宋"/>
          <w:b/>
          <w:kern w:val="0"/>
          <w:sz w:val="36"/>
          <w:szCs w:val="36"/>
          <w:highlight w:val="none"/>
        </w:rPr>
      </w:pPr>
      <w:bookmarkStart w:id="507" w:name="_Toc4083"/>
      <w:r>
        <w:rPr>
          <w:rFonts w:hint="eastAsia" w:ascii="仿宋" w:hAnsi="仿宋" w:eastAsia="仿宋" w:cs="仿宋"/>
          <w:b/>
          <w:kern w:val="0"/>
          <w:sz w:val="36"/>
          <w:szCs w:val="36"/>
          <w:highlight w:val="none"/>
        </w:rPr>
        <w:t>目录</w:t>
      </w:r>
      <w:bookmarkEnd w:id="507"/>
    </w:p>
    <w:p>
      <w:pPr>
        <w:spacing w:line="360" w:lineRule="auto"/>
        <w:jc w:val="center"/>
        <w:outlineLvl w:val="0"/>
        <w:rPr>
          <w:rFonts w:hint="eastAsia" w:ascii="仿宋" w:hAnsi="仿宋" w:eastAsia="仿宋" w:cs="仿宋"/>
          <w:b/>
          <w:kern w:val="0"/>
          <w:sz w:val="36"/>
          <w:szCs w:val="36"/>
          <w:highlight w:val="none"/>
        </w:rPr>
      </w:pP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（1）开标一览表（报价表）………………………………………………………（页码）</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（2）中小企业声明函………………………………………………………………（页码）</w:t>
      </w: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pStyle w:val="377"/>
        <w:tabs>
          <w:tab w:val="clear" w:pos="720"/>
        </w:tabs>
        <w:snapToGrid w:val="0"/>
        <w:spacing w:before="120" w:after="120"/>
        <w:ind w:firstLine="643"/>
        <w:outlineLvl w:val="9"/>
        <w:rPr>
          <w:rFonts w:hint="eastAsia" w:ascii="仿宋" w:hAnsi="仿宋" w:eastAsia="仿宋" w:cs="仿宋"/>
          <w:kern w:val="2"/>
          <w:sz w:val="32"/>
          <w:szCs w:val="32"/>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377"/>
        <w:tabs>
          <w:tab w:val="clear" w:pos="720"/>
        </w:tabs>
        <w:snapToGrid w:val="0"/>
        <w:spacing w:before="120" w:after="120"/>
        <w:ind w:firstLine="643"/>
        <w:outlineLvl w:val="9"/>
        <w:rPr>
          <w:rFonts w:hint="eastAsia" w:ascii="仿宋" w:hAnsi="仿宋" w:eastAsia="仿宋" w:cs="仿宋"/>
          <w:kern w:val="2"/>
          <w:sz w:val="32"/>
          <w:szCs w:val="32"/>
          <w:highlight w:val="none"/>
        </w:rPr>
      </w:pPr>
      <w:bookmarkStart w:id="508" w:name="_Toc3124"/>
      <w:r>
        <w:rPr>
          <w:rFonts w:hint="eastAsia" w:ascii="仿宋" w:hAnsi="仿宋" w:eastAsia="仿宋" w:cs="仿宋"/>
          <w:kern w:val="2"/>
          <w:sz w:val="32"/>
          <w:szCs w:val="32"/>
          <w:highlight w:val="none"/>
        </w:rPr>
        <w:t>一、开标一览表（报价表）</w:t>
      </w:r>
      <w:bookmarkEnd w:id="508"/>
    </w:p>
    <w:p>
      <w:pPr>
        <w:snapToGrid w:val="0"/>
        <w:spacing w:line="360" w:lineRule="auto"/>
        <w:rPr>
          <w:rFonts w:hint="eastAsia" w:ascii="仿宋_GB2312" w:hAnsi="仿宋" w:eastAsia="仿宋_GB2312" w:cs="仿宋_GB2312"/>
          <w:kern w:val="0"/>
          <w:sz w:val="24"/>
          <w:highlight w:val="none"/>
          <w:lang w:val="zh-CN"/>
        </w:rPr>
      </w:pPr>
      <w:bookmarkStart w:id="509" w:name="_Toc14148"/>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pPr>
        <w:shd w:val="clear" w:color="auto" w:fill="FFFFFF"/>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按你方招标文件要求，我们，本投标文件签字方，谨此向你方发出要约如下：如你方接受本投标文件，我方承诺按照如下开标一览表的价格完成（</w:t>
      </w:r>
      <w:r>
        <w:rPr>
          <w:rFonts w:hint="eastAsia" w:ascii="宋体" w:hAnsi="宋体" w:cs="宋体"/>
          <w:sz w:val="24"/>
        </w:rPr>
        <w:t>招标编号：</w:t>
      </w:r>
      <w:r>
        <w:rPr>
          <w:rFonts w:hint="eastAsia" w:ascii="宋体" w:hAnsi="宋体" w:cs="宋体"/>
          <w:sz w:val="24"/>
          <w:u w:val="single"/>
          <w:lang w:val="en-US" w:eastAsia="zh-CN"/>
        </w:rPr>
        <w:t xml:space="preserve">  </w:t>
      </w:r>
      <w:r>
        <w:rPr>
          <w:rFonts w:hint="eastAsia" w:ascii="宋体" w:hAnsi="宋体" w:cs="宋体"/>
          <w:kern w:val="0"/>
          <w:sz w:val="24"/>
          <w:lang w:val="zh-CN"/>
        </w:rPr>
        <w:t>）的招标文件，项目名称：</w:t>
      </w:r>
      <w:r>
        <w:rPr>
          <w:rFonts w:hint="eastAsia" w:ascii="宋体" w:hAnsi="宋体" w:cs="宋体"/>
          <w:kern w:val="0"/>
          <w:sz w:val="24"/>
          <w:u w:val="single"/>
        </w:rPr>
        <w:t xml:space="preserve">                         </w:t>
      </w:r>
      <w:r>
        <w:rPr>
          <w:rFonts w:hint="eastAsia" w:ascii="宋体" w:hAnsi="宋体" w:cs="宋体"/>
          <w:kern w:val="0"/>
          <w:sz w:val="24"/>
          <w:lang w:val="zh-CN"/>
        </w:rPr>
        <w:t>。</w:t>
      </w:r>
    </w:p>
    <w:p>
      <w:pPr>
        <w:shd w:val="clear" w:color="auto" w:fill="FFFFFF"/>
        <w:snapToGrid w:val="0"/>
        <w:spacing w:line="360" w:lineRule="auto"/>
        <w:ind w:firstLine="3990" w:firstLineChars="1656"/>
        <w:rPr>
          <w:rFonts w:hint="eastAsia" w:ascii="宋体" w:hAnsi="宋体" w:cs="宋体"/>
          <w:b/>
          <w:bCs/>
          <w:kern w:val="0"/>
          <w:sz w:val="24"/>
          <w:lang w:val="zh-CN"/>
        </w:rPr>
      </w:pPr>
      <w:r>
        <w:rPr>
          <w:rFonts w:hint="eastAsia" w:ascii="宋体" w:hAnsi="宋体" w:cs="宋体"/>
          <w:b/>
          <w:bCs/>
          <w:kern w:val="0"/>
          <w:sz w:val="24"/>
          <w:lang w:val="zh-CN"/>
        </w:rPr>
        <w:t>开标一览表</w:t>
      </w:r>
    </w:p>
    <w:tbl>
      <w:tblPr>
        <w:tblStyle w:val="63"/>
        <w:tblW w:w="934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7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2628" w:type="dxa"/>
            <w:tcBorders>
              <w:top w:val="single" w:color="auto" w:sz="4" w:space="0"/>
              <w:left w:val="double" w:color="auto" w:sz="4" w:space="0"/>
              <w:bottom w:val="double" w:color="auto" w:sz="4" w:space="0"/>
              <w:right w:val="single" w:color="auto" w:sz="4" w:space="0"/>
            </w:tcBorders>
            <w:vAlign w:val="center"/>
          </w:tcPr>
          <w:p>
            <w:pPr>
              <w:autoSpaceDE w:val="0"/>
              <w:autoSpaceDN w:val="0"/>
              <w:adjustRightInd w:val="0"/>
              <w:spacing w:line="440" w:lineRule="exact"/>
              <w:jc w:val="center"/>
              <w:rPr>
                <w:rFonts w:hint="eastAsia" w:ascii="宋体" w:hAnsi="宋体" w:cs="宋体"/>
                <w:b/>
                <w:kern w:val="0"/>
                <w:sz w:val="24"/>
              </w:rPr>
            </w:pPr>
            <w:r>
              <w:rPr>
                <w:rFonts w:hint="eastAsia" w:ascii="宋体" w:hAnsi="宋体" w:cs="宋体"/>
                <w:b/>
                <w:kern w:val="0"/>
                <w:sz w:val="24"/>
              </w:rPr>
              <w:t>本项目投标报价</w:t>
            </w:r>
          </w:p>
        </w:tc>
        <w:tc>
          <w:tcPr>
            <w:tcW w:w="6720" w:type="dxa"/>
            <w:tcBorders>
              <w:top w:val="single" w:color="auto" w:sz="4" w:space="0"/>
              <w:left w:val="single" w:color="auto" w:sz="4" w:space="0"/>
              <w:bottom w:val="double" w:color="auto" w:sz="4" w:space="0"/>
              <w:right w:val="double" w:color="auto" w:sz="4" w:space="0"/>
            </w:tcBorders>
            <w:vAlign w:val="center"/>
          </w:tcPr>
          <w:p>
            <w:pPr>
              <w:autoSpaceDE w:val="0"/>
              <w:autoSpaceDN w:val="0"/>
              <w:adjustRightInd w:val="0"/>
              <w:spacing w:line="440" w:lineRule="exact"/>
              <w:jc w:val="center"/>
              <w:rPr>
                <w:rFonts w:hint="default" w:ascii="宋体" w:hAnsi="宋体" w:eastAsia="宋体" w:cs="宋体"/>
                <w:b/>
                <w:kern w:val="0"/>
                <w:sz w:val="24"/>
                <w:lang w:val="en-US" w:eastAsia="zh-CN"/>
              </w:rPr>
            </w:pPr>
            <w:r>
              <w:rPr>
                <w:rFonts w:hint="eastAsia" w:ascii="宋体" w:hAnsi="宋体" w:cs="宋体"/>
                <w:b/>
                <w:kern w:val="0"/>
                <w:sz w:val="24"/>
                <w:u w:val="none"/>
                <w:lang w:val="en-US" w:eastAsia="zh-CN"/>
              </w:rPr>
              <w:t>按照结算价</w:t>
            </w:r>
            <w:r>
              <w:rPr>
                <w:rFonts w:hint="eastAsia" w:ascii="宋体" w:hAnsi="宋体" w:cs="宋体"/>
                <w:b/>
                <w:kern w:val="0"/>
                <w:sz w:val="24"/>
                <w:u w:val="single"/>
                <w:lang w:val="en-US" w:eastAsia="zh-CN"/>
              </w:rPr>
              <w:t xml:space="preserve">     </w:t>
            </w:r>
            <w:r>
              <w:rPr>
                <w:rFonts w:hint="eastAsia" w:ascii="宋体" w:hAnsi="宋体" w:cs="宋体"/>
                <w:b/>
                <w:kern w:val="0"/>
                <w:sz w:val="24"/>
                <w:lang w:val="en-US" w:eastAsia="zh-CN"/>
              </w:rPr>
              <w:t>%</w:t>
            </w:r>
          </w:p>
        </w:tc>
      </w:tr>
    </w:tbl>
    <w:p>
      <w:pPr>
        <w:shd w:val="clear" w:color="auto" w:fill="FFFFFF"/>
        <w:snapToGrid w:val="0"/>
        <w:spacing w:line="360" w:lineRule="auto"/>
        <w:ind w:firstLine="480"/>
        <w:rPr>
          <w:rFonts w:hint="eastAsia" w:ascii="宋体" w:hAnsi="宋体" w:cs="宋体"/>
          <w:kern w:val="0"/>
          <w:sz w:val="24"/>
          <w:lang w:val="zh-CN"/>
        </w:rPr>
      </w:pPr>
      <w:r>
        <w:rPr>
          <w:rFonts w:hint="eastAsia" w:ascii="宋体" w:hAnsi="宋体" w:cs="宋体"/>
          <w:kern w:val="0"/>
          <w:sz w:val="24"/>
        </w:rPr>
        <w:t>1</w:t>
      </w:r>
      <w:r>
        <w:rPr>
          <w:rFonts w:hint="eastAsia" w:ascii="宋体" w:hAnsi="宋体" w:cs="宋体"/>
          <w:kern w:val="0"/>
          <w:sz w:val="24"/>
          <w:lang w:val="zh-CN"/>
        </w:rPr>
        <w:t>、本投标文件及其所附文件涵盖了我方要约的全部内容。</w:t>
      </w:r>
    </w:p>
    <w:p>
      <w:pPr>
        <w:shd w:val="clear" w:color="auto" w:fill="FFFFFF"/>
        <w:snapToGrid w:val="0"/>
        <w:spacing w:line="360" w:lineRule="auto"/>
        <w:ind w:firstLine="480"/>
        <w:rPr>
          <w:rFonts w:hint="eastAsia" w:ascii="宋体" w:hAnsi="宋体" w:cs="宋体"/>
          <w:kern w:val="0"/>
          <w:sz w:val="24"/>
        </w:rPr>
      </w:pPr>
      <w:r>
        <w:rPr>
          <w:rFonts w:hint="eastAsia" w:ascii="宋体" w:hAnsi="宋体" w:cs="宋体"/>
          <w:kern w:val="0"/>
          <w:sz w:val="24"/>
          <w:lang w:val="zh-CN"/>
        </w:rPr>
        <w:t>(1)我方要约有效期为自投标截止之日起90天；</w:t>
      </w:r>
    </w:p>
    <w:p>
      <w:pPr>
        <w:shd w:val="clear" w:color="auto" w:fill="FFFFFF"/>
        <w:snapToGrid w:val="0"/>
        <w:spacing w:line="360" w:lineRule="auto"/>
        <w:ind w:firstLine="480"/>
        <w:rPr>
          <w:rFonts w:hint="eastAsia" w:ascii="宋体" w:hAnsi="宋体" w:cs="宋体"/>
          <w:kern w:val="0"/>
          <w:sz w:val="24"/>
          <w:lang w:val="zh-CN"/>
        </w:rPr>
      </w:pPr>
      <w:r>
        <w:rPr>
          <w:rFonts w:hint="eastAsia" w:ascii="宋体" w:hAnsi="宋体" w:cs="宋体"/>
          <w:kern w:val="0"/>
          <w:sz w:val="24"/>
          <w:lang w:val="zh-CN"/>
        </w:rPr>
        <w:t>(2)在投标有效标期内，我方受投标文件之价目表上我方要约金额的约束。</w:t>
      </w:r>
    </w:p>
    <w:p>
      <w:pPr>
        <w:shd w:val="clear" w:color="auto" w:fill="FFFFFF"/>
        <w:snapToGrid w:val="0"/>
        <w:spacing w:line="360" w:lineRule="auto"/>
        <w:ind w:firstLine="480"/>
        <w:rPr>
          <w:rFonts w:hint="eastAsia" w:ascii="宋体" w:hAnsi="宋体" w:cs="宋体"/>
          <w:kern w:val="0"/>
          <w:sz w:val="24"/>
          <w:lang w:val="zh-CN"/>
        </w:rPr>
      </w:pPr>
    </w:p>
    <w:p>
      <w:pPr>
        <w:pStyle w:val="971"/>
        <w:spacing w:line="360" w:lineRule="auto"/>
        <w:ind w:firstLine="480"/>
        <w:rPr>
          <w:rFonts w:hint="eastAsia" w:ascii="宋体" w:hAnsi="宋体" w:cs="宋体"/>
          <w:kern w:val="0"/>
          <w:sz w:val="24"/>
          <w:szCs w:val="24"/>
          <w:lang w:val="zh-CN"/>
        </w:rPr>
      </w:pPr>
    </w:p>
    <w:p>
      <w:pPr>
        <w:pStyle w:val="971"/>
        <w:spacing w:line="360" w:lineRule="auto"/>
        <w:ind w:firstLine="480"/>
        <w:rPr>
          <w:rFonts w:hint="eastAsia" w:ascii="宋体" w:hAnsi="宋体" w:cs="宋体"/>
          <w:kern w:val="0"/>
          <w:sz w:val="24"/>
          <w:szCs w:val="24"/>
          <w:lang w:val="zh-CN"/>
        </w:rPr>
      </w:pPr>
    </w:p>
    <w:p>
      <w:pPr>
        <w:shd w:val="clear" w:color="auto" w:fill="FFFFFF"/>
        <w:snapToGrid w:val="0"/>
        <w:spacing w:line="360" w:lineRule="auto"/>
        <w:ind w:firstLine="360" w:firstLineChars="150"/>
        <w:rPr>
          <w:rFonts w:hint="eastAsia" w:ascii="宋体" w:hAnsi="宋体" w:cs="宋体"/>
          <w:kern w:val="0"/>
          <w:sz w:val="24"/>
          <w:u w:val="single"/>
        </w:rPr>
      </w:pPr>
      <w:r>
        <w:rPr>
          <w:rFonts w:hint="eastAsia" w:ascii="宋体" w:hAnsi="宋体" w:cs="宋体"/>
          <w:kern w:val="0"/>
          <w:sz w:val="24"/>
        </w:rPr>
        <w:t>投标人名称（公章）:</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p>
    <w:p>
      <w:pPr>
        <w:shd w:val="clear" w:color="auto" w:fill="FFFFFF"/>
        <w:snapToGrid w:val="0"/>
        <w:spacing w:line="360" w:lineRule="auto"/>
        <w:ind w:firstLine="360" w:firstLineChars="150"/>
        <w:rPr>
          <w:rFonts w:hint="eastAsia" w:ascii="宋体" w:hAnsi="宋体" w:cs="宋体"/>
          <w:kern w:val="0"/>
          <w:sz w:val="24"/>
        </w:rPr>
      </w:pPr>
      <w:r>
        <w:rPr>
          <w:rFonts w:hint="eastAsia" w:ascii="宋体" w:hAnsi="宋体" w:cs="宋体"/>
          <w:kern w:val="0"/>
          <w:sz w:val="24"/>
          <w:lang w:val="zh-CN"/>
        </w:rPr>
        <w:t>法定（授权）代表人（</w:t>
      </w:r>
      <w:r>
        <w:rPr>
          <w:rFonts w:hint="eastAsia" w:ascii="宋体" w:hAnsi="宋体" w:cs="宋体"/>
          <w:kern w:val="0"/>
          <w:sz w:val="24"/>
        </w:rPr>
        <w:t>盖章或签字</w:t>
      </w:r>
      <w:r>
        <w:rPr>
          <w:rFonts w:hint="eastAsia" w:ascii="宋体" w:hAnsi="宋体" w:cs="宋体"/>
          <w:kern w:val="0"/>
          <w:sz w:val="24"/>
          <w:lang w:val="zh-CN"/>
        </w:rPr>
        <w:t>）：</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u w:val="single"/>
          <w:lang w:val="zh-CN"/>
        </w:rPr>
        <w:t xml:space="preserve">   </w:t>
      </w:r>
    </w:p>
    <w:p>
      <w:pPr>
        <w:shd w:val="clear" w:color="auto" w:fill="FFFFFF"/>
        <w:snapToGrid w:val="0"/>
        <w:spacing w:line="360" w:lineRule="auto"/>
        <w:ind w:firstLine="360" w:firstLineChars="150"/>
        <w:rPr>
          <w:rFonts w:hint="eastAsia" w:ascii="宋体" w:hAnsi="宋体" w:cs="宋体"/>
          <w:kern w:val="0"/>
          <w:sz w:val="24"/>
          <w:lang w:val="zh-CN"/>
        </w:rPr>
      </w:pPr>
      <w:r>
        <w:rPr>
          <w:rFonts w:hint="eastAsia" w:ascii="宋体" w:hAnsi="宋体" w:cs="宋体"/>
          <w:kern w:val="0"/>
          <w:sz w:val="24"/>
          <w:lang w:val="zh-CN"/>
        </w:rPr>
        <w:t xml:space="preserve">日期：  </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 xml:space="preserve">日  </w:t>
      </w:r>
    </w:p>
    <w:p>
      <w:pPr>
        <w:pStyle w:val="377"/>
        <w:tabs>
          <w:tab w:val="clear" w:pos="720"/>
        </w:tabs>
        <w:snapToGrid w:val="0"/>
        <w:spacing w:before="120" w:after="120"/>
        <w:ind w:firstLine="643"/>
        <w:outlineLvl w:val="9"/>
        <w:rPr>
          <w:rFonts w:hint="eastAsia" w:ascii="仿宋" w:hAnsi="仿宋" w:eastAsia="仿宋" w:cs="仿宋"/>
          <w:sz w:val="32"/>
          <w:szCs w:val="32"/>
          <w:highlight w:val="none"/>
        </w:rPr>
      </w:pPr>
      <w:r>
        <w:rPr>
          <w:rFonts w:hint="eastAsia" w:ascii="仿宋" w:hAnsi="仿宋" w:eastAsia="仿宋" w:cs="仿宋"/>
          <w:kern w:val="2"/>
          <w:sz w:val="32"/>
          <w:szCs w:val="32"/>
          <w:highlight w:val="none"/>
        </w:rPr>
        <w:t>二、</w:t>
      </w:r>
      <w:r>
        <w:rPr>
          <w:rFonts w:hint="eastAsia" w:ascii="仿宋" w:hAnsi="仿宋" w:eastAsia="仿宋" w:cs="仿宋"/>
          <w:sz w:val="32"/>
          <w:szCs w:val="32"/>
          <w:highlight w:val="none"/>
        </w:rPr>
        <w:t>中小企业声明函</w:t>
      </w:r>
      <w:bookmarkEnd w:id="509"/>
    </w:p>
    <w:p>
      <w:pPr>
        <w:widowControl/>
        <w:spacing w:line="360" w:lineRule="auto"/>
        <w:ind w:firstLine="120" w:firstLineChars="50"/>
        <w:jc w:val="left"/>
        <w:rPr>
          <w:rFonts w:hint="eastAsia" w:ascii="仿宋" w:hAnsi="仿宋" w:eastAsia="仿宋" w:cs="仿宋"/>
          <w:b/>
          <w:sz w:val="24"/>
          <w:highlight w:val="none"/>
        </w:rPr>
      </w:pPr>
      <w:r>
        <w:rPr>
          <w:rFonts w:hint="eastAsia" w:ascii="仿宋" w:hAnsi="仿宋" w:eastAsia="仿宋" w:cs="仿宋"/>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377"/>
        <w:tabs>
          <w:tab w:val="clear" w:pos="720"/>
        </w:tabs>
        <w:snapToGrid w:val="0"/>
        <w:spacing w:before="120" w:after="120"/>
        <w:ind w:firstLine="643"/>
        <w:outlineLvl w:val="9"/>
        <w:rPr>
          <w:rFonts w:hint="eastAsia" w:ascii="仿宋" w:hAnsi="仿宋" w:eastAsia="仿宋" w:cs="仿宋"/>
          <w:b w:val="0"/>
          <w:sz w:val="32"/>
          <w:szCs w:val="32"/>
          <w:highlight w:val="none"/>
        </w:rPr>
      </w:pPr>
    </w:p>
    <w:p>
      <w:pPr>
        <w:tabs>
          <w:tab w:val="left" w:pos="8085"/>
        </w:tabs>
        <w:spacing w:line="360" w:lineRule="auto"/>
        <w:ind w:firstLine="1285" w:firstLineChars="400"/>
        <w:jc w:val="left"/>
        <w:rPr>
          <w:rFonts w:hint="eastAsia" w:ascii="仿宋" w:hAnsi="仿宋" w:eastAsia="仿宋" w:cs="仿宋"/>
          <w:b/>
          <w:sz w:val="32"/>
          <w:szCs w:val="32"/>
          <w:highlight w:val="none"/>
        </w:rPr>
      </w:pPr>
      <w:r>
        <w:rPr>
          <w:rFonts w:hint="eastAsia" w:ascii="仿宋" w:hAnsi="仿宋" w:eastAsia="仿宋" w:cs="仿宋"/>
          <w:b/>
          <w:sz w:val="32"/>
          <w:szCs w:val="32"/>
          <w:highlight w:val="none"/>
        </w:rPr>
        <w:t>政府采购支持中小企业信用融资相关事项通知</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一、适用对象</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二、相关信息获取方式</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三、　政府采购信用融资操作流程：</w:t>
      </w:r>
    </w:p>
    <w:p>
      <w:pPr>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（一）线上融资模式：</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1.供应商根据合作银行提供的方案，自行选择金融产品，并办理开户等手续；</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2.供应商中标后，可通过杭州市政府采购网或“浙里办”测算授信额度；</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3.采购合同签订后，供应商在杭州市政府采购网或“浙里办”向合作银行发出融资申请；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4.审批通过后，在线办理放贷手续。</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（二）线下融资模式：</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2.采购合同签订后，供应商在杭州市政府采购网或“浙里办”向合作银行发出融资申请；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4.审批通过后，合作银行应按照合作备忘录中约定的审批放款期限和优惠利率及时予以放款。</w:t>
      </w:r>
    </w:p>
    <w:p>
      <w:pPr>
        <w:pStyle w:val="4"/>
        <w:ind w:left="0" w:firstLine="960" w:firstLineChars="400"/>
        <w:rPr>
          <w:rFonts w:hint="eastAsia" w:ascii="仿宋" w:hAnsi="仿宋" w:eastAsia="仿宋" w:cs="仿宋"/>
          <w:b w:val="0"/>
          <w:bCs w:val="0"/>
          <w:sz w:val="24"/>
          <w:szCs w:val="24"/>
          <w:highlight w:val="none"/>
          <w:lang w:val="en-US"/>
        </w:rPr>
      </w:pPr>
      <w:r>
        <w:rPr>
          <w:rFonts w:hint="eastAsia" w:ascii="仿宋" w:hAnsi="仿宋" w:eastAsia="仿宋" w:cs="仿宋"/>
          <w:b w:val="0"/>
          <w:bCs w:val="0"/>
          <w:sz w:val="24"/>
          <w:szCs w:val="24"/>
          <w:highlight w:val="none"/>
          <w:lang w:val="en-US"/>
        </w:rPr>
        <w:t>（三）杭州e融平台申请融资</w:t>
      </w:r>
    </w:p>
    <w:p>
      <w:pPr>
        <w:pStyle w:val="4"/>
        <w:ind w:left="0" w:firstLine="960" w:firstLineChars="400"/>
        <w:rPr>
          <w:rFonts w:hint="eastAsia" w:ascii="仿宋" w:hAnsi="仿宋" w:eastAsia="仿宋" w:cs="仿宋"/>
          <w:b w:val="0"/>
          <w:bCs w:val="0"/>
          <w:sz w:val="24"/>
          <w:szCs w:val="24"/>
          <w:highlight w:val="none"/>
          <w:lang w:val="en-US"/>
        </w:rPr>
      </w:pPr>
      <w:r>
        <w:rPr>
          <w:rFonts w:hint="eastAsia" w:ascii="仿宋" w:hAnsi="仿宋" w:eastAsia="仿宋" w:cs="仿宋"/>
          <w:b w:val="0"/>
          <w:bCs w:val="0"/>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四、注意事项</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kern w:val="0"/>
          <w:sz w:val="24"/>
          <w:highlight w:val="none"/>
        </w:rPr>
      </w:pPr>
    </w:p>
    <w:p>
      <w:pPr>
        <w:pStyle w:val="3"/>
        <w:pageBreakBefore/>
        <w:widowControl/>
        <w:spacing w:before="100" w:beforeAutospacing="1" w:after="100" w:afterAutospacing="1" w:line="360" w:lineRule="auto"/>
        <w:ind w:left="1290" w:firstLine="3092" w:firstLineChars="700"/>
        <w:rPr>
          <w:rFonts w:hint="eastAsia" w:ascii="仿宋" w:hAnsi="仿宋" w:eastAsia="仿宋" w:cs="仿宋"/>
          <w:highlight w:val="none"/>
        </w:rPr>
      </w:pPr>
      <w:bookmarkStart w:id="510" w:name="_Toc31946"/>
      <w:r>
        <w:rPr>
          <w:rFonts w:hint="eastAsia" w:ascii="仿宋" w:hAnsi="仿宋" w:eastAsia="仿宋" w:cs="仿宋"/>
          <w:highlight w:val="none"/>
        </w:rPr>
        <w:t>附件</w:t>
      </w:r>
      <w:bookmarkEnd w:id="510"/>
    </w:p>
    <w:p>
      <w:pPr>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w:t>
      </w:r>
    </w:p>
    <w:p>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残疾人福利性单位声明函</w:t>
      </w:r>
    </w:p>
    <w:p>
      <w:pPr>
        <w:spacing w:line="360" w:lineRule="auto"/>
        <w:rPr>
          <w:rFonts w:hint="eastAsia" w:ascii="仿宋" w:hAnsi="仿宋" w:eastAsia="仿宋" w:cs="仿宋"/>
          <w:b/>
          <w:spacing w:val="6"/>
          <w:sz w:val="30"/>
          <w:szCs w:val="30"/>
          <w:highlight w:val="none"/>
        </w:rPr>
      </w:pP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sz w:val="24"/>
          <w:highlight w:val="none"/>
        </w:rPr>
      </w:pPr>
    </w:p>
    <w:p>
      <w:pPr>
        <w:spacing w:line="360" w:lineRule="auto"/>
        <w:ind w:firstLine="480" w:firstLineChars="200"/>
        <w:rPr>
          <w:rFonts w:hint="eastAsia" w:ascii="仿宋" w:hAnsi="仿宋" w:eastAsia="仿宋" w:cs="仿宋"/>
          <w:sz w:val="24"/>
          <w:highlight w:val="none"/>
        </w:rPr>
      </w:pPr>
    </w:p>
    <w:p>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投标人名称（电子签名）</w:t>
      </w:r>
      <w:r>
        <w:rPr>
          <w:rFonts w:hint="eastAsia" w:ascii="仿宋" w:hAnsi="仿宋" w:eastAsia="仿宋" w:cs="仿宋"/>
          <w:sz w:val="24"/>
          <w:highlight w:val="none"/>
        </w:rPr>
        <w:t>：</w:t>
      </w:r>
    </w:p>
    <w:p>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pPr>
        <w:spacing w:line="360" w:lineRule="auto"/>
        <w:ind w:firstLine="480" w:firstLineChars="200"/>
        <w:rPr>
          <w:rFonts w:hint="eastAsia" w:ascii="仿宋" w:hAnsi="仿宋" w:eastAsia="仿宋" w:cs="仿宋"/>
          <w:sz w:val="24"/>
          <w:highlight w:val="none"/>
        </w:rPr>
      </w:pPr>
    </w:p>
    <w:p>
      <w:pPr>
        <w:spacing w:line="360" w:lineRule="auto"/>
        <w:ind w:firstLine="420" w:firstLineChars="200"/>
        <w:rPr>
          <w:rFonts w:hint="eastAsia" w:ascii="仿宋" w:hAnsi="仿宋" w:eastAsia="仿宋" w:cs="仿宋"/>
          <w:highlight w:val="none"/>
        </w:rPr>
      </w:pPr>
    </w:p>
    <w:p>
      <w:pPr>
        <w:spacing w:line="360" w:lineRule="auto"/>
        <w:ind w:firstLine="420" w:firstLineChars="200"/>
        <w:rPr>
          <w:rFonts w:hint="eastAsia" w:ascii="仿宋" w:hAnsi="仿宋" w:eastAsia="仿宋" w:cs="仿宋"/>
          <w:highlight w:val="none"/>
        </w:rPr>
      </w:pPr>
    </w:p>
    <w:p>
      <w:pPr>
        <w:spacing w:line="360" w:lineRule="auto"/>
        <w:ind w:firstLine="420" w:firstLineChars="200"/>
        <w:rPr>
          <w:rFonts w:hint="eastAsia" w:ascii="仿宋" w:hAnsi="仿宋" w:eastAsia="仿宋" w:cs="仿宋"/>
          <w:highlight w:val="none"/>
        </w:rPr>
      </w:pPr>
    </w:p>
    <w:p>
      <w:pPr>
        <w:spacing w:line="360" w:lineRule="auto"/>
        <w:ind w:firstLine="420" w:firstLineChars="200"/>
        <w:rPr>
          <w:rFonts w:hint="eastAsia" w:ascii="仿宋" w:hAnsi="仿宋" w:eastAsia="仿宋" w:cs="仿宋"/>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r>
        <w:rPr>
          <w:rFonts w:hint="eastAsia" w:ascii="仿宋" w:hAnsi="仿宋" w:eastAsia="仿宋" w:cs="仿宋"/>
          <w:b/>
          <w:spacing w:val="6"/>
          <w:sz w:val="32"/>
          <w:szCs w:val="32"/>
          <w:highlight w:val="none"/>
        </w:rPr>
        <w:t>附件2：质疑函范本及制作说明</w:t>
      </w:r>
    </w:p>
    <w:p>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pPr>
        <w:spacing w:line="360" w:lineRule="auto"/>
        <w:jc w:val="center"/>
        <w:rPr>
          <w:rFonts w:hint="eastAsia" w:ascii="仿宋" w:hAnsi="仿宋" w:eastAsia="仿宋" w:cs="仿宋"/>
          <w:b/>
          <w:bCs/>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r>
        <w:rPr>
          <w:rFonts w:hint="eastAsia" w:ascii="仿宋" w:hAnsi="仿宋" w:eastAsia="仿宋" w:cs="仿宋"/>
          <w:b/>
          <w:spacing w:val="6"/>
          <w:sz w:val="32"/>
          <w:szCs w:val="32"/>
          <w:highlight w:val="none"/>
        </w:rPr>
        <w:t>附件3：投诉书范本及制作说明</w:t>
      </w:r>
    </w:p>
    <w:p>
      <w:pPr>
        <w:spacing w:line="360" w:lineRule="auto"/>
        <w:jc w:val="center"/>
        <w:rPr>
          <w:rFonts w:hint="eastAsia" w:ascii="仿宋" w:hAnsi="仿宋" w:eastAsia="仿宋" w:cs="仿宋"/>
          <w:b/>
          <w:sz w:val="24"/>
          <w:highlight w:val="none"/>
        </w:rPr>
      </w:pPr>
    </w:p>
    <w:p>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highlight w:val="none"/>
        </w:rPr>
      </w:pPr>
    </w:p>
    <w:p>
      <w:pPr>
        <w:autoSpaceDE w:val="0"/>
        <w:autoSpaceDN w:val="0"/>
        <w:jc w:val="center"/>
        <w:rPr>
          <w:rFonts w:hint="eastAsia" w:ascii="仿宋" w:hAnsi="仿宋" w:eastAsia="仿宋" w:cs="仿宋"/>
          <w:b/>
          <w:spacing w:val="6"/>
          <w:sz w:val="32"/>
          <w:szCs w:val="32"/>
          <w:highlight w:val="none"/>
        </w:rPr>
      </w:pPr>
    </w:p>
    <w:p>
      <w:pPr>
        <w:pStyle w:val="24"/>
        <w:rPr>
          <w:rFonts w:hint="eastAsia" w:ascii="仿宋" w:hAnsi="仿宋" w:eastAsia="仿宋" w:cs="仿宋"/>
          <w:highlight w:val="none"/>
          <w:lang w:val="en-US"/>
        </w:rPr>
      </w:pPr>
    </w:p>
    <w:p>
      <w:pPr>
        <w:pStyle w:val="25"/>
        <w:rPr>
          <w:rFonts w:hint="eastAsia" w:ascii="仿宋" w:hAnsi="仿宋" w:eastAsia="仿宋" w:cs="仿宋"/>
          <w:highlight w:val="none"/>
          <w:lang w:val="en-US"/>
        </w:rPr>
      </w:pPr>
    </w:p>
    <w:p>
      <w:pPr>
        <w:rPr>
          <w:rFonts w:hint="eastAsia" w:ascii="仿宋" w:hAnsi="仿宋" w:eastAsia="仿宋" w:cs="仿宋"/>
          <w:highlight w:val="none"/>
        </w:rPr>
      </w:pPr>
    </w:p>
    <w:p>
      <w:pPr>
        <w:autoSpaceDE w:val="0"/>
        <w:autoSpaceDN w:val="0"/>
        <w:jc w:val="center"/>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附件4：</w:t>
      </w:r>
      <w:r>
        <w:rPr>
          <w:rFonts w:hint="eastAsia" w:ascii="仿宋" w:hAnsi="仿宋" w:eastAsia="仿宋" w:cs="仿宋"/>
          <w:b/>
          <w:bCs/>
          <w:sz w:val="32"/>
          <w:szCs w:val="32"/>
          <w:highlight w:val="none"/>
        </w:rPr>
        <w:t>业务专用章使用说明函</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(投标人全称)是中华人民共和国依法登记注册的合法企业，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你方组织的（项目名称）项目【招标编号：（采购编号）】</w:t>
      </w:r>
      <w:r>
        <w:rPr>
          <w:rFonts w:hint="eastAsia" w:ascii="仿宋" w:hAnsi="仿宋" w:eastAsia="仿宋" w:cs="仿宋"/>
          <w:bCs/>
          <w:sz w:val="24"/>
          <w:highlight w:val="none"/>
        </w:rPr>
        <w:t>投标活动中作如下说明：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特此说明。</w:t>
      </w:r>
    </w:p>
    <w:p>
      <w:pPr>
        <w:spacing w:line="360" w:lineRule="auto"/>
        <w:ind w:firstLine="494"/>
        <w:rPr>
          <w:rFonts w:hint="eastAsia" w:ascii="仿宋" w:hAnsi="仿宋" w:eastAsia="仿宋" w:cs="仿宋"/>
          <w:sz w:val="24"/>
          <w:highlight w:val="none"/>
        </w:rPr>
      </w:pPr>
    </w:p>
    <w:p>
      <w:pPr>
        <w:spacing w:line="360" w:lineRule="auto"/>
        <w:ind w:firstLine="494"/>
        <w:rPr>
          <w:rFonts w:hint="eastAsia" w:ascii="仿宋" w:hAnsi="仿宋" w:eastAsia="仿宋" w:cs="仿宋"/>
          <w:sz w:val="24"/>
          <w:highlight w:val="none"/>
        </w:rPr>
      </w:pPr>
    </w:p>
    <w:p>
      <w:pPr>
        <w:spacing w:line="360" w:lineRule="auto"/>
        <w:ind w:firstLine="494"/>
        <w:rPr>
          <w:rFonts w:hint="eastAsia" w:ascii="仿宋" w:hAnsi="仿宋" w:eastAsia="仿宋" w:cs="仿宋"/>
          <w:sz w:val="24"/>
          <w:highlight w:val="none"/>
        </w:rPr>
      </w:pPr>
    </w:p>
    <w:p>
      <w:pPr>
        <w:spacing w:line="360" w:lineRule="auto"/>
        <w:ind w:firstLine="494"/>
        <w:rPr>
          <w:rFonts w:hint="eastAsia" w:ascii="仿宋" w:hAnsi="仿宋" w:eastAsia="仿宋" w:cs="仿宋"/>
          <w:sz w:val="24"/>
          <w:highlight w:val="none"/>
        </w:rPr>
      </w:pPr>
    </w:p>
    <w:p>
      <w:pPr>
        <w:spacing w:line="360" w:lineRule="auto"/>
        <w:ind w:right="480" w:firstLine="4080" w:firstLineChars="1700"/>
        <w:rPr>
          <w:rFonts w:hint="eastAsia" w:ascii="仿宋" w:hAnsi="仿宋" w:eastAsia="仿宋" w:cs="仿宋"/>
          <w:sz w:val="24"/>
          <w:highlight w:val="none"/>
        </w:rPr>
      </w:pPr>
      <w:r>
        <w:rPr>
          <w:rFonts w:hint="eastAsia" w:ascii="仿宋" w:hAnsi="仿宋" w:eastAsia="仿宋" w:cs="仿宋"/>
          <w:sz w:val="24"/>
          <w:highlight w:val="none"/>
        </w:rPr>
        <w:t>投标单位（法定名称章）：</w:t>
      </w:r>
    </w:p>
    <w:p>
      <w:pPr>
        <w:ind w:right="1440" w:firstLine="494"/>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pPr>
        <w:rPr>
          <w:rFonts w:hint="eastAsia" w:ascii="仿宋" w:hAnsi="仿宋" w:eastAsia="仿宋" w:cs="仿宋"/>
          <w:sz w:val="24"/>
          <w:highlight w:val="none"/>
        </w:rPr>
      </w:pPr>
      <w:r>
        <w:rPr>
          <w:rFonts w:hint="eastAsia" w:ascii="仿宋" w:hAnsi="仿宋" w:eastAsia="仿宋" w:cs="仿宋"/>
          <w:b/>
          <w:bCs/>
          <w:sz w:val="24"/>
          <w:highlight w:val="none"/>
        </w:rPr>
        <w:t>附：</w:t>
      </w:r>
    </w:p>
    <w:p>
      <w:pPr>
        <w:spacing w:line="360" w:lineRule="auto"/>
        <w:rPr>
          <w:rFonts w:hint="eastAsia" w:ascii="仿宋" w:hAnsi="仿宋" w:eastAsia="仿宋" w:cs="仿宋"/>
          <w:bCs/>
          <w:sz w:val="24"/>
          <w:highlight w:val="none"/>
        </w:rPr>
      </w:pPr>
      <w:r>
        <w:rPr>
          <w:rFonts w:hint="eastAsia" w:ascii="仿宋" w:hAnsi="仿宋" w:eastAsia="仿宋" w:cs="仿宋"/>
          <w:b/>
          <w:bCs/>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b/>
          <w:bCs/>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sz w:val="24"/>
          <w:highlight w:val="none"/>
        </w:rPr>
        <w:t>投标单位法定名称章（印模）                投标单位“XX专用章”（印模）</w:t>
      </w: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附件5：</w:t>
      </w:r>
      <w:r>
        <w:rPr>
          <w:rFonts w:hint="eastAsia" w:ascii="仿宋" w:hAnsi="仿宋" w:eastAsia="仿宋" w:cs="仿宋"/>
          <w:b/>
          <w:sz w:val="32"/>
          <w:szCs w:val="32"/>
          <w:highlight w:val="none"/>
        </w:rPr>
        <w:t>中小企业声明函</w:t>
      </w:r>
    </w:p>
    <w:p>
      <w:pPr>
        <w:spacing w:line="360" w:lineRule="auto"/>
        <w:jc w:val="center"/>
        <w:rPr>
          <w:rFonts w:hint="eastAsia" w:ascii="仿宋" w:hAnsi="仿宋" w:eastAsia="仿宋" w:cs="仿宋"/>
          <w:sz w:val="24"/>
          <w:highlight w:val="none"/>
          <w:u w:val="single"/>
        </w:rPr>
      </w:pPr>
    </w:p>
    <w:p>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中小企业声明函（货物）</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投标人名称(电子签名)：</w:t>
      </w:r>
    </w:p>
    <w:p>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pPr>
        <w:spacing w:line="360" w:lineRule="auto"/>
        <w:jc w:val="left"/>
        <w:rPr>
          <w:rFonts w:hint="eastAsia" w:ascii="仿宋" w:hAnsi="仿宋" w:eastAsia="仿宋" w:cs="仿宋"/>
          <w:sz w:val="18"/>
          <w:szCs w:val="18"/>
          <w:highlight w:val="none"/>
        </w:rPr>
      </w:pPr>
      <w:r>
        <w:rPr>
          <w:rFonts w:hint="eastAsia" w:ascii="仿宋" w:hAnsi="仿宋" w:eastAsia="仿宋" w:cs="仿宋"/>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sz w:val="24"/>
          <w:highlight w:val="none"/>
        </w:rPr>
      </w:pPr>
      <w:r>
        <w:rPr>
          <w:rFonts w:hint="eastAsia" w:ascii="仿宋" w:hAnsi="仿宋" w:eastAsia="仿宋" w:cs="仿宋"/>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sz w:val="32"/>
          <w:szCs w:val="32"/>
          <w:highlight w:val="none"/>
        </w:rPr>
      </w:pPr>
    </w:p>
    <w:p>
      <w:pPr>
        <w:spacing w:line="360" w:lineRule="auto"/>
        <w:jc w:val="center"/>
        <w:rPr>
          <w:rFonts w:hint="eastAsia" w:ascii="仿宋" w:hAnsi="仿宋" w:eastAsia="仿宋" w:cs="仿宋"/>
          <w:b/>
          <w:sz w:val="32"/>
          <w:szCs w:val="32"/>
          <w:highlight w:val="none"/>
        </w:rPr>
      </w:pPr>
    </w:p>
    <w:p>
      <w:pPr>
        <w:spacing w:line="360" w:lineRule="auto"/>
        <w:jc w:val="center"/>
        <w:rPr>
          <w:rFonts w:hint="eastAsia" w:ascii="仿宋" w:hAnsi="仿宋" w:eastAsia="仿宋" w:cs="仿宋"/>
          <w:b/>
          <w:sz w:val="32"/>
          <w:szCs w:val="32"/>
          <w:highlight w:val="none"/>
        </w:rPr>
      </w:pPr>
    </w:p>
    <w:p>
      <w:pPr>
        <w:spacing w:line="360" w:lineRule="auto"/>
        <w:jc w:val="center"/>
        <w:rPr>
          <w:rFonts w:hint="eastAsia" w:ascii="仿宋" w:hAnsi="仿宋" w:eastAsia="仿宋" w:cs="仿宋"/>
          <w:b/>
          <w:sz w:val="32"/>
          <w:szCs w:val="32"/>
          <w:highlight w:val="none"/>
        </w:rPr>
      </w:pPr>
    </w:p>
    <w:p>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中小企业声明函（工程、服务）</w:t>
      </w:r>
    </w:p>
    <w:p>
      <w:pPr>
        <w:spacing w:line="360" w:lineRule="auto"/>
        <w:rPr>
          <w:rFonts w:hint="eastAsia" w:ascii="仿宋" w:hAnsi="仿宋" w:eastAsia="仿宋" w:cs="仿宋"/>
          <w:highlight w:val="none"/>
        </w:rPr>
      </w:pPr>
    </w:p>
    <w:p>
      <w:pPr>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 xml:space="preserve"> ；承建（承接）企业为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 xml:space="preserve"> ；承建（承接）企业为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sz w:val="24"/>
          <w:highlight w:val="none"/>
        </w:rPr>
      </w:pPr>
      <w:r>
        <w:rPr>
          <w:rFonts w:hint="eastAsia" w:ascii="仿宋" w:hAnsi="仿宋" w:eastAsia="仿宋" w:cs="仿宋"/>
          <w:sz w:val="24"/>
          <w:highlight w:val="none"/>
        </w:rPr>
        <w:t>投标人名称（电子签名）：</w:t>
      </w:r>
    </w:p>
    <w:p>
      <w:pPr>
        <w:spacing w:line="360" w:lineRule="auto"/>
        <w:ind w:right="1120" w:firstLine="4680" w:firstLineChars="1950"/>
        <w:rPr>
          <w:rFonts w:hint="eastAsia" w:ascii="仿宋" w:hAnsi="仿宋" w:eastAsia="仿宋" w:cs="仿宋"/>
          <w:sz w:val="24"/>
          <w:highlight w:val="none"/>
        </w:rPr>
      </w:pPr>
      <w:r>
        <w:rPr>
          <w:rFonts w:hint="eastAsia" w:ascii="仿宋" w:hAnsi="仿宋" w:eastAsia="仿宋" w:cs="仿宋"/>
          <w:sz w:val="24"/>
          <w:highlight w:val="none"/>
        </w:rPr>
        <w:t>日 期：</w:t>
      </w:r>
    </w:p>
    <w:p>
      <w:pPr>
        <w:spacing w:line="360" w:lineRule="auto"/>
        <w:ind w:firstLine="310" w:firstLineChars="147"/>
        <w:jc w:val="left"/>
        <w:rPr>
          <w:rFonts w:hint="eastAsia" w:ascii="仿宋" w:hAnsi="仿宋" w:eastAsia="仿宋" w:cs="仿宋"/>
          <w:b/>
          <w:szCs w:val="21"/>
          <w:highlight w:val="none"/>
        </w:rPr>
      </w:pPr>
      <w:r>
        <w:rPr>
          <w:rFonts w:hint="eastAsia" w:ascii="仿宋" w:hAnsi="仿宋" w:eastAsia="仿宋" w:cs="仿宋"/>
          <w:b/>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sz w:val="24"/>
          <w:highlight w:val="none"/>
        </w:rPr>
      </w:pPr>
    </w:p>
    <w:p>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hint="eastAsia" w:ascii="仿宋" w:hAnsi="仿宋" w:eastAsia="仿宋" w:cs="仿宋"/>
          <w:highlight w:val="none"/>
          <w:lang w:val="en-US"/>
        </w:rPr>
      </w:pPr>
    </w:p>
    <w:p>
      <w:pPr>
        <w:spacing w:line="360" w:lineRule="auto"/>
        <w:ind w:right="420"/>
        <w:rPr>
          <w:rFonts w:hint="eastAsia" w:ascii="仿宋" w:hAnsi="仿宋" w:eastAsia="仿宋" w:cs="仿宋"/>
          <w:highlight w:val="none"/>
        </w:rPr>
      </w:pPr>
    </w:p>
    <w:p>
      <w:pPr>
        <w:spacing w:line="360" w:lineRule="auto"/>
        <w:rPr>
          <w:rFonts w:ascii="仿宋" w:hAnsi="仿宋" w:eastAsia="仿宋"/>
          <w:bCs/>
          <w:color w:val="auto"/>
          <w:sz w:val="24"/>
          <w:highlight w:val="none"/>
        </w:rPr>
      </w:pPr>
    </w:p>
    <w:sectPr>
      <w:headerReference r:id="rId25" w:type="first"/>
      <w:footerReference r:id="rId27" w:type="first"/>
      <w:headerReference r:id="rId24" w:type="default"/>
      <w:footerReference r:id="rId26"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Courier New"/>
    <w:panose1 w:val="00000000000000000000"/>
    <w:charset w:val="00"/>
    <w:family w:val="auto"/>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Aldine401 BT">
    <w:altName w:val="Courier New"/>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Times New Roman"/>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06F" w:usb1="1200FBEF" w:usb2="0064C000" w:usb3="00000002" w:csb0="00000001" w:csb1="4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11" w:name="_Toc131845147"/>
    <w:bookmarkStart w:id="512" w:name="_Toc91899912"/>
    <w:bookmarkStart w:id="513" w:name="_Toc36110187"/>
    <w:bookmarkStart w:id="514" w:name="_Toc164085800"/>
    <w:r>
      <w:rPr>
        <w:rFonts w:hint="eastAsia" w:ascii="仿宋_GB2312" w:eastAsia="仿宋_GB2312"/>
        <w:kern w:val="0"/>
        <w:szCs w:val="21"/>
      </w:rPr>
      <w:t xml:space="preserve"> 页</w:t>
    </w:r>
    <w:bookmarkEnd w:id="511"/>
    <w:bookmarkEnd w:id="512"/>
    <w:bookmarkEnd w:id="513"/>
    <w:bookmarkEnd w:id="5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3"/>
      </w:rPr>
    </w:pPr>
    <w:r>
      <w:fldChar w:fldCharType="begin"/>
    </w:r>
    <w:r>
      <w:rPr>
        <w:rStyle w:val="73"/>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1"/>
      </w:pBdr>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1"/>
      </w:pBdr>
    </w:pPr>
    <w:r>
      <w:t></w:t>
    </w:r>
    <w:r>
      <w:rPr>
        <w:rFonts w:hint="eastAsia"/>
      </w:rPr>
      <w:t xml:space="preserve">         </w:t>
    </w:r>
  </w:p>
  <w:p>
    <w:pPr>
      <w:pStyle w:val="44"/>
      <w:pBdr>
        <w:bottom w:val="none" w:color="auto" w:sz="0" w:space="1"/>
      </w:pBdr>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1"/>
      </w:pBdr>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1">
    <w:nsid w:val="D9EC99C5"/>
    <w:multiLevelType w:val="singleLevel"/>
    <w:tmpl w:val="D9EC99C5"/>
    <w:lvl w:ilvl="0" w:tentative="0">
      <w:start w:val="1"/>
      <w:numFmt w:val="decimal"/>
      <w:lvlText w:val="(%1)"/>
      <w:lvlJc w:val="left"/>
      <w:pPr>
        <w:ind w:left="425" w:hanging="425"/>
      </w:pPr>
      <w:rPr>
        <w:rFonts w:hint="default"/>
      </w:rPr>
    </w:lvl>
  </w:abstractNum>
  <w:abstractNum w:abstractNumId="2">
    <w:nsid w:val="169A5F74"/>
    <w:multiLevelType w:val="singleLevel"/>
    <w:tmpl w:val="169A5F74"/>
    <w:lvl w:ilvl="0" w:tentative="0">
      <w:start w:val="3"/>
      <w:numFmt w:val="decimal"/>
      <w:lvlText w:val="%1."/>
      <w:lvlJc w:val="left"/>
      <w:pPr>
        <w:tabs>
          <w:tab w:val="left" w:pos="312"/>
        </w:tabs>
        <w:ind w:left="480" w:firstLine="0"/>
      </w:pPr>
    </w:lvl>
  </w:abstractNum>
  <w:abstractNum w:abstractNumId="3">
    <w:nsid w:val="66F2E371"/>
    <w:multiLevelType w:val="singleLevel"/>
    <w:tmpl w:val="66F2E371"/>
    <w:lvl w:ilvl="0" w:tentative="0">
      <w:start w:val="7"/>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3MzMzM2M4NDNjM2RkNzE1OWE0NTE1MjgwZTIwNG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4DE7"/>
    <w:rsid w:val="000150EE"/>
    <w:rsid w:val="000168D8"/>
    <w:rsid w:val="000170C8"/>
    <w:rsid w:val="000173F4"/>
    <w:rsid w:val="00017A1E"/>
    <w:rsid w:val="00020287"/>
    <w:rsid w:val="000202FE"/>
    <w:rsid w:val="00020B5F"/>
    <w:rsid w:val="000211BC"/>
    <w:rsid w:val="0002207B"/>
    <w:rsid w:val="00022FB3"/>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7BD"/>
    <w:rsid w:val="00034FA7"/>
    <w:rsid w:val="0003533D"/>
    <w:rsid w:val="000357E4"/>
    <w:rsid w:val="00035980"/>
    <w:rsid w:val="00035ACA"/>
    <w:rsid w:val="00035B43"/>
    <w:rsid w:val="00037BB7"/>
    <w:rsid w:val="00040447"/>
    <w:rsid w:val="00040494"/>
    <w:rsid w:val="00040B70"/>
    <w:rsid w:val="00042441"/>
    <w:rsid w:val="00042533"/>
    <w:rsid w:val="00042DBB"/>
    <w:rsid w:val="00042E65"/>
    <w:rsid w:val="0004342A"/>
    <w:rsid w:val="0004347C"/>
    <w:rsid w:val="00043907"/>
    <w:rsid w:val="00044F48"/>
    <w:rsid w:val="00046901"/>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AD5"/>
    <w:rsid w:val="00067821"/>
    <w:rsid w:val="0006785E"/>
    <w:rsid w:val="00067F92"/>
    <w:rsid w:val="00067FA7"/>
    <w:rsid w:val="0007038E"/>
    <w:rsid w:val="0007077C"/>
    <w:rsid w:val="00070825"/>
    <w:rsid w:val="00071CD8"/>
    <w:rsid w:val="00071DB2"/>
    <w:rsid w:val="0007253C"/>
    <w:rsid w:val="00072AED"/>
    <w:rsid w:val="00072B56"/>
    <w:rsid w:val="00072D2B"/>
    <w:rsid w:val="00072D51"/>
    <w:rsid w:val="000730B1"/>
    <w:rsid w:val="00073860"/>
    <w:rsid w:val="000738EA"/>
    <w:rsid w:val="00074078"/>
    <w:rsid w:val="00074485"/>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187"/>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232"/>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639"/>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4CA0"/>
    <w:rsid w:val="000C51AD"/>
    <w:rsid w:val="000C5374"/>
    <w:rsid w:val="000C5EC0"/>
    <w:rsid w:val="000C6162"/>
    <w:rsid w:val="000C64CC"/>
    <w:rsid w:val="000C6688"/>
    <w:rsid w:val="000C692E"/>
    <w:rsid w:val="000C6B28"/>
    <w:rsid w:val="000C7BEB"/>
    <w:rsid w:val="000D0124"/>
    <w:rsid w:val="000D08F8"/>
    <w:rsid w:val="000D11E5"/>
    <w:rsid w:val="000D19E8"/>
    <w:rsid w:val="000D1FA1"/>
    <w:rsid w:val="000D23C9"/>
    <w:rsid w:val="000D2834"/>
    <w:rsid w:val="000D2CAC"/>
    <w:rsid w:val="000D34C8"/>
    <w:rsid w:val="000D34FD"/>
    <w:rsid w:val="000D3BE5"/>
    <w:rsid w:val="000D3C37"/>
    <w:rsid w:val="000D453A"/>
    <w:rsid w:val="000D4AFA"/>
    <w:rsid w:val="000D5EA6"/>
    <w:rsid w:val="000D5F00"/>
    <w:rsid w:val="000D6C9F"/>
    <w:rsid w:val="000D6E3B"/>
    <w:rsid w:val="000D6F30"/>
    <w:rsid w:val="000D7077"/>
    <w:rsid w:val="000D74E4"/>
    <w:rsid w:val="000D7C9D"/>
    <w:rsid w:val="000D7CE0"/>
    <w:rsid w:val="000E2785"/>
    <w:rsid w:val="000E27BB"/>
    <w:rsid w:val="000E3153"/>
    <w:rsid w:val="000E3484"/>
    <w:rsid w:val="000E386F"/>
    <w:rsid w:val="000E4051"/>
    <w:rsid w:val="000E4139"/>
    <w:rsid w:val="000E4765"/>
    <w:rsid w:val="000E5B7E"/>
    <w:rsid w:val="000E5FF9"/>
    <w:rsid w:val="000E67D9"/>
    <w:rsid w:val="000E6AE1"/>
    <w:rsid w:val="000E7142"/>
    <w:rsid w:val="000E7632"/>
    <w:rsid w:val="000E7737"/>
    <w:rsid w:val="000E7739"/>
    <w:rsid w:val="000E77EE"/>
    <w:rsid w:val="000F1604"/>
    <w:rsid w:val="000F287A"/>
    <w:rsid w:val="000F2940"/>
    <w:rsid w:val="000F2AB3"/>
    <w:rsid w:val="000F3C29"/>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9EF"/>
    <w:rsid w:val="00133B70"/>
    <w:rsid w:val="00133E97"/>
    <w:rsid w:val="001350F7"/>
    <w:rsid w:val="00135769"/>
    <w:rsid w:val="00135BE9"/>
    <w:rsid w:val="00135E5C"/>
    <w:rsid w:val="00136762"/>
    <w:rsid w:val="00136847"/>
    <w:rsid w:val="00136E33"/>
    <w:rsid w:val="001374D1"/>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44F"/>
    <w:rsid w:val="00147032"/>
    <w:rsid w:val="00147EA7"/>
    <w:rsid w:val="00151820"/>
    <w:rsid w:val="00151B2F"/>
    <w:rsid w:val="001524DC"/>
    <w:rsid w:val="001525E5"/>
    <w:rsid w:val="00153859"/>
    <w:rsid w:val="00153915"/>
    <w:rsid w:val="001539F0"/>
    <w:rsid w:val="00153C3F"/>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1A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13B"/>
    <w:rsid w:val="00184466"/>
    <w:rsid w:val="00184DBF"/>
    <w:rsid w:val="001850D2"/>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24F"/>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09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3DC3"/>
    <w:rsid w:val="00224037"/>
    <w:rsid w:val="002244E4"/>
    <w:rsid w:val="00224D2A"/>
    <w:rsid w:val="00224D8D"/>
    <w:rsid w:val="0022555A"/>
    <w:rsid w:val="00225B52"/>
    <w:rsid w:val="00226EBE"/>
    <w:rsid w:val="00227214"/>
    <w:rsid w:val="00227BE1"/>
    <w:rsid w:val="00227DDC"/>
    <w:rsid w:val="0023079F"/>
    <w:rsid w:val="00231135"/>
    <w:rsid w:val="00231B0B"/>
    <w:rsid w:val="00232555"/>
    <w:rsid w:val="00233538"/>
    <w:rsid w:val="00234248"/>
    <w:rsid w:val="0023449F"/>
    <w:rsid w:val="002344F5"/>
    <w:rsid w:val="0023454D"/>
    <w:rsid w:val="00234679"/>
    <w:rsid w:val="00234AFA"/>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DBE"/>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44F7"/>
    <w:rsid w:val="002855FC"/>
    <w:rsid w:val="0028583E"/>
    <w:rsid w:val="00285853"/>
    <w:rsid w:val="00285B1A"/>
    <w:rsid w:val="00285F3F"/>
    <w:rsid w:val="00285FF3"/>
    <w:rsid w:val="002866EC"/>
    <w:rsid w:val="0028744E"/>
    <w:rsid w:val="002876D2"/>
    <w:rsid w:val="00287936"/>
    <w:rsid w:val="00287BB7"/>
    <w:rsid w:val="002903C5"/>
    <w:rsid w:val="0029041B"/>
    <w:rsid w:val="00290A99"/>
    <w:rsid w:val="00290EAF"/>
    <w:rsid w:val="0029159A"/>
    <w:rsid w:val="00291CF1"/>
    <w:rsid w:val="00292AA1"/>
    <w:rsid w:val="00293871"/>
    <w:rsid w:val="00294012"/>
    <w:rsid w:val="002944E7"/>
    <w:rsid w:val="002945B0"/>
    <w:rsid w:val="0029499D"/>
    <w:rsid w:val="00294A13"/>
    <w:rsid w:val="00294B10"/>
    <w:rsid w:val="00294DF9"/>
    <w:rsid w:val="00295073"/>
    <w:rsid w:val="0029540C"/>
    <w:rsid w:val="00295468"/>
    <w:rsid w:val="00296C32"/>
    <w:rsid w:val="002977CE"/>
    <w:rsid w:val="00297AF5"/>
    <w:rsid w:val="002A02D6"/>
    <w:rsid w:val="002A07C4"/>
    <w:rsid w:val="002A0921"/>
    <w:rsid w:val="002A0B04"/>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0E"/>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024"/>
    <w:rsid w:val="00301B6A"/>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07A"/>
    <w:rsid w:val="00315313"/>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37A"/>
    <w:rsid w:val="00332862"/>
    <w:rsid w:val="00332D52"/>
    <w:rsid w:val="00333337"/>
    <w:rsid w:val="00333A28"/>
    <w:rsid w:val="00333B6C"/>
    <w:rsid w:val="00334927"/>
    <w:rsid w:val="003360AD"/>
    <w:rsid w:val="0033631D"/>
    <w:rsid w:val="003369C7"/>
    <w:rsid w:val="00336AB3"/>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2B8"/>
    <w:rsid w:val="0035455F"/>
    <w:rsid w:val="00355D75"/>
    <w:rsid w:val="00355D8F"/>
    <w:rsid w:val="00356A73"/>
    <w:rsid w:val="00356FF0"/>
    <w:rsid w:val="003577EF"/>
    <w:rsid w:val="00357A60"/>
    <w:rsid w:val="00360304"/>
    <w:rsid w:val="00360A78"/>
    <w:rsid w:val="00361750"/>
    <w:rsid w:val="00363894"/>
    <w:rsid w:val="00363A40"/>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5FBF"/>
    <w:rsid w:val="0038637D"/>
    <w:rsid w:val="003865C3"/>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914"/>
    <w:rsid w:val="003A0F6B"/>
    <w:rsid w:val="003A12B6"/>
    <w:rsid w:val="003A1C44"/>
    <w:rsid w:val="003A20D5"/>
    <w:rsid w:val="003A24CC"/>
    <w:rsid w:val="003A2512"/>
    <w:rsid w:val="003A2A53"/>
    <w:rsid w:val="003A2EE8"/>
    <w:rsid w:val="003A373C"/>
    <w:rsid w:val="003A5378"/>
    <w:rsid w:val="003A553C"/>
    <w:rsid w:val="003A56DF"/>
    <w:rsid w:val="003A58F8"/>
    <w:rsid w:val="003A6008"/>
    <w:rsid w:val="003A703F"/>
    <w:rsid w:val="003A7E2B"/>
    <w:rsid w:val="003A7E40"/>
    <w:rsid w:val="003B0336"/>
    <w:rsid w:val="003B0A3A"/>
    <w:rsid w:val="003B0D79"/>
    <w:rsid w:val="003B2930"/>
    <w:rsid w:val="003B31A7"/>
    <w:rsid w:val="003B4587"/>
    <w:rsid w:val="003B4B51"/>
    <w:rsid w:val="003B4D88"/>
    <w:rsid w:val="003B4FE1"/>
    <w:rsid w:val="003B514E"/>
    <w:rsid w:val="003B5531"/>
    <w:rsid w:val="003B6238"/>
    <w:rsid w:val="003B636A"/>
    <w:rsid w:val="003B69CE"/>
    <w:rsid w:val="003B7403"/>
    <w:rsid w:val="003C011C"/>
    <w:rsid w:val="003C0DAB"/>
    <w:rsid w:val="003C0E32"/>
    <w:rsid w:val="003C11D7"/>
    <w:rsid w:val="003C16CB"/>
    <w:rsid w:val="003C1B97"/>
    <w:rsid w:val="003C247B"/>
    <w:rsid w:val="003C2945"/>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164"/>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2E2F"/>
    <w:rsid w:val="003F42FF"/>
    <w:rsid w:val="003F4747"/>
    <w:rsid w:val="003F4B48"/>
    <w:rsid w:val="003F4DDC"/>
    <w:rsid w:val="003F56B8"/>
    <w:rsid w:val="003F5F1A"/>
    <w:rsid w:val="003F6327"/>
    <w:rsid w:val="003F7425"/>
    <w:rsid w:val="003F765B"/>
    <w:rsid w:val="003F7CB8"/>
    <w:rsid w:val="00400CB4"/>
    <w:rsid w:val="00401386"/>
    <w:rsid w:val="004013E6"/>
    <w:rsid w:val="00401E31"/>
    <w:rsid w:val="0040234D"/>
    <w:rsid w:val="00402BBA"/>
    <w:rsid w:val="00403250"/>
    <w:rsid w:val="004035D0"/>
    <w:rsid w:val="0040361D"/>
    <w:rsid w:val="00403795"/>
    <w:rsid w:val="004041FB"/>
    <w:rsid w:val="0040443E"/>
    <w:rsid w:val="004056B6"/>
    <w:rsid w:val="00405764"/>
    <w:rsid w:val="00405946"/>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359"/>
    <w:rsid w:val="00414909"/>
    <w:rsid w:val="00415034"/>
    <w:rsid w:val="00415B1A"/>
    <w:rsid w:val="00415DFD"/>
    <w:rsid w:val="00415F81"/>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3DCD"/>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24A"/>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014"/>
    <w:rsid w:val="004614BC"/>
    <w:rsid w:val="004619A5"/>
    <w:rsid w:val="00461F80"/>
    <w:rsid w:val="0046240D"/>
    <w:rsid w:val="00462898"/>
    <w:rsid w:val="00462D84"/>
    <w:rsid w:val="00463208"/>
    <w:rsid w:val="00463576"/>
    <w:rsid w:val="004636D6"/>
    <w:rsid w:val="0046399D"/>
    <w:rsid w:val="00463EA4"/>
    <w:rsid w:val="00464F16"/>
    <w:rsid w:val="00465A21"/>
    <w:rsid w:val="00465DE5"/>
    <w:rsid w:val="00466978"/>
    <w:rsid w:val="00466ABA"/>
    <w:rsid w:val="004672E3"/>
    <w:rsid w:val="0046775D"/>
    <w:rsid w:val="00467823"/>
    <w:rsid w:val="004705FA"/>
    <w:rsid w:val="004708AC"/>
    <w:rsid w:val="00471387"/>
    <w:rsid w:val="0047146C"/>
    <w:rsid w:val="0047149F"/>
    <w:rsid w:val="00471963"/>
    <w:rsid w:val="0047205C"/>
    <w:rsid w:val="004724B8"/>
    <w:rsid w:val="004728FB"/>
    <w:rsid w:val="00472952"/>
    <w:rsid w:val="004729AD"/>
    <w:rsid w:val="00472CA7"/>
    <w:rsid w:val="00472CEC"/>
    <w:rsid w:val="00473308"/>
    <w:rsid w:val="0047377C"/>
    <w:rsid w:val="0047471E"/>
    <w:rsid w:val="004749DA"/>
    <w:rsid w:val="00474DEF"/>
    <w:rsid w:val="004750E3"/>
    <w:rsid w:val="00475729"/>
    <w:rsid w:val="004758E7"/>
    <w:rsid w:val="00475BAB"/>
    <w:rsid w:val="004764C6"/>
    <w:rsid w:val="00476AC1"/>
    <w:rsid w:val="00476B16"/>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2BA0"/>
    <w:rsid w:val="0049333E"/>
    <w:rsid w:val="0049418F"/>
    <w:rsid w:val="0049570D"/>
    <w:rsid w:val="00495C48"/>
    <w:rsid w:val="00495DC6"/>
    <w:rsid w:val="00496CCE"/>
    <w:rsid w:val="00496D2D"/>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C33"/>
    <w:rsid w:val="004B026C"/>
    <w:rsid w:val="004B0271"/>
    <w:rsid w:val="004B0BE8"/>
    <w:rsid w:val="004B0E4A"/>
    <w:rsid w:val="004B18AB"/>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C18"/>
    <w:rsid w:val="004C5F4B"/>
    <w:rsid w:val="004C612E"/>
    <w:rsid w:val="004C61B8"/>
    <w:rsid w:val="004C69FE"/>
    <w:rsid w:val="004C6C0A"/>
    <w:rsid w:val="004C6C6D"/>
    <w:rsid w:val="004C77FF"/>
    <w:rsid w:val="004C7DB0"/>
    <w:rsid w:val="004C7FFC"/>
    <w:rsid w:val="004D0223"/>
    <w:rsid w:val="004D0C4C"/>
    <w:rsid w:val="004D16A3"/>
    <w:rsid w:val="004D16C1"/>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353"/>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2FB"/>
    <w:rsid w:val="004F2491"/>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0E6A"/>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7BA"/>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693B"/>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779"/>
    <w:rsid w:val="00563B3C"/>
    <w:rsid w:val="0056419C"/>
    <w:rsid w:val="00564DA7"/>
    <w:rsid w:val="00565204"/>
    <w:rsid w:val="00565473"/>
    <w:rsid w:val="00565DAC"/>
    <w:rsid w:val="00565F0D"/>
    <w:rsid w:val="005662DC"/>
    <w:rsid w:val="00566329"/>
    <w:rsid w:val="005668B9"/>
    <w:rsid w:val="00566E39"/>
    <w:rsid w:val="0056704E"/>
    <w:rsid w:val="00567623"/>
    <w:rsid w:val="00567839"/>
    <w:rsid w:val="005701C2"/>
    <w:rsid w:val="00570763"/>
    <w:rsid w:val="0057200B"/>
    <w:rsid w:val="00572297"/>
    <w:rsid w:val="0057345D"/>
    <w:rsid w:val="0057347D"/>
    <w:rsid w:val="00573560"/>
    <w:rsid w:val="00573CE6"/>
    <w:rsid w:val="00574681"/>
    <w:rsid w:val="00574E7B"/>
    <w:rsid w:val="00574F36"/>
    <w:rsid w:val="00576B5C"/>
    <w:rsid w:val="005770CC"/>
    <w:rsid w:val="00577F6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F0B"/>
    <w:rsid w:val="005A7016"/>
    <w:rsid w:val="005A7A32"/>
    <w:rsid w:val="005A7F85"/>
    <w:rsid w:val="005B00DD"/>
    <w:rsid w:val="005B03B1"/>
    <w:rsid w:val="005B07D5"/>
    <w:rsid w:val="005B1A8A"/>
    <w:rsid w:val="005B1AAB"/>
    <w:rsid w:val="005B2203"/>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9E0"/>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976"/>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63B"/>
    <w:rsid w:val="005F680A"/>
    <w:rsid w:val="005F6880"/>
    <w:rsid w:val="005F6B3E"/>
    <w:rsid w:val="005F6B75"/>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277"/>
    <w:rsid w:val="00637F27"/>
    <w:rsid w:val="006405EC"/>
    <w:rsid w:val="00640A4D"/>
    <w:rsid w:val="00640ACF"/>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06D"/>
    <w:rsid w:val="0065343E"/>
    <w:rsid w:val="006536BB"/>
    <w:rsid w:val="0065398F"/>
    <w:rsid w:val="00653C7C"/>
    <w:rsid w:val="00654252"/>
    <w:rsid w:val="006543B7"/>
    <w:rsid w:val="00654EA5"/>
    <w:rsid w:val="0065587E"/>
    <w:rsid w:val="006558CD"/>
    <w:rsid w:val="00655C26"/>
    <w:rsid w:val="0065637A"/>
    <w:rsid w:val="006564C5"/>
    <w:rsid w:val="00656687"/>
    <w:rsid w:val="00656998"/>
    <w:rsid w:val="00656E4D"/>
    <w:rsid w:val="006575DF"/>
    <w:rsid w:val="006576BA"/>
    <w:rsid w:val="00657CBB"/>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D3A"/>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4A41"/>
    <w:rsid w:val="00684E3A"/>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131"/>
    <w:rsid w:val="006B33DB"/>
    <w:rsid w:val="006B3669"/>
    <w:rsid w:val="006B36E5"/>
    <w:rsid w:val="006B3C07"/>
    <w:rsid w:val="006B3D00"/>
    <w:rsid w:val="006B4CF8"/>
    <w:rsid w:val="006B506B"/>
    <w:rsid w:val="006B54E8"/>
    <w:rsid w:val="006B5FBC"/>
    <w:rsid w:val="006B6ED2"/>
    <w:rsid w:val="006B7F74"/>
    <w:rsid w:val="006C0230"/>
    <w:rsid w:val="006C05C7"/>
    <w:rsid w:val="006C25AB"/>
    <w:rsid w:val="006C2DA6"/>
    <w:rsid w:val="006C34A1"/>
    <w:rsid w:val="006C3581"/>
    <w:rsid w:val="006C39A0"/>
    <w:rsid w:val="006C3EFE"/>
    <w:rsid w:val="006C4282"/>
    <w:rsid w:val="006C46C7"/>
    <w:rsid w:val="006C4767"/>
    <w:rsid w:val="006C4A1A"/>
    <w:rsid w:val="006C4D02"/>
    <w:rsid w:val="006C53A4"/>
    <w:rsid w:val="006C54DF"/>
    <w:rsid w:val="006C5D5D"/>
    <w:rsid w:val="006C627E"/>
    <w:rsid w:val="006C6303"/>
    <w:rsid w:val="006C6A51"/>
    <w:rsid w:val="006C6EBD"/>
    <w:rsid w:val="006C7581"/>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81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3E99"/>
    <w:rsid w:val="0072454E"/>
    <w:rsid w:val="007249D1"/>
    <w:rsid w:val="00724D5D"/>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0495"/>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69"/>
    <w:rsid w:val="00751CE5"/>
    <w:rsid w:val="00752188"/>
    <w:rsid w:val="00752CC6"/>
    <w:rsid w:val="00753938"/>
    <w:rsid w:val="00753A57"/>
    <w:rsid w:val="007543CE"/>
    <w:rsid w:val="0075497E"/>
    <w:rsid w:val="00754A29"/>
    <w:rsid w:val="00754AB8"/>
    <w:rsid w:val="00755B6F"/>
    <w:rsid w:val="00755BCF"/>
    <w:rsid w:val="00756C5F"/>
    <w:rsid w:val="00756D69"/>
    <w:rsid w:val="00757029"/>
    <w:rsid w:val="007571FD"/>
    <w:rsid w:val="0075723D"/>
    <w:rsid w:val="007602D4"/>
    <w:rsid w:val="00760D96"/>
    <w:rsid w:val="0076121E"/>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3A9"/>
    <w:rsid w:val="00773098"/>
    <w:rsid w:val="007739A3"/>
    <w:rsid w:val="00773BD9"/>
    <w:rsid w:val="00773CB0"/>
    <w:rsid w:val="00773D71"/>
    <w:rsid w:val="00775526"/>
    <w:rsid w:val="007755F9"/>
    <w:rsid w:val="00775651"/>
    <w:rsid w:val="00775F3F"/>
    <w:rsid w:val="0077710B"/>
    <w:rsid w:val="0077765A"/>
    <w:rsid w:val="00780032"/>
    <w:rsid w:val="00780636"/>
    <w:rsid w:val="00780E86"/>
    <w:rsid w:val="0078108C"/>
    <w:rsid w:val="00781727"/>
    <w:rsid w:val="007823E8"/>
    <w:rsid w:val="00782CF3"/>
    <w:rsid w:val="007838BA"/>
    <w:rsid w:val="00783959"/>
    <w:rsid w:val="00783BA5"/>
    <w:rsid w:val="007844A9"/>
    <w:rsid w:val="00785091"/>
    <w:rsid w:val="0078638C"/>
    <w:rsid w:val="0078643C"/>
    <w:rsid w:val="007869F9"/>
    <w:rsid w:val="00786CBB"/>
    <w:rsid w:val="00786E21"/>
    <w:rsid w:val="0079038E"/>
    <w:rsid w:val="00790EBB"/>
    <w:rsid w:val="00791B01"/>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CAB"/>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3A1A"/>
    <w:rsid w:val="007E41A4"/>
    <w:rsid w:val="007E43E3"/>
    <w:rsid w:val="007E54B8"/>
    <w:rsid w:val="007E5D12"/>
    <w:rsid w:val="007E6420"/>
    <w:rsid w:val="007E677F"/>
    <w:rsid w:val="007E6B25"/>
    <w:rsid w:val="007E6E06"/>
    <w:rsid w:val="007E6F4A"/>
    <w:rsid w:val="007E79CC"/>
    <w:rsid w:val="007E7F4E"/>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50"/>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3EC2"/>
    <w:rsid w:val="0081497F"/>
    <w:rsid w:val="00814B90"/>
    <w:rsid w:val="00814FC7"/>
    <w:rsid w:val="00815885"/>
    <w:rsid w:val="00816253"/>
    <w:rsid w:val="0081660C"/>
    <w:rsid w:val="00817195"/>
    <w:rsid w:val="00817416"/>
    <w:rsid w:val="00817658"/>
    <w:rsid w:val="00817CFF"/>
    <w:rsid w:val="008206AE"/>
    <w:rsid w:val="008207E7"/>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998"/>
    <w:rsid w:val="00830052"/>
    <w:rsid w:val="008300D0"/>
    <w:rsid w:val="008308D8"/>
    <w:rsid w:val="008320D2"/>
    <w:rsid w:val="008321CE"/>
    <w:rsid w:val="0083257C"/>
    <w:rsid w:val="0083261B"/>
    <w:rsid w:val="00832B44"/>
    <w:rsid w:val="00832EC9"/>
    <w:rsid w:val="00833307"/>
    <w:rsid w:val="00833583"/>
    <w:rsid w:val="00833B5B"/>
    <w:rsid w:val="00833E9A"/>
    <w:rsid w:val="00834E00"/>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461A"/>
    <w:rsid w:val="00854BB8"/>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D33"/>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6F23"/>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0A46"/>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5BAF"/>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92F"/>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E78"/>
    <w:rsid w:val="008E6109"/>
    <w:rsid w:val="008E6A39"/>
    <w:rsid w:val="008E76BB"/>
    <w:rsid w:val="008F1312"/>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3F6E"/>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0C62"/>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114"/>
    <w:rsid w:val="0097552A"/>
    <w:rsid w:val="0097564A"/>
    <w:rsid w:val="00975974"/>
    <w:rsid w:val="00975D06"/>
    <w:rsid w:val="00975D63"/>
    <w:rsid w:val="00975DAE"/>
    <w:rsid w:val="00976BBE"/>
    <w:rsid w:val="00976F08"/>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7FD"/>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AFB"/>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D85"/>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4E2"/>
    <w:rsid w:val="009F05AD"/>
    <w:rsid w:val="009F0659"/>
    <w:rsid w:val="009F1109"/>
    <w:rsid w:val="009F143E"/>
    <w:rsid w:val="009F1DE8"/>
    <w:rsid w:val="009F2186"/>
    <w:rsid w:val="009F227C"/>
    <w:rsid w:val="009F28DC"/>
    <w:rsid w:val="009F2EDB"/>
    <w:rsid w:val="009F33DC"/>
    <w:rsid w:val="009F40B0"/>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974"/>
    <w:rsid w:val="00A10A20"/>
    <w:rsid w:val="00A117D5"/>
    <w:rsid w:val="00A11C11"/>
    <w:rsid w:val="00A12720"/>
    <w:rsid w:val="00A12ED1"/>
    <w:rsid w:val="00A13121"/>
    <w:rsid w:val="00A131F5"/>
    <w:rsid w:val="00A133C1"/>
    <w:rsid w:val="00A13414"/>
    <w:rsid w:val="00A13675"/>
    <w:rsid w:val="00A138B7"/>
    <w:rsid w:val="00A13F2D"/>
    <w:rsid w:val="00A14005"/>
    <w:rsid w:val="00A148A0"/>
    <w:rsid w:val="00A14AA8"/>
    <w:rsid w:val="00A14BE1"/>
    <w:rsid w:val="00A14F81"/>
    <w:rsid w:val="00A1535F"/>
    <w:rsid w:val="00A15CB1"/>
    <w:rsid w:val="00A15DCC"/>
    <w:rsid w:val="00A15E7D"/>
    <w:rsid w:val="00A15E84"/>
    <w:rsid w:val="00A16021"/>
    <w:rsid w:val="00A16961"/>
    <w:rsid w:val="00A173E0"/>
    <w:rsid w:val="00A17404"/>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548"/>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57500"/>
    <w:rsid w:val="00A6054E"/>
    <w:rsid w:val="00A60799"/>
    <w:rsid w:val="00A6170B"/>
    <w:rsid w:val="00A61991"/>
    <w:rsid w:val="00A61B7F"/>
    <w:rsid w:val="00A61B91"/>
    <w:rsid w:val="00A61C3A"/>
    <w:rsid w:val="00A620E8"/>
    <w:rsid w:val="00A63335"/>
    <w:rsid w:val="00A634EB"/>
    <w:rsid w:val="00A63685"/>
    <w:rsid w:val="00A63EA5"/>
    <w:rsid w:val="00A6413D"/>
    <w:rsid w:val="00A64545"/>
    <w:rsid w:val="00A645AC"/>
    <w:rsid w:val="00A64C79"/>
    <w:rsid w:val="00A65EFB"/>
    <w:rsid w:val="00A66C79"/>
    <w:rsid w:val="00A66E28"/>
    <w:rsid w:val="00A67429"/>
    <w:rsid w:val="00A677E7"/>
    <w:rsid w:val="00A67CE9"/>
    <w:rsid w:val="00A70590"/>
    <w:rsid w:val="00A7062E"/>
    <w:rsid w:val="00A70834"/>
    <w:rsid w:val="00A71079"/>
    <w:rsid w:val="00A71542"/>
    <w:rsid w:val="00A7171F"/>
    <w:rsid w:val="00A71FA0"/>
    <w:rsid w:val="00A71FBD"/>
    <w:rsid w:val="00A72727"/>
    <w:rsid w:val="00A727D8"/>
    <w:rsid w:val="00A72C1A"/>
    <w:rsid w:val="00A72DFD"/>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373"/>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2B93"/>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170C"/>
    <w:rsid w:val="00AD2AB1"/>
    <w:rsid w:val="00AD3132"/>
    <w:rsid w:val="00AD3DA6"/>
    <w:rsid w:val="00AD3F3C"/>
    <w:rsid w:val="00AD447E"/>
    <w:rsid w:val="00AD4B2F"/>
    <w:rsid w:val="00AD4BDD"/>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B9D"/>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ADB"/>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6EB3"/>
    <w:rsid w:val="00B274E3"/>
    <w:rsid w:val="00B2765C"/>
    <w:rsid w:val="00B27C4B"/>
    <w:rsid w:val="00B30563"/>
    <w:rsid w:val="00B3069E"/>
    <w:rsid w:val="00B30A76"/>
    <w:rsid w:val="00B30FC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80C"/>
    <w:rsid w:val="00B70E01"/>
    <w:rsid w:val="00B72CF0"/>
    <w:rsid w:val="00B7380E"/>
    <w:rsid w:val="00B740F6"/>
    <w:rsid w:val="00B74615"/>
    <w:rsid w:val="00B74789"/>
    <w:rsid w:val="00B755B6"/>
    <w:rsid w:val="00B75884"/>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353"/>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941"/>
    <w:rsid w:val="00BB1688"/>
    <w:rsid w:val="00BB1EFB"/>
    <w:rsid w:val="00BB269F"/>
    <w:rsid w:val="00BB27CC"/>
    <w:rsid w:val="00BB2ACE"/>
    <w:rsid w:val="00BB2E4E"/>
    <w:rsid w:val="00BB2E62"/>
    <w:rsid w:val="00BB36C9"/>
    <w:rsid w:val="00BB3A66"/>
    <w:rsid w:val="00BB3FD8"/>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742"/>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698"/>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644"/>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8C0"/>
    <w:rsid w:val="00C0702A"/>
    <w:rsid w:val="00C0724C"/>
    <w:rsid w:val="00C07C11"/>
    <w:rsid w:val="00C07E10"/>
    <w:rsid w:val="00C10015"/>
    <w:rsid w:val="00C1110A"/>
    <w:rsid w:val="00C11689"/>
    <w:rsid w:val="00C12414"/>
    <w:rsid w:val="00C12ECB"/>
    <w:rsid w:val="00C133F6"/>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BD"/>
    <w:rsid w:val="00C23615"/>
    <w:rsid w:val="00C2397E"/>
    <w:rsid w:val="00C23A83"/>
    <w:rsid w:val="00C23F40"/>
    <w:rsid w:val="00C24381"/>
    <w:rsid w:val="00C24801"/>
    <w:rsid w:val="00C24C2E"/>
    <w:rsid w:val="00C24C7A"/>
    <w:rsid w:val="00C24FFB"/>
    <w:rsid w:val="00C25CFF"/>
    <w:rsid w:val="00C25EA6"/>
    <w:rsid w:val="00C26164"/>
    <w:rsid w:val="00C261C1"/>
    <w:rsid w:val="00C26574"/>
    <w:rsid w:val="00C26DBF"/>
    <w:rsid w:val="00C27199"/>
    <w:rsid w:val="00C27204"/>
    <w:rsid w:val="00C27971"/>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483"/>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0CC2"/>
    <w:rsid w:val="00C71528"/>
    <w:rsid w:val="00C717E4"/>
    <w:rsid w:val="00C7191B"/>
    <w:rsid w:val="00C71F09"/>
    <w:rsid w:val="00C72588"/>
    <w:rsid w:val="00C727B9"/>
    <w:rsid w:val="00C72F44"/>
    <w:rsid w:val="00C73670"/>
    <w:rsid w:val="00C737CC"/>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3E49"/>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41B8"/>
    <w:rsid w:val="00CA5685"/>
    <w:rsid w:val="00CA6A2E"/>
    <w:rsid w:val="00CA6B56"/>
    <w:rsid w:val="00CA7D3E"/>
    <w:rsid w:val="00CB0317"/>
    <w:rsid w:val="00CB0662"/>
    <w:rsid w:val="00CB0A82"/>
    <w:rsid w:val="00CB0F2F"/>
    <w:rsid w:val="00CB1556"/>
    <w:rsid w:val="00CB210B"/>
    <w:rsid w:val="00CB2913"/>
    <w:rsid w:val="00CB3970"/>
    <w:rsid w:val="00CB42B9"/>
    <w:rsid w:val="00CB4550"/>
    <w:rsid w:val="00CB4F39"/>
    <w:rsid w:val="00CB52A4"/>
    <w:rsid w:val="00CB537C"/>
    <w:rsid w:val="00CB5A26"/>
    <w:rsid w:val="00CB645B"/>
    <w:rsid w:val="00CB6A93"/>
    <w:rsid w:val="00CB6C79"/>
    <w:rsid w:val="00CB70D3"/>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A46"/>
    <w:rsid w:val="00CC7A80"/>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14B"/>
    <w:rsid w:val="00CD64E1"/>
    <w:rsid w:val="00CD66BA"/>
    <w:rsid w:val="00CD699D"/>
    <w:rsid w:val="00CD6BA3"/>
    <w:rsid w:val="00CD70DB"/>
    <w:rsid w:val="00CD7544"/>
    <w:rsid w:val="00CD78D4"/>
    <w:rsid w:val="00CE0697"/>
    <w:rsid w:val="00CE14CB"/>
    <w:rsid w:val="00CE2E2E"/>
    <w:rsid w:val="00CE3A51"/>
    <w:rsid w:val="00CE41F9"/>
    <w:rsid w:val="00CE44A1"/>
    <w:rsid w:val="00CE59F6"/>
    <w:rsid w:val="00CE66CD"/>
    <w:rsid w:val="00CE6BA9"/>
    <w:rsid w:val="00CE71C3"/>
    <w:rsid w:val="00CE727A"/>
    <w:rsid w:val="00CE756F"/>
    <w:rsid w:val="00CE7EB8"/>
    <w:rsid w:val="00CF029C"/>
    <w:rsid w:val="00CF0AF0"/>
    <w:rsid w:val="00CF157E"/>
    <w:rsid w:val="00CF1631"/>
    <w:rsid w:val="00CF1834"/>
    <w:rsid w:val="00CF1AAA"/>
    <w:rsid w:val="00CF1EC2"/>
    <w:rsid w:val="00CF2ACF"/>
    <w:rsid w:val="00CF345B"/>
    <w:rsid w:val="00CF475F"/>
    <w:rsid w:val="00CF5008"/>
    <w:rsid w:val="00CF5069"/>
    <w:rsid w:val="00CF572F"/>
    <w:rsid w:val="00CF5E34"/>
    <w:rsid w:val="00CF6707"/>
    <w:rsid w:val="00CF7101"/>
    <w:rsid w:val="00CF7327"/>
    <w:rsid w:val="00CF7385"/>
    <w:rsid w:val="00CF7539"/>
    <w:rsid w:val="00CF75C6"/>
    <w:rsid w:val="00CF7B77"/>
    <w:rsid w:val="00CF7DF5"/>
    <w:rsid w:val="00D001D2"/>
    <w:rsid w:val="00D020E7"/>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2F6"/>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641"/>
    <w:rsid w:val="00D417C6"/>
    <w:rsid w:val="00D417D0"/>
    <w:rsid w:val="00D42B0C"/>
    <w:rsid w:val="00D42D6E"/>
    <w:rsid w:val="00D43266"/>
    <w:rsid w:val="00D43662"/>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1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879"/>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BBA"/>
    <w:rsid w:val="00DC1395"/>
    <w:rsid w:val="00DC32FC"/>
    <w:rsid w:val="00DC3D89"/>
    <w:rsid w:val="00DC4567"/>
    <w:rsid w:val="00DC457C"/>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A2A"/>
    <w:rsid w:val="00E10DD1"/>
    <w:rsid w:val="00E1224C"/>
    <w:rsid w:val="00E1254C"/>
    <w:rsid w:val="00E12BDF"/>
    <w:rsid w:val="00E13326"/>
    <w:rsid w:val="00E13D07"/>
    <w:rsid w:val="00E14356"/>
    <w:rsid w:val="00E14961"/>
    <w:rsid w:val="00E14D76"/>
    <w:rsid w:val="00E15183"/>
    <w:rsid w:val="00E15D6C"/>
    <w:rsid w:val="00E166A5"/>
    <w:rsid w:val="00E167CE"/>
    <w:rsid w:val="00E1720B"/>
    <w:rsid w:val="00E203DE"/>
    <w:rsid w:val="00E20CE7"/>
    <w:rsid w:val="00E217B1"/>
    <w:rsid w:val="00E222FA"/>
    <w:rsid w:val="00E22700"/>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B4D"/>
    <w:rsid w:val="00E31CE7"/>
    <w:rsid w:val="00E333D5"/>
    <w:rsid w:val="00E3394F"/>
    <w:rsid w:val="00E33A0B"/>
    <w:rsid w:val="00E34A2F"/>
    <w:rsid w:val="00E34E46"/>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67366"/>
    <w:rsid w:val="00E70192"/>
    <w:rsid w:val="00E70957"/>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DD9"/>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06C"/>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6EB4"/>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39"/>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AFF"/>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3E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2D3"/>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AF8"/>
    <w:rsid w:val="00F70FD4"/>
    <w:rsid w:val="00F71342"/>
    <w:rsid w:val="00F71C68"/>
    <w:rsid w:val="00F724E2"/>
    <w:rsid w:val="00F74103"/>
    <w:rsid w:val="00F7410A"/>
    <w:rsid w:val="00F745A4"/>
    <w:rsid w:val="00F74C0C"/>
    <w:rsid w:val="00F758E1"/>
    <w:rsid w:val="00F75BB5"/>
    <w:rsid w:val="00F75FD5"/>
    <w:rsid w:val="00F7604C"/>
    <w:rsid w:val="00F768CF"/>
    <w:rsid w:val="00F773A9"/>
    <w:rsid w:val="00F8056E"/>
    <w:rsid w:val="00F805B7"/>
    <w:rsid w:val="00F810C1"/>
    <w:rsid w:val="00F81623"/>
    <w:rsid w:val="00F81D25"/>
    <w:rsid w:val="00F8245C"/>
    <w:rsid w:val="00F82928"/>
    <w:rsid w:val="00F829B9"/>
    <w:rsid w:val="00F83045"/>
    <w:rsid w:val="00F83615"/>
    <w:rsid w:val="00F83EC7"/>
    <w:rsid w:val="00F8421D"/>
    <w:rsid w:val="00F8440C"/>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520C"/>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472"/>
    <w:rsid w:val="00FA775E"/>
    <w:rsid w:val="00FA7792"/>
    <w:rsid w:val="00FA7AA8"/>
    <w:rsid w:val="00FA7F1D"/>
    <w:rsid w:val="00FB011C"/>
    <w:rsid w:val="00FB0D60"/>
    <w:rsid w:val="00FB18FD"/>
    <w:rsid w:val="00FB2BF5"/>
    <w:rsid w:val="00FB2F8E"/>
    <w:rsid w:val="00FB30C3"/>
    <w:rsid w:val="00FB3693"/>
    <w:rsid w:val="00FB39B0"/>
    <w:rsid w:val="00FB5138"/>
    <w:rsid w:val="00FB547F"/>
    <w:rsid w:val="00FB5A71"/>
    <w:rsid w:val="00FB63F6"/>
    <w:rsid w:val="00FB7823"/>
    <w:rsid w:val="00FC04D4"/>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249"/>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0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7B21A6"/>
    <w:rsid w:val="02824D4D"/>
    <w:rsid w:val="02DC4B10"/>
    <w:rsid w:val="02DD76CE"/>
    <w:rsid w:val="02F36323"/>
    <w:rsid w:val="02F5619C"/>
    <w:rsid w:val="0326446A"/>
    <w:rsid w:val="032D5555"/>
    <w:rsid w:val="035C350E"/>
    <w:rsid w:val="036634D2"/>
    <w:rsid w:val="03DD35E4"/>
    <w:rsid w:val="04076900"/>
    <w:rsid w:val="041A5A3B"/>
    <w:rsid w:val="042311BA"/>
    <w:rsid w:val="042B157A"/>
    <w:rsid w:val="04735C68"/>
    <w:rsid w:val="048F763B"/>
    <w:rsid w:val="049F330E"/>
    <w:rsid w:val="04AA775C"/>
    <w:rsid w:val="04AF1889"/>
    <w:rsid w:val="04F66F48"/>
    <w:rsid w:val="04F70279"/>
    <w:rsid w:val="04F9135E"/>
    <w:rsid w:val="05251E14"/>
    <w:rsid w:val="05461C0C"/>
    <w:rsid w:val="05A16594"/>
    <w:rsid w:val="05A7762D"/>
    <w:rsid w:val="060E5941"/>
    <w:rsid w:val="06100207"/>
    <w:rsid w:val="06110FAF"/>
    <w:rsid w:val="062F2CAA"/>
    <w:rsid w:val="06336531"/>
    <w:rsid w:val="06493CA7"/>
    <w:rsid w:val="065A6178"/>
    <w:rsid w:val="065D46B7"/>
    <w:rsid w:val="066F1CF3"/>
    <w:rsid w:val="06930BB8"/>
    <w:rsid w:val="07245D42"/>
    <w:rsid w:val="07264C62"/>
    <w:rsid w:val="0779354C"/>
    <w:rsid w:val="078E6DE7"/>
    <w:rsid w:val="08061376"/>
    <w:rsid w:val="08452D77"/>
    <w:rsid w:val="086401F8"/>
    <w:rsid w:val="08751CAA"/>
    <w:rsid w:val="087E4C40"/>
    <w:rsid w:val="08D66AD6"/>
    <w:rsid w:val="08DA33A3"/>
    <w:rsid w:val="08E80F13"/>
    <w:rsid w:val="092E1A8D"/>
    <w:rsid w:val="09335624"/>
    <w:rsid w:val="0944690F"/>
    <w:rsid w:val="09486711"/>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FC6D5F"/>
    <w:rsid w:val="0B0A0458"/>
    <w:rsid w:val="0B30404E"/>
    <w:rsid w:val="0B4C6C14"/>
    <w:rsid w:val="0B5B0385"/>
    <w:rsid w:val="0B5F1DB6"/>
    <w:rsid w:val="0B631A88"/>
    <w:rsid w:val="0B683D45"/>
    <w:rsid w:val="0B7F3F11"/>
    <w:rsid w:val="0B884417"/>
    <w:rsid w:val="0BF6188C"/>
    <w:rsid w:val="0BF73C91"/>
    <w:rsid w:val="0C0A184E"/>
    <w:rsid w:val="0C170175"/>
    <w:rsid w:val="0C571A41"/>
    <w:rsid w:val="0C5C1171"/>
    <w:rsid w:val="0C5C73EB"/>
    <w:rsid w:val="0C5E1CBC"/>
    <w:rsid w:val="0C615B50"/>
    <w:rsid w:val="0C8445DA"/>
    <w:rsid w:val="0C87121B"/>
    <w:rsid w:val="0CC007F7"/>
    <w:rsid w:val="0CFE707A"/>
    <w:rsid w:val="0D063BDA"/>
    <w:rsid w:val="0D0664E9"/>
    <w:rsid w:val="0D08375F"/>
    <w:rsid w:val="0D184CFB"/>
    <w:rsid w:val="0D4A7419"/>
    <w:rsid w:val="0D827401"/>
    <w:rsid w:val="0D84094E"/>
    <w:rsid w:val="0D8A00E9"/>
    <w:rsid w:val="0D8D589E"/>
    <w:rsid w:val="0DA01C73"/>
    <w:rsid w:val="0DD63300"/>
    <w:rsid w:val="0DF50604"/>
    <w:rsid w:val="0DF702FE"/>
    <w:rsid w:val="0E060E51"/>
    <w:rsid w:val="0E19403A"/>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236AB"/>
    <w:rsid w:val="0FBF3FD2"/>
    <w:rsid w:val="0FBF7FF3"/>
    <w:rsid w:val="10646583"/>
    <w:rsid w:val="107D4B15"/>
    <w:rsid w:val="108A3C80"/>
    <w:rsid w:val="10C26171"/>
    <w:rsid w:val="10F33360"/>
    <w:rsid w:val="10FC16EA"/>
    <w:rsid w:val="110F1D40"/>
    <w:rsid w:val="110F2056"/>
    <w:rsid w:val="11266F33"/>
    <w:rsid w:val="118963A1"/>
    <w:rsid w:val="11C6522A"/>
    <w:rsid w:val="11E104CC"/>
    <w:rsid w:val="11E20309"/>
    <w:rsid w:val="12255233"/>
    <w:rsid w:val="12530213"/>
    <w:rsid w:val="127723A9"/>
    <w:rsid w:val="12862074"/>
    <w:rsid w:val="12883966"/>
    <w:rsid w:val="129E45B4"/>
    <w:rsid w:val="12BD1197"/>
    <w:rsid w:val="12D81596"/>
    <w:rsid w:val="13072A44"/>
    <w:rsid w:val="135F4BE2"/>
    <w:rsid w:val="139B1A0A"/>
    <w:rsid w:val="139D25C7"/>
    <w:rsid w:val="13BF3CE4"/>
    <w:rsid w:val="141008D8"/>
    <w:rsid w:val="14125FE6"/>
    <w:rsid w:val="144D6085"/>
    <w:rsid w:val="146D271E"/>
    <w:rsid w:val="14982588"/>
    <w:rsid w:val="149A5AD9"/>
    <w:rsid w:val="14A7619D"/>
    <w:rsid w:val="14C4199F"/>
    <w:rsid w:val="150536C3"/>
    <w:rsid w:val="150C1963"/>
    <w:rsid w:val="151447A0"/>
    <w:rsid w:val="154A6454"/>
    <w:rsid w:val="155862F9"/>
    <w:rsid w:val="15762120"/>
    <w:rsid w:val="15B6173D"/>
    <w:rsid w:val="16A456DC"/>
    <w:rsid w:val="16A8729C"/>
    <w:rsid w:val="16B33777"/>
    <w:rsid w:val="16BC70A7"/>
    <w:rsid w:val="16C6339E"/>
    <w:rsid w:val="16F329B7"/>
    <w:rsid w:val="172F2D79"/>
    <w:rsid w:val="17557BEF"/>
    <w:rsid w:val="17D349C1"/>
    <w:rsid w:val="18286B86"/>
    <w:rsid w:val="1830729E"/>
    <w:rsid w:val="1870062C"/>
    <w:rsid w:val="18817102"/>
    <w:rsid w:val="18830A15"/>
    <w:rsid w:val="18852B28"/>
    <w:rsid w:val="188B5321"/>
    <w:rsid w:val="1908399E"/>
    <w:rsid w:val="19932372"/>
    <w:rsid w:val="19A20DD5"/>
    <w:rsid w:val="19AE03F1"/>
    <w:rsid w:val="1A071A03"/>
    <w:rsid w:val="1A1F16AE"/>
    <w:rsid w:val="1A3B5C77"/>
    <w:rsid w:val="1A984BAD"/>
    <w:rsid w:val="1AB8220E"/>
    <w:rsid w:val="1AC64A5B"/>
    <w:rsid w:val="1AE4166C"/>
    <w:rsid w:val="1AF06CFB"/>
    <w:rsid w:val="1AF11B8D"/>
    <w:rsid w:val="1B11359C"/>
    <w:rsid w:val="1B2A271F"/>
    <w:rsid w:val="1B530544"/>
    <w:rsid w:val="1B713184"/>
    <w:rsid w:val="1BA06FFB"/>
    <w:rsid w:val="1BA209CF"/>
    <w:rsid w:val="1BB4777D"/>
    <w:rsid w:val="1BD75AB8"/>
    <w:rsid w:val="1C0459C2"/>
    <w:rsid w:val="1C1B3B4A"/>
    <w:rsid w:val="1C38422A"/>
    <w:rsid w:val="1C88086E"/>
    <w:rsid w:val="1D266CE1"/>
    <w:rsid w:val="1D3963AF"/>
    <w:rsid w:val="1D6A673C"/>
    <w:rsid w:val="1D9247AE"/>
    <w:rsid w:val="1DB567EC"/>
    <w:rsid w:val="1DF51A98"/>
    <w:rsid w:val="1E2358DA"/>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0E211C1"/>
    <w:rsid w:val="211116EB"/>
    <w:rsid w:val="212154AC"/>
    <w:rsid w:val="214C1421"/>
    <w:rsid w:val="214D3572"/>
    <w:rsid w:val="21586E6B"/>
    <w:rsid w:val="216133FC"/>
    <w:rsid w:val="21991CC4"/>
    <w:rsid w:val="21D1502F"/>
    <w:rsid w:val="21D56769"/>
    <w:rsid w:val="21E52EF3"/>
    <w:rsid w:val="21FB5D7B"/>
    <w:rsid w:val="220B1C3D"/>
    <w:rsid w:val="221D1D20"/>
    <w:rsid w:val="22334A87"/>
    <w:rsid w:val="224A2956"/>
    <w:rsid w:val="22BE6801"/>
    <w:rsid w:val="233500BF"/>
    <w:rsid w:val="23377FF7"/>
    <w:rsid w:val="236B425F"/>
    <w:rsid w:val="237223B4"/>
    <w:rsid w:val="23836192"/>
    <w:rsid w:val="23901F29"/>
    <w:rsid w:val="239C0061"/>
    <w:rsid w:val="23B908A4"/>
    <w:rsid w:val="23BB6AA4"/>
    <w:rsid w:val="23E95BEF"/>
    <w:rsid w:val="23FD0064"/>
    <w:rsid w:val="245375B0"/>
    <w:rsid w:val="24642C0A"/>
    <w:rsid w:val="24A839BC"/>
    <w:rsid w:val="24B22173"/>
    <w:rsid w:val="24B95AD9"/>
    <w:rsid w:val="24BE24DA"/>
    <w:rsid w:val="24CF5825"/>
    <w:rsid w:val="24D663E6"/>
    <w:rsid w:val="24D77F2B"/>
    <w:rsid w:val="251C31E3"/>
    <w:rsid w:val="258B00E2"/>
    <w:rsid w:val="25A917A6"/>
    <w:rsid w:val="25BE27CC"/>
    <w:rsid w:val="25F74A5C"/>
    <w:rsid w:val="2628662C"/>
    <w:rsid w:val="262A7858"/>
    <w:rsid w:val="262D45DE"/>
    <w:rsid w:val="26A53EF9"/>
    <w:rsid w:val="26A94201"/>
    <w:rsid w:val="26AC274F"/>
    <w:rsid w:val="27044A29"/>
    <w:rsid w:val="271925DA"/>
    <w:rsid w:val="271D34C8"/>
    <w:rsid w:val="274E70ED"/>
    <w:rsid w:val="276142BF"/>
    <w:rsid w:val="27783712"/>
    <w:rsid w:val="27907362"/>
    <w:rsid w:val="27BD2D84"/>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4E45E1"/>
    <w:rsid w:val="2A576493"/>
    <w:rsid w:val="2A6D6092"/>
    <w:rsid w:val="2A7B5E64"/>
    <w:rsid w:val="2A7D76B4"/>
    <w:rsid w:val="2ACE0CCA"/>
    <w:rsid w:val="2AEF2177"/>
    <w:rsid w:val="2B2629E5"/>
    <w:rsid w:val="2B437463"/>
    <w:rsid w:val="2B7807EE"/>
    <w:rsid w:val="2B8B3764"/>
    <w:rsid w:val="2BBF00EC"/>
    <w:rsid w:val="2BC37CFD"/>
    <w:rsid w:val="2BD5237F"/>
    <w:rsid w:val="2BE536CE"/>
    <w:rsid w:val="2BE758D9"/>
    <w:rsid w:val="2C09049E"/>
    <w:rsid w:val="2C0A653C"/>
    <w:rsid w:val="2C191F85"/>
    <w:rsid w:val="2CA942DE"/>
    <w:rsid w:val="2CAE04C3"/>
    <w:rsid w:val="2CE82D6F"/>
    <w:rsid w:val="2D343236"/>
    <w:rsid w:val="2DD15014"/>
    <w:rsid w:val="2DF72DE4"/>
    <w:rsid w:val="2E0220AF"/>
    <w:rsid w:val="2E3C7C69"/>
    <w:rsid w:val="2E4B082A"/>
    <w:rsid w:val="2E5D4E86"/>
    <w:rsid w:val="2E5D790B"/>
    <w:rsid w:val="2E9A3C18"/>
    <w:rsid w:val="2EBB0FEE"/>
    <w:rsid w:val="2EC63002"/>
    <w:rsid w:val="2F0A6B38"/>
    <w:rsid w:val="2F1E646B"/>
    <w:rsid w:val="2F946CCB"/>
    <w:rsid w:val="2F9F02E2"/>
    <w:rsid w:val="2FCE6F45"/>
    <w:rsid w:val="2FD25781"/>
    <w:rsid w:val="2FFD7934"/>
    <w:rsid w:val="30733ACD"/>
    <w:rsid w:val="308C3862"/>
    <w:rsid w:val="309379D8"/>
    <w:rsid w:val="30A270F7"/>
    <w:rsid w:val="30D13ADD"/>
    <w:rsid w:val="30DF1478"/>
    <w:rsid w:val="30EC586F"/>
    <w:rsid w:val="319C6071"/>
    <w:rsid w:val="31AC537E"/>
    <w:rsid w:val="31E3679B"/>
    <w:rsid w:val="31E732FD"/>
    <w:rsid w:val="32517576"/>
    <w:rsid w:val="32A83FF7"/>
    <w:rsid w:val="32BE5C2C"/>
    <w:rsid w:val="32FB6478"/>
    <w:rsid w:val="33263B3F"/>
    <w:rsid w:val="336963EB"/>
    <w:rsid w:val="33816EEB"/>
    <w:rsid w:val="33892AE6"/>
    <w:rsid w:val="338E7225"/>
    <w:rsid w:val="33EB55CD"/>
    <w:rsid w:val="33EC4C02"/>
    <w:rsid w:val="33F45CD3"/>
    <w:rsid w:val="340D2360"/>
    <w:rsid w:val="3410665D"/>
    <w:rsid w:val="34211214"/>
    <w:rsid w:val="342E63AB"/>
    <w:rsid w:val="343520A9"/>
    <w:rsid w:val="344A4C2D"/>
    <w:rsid w:val="34950E68"/>
    <w:rsid w:val="34986E94"/>
    <w:rsid w:val="34AF62C9"/>
    <w:rsid w:val="34CB4388"/>
    <w:rsid w:val="34FA6E12"/>
    <w:rsid w:val="358D5588"/>
    <w:rsid w:val="36105101"/>
    <w:rsid w:val="363A3B40"/>
    <w:rsid w:val="365302AE"/>
    <w:rsid w:val="36607A0A"/>
    <w:rsid w:val="366E227C"/>
    <w:rsid w:val="366F2E0D"/>
    <w:rsid w:val="367B6A5C"/>
    <w:rsid w:val="36A74ADA"/>
    <w:rsid w:val="36AD60D5"/>
    <w:rsid w:val="36B224F9"/>
    <w:rsid w:val="36EC0CC9"/>
    <w:rsid w:val="373F410B"/>
    <w:rsid w:val="376723E4"/>
    <w:rsid w:val="37920DA3"/>
    <w:rsid w:val="37EE7094"/>
    <w:rsid w:val="38296C89"/>
    <w:rsid w:val="383002EB"/>
    <w:rsid w:val="385561D1"/>
    <w:rsid w:val="38586797"/>
    <w:rsid w:val="386F5126"/>
    <w:rsid w:val="389D3086"/>
    <w:rsid w:val="38A3782E"/>
    <w:rsid w:val="38BC0149"/>
    <w:rsid w:val="38D87D1C"/>
    <w:rsid w:val="39636459"/>
    <w:rsid w:val="396B7F6C"/>
    <w:rsid w:val="39B417A9"/>
    <w:rsid w:val="39BF1980"/>
    <w:rsid w:val="39FC5695"/>
    <w:rsid w:val="3A006D8E"/>
    <w:rsid w:val="3A3651E5"/>
    <w:rsid w:val="3A741703"/>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9B1195"/>
    <w:rsid w:val="3CBB5DCB"/>
    <w:rsid w:val="3CCE23CB"/>
    <w:rsid w:val="3CD17D17"/>
    <w:rsid w:val="3D3C7F39"/>
    <w:rsid w:val="3D440F09"/>
    <w:rsid w:val="3D4504A0"/>
    <w:rsid w:val="3D8734BB"/>
    <w:rsid w:val="3D9A11D4"/>
    <w:rsid w:val="3DA16D89"/>
    <w:rsid w:val="3DA364BE"/>
    <w:rsid w:val="3DE041CB"/>
    <w:rsid w:val="3DE556E3"/>
    <w:rsid w:val="3E0D48F6"/>
    <w:rsid w:val="3E1868B4"/>
    <w:rsid w:val="3E377251"/>
    <w:rsid w:val="3E42664B"/>
    <w:rsid w:val="3E472902"/>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372B4"/>
    <w:rsid w:val="406E1CAE"/>
    <w:rsid w:val="40A0133A"/>
    <w:rsid w:val="40C31A53"/>
    <w:rsid w:val="40FF545D"/>
    <w:rsid w:val="410067C8"/>
    <w:rsid w:val="418F0D2A"/>
    <w:rsid w:val="41D01505"/>
    <w:rsid w:val="41E433F4"/>
    <w:rsid w:val="42474939"/>
    <w:rsid w:val="424C3C57"/>
    <w:rsid w:val="42613FF3"/>
    <w:rsid w:val="42660D96"/>
    <w:rsid w:val="428667D2"/>
    <w:rsid w:val="42CD1CE0"/>
    <w:rsid w:val="42E1381E"/>
    <w:rsid w:val="42ED6459"/>
    <w:rsid w:val="42FE58DD"/>
    <w:rsid w:val="43174B3D"/>
    <w:rsid w:val="43280F7F"/>
    <w:rsid w:val="434B790E"/>
    <w:rsid w:val="4360274F"/>
    <w:rsid w:val="43977AB6"/>
    <w:rsid w:val="43A3342B"/>
    <w:rsid w:val="43C77C27"/>
    <w:rsid w:val="43DE09EE"/>
    <w:rsid w:val="44002FAD"/>
    <w:rsid w:val="44066811"/>
    <w:rsid w:val="445F0B62"/>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D73EC6"/>
    <w:rsid w:val="477B778F"/>
    <w:rsid w:val="478203EC"/>
    <w:rsid w:val="47B025FA"/>
    <w:rsid w:val="4809698F"/>
    <w:rsid w:val="4811697D"/>
    <w:rsid w:val="487A3E25"/>
    <w:rsid w:val="488B5503"/>
    <w:rsid w:val="48937E21"/>
    <w:rsid w:val="489A0361"/>
    <w:rsid w:val="48A50B79"/>
    <w:rsid w:val="48B94FF3"/>
    <w:rsid w:val="48E37AAB"/>
    <w:rsid w:val="48FD4B4C"/>
    <w:rsid w:val="490A68E0"/>
    <w:rsid w:val="491055FE"/>
    <w:rsid w:val="4916211B"/>
    <w:rsid w:val="494B4C51"/>
    <w:rsid w:val="495F5B3E"/>
    <w:rsid w:val="496F77D7"/>
    <w:rsid w:val="497654FD"/>
    <w:rsid w:val="4994413B"/>
    <w:rsid w:val="49B64211"/>
    <w:rsid w:val="49C32D3B"/>
    <w:rsid w:val="49F6167F"/>
    <w:rsid w:val="4A064FA0"/>
    <w:rsid w:val="4A16615C"/>
    <w:rsid w:val="4A4424D7"/>
    <w:rsid w:val="4AB82D0F"/>
    <w:rsid w:val="4AEB7664"/>
    <w:rsid w:val="4AFD7C19"/>
    <w:rsid w:val="4B0567D1"/>
    <w:rsid w:val="4B236AAE"/>
    <w:rsid w:val="4B707271"/>
    <w:rsid w:val="4B9739F7"/>
    <w:rsid w:val="4BC7459F"/>
    <w:rsid w:val="4BEE2503"/>
    <w:rsid w:val="4C0B1815"/>
    <w:rsid w:val="4C245A30"/>
    <w:rsid w:val="4CB6685F"/>
    <w:rsid w:val="4CC367FE"/>
    <w:rsid w:val="4CEB0CA1"/>
    <w:rsid w:val="4CEB43D7"/>
    <w:rsid w:val="4D047A9B"/>
    <w:rsid w:val="4D077F3C"/>
    <w:rsid w:val="4D0B7988"/>
    <w:rsid w:val="4D123355"/>
    <w:rsid w:val="4D2A3B31"/>
    <w:rsid w:val="4D312C52"/>
    <w:rsid w:val="4D905305"/>
    <w:rsid w:val="4D964A72"/>
    <w:rsid w:val="4D9C1254"/>
    <w:rsid w:val="4DEE7865"/>
    <w:rsid w:val="4E615B84"/>
    <w:rsid w:val="4E793892"/>
    <w:rsid w:val="4E800872"/>
    <w:rsid w:val="4EC569ED"/>
    <w:rsid w:val="4ED50EA1"/>
    <w:rsid w:val="4EEC050C"/>
    <w:rsid w:val="4F104EC3"/>
    <w:rsid w:val="4F47354A"/>
    <w:rsid w:val="4F911C54"/>
    <w:rsid w:val="4FE625E0"/>
    <w:rsid w:val="50084580"/>
    <w:rsid w:val="5021480F"/>
    <w:rsid w:val="5055592C"/>
    <w:rsid w:val="50962ECB"/>
    <w:rsid w:val="50A42E38"/>
    <w:rsid w:val="50A4577F"/>
    <w:rsid w:val="50A46B1B"/>
    <w:rsid w:val="50B73D1F"/>
    <w:rsid w:val="50BD5BC9"/>
    <w:rsid w:val="50C11EEE"/>
    <w:rsid w:val="50E97CFC"/>
    <w:rsid w:val="50FA4028"/>
    <w:rsid w:val="510D65B7"/>
    <w:rsid w:val="511157AB"/>
    <w:rsid w:val="5142540C"/>
    <w:rsid w:val="51581D97"/>
    <w:rsid w:val="5177735F"/>
    <w:rsid w:val="518832C8"/>
    <w:rsid w:val="51A0432A"/>
    <w:rsid w:val="51A86090"/>
    <w:rsid w:val="51B7396D"/>
    <w:rsid w:val="521F2C01"/>
    <w:rsid w:val="522E4CC3"/>
    <w:rsid w:val="5244713B"/>
    <w:rsid w:val="52615633"/>
    <w:rsid w:val="527E5ADF"/>
    <w:rsid w:val="52977FD4"/>
    <w:rsid w:val="52A25790"/>
    <w:rsid w:val="52A96B6F"/>
    <w:rsid w:val="52B45975"/>
    <w:rsid w:val="52D94AA4"/>
    <w:rsid w:val="52EA3A62"/>
    <w:rsid w:val="52F50BB8"/>
    <w:rsid w:val="53097272"/>
    <w:rsid w:val="53544462"/>
    <w:rsid w:val="5397158E"/>
    <w:rsid w:val="53AE0572"/>
    <w:rsid w:val="54013861"/>
    <w:rsid w:val="54471579"/>
    <w:rsid w:val="54487265"/>
    <w:rsid w:val="544D6070"/>
    <w:rsid w:val="54605E1E"/>
    <w:rsid w:val="54B3506A"/>
    <w:rsid w:val="54CA0D16"/>
    <w:rsid w:val="54DD4057"/>
    <w:rsid w:val="54E7490F"/>
    <w:rsid w:val="550764A4"/>
    <w:rsid w:val="550B2BF6"/>
    <w:rsid w:val="55214EB5"/>
    <w:rsid w:val="55364EFD"/>
    <w:rsid w:val="55534144"/>
    <w:rsid w:val="555D4828"/>
    <w:rsid w:val="55625DEF"/>
    <w:rsid w:val="557A4C8B"/>
    <w:rsid w:val="558931E1"/>
    <w:rsid w:val="55923347"/>
    <w:rsid w:val="55925180"/>
    <w:rsid w:val="55983B1B"/>
    <w:rsid w:val="55A8376B"/>
    <w:rsid w:val="55DC29B6"/>
    <w:rsid w:val="55DD4241"/>
    <w:rsid w:val="566B6D1E"/>
    <w:rsid w:val="5695743F"/>
    <w:rsid w:val="56A359EA"/>
    <w:rsid w:val="57032A2C"/>
    <w:rsid w:val="570F5219"/>
    <w:rsid w:val="575D12B5"/>
    <w:rsid w:val="57610A87"/>
    <w:rsid w:val="576752BF"/>
    <w:rsid w:val="577B1140"/>
    <w:rsid w:val="577B7F21"/>
    <w:rsid w:val="577F181B"/>
    <w:rsid w:val="57921984"/>
    <w:rsid w:val="579737F0"/>
    <w:rsid w:val="57A95129"/>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BF07C9"/>
    <w:rsid w:val="59D66CE4"/>
    <w:rsid w:val="59DE2A92"/>
    <w:rsid w:val="59F57439"/>
    <w:rsid w:val="59F80043"/>
    <w:rsid w:val="5A09252F"/>
    <w:rsid w:val="5A0B2778"/>
    <w:rsid w:val="5A2A7C7B"/>
    <w:rsid w:val="5A3E2560"/>
    <w:rsid w:val="5A5D3B6E"/>
    <w:rsid w:val="5A637A76"/>
    <w:rsid w:val="5A6D33BA"/>
    <w:rsid w:val="5A792B1F"/>
    <w:rsid w:val="5A874767"/>
    <w:rsid w:val="5A881AE3"/>
    <w:rsid w:val="5AAD6F28"/>
    <w:rsid w:val="5AD63A24"/>
    <w:rsid w:val="5B0D4F55"/>
    <w:rsid w:val="5B2E1A1D"/>
    <w:rsid w:val="5B57329D"/>
    <w:rsid w:val="5B7B5BC6"/>
    <w:rsid w:val="5B843A1C"/>
    <w:rsid w:val="5B873E3F"/>
    <w:rsid w:val="5BAD213A"/>
    <w:rsid w:val="5C02690E"/>
    <w:rsid w:val="5C196DA7"/>
    <w:rsid w:val="5C2A048C"/>
    <w:rsid w:val="5C80234E"/>
    <w:rsid w:val="5C8A680C"/>
    <w:rsid w:val="5D0C4701"/>
    <w:rsid w:val="5D0F0395"/>
    <w:rsid w:val="5D221076"/>
    <w:rsid w:val="5D397964"/>
    <w:rsid w:val="5D5A391C"/>
    <w:rsid w:val="5D5F10C0"/>
    <w:rsid w:val="5D891B7B"/>
    <w:rsid w:val="5DAD38EE"/>
    <w:rsid w:val="5DDA4231"/>
    <w:rsid w:val="5E006862"/>
    <w:rsid w:val="5E0207B9"/>
    <w:rsid w:val="5E1834A1"/>
    <w:rsid w:val="5E261785"/>
    <w:rsid w:val="5E4A7017"/>
    <w:rsid w:val="5E552BBA"/>
    <w:rsid w:val="5E611C10"/>
    <w:rsid w:val="5EBC7255"/>
    <w:rsid w:val="5EFC7377"/>
    <w:rsid w:val="5F06174D"/>
    <w:rsid w:val="5F3A3602"/>
    <w:rsid w:val="5F6277C6"/>
    <w:rsid w:val="5F6D0B1D"/>
    <w:rsid w:val="5F8D0B82"/>
    <w:rsid w:val="5FCC5339"/>
    <w:rsid w:val="5FE34A5B"/>
    <w:rsid w:val="5FFE1E36"/>
    <w:rsid w:val="60232584"/>
    <w:rsid w:val="605347F7"/>
    <w:rsid w:val="607330CE"/>
    <w:rsid w:val="60825176"/>
    <w:rsid w:val="609F2AC4"/>
    <w:rsid w:val="60CF5C16"/>
    <w:rsid w:val="60FA2EE8"/>
    <w:rsid w:val="61054A27"/>
    <w:rsid w:val="610A52BC"/>
    <w:rsid w:val="611D2366"/>
    <w:rsid w:val="6138591F"/>
    <w:rsid w:val="61421856"/>
    <w:rsid w:val="615227C4"/>
    <w:rsid w:val="61654E3F"/>
    <w:rsid w:val="6182292A"/>
    <w:rsid w:val="619F7F92"/>
    <w:rsid w:val="61F94C26"/>
    <w:rsid w:val="62000E56"/>
    <w:rsid w:val="621C6A35"/>
    <w:rsid w:val="624F3E49"/>
    <w:rsid w:val="62632286"/>
    <w:rsid w:val="62885958"/>
    <w:rsid w:val="62F40B65"/>
    <w:rsid w:val="62FC2CFE"/>
    <w:rsid w:val="63024505"/>
    <w:rsid w:val="6354586C"/>
    <w:rsid w:val="635B1DB5"/>
    <w:rsid w:val="63711FED"/>
    <w:rsid w:val="63880DDC"/>
    <w:rsid w:val="638D750D"/>
    <w:rsid w:val="63AC6CC0"/>
    <w:rsid w:val="63B609B6"/>
    <w:rsid w:val="64055776"/>
    <w:rsid w:val="64240056"/>
    <w:rsid w:val="643E143A"/>
    <w:rsid w:val="648B6EEF"/>
    <w:rsid w:val="64C158BF"/>
    <w:rsid w:val="64CE2EAA"/>
    <w:rsid w:val="653C3090"/>
    <w:rsid w:val="65854376"/>
    <w:rsid w:val="658767BE"/>
    <w:rsid w:val="65892531"/>
    <w:rsid w:val="66195831"/>
    <w:rsid w:val="662E75B1"/>
    <w:rsid w:val="662F710B"/>
    <w:rsid w:val="66342C2E"/>
    <w:rsid w:val="663E784C"/>
    <w:rsid w:val="668B6A45"/>
    <w:rsid w:val="672F3F24"/>
    <w:rsid w:val="673D6FD4"/>
    <w:rsid w:val="673E055F"/>
    <w:rsid w:val="67551CE3"/>
    <w:rsid w:val="67A22552"/>
    <w:rsid w:val="67B22DCC"/>
    <w:rsid w:val="67BE71AA"/>
    <w:rsid w:val="67D90273"/>
    <w:rsid w:val="67DE5875"/>
    <w:rsid w:val="67E55852"/>
    <w:rsid w:val="67EB1AB4"/>
    <w:rsid w:val="67EE3DB1"/>
    <w:rsid w:val="67FA1285"/>
    <w:rsid w:val="68551F4F"/>
    <w:rsid w:val="687C10C9"/>
    <w:rsid w:val="68840C16"/>
    <w:rsid w:val="68876EFB"/>
    <w:rsid w:val="68884654"/>
    <w:rsid w:val="689F444F"/>
    <w:rsid w:val="68B96DBB"/>
    <w:rsid w:val="68CA2805"/>
    <w:rsid w:val="68E937A3"/>
    <w:rsid w:val="68EB0086"/>
    <w:rsid w:val="68F7148D"/>
    <w:rsid w:val="690A41D9"/>
    <w:rsid w:val="693E15D3"/>
    <w:rsid w:val="69627681"/>
    <w:rsid w:val="6977531D"/>
    <w:rsid w:val="69CC2BFF"/>
    <w:rsid w:val="69FD55B8"/>
    <w:rsid w:val="6A0B1C62"/>
    <w:rsid w:val="6A2406C8"/>
    <w:rsid w:val="6A8412C2"/>
    <w:rsid w:val="6A8714D9"/>
    <w:rsid w:val="6ADE0BD1"/>
    <w:rsid w:val="6AE96859"/>
    <w:rsid w:val="6B147746"/>
    <w:rsid w:val="6B1940CB"/>
    <w:rsid w:val="6B24787C"/>
    <w:rsid w:val="6B573233"/>
    <w:rsid w:val="6B5B6274"/>
    <w:rsid w:val="6B935D53"/>
    <w:rsid w:val="6C196F71"/>
    <w:rsid w:val="6C226FCB"/>
    <w:rsid w:val="6C31226F"/>
    <w:rsid w:val="6C552F0B"/>
    <w:rsid w:val="6C8C67B7"/>
    <w:rsid w:val="6C8C7945"/>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942AE5"/>
    <w:rsid w:val="6FAE1A09"/>
    <w:rsid w:val="6FD75BF8"/>
    <w:rsid w:val="70726A64"/>
    <w:rsid w:val="707723D0"/>
    <w:rsid w:val="70D46FAB"/>
    <w:rsid w:val="70F5661B"/>
    <w:rsid w:val="71360107"/>
    <w:rsid w:val="713B688E"/>
    <w:rsid w:val="71D43752"/>
    <w:rsid w:val="71F1796A"/>
    <w:rsid w:val="72154626"/>
    <w:rsid w:val="72262B5D"/>
    <w:rsid w:val="72283FF7"/>
    <w:rsid w:val="722E7212"/>
    <w:rsid w:val="723A0474"/>
    <w:rsid w:val="725923E4"/>
    <w:rsid w:val="72864BF7"/>
    <w:rsid w:val="729023FC"/>
    <w:rsid w:val="73B52DFF"/>
    <w:rsid w:val="73C0646E"/>
    <w:rsid w:val="73FF1A72"/>
    <w:rsid w:val="742222F5"/>
    <w:rsid w:val="74476126"/>
    <w:rsid w:val="74706664"/>
    <w:rsid w:val="747F3682"/>
    <w:rsid w:val="749C4185"/>
    <w:rsid w:val="75067759"/>
    <w:rsid w:val="752E6DCD"/>
    <w:rsid w:val="755070A7"/>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C8077B"/>
    <w:rsid w:val="77D1700D"/>
    <w:rsid w:val="77D97FE6"/>
    <w:rsid w:val="77EC04CC"/>
    <w:rsid w:val="78344A7C"/>
    <w:rsid w:val="78775729"/>
    <w:rsid w:val="78A42DB0"/>
    <w:rsid w:val="78A656AB"/>
    <w:rsid w:val="78B2245C"/>
    <w:rsid w:val="78E172CC"/>
    <w:rsid w:val="78EA1D1F"/>
    <w:rsid w:val="7904172F"/>
    <w:rsid w:val="790F7E27"/>
    <w:rsid w:val="791A69E7"/>
    <w:rsid w:val="792A231A"/>
    <w:rsid w:val="79316829"/>
    <w:rsid w:val="797E66A9"/>
    <w:rsid w:val="79A97383"/>
    <w:rsid w:val="79AC48E6"/>
    <w:rsid w:val="79E27E8B"/>
    <w:rsid w:val="79F850CE"/>
    <w:rsid w:val="79FD443C"/>
    <w:rsid w:val="7A1D1975"/>
    <w:rsid w:val="7A3E5150"/>
    <w:rsid w:val="7A4670D6"/>
    <w:rsid w:val="7A534B63"/>
    <w:rsid w:val="7A615382"/>
    <w:rsid w:val="7A67303B"/>
    <w:rsid w:val="7AAB1D04"/>
    <w:rsid w:val="7ABA4368"/>
    <w:rsid w:val="7AD05746"/>
    <w:rsid w:val="7B257FFD"/>
    <w:rsid w:val="7B260E5D"/>
    <w:rsid w:val="7B343476"/>
    <w:rsid w:val="7B5A2978"/>
    <w:rsid w:val="7B5A7E4C"/>
    <w:rsid w:val="7B667AF9"/>
    <w:rsid w:val="7B7468F8"/>
    <w:rsid w:val="7BEE0103"/>
    <w:rsid w:val="7C0A0FE4"/>
    <w:rsid w:val="7C254906"/>
    <w:rsid w:val="7C590818"/>
    <w:rsid w:val="7C7C10F6"/>
    <w:rsid w:val="7C815F74"/>
    <w:rsid w:val="7C853BEA"/>
    <w:rsid w:val="7C881368"/>
    <w:rsid w:val="7CBB3253"/>
    <w:rsid w:val="7CE27788"/>
    <w:rsid w:val="7D0646FE"/>
    <w:rsid w:val="7D0C32F1"/>
    <w:rsid w:val="7D0F408D"/>
    <w:rsid w:val="7D491C6C"/>
    <w:rsid w:val="7D5429C0"/>
    <w:rsid w:val="7D6E6D43"/>
    <w:rsid w:val="7DB57A34"/>
    <w:rsid w:val="7DE60973"/>
    <w:rsid w:val="7DEF0916"/>
    <w:rsid w:val="7E1E5218"/>
    <w:rsid w:val="7E3B50E4"/>
    <w:rsid w:val="7E480746"/>
    <w:rsid w:val="7E9A4E1F"/>
    <w:rsid w:val="7EA7723A"/>
    <w:rsid w:val="7EF56FBB"/>
    <w:rsid w:val="7F0768EB"/>
    <w:rsid w:val="7F143BEC"/>
    <w:rsid w:val="7F715AF2"/>
    <w:rsid w:val="7F757BDD"/>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3"/>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7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6">
    <w:name w:val="Normal Indent"/>
    <w:basedOn w:val="1"/>
    <w:link w:val="72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755"/>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31"/>
    <w:qFormat/>
    <w:uiPriority w:val="0"/>
    <w:pPr>
      <w:shd w:val="clear" w:color="auto" w:fill="000080"/>
    </w:pPr>
  </w:style>
  <w:style w:type="paragraph" w:styleId="20">
    <w:name w:val="annotation text"/>
    <w:basedOn w:val="1"/>
    <w:link w:val="858"/>
    <w:qFormat/>
    <w:uiPriority w:val="0"/>
    <w:pPr>
      <w:jc w:val="left"/>
    </w:pPr>
  </w:style>
  <w:style w:type="paragraph" w:styleId="21">
    <w:name w:val="Salutation"/>
    <w:basedOn w:val="1"/>
    <w:next w:val="1"/>
    <w:link w:val="818"/>
    <w:qFormat/>
    <w:uiPriority w:val="0"/>
    <w:rPr>
      <w:rFonts w:ascii="仿宋_GB2312" w:eastAsia="仿宋_GB2312"/>
      <w:sz w:val="28"/>
      <w:szCs w:val="20"/>
    </w:rPr>
  </w:style>
  <w:style w:type="paragraph" w:styleId="22">
    <w:name w:val="Body Text 3"/>
    <w:basedOn w:val="1"/>
    <w:link w:val="846"/>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935"/>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837"/>
    <w:qFormat/>
    <w:uiPriority w:val="0"/>
    <w:pPr>
      <w:ind w:firstLine="420"/>
    </w:pPr>
    <w:rPr>
      <w:rFonts w:hAnsi="Calibri" w:cs="Times New Roman"/>
      <w:szCs w:val="20"/>
    </w:rPr>
  </w:style>
  <w:style w:type="paragraph" w:styleId="26">
    <w:name w:val="toc 6"/>
    <w:basedOn w:val="1"/>
    <w:next w:val="1"/>
    <w:qFormat/>
    <w:uiPriority w:val="0"/>
    <w:pPr>
      <w:ind w:left="2100" w:leftChars="1000"/>
    </w:pPr>
  </w:style>
  <w:style w:type="paragraph" w:styleId="27">
    <w:name w:val="Body Text Indent"/>
    <w:basedOn w:val="1"/>
    <w:next w:val="28"/>
    <w:link w:val="786"/>
    <w:qFormat/>
    <w:uiPriority w:val="0"/>
    <w:pPr>
      <w:spacing w:line="480" w:lineRule="exact"/>
      <w:ind w:firstLine="480" w:firstLineChars="200"/>
    </w:pPr>
    <w:rPr>
      <w:rFonts w:ascii="宋体" w:hAnsi="宋体"/>
      <w:sz w:val="24"/>
    </w:rPr>
  </w:style>
  <w:style w:type="paragraph" w:styleId="28">
    <w:name w:val="Body Text First Indent 2"/>
    <w:basedOn w:val="27"/>
    <w:link w:val="659"/>
    <w:qFormat/>
    <w:uiPriority w:val="0"/>
    <w:pPr>
      <w:adjustRightInd/>
      <w:spacing w:after="120" w:line="240" w:lineRule="auto"/>
      <w:ind w:left="420" w:leftChars="200" w:firstLine="210"/>
    </w:pPr>
    <w:rPr>
      <w:sz w:val="21"/>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747"/>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663"/>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713"/>
    <w:qFormat/>
    <w:uiPriority w:val="0"/>
    <w:pPr>
      <w:ind w:left="100" w:leftChars="2500"/>
    </w:pPr>
    <w:rPr>
      <w:rFonts w:ascii="宋体"/>
      <w:sz w:val="24"/>
      <w:szCs w:val="21"/>
      <w:lang w:val="zh-CN"/>
    </w:rPr>
  </w:style>
  <w:style w:type="paragraph" w:styleId="40">
    <w:name w:val="Body Text Indent 2"/>
    <w:basedOn w:val="1"/>
    <w:link w:val="826"/>
    <w:qFormat/>
    <w:uiPriority w:val="0"/>
    <w:pPr>
      <w:spacing w:line="360" w:lineRule="auto"/>
      <w:ind w:firstLine="601"/>
      <w:textAlignment w:val="baseline"/>
    </w:pPr>
    <w:rPr>
      <w:rFonts w:ascii="宋体"/>
      <w:kern w:val="0"/>
      <w:sz w:val="28"/>
      <w:szCs w:val="20"/>
    </w:rPr>
  </w:style>
  <w:style w:type="paragraph" w:styleId="41">
    <w:name w:val="endnote text"/>
    <w:basedOn w:val="1"/>
    <w:link w:val="943"/>
    <w:qFormat/>
    <w:uiPriority w:val="0"/>
    <w:rPr>
      <w:lang w:val="zh-CN"/>
    </w:rPr>
  </w:style>
  <w:style w:type="paragraph" w:styleId="42">
    <w:name w:val="Balloon Text"/>
    <w:basedOn w:val="1"/>
    <w:link w:val="720"/>
    <w:qFormat/>
    <w:uiPriority w:val="0"/>
    <w:rPr>
      <w:sz w:val="18"/>
      <w:szCs w:val="18"/>
    </w:rPr>
  </w:style>
  <w:style w:type="paragraph" w:styleId="43">
    <w:name w:val="footer"/>
    <w:basedOn w:val="1"/>
    <w:link w:val="894"/>
    <w:qFormat/>
    <w:uiPriority w:val="99"/>
    <w:pPr>
      <w:tabs>
        <w:tab w:val="center" w:pos="4153"/>
        <w:tab w:val="right" w:pos="8306"/>
      </w:tabs>
      <w:snapToGrid w:val="0"/>
      <w:jc w:val="left"/>
    </w:pPr>
    <w:rPr>
      <w:sz w:val="18"/>
      <w:szCs w:val="18"/>
    </w:rPr>
  </w:style>
  <w:style w:type="paragraph" w:styleId="44">
    <w:name w:val="header"/>
    <w:basedOn w:val="1"/>
    <w:link w:val="902"/>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59"/>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7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6"/>
    <w:link w:val="828"/>
    <w:qFormat/>
    <w:uiPriority w:val="0"/>
    <w:pPr>
      <w:adjustRightInd/>
      <w:snapToGrid/>
      <w:spacing w:before="60" w:after="60" w:line="300" w:lineRule="exact"/>
      <w:ind w:firstLine="0"/>
    </w:pPr>
    <w:rPr>
      <w:rFonts w:ascii="Calibri"/>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7"/>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22"/>
    <w:qFormat/>
    <w:uiPriority w:val="0"/>
    <w:pPr>
      <w:spacing w:after="120" w:line="480" w:lineRule="auto"/>
    </w:pPr>
  </w:style>
  <w:style w:type="paragraph" w:styleId="59">
    <w:name w:val="HTML Preformatted"/>
    <w:basedOn w:val="1"/>
    <w:link w:val="8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6"/>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20"/>
    <w:next w:val="20"/>
    <w:link w:val="636"/>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0"/>
    <w:rPr>
      <w:sz w:val="21"/>
      <w:szCs w:val="21"/>
    </w:rPr>
  </w:style>
  <w:style w:type="paragraph" w:customStyle="1" w:styleId="80">
    <w:name w:val="正文1"/>
    <w:basedOn w:val="35"/>
    <w:next w:val="1"/>
    <w:qFormat/>
    <w:uiPriority w:val="0"/>
    <w:pPr>
      <w:ind w:left="0" w:leftChars="0" w:firstLine="480" w:firstLineChars="200"/>
    </w:pPr>
    <w:rPr>
      <w:rFonts w:ascii="仿宋_GB2312" w:hAnsi="Courier New" w:eastAsia="仿宋_GB2312"/>
      <w:kern w:val="28"/>
      <w:sz w:val="24"/>
    </w:rPr>
  </w:style>
  <w:style w:type="paragraph" w:customStyle="1" w:styleId="81">
    <w:name w:val="Default"/>
    <w:link w:val="76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表格非标题文字"/>
    <w:link w:val="625"/>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6"/>
    <w:qFormat/>
    <w:uiPriority w:val="0"/>
    <w:pPr>
      <w:spacing w:line="360" w:lineRule="auto"/>
      <w:ind w:firstLine="420"/>
    </w:pPr>
    <w:rPr>
      <w:rFonts w:ascii="仿宋" w:hAnsi="仿宋" w:eastAsia="仿宋"/>
      <w:sz w:val="24"/>
    </w:rPr>
  </w:style>
  <w:style w:type="paragraph" w:customStyle="1" w:styleId="84">
    <w:name w:val="U_正文"/>
    <w:basedOn w:val="1"/>
    <w:link w:val="634"/>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41"/>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54"/>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8"/>
    <w:qFormat/>
    <w:uiPriority w:val="0"/>
    <w:pPr>
      <w:spacing w:before="156" w:line="360" w:lineRule="auto"/>
      <w:ind w:firstLine="510" w:firstLineChars="200"/>
    </w:pPr>
    <w:rPr>
      <w:sz w:val="24"/>
      <w:szCs w:val="20"/>
    </w:rPr>
  </w:style>
  <w:style w:type="paragraph" w:customStyle="1" w:styleId="88">
    <w:name w:val="无间隔1"/>
    <w:link w:val="676"/>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84"/>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94"/>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4"/>
    <w:link w:val="703"/>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23"/>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9"/>
    <w:qFormat/>
    <w:uiPriority w:val="0"/>
    <w:pPr>
      <w:ind w:left="0" w:right="466" w:firstLine="288"/>
    </w:pPr>
    <w:rPr>
      <w:rFonts w:hAnsi="宋体"/>
    </w:rPr>
  </w:style>
  <w:style w:type="paragraph" w:customStyle="1" w:styleId="95">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7"/>
    <w:link w:val="75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52"/>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正文样式"/>
    <w:basedOn w:val="1"/>
    <w:link w:val="770"/>
    <w:qFormat/>
    <w:uiPriority w:val="0"/>
    <w:pPr>
      <w:adjustRightInd/>
      <w:spacing w:line="360" w:lineRule="auto"/>
      <w:ind w:firstLine="480" w:firstLineChars="200"/>
    </w:pPr>
    <w:rPr>
      <w:kern w:val="0"/>
      <w:sz w:val="24"/>
    </w:rPr>
  </w:style>
  <w:style w:type="paragraph" w:customStyle="1" w:styleId="99">
    <w:name w:val="gf正文1"/>
    <w:basedOn w:val="1"/>
    <w:link w:val="776"/>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列表段落1"/>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801"/>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23"/>
    <w:qFormat/>
    <w:uiPriority w:val="0"/>
    <w:pPr>
      <w:tabs>
        <w:tab w:val="left" w:pos="2356"/>
      </w:tabs>
    </w:pPr>
  </w:style>
  <w:style w:type="paragraph" w:customStyle="1" w:styleId="104">
    <w:name w:val="样式 标题 4h4H4Fab-4T5Ref Heading 1rh1Heading sqlsect 1.2.3...."/>
    <w:basedOn w:val="7"/>
    <w:link w:val="9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6"/>
    <w:qFormat/>
    <w:uiPriority w:val="0"/>
    <w:pPr>
      <w:adjustRightInd/>
    </w:pPr>
    <w:rPr>
      <w:rFonts w:ascii="宋体" w:hAnsi="Courier New"/>
      <w:kern w:val="0"/>
      <w:sz w:val="20"/>
      <w:szCs w:val="20"/>
    </w:rPr>
  </w:style>
  <w:style w:type="paragraph" w:customStyle="1" w:styleId="107">
    <w:name w:val="正文说明"/>
    <w:basedOn w:val="1"/>
    <w:link w:val="848"/>
    <w:qFormat/>
    <w:uiPriority w:val="0"/>
    <w:pPr>
      <w:adjustRightInd/>
      <w:spacing w:line="360" w:lineRule="auto"/>
    </w:pPr>
    <w:rPr>
      <w:kern w:val="0"/>
      <w:sz w:val="24"/>
    </w:rPr>
  </w:style>
  <w:style w:type="paragraph" w:customStyle="1" w:styleId="108">
    <w:name w:val="Table Text"/>
    <w:basedOn w:val="1"/>
    <w:link w:val="854"/>
    <w:qFormat/>
    <w:uiPriority w:val="0"/>
    <w:pPr>
      <w:widowControl/>
      <w:spacing w:before="60" w:after="60"/>
      <w:jc w:val="left"/>
    </w:pPr>
    <w:rPr>
      <w:kern w:val="0"/>
      <w:sz w:val="24"/>
    </w:rPr>
  </w:style>
  <w:style w:type="paragraph" w:customStyle="1" w:styleId="109">
    <w:name w:val="公文正文"/>
    <w:basedOn w:val="1"/>
    <w:link w:val="866"/>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9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9"/>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6"/>
    <w:qFormat/>
    <w:uiPriority w:val="0"/>
    <w:pPr>
      <w:widowControl/>
      <w:snapToGrid w:val="0"/>
      <w:spacing w:after="156" w:afterLines="50"/>
      <w:ind w:firstLine="200" w:firstLineChars="200"/>
    </w:pPr>
    <w:rPr>
      <w:kern w:val="0"/>
      <w:sz w:val="24"/>
      <w:szCs w:val="20"/>
    </w:rPr>
  </w:style>
  <w:style w:type="paragraph" w:customStyle="1" w:styleId="114">
    <w:name w:val="冯广丽"/>
    <w:basedOn w:val="1"/>
    <w:link w:val="909"/>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5"/>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22"/>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6"/>
    <w:link w:val="934"/>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7"/>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312"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qFormat/>
    <w:uiPriority w:val="0"/>
    <w:rPr>
      <w:rFonts w:ascii="仿宋_GB2312" w:eastAsia="仿宋_GB2312"/>
      <w:b/>
      <w:sz w:val="32"/>
      <w:szCs w:val="32"/>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tabs>
        <w:tab w:val="left" w:pos="360"/>
      </w:tabs>
      <w:spacing w:before="0" w:after="0"/>
      <w:outlineLvl w:val="5"/>
    </w:pPr>
  </w:style>
  <w:style w:type="paragraph" w:customStyle="1" w:styleId="158">
    <w:name w:val="5级标题"/>
    <w:basedOn w:val="15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9">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无间隔2"/>
    <w:basedOn w:val="1"/>
    <w:link w:val="944"/>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5"/>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8"/>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5"/>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2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7"/>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81"/>
    <w:next w:val="81"/>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81"/>
    <w:next w:val="81"/>
    <w:qFormat/>
    <w:uiPriority w:val="0"/>
    <w:rPr>
      <w:rFonts w:ascii="宋体" w:eastAsia="宋体" w:cs="Times New Roman"/>
      <w:color w:val="auto"/>
    </w:rPr>
  </w:style>
  <w:style w:type="paragraph" w:customStyle="1" w:styleId="23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156"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8"/>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0">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3"/>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2"/>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156"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0" w:beforeLines="0" w:after="0" w:afterLines="0"/>
      <w:ind w:left="1680"/>
      <w:outlineLvl w:val="2"/>
    </w:pPr>
  </w:style>
  <w:style w:type="paragraph" w:customStyle="1" w:styleId="342">
    <w:name w:val="章标题"/>
    <w:next w:val="32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7"/>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40"/>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5"/>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4"/>
    <w:qFormat/>
    <w:uiPriority w:val="0"/>
    <w:pPr>
      <w:snapToGrid w:val="0"/>
      <w:ind w:firstLine="480" w:firstLineChars="200"/>
    </w:pPr>
    <w:rPr>
      <w:rFonts w:ascii="Times New Roman"/>
      <w:szCs w:val="24"/>
      <w:lang w:val="en-US"/>
    </w:rPr>
  </w:style>
  <w:style w:type="paragraph" w:customStyle="1" w:styleId="45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61"/>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8"/>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1"/>
    <w:basedOn w:val="1"/>
    <w:link w:val="963"/>
    <w:qFormat/>
    <w:uiPriority w:val="99"/>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19"/>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6"/>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2"/>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3"/>
    <w:qFormat/>
    <w:uiPriority w:val="0"/>
    <w:rPr>
      <w:b w:val="0"/>
      <w:sz w:val="20"/>
    </w:rPr>
  </w:style>
  <w:style w:type="paragraph" w:customStyle="1" w:styleId="577">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8"/>
    <w:next w:val="1"/>
    <w:qFormat/>
    <w:uiPriority w:val="0"/>
    <w:pPr>
      <w:tabs>
        <w:tab w:val="left" w:pos="1080"/>
        <w:tab w:val="clear" w:pos="1008"/>
      </w:tabs>
      <w:ind w:left="1080" w:hanging="1080"/>
    </w:pPr>
  </w:style>
  <w:style w:type="paragraph" w:customStyle="1" w:styleId="580">
    <w:name w:val="数字标题1"/>
    <w:basedOn w:val="3"/>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7"/>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6"/>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5"/>
    <w:qFormat/>
    <w:uiPriority w:val="0"/>
    <w:pPr>
      <w:adjustRightInd/>
      <w:spacing w:line="360" w:lineRule="auto"/>
      <w:ind w:firstLine="480" w:firstLineChars="200"/>
    </w:pPr>
    <w:rPr>
      <w:rFonts w:cs="宋体"/>
      <w:sz w:val="24"/>
      <w:szCs w:val="20"/>
    </w:rPr>
  </w:style>
  <w:style w:type="paragraph" w:customStyle="1" w:styleId="606">
    <w:name w:val="_Style 947"/>
    <w:basedOn w:val="1"/>
    <w:next w:val="101"/>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619">
    <w:name w:val="列表段落2"/>
    <w:basedOn w:val="1"/>
    <w:qFormat/>
    <w:uiPriority w:val="99"/>
    <w:pPr>
      <w:ind w:firstLine="420" w:firstLineChars="200"/>
    </w:pPr>
  </w:style>
  <w:style w:type="paragraph" w:customStyle="1" w:styleId="620">
    <w:name w:val="列表段落3"/>
    <w:basedOn w:val="1"/>
    <w:qFormat/>
    <w:uiPriority w:val="0"/>
    <w:pPr>
      <w:ind w:firstLine="420" w:firstLineChars="200"/>
    </w:pPr>
    <w:rPr>
      <w:szCs w:val="20"/>
    </w:rPr>
  </w:style>
  <w:style w:type="paragraph" w:customStyle="1" w:styleId="621">
    <w:name w:val="无间隔3"/>
    <w:qFormat/>
    <w:uiPriority w:val="0"/>
    <w:rPr>
      <w:rFonts w:ascii="Times New Roman" w:hAnsi="Times New Roman" w:eastAsia="??" w:cs="宋体"/>
      <w:sz w:val="22"/>
      <w:szCs w:val="22"/>
      <w:lang w:val="en-US" w:eastAsia="en-US" w:bidi="ar-SA"/>
    </w:rPr>
  </w:style>
  <w:style w:type="paragraph" w:customStyle="1" w:styleId="622">
    <w:name w:val="UserStyle_26"/>
    <w:basedOn w:val="1"/>
    <w:link w:val="964"/>
    <w:qFormat/>
    <w:uiPriority w:val="0"/>
    <w:pPr>
      <w:jc w:val="both"/>
      <w:textAlignment w:val="baseline"/>
    </w:pPr>
  </w:style>
  <w:style w:type="paragraph" w:customStyle="1" w:styleId="623">
    <w:name w:val="BodyText"/>
    <w:basedOn w:val="1"/>
    <w:qFormat/>
    <w:uiPriority w:val="0"/>
    <w:pPr>
      <w:jc w:val="both"/>
      <w:textAlignment w:val="baseline"/>
    </w:pPr>
    <w:rPr>
      <w:rFonts w:ascii="等线" w:hAnsi="等线" w:eastAsia="??"/>
      <w:kern w:val="2"/>
      <w:sz w:val="24"/>
      <w:szCs w:val="28"/>
      <w:lang w:val="en-US" w:eastAsia="zh-CN" w:bidi="ar-SA"/>
    </w:rPr>
  </w:style>
  <w:style w:type="character" w:customStyle="1" w:styleId="624">
    <w:name w:val="标题 2 Char"/>
    <w:qFormat/>
    <w:uiPriority w:val="0"/>
    <w:rPr>
      <w:rFonts w:ascii="Arial" w:hAnsi="Arial" w:eastAsia="黑体"/>
      <w:b/>
      <w:kern w:val="2"/>
      <w:sz w:val="32"/>
      <w:lang w:val="en-US" w:eastAsia="zh-CN"/>
    </w:rPr>
  </w:style>
  <w:style w:type="character" w:customStyle="1" w:styleId="625">
    <w:name w:val="表格非标题文字 Char"/>
    <w:link w:val="82"/>
    <w:qFormat/>
    <w:uiPriority w:val="0"/>
    <w:rPr>
      <w:rFonts w:ascii="Futura Bk" w:hAnsi="Futura Bk"/>
      <w:kern w:val="2"/>
      <w:sz w:val="18"/>
      <w:szCs w:val="21"/>
      <w:lang w:val="en-US" w:eastAsia="zh-CN" w:bidi="ar-SA"/>
    </w:rPr>
  </w:style>
  <w:style w:type="character" w:customStyle="1" w:styleId="626">
    <w:name w:val="*正文 Char"/>
    <w:link w:val="83"/>
    <w:qFormat/>
    <w:locked/>
    <w:uiPriority w:val="0"/>
    <w:rPr>
      <w:rFonts w:ascii="仿宋" w:hAnsi="仿宋" w:eastAsia="仿宋"/>
      <w:kern w:val="2"/>
      <w:sz w:val="24"/>
      <w:szCs w:val="24"/>
    </w:rPr>
  </w:style>
  <w:style w:type="character" w:customStyle="1" w:styleId="627">
    <w:name w:val="Char Char71"/>
    <w:semiHidden/>
    <w:qFormat/>
    <w:uiPriority w:val="0"/>
    <w:rPr>
      <w:rFonts w:eastAsia="宋体"/>
      <w:kern w:val="2"/>
      <w:sz w:val="21"/>
      <w:szCs w:val="24"/>
      <w:lang w:val="en-US" w:eastAsia="zh-CN" w:bidi="ar-SA"/>
    </w:rPr>
  </w:style>
  <w:style w:type="character" w:customStyle="1" w:styleId="628">
    <w:name w:val="Char Char6"/>
    <w:qFormat/>
    <w:uiPriority w:val="0"/>
    <w:rPr>
      <w:rFonts w:eastAsia="宋体"/>
      <w:kern w:val="2"/>
      <w:sz w:val="21"/>
      <w:szCs w:val="24"/>
      <w:lang w:val="en-US" w:eastAsia="zh-CN" w:bidi="ar-SA"/>
    </w:rPr>
  </w:style>
  <w:style w:type="character" w:customStyle="1" w:styleId="629">
    <w:name w:val="正文缩进 Char"/>
    <w:qFormat/>
    <w:uiPriority w:val="0"/>
    <w:rPr>
      <w:rFonts w:eastAsia="宋体"/>
      <w:kern w:val="2"/>
      <w:sz w:val="21"/>
      <w:lang w:val="en-US" w:eastAsia="zh-CN"/>
    </w:rPr>
  </w:style>
  <w:style w:type="character" w:customStyle="1" w:styleId="630">
    <w:name w:val="正文首行缩进 Char1"/>
    <w:qFormat/>
    <w:uiPriority w:val="0"/>
    <w:rPr>
      <w:rFonts w:ascii="宋体" w:hAnsi="Times New Roman" w:eastAsia="宋体" w:cs="Times New Roman"/>
      <w:snapToGrid w:val="0"/>
      <w:kern w:val="2"/>
      <w:sz w:val="24"/>
      <w:szCs w:val="21"/>
      <w:lang w:val="zh-CN"/>
    </w:rPr>
  </w:style>
  <w:style w:type="character" w:customStyle="1" w:styleId="631">
    <w:name w:val="Char Char28"/>
    <w:qFormat/>
    <w:uiPriority w:val="6"/>
    <w:rPr>
      <w:rFonts w:ascii="仿宋_GB2312" w:hAnsi="仿宋_GB2312" w:eastAsia="仿宋_GB2312"/>
      <w:kern w:val="1"/>
      <w:sz w:val="28"/>
    </w:rPr>
  </w:style>
  <w:style w:type="character" w:customStyle="1" w:styleId="63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3">
    <w:name w:val="Heading 1 Char"/>
    <w:qFormat/>
    <w:uiPriority w:val="6"/>
    <w:rPr>
      <w:rFonts w:ascii="Times New Roman" w:hAnsi="Times New Roman" w:eastAsia="黑体" w:cs="Times New Roman"/>
      <w:b/>
      <w:kern w:val="0"/>
      <w:sz w:val="24"/>
      <w:szCs w:val="24"/>
    </w:rPr>
  </w:style>
  <w:style w:type="character" w:customStyle="1" w:styleId="634">
    <w:name w:val="U_正文 Char"/>
    <w:link w:val="84"/>
    <w:qFormat/>
    <w:uiPriority w:val="0"/>
    <w:rPr>
      <w:sz w:val="24"/>
      <w:szCs w:val="24"/>
    </w:rPr>
  </w:style>
  <w:style w:type="character" w:customStyle="1" w:styleId="635">
    <w:name w:val="HTML 地址 Char1"/>
    <w:qFormat/>
    <w:uiPriority w:val="0"/>
    <w:rPr>
      <w:rFonts w:ascii="Times New Roman" w:hAnsi="Times New Roman" w:eastAsia="宋体" w:cs="Times New Roman"/>
      <w:i/>
      <w:iCs/>
      <w:szCs w:val="24"/>
    </w:rPr>
  </w:style>
  <w:style w:type="character" w:customStyle="1" w:styleId="636">
    <w:name w:val="批注主题 字符"/>
    <w:link w:val="62"/>
    <w:qFormat/>
    <w:uiPriority w:val="0"/>
    <w:rPr>
      <w:b/>
      <w:bCs/>
      <w:kern w:val="2"/>
      <w:sz w:val="21"/>
      <w:szCs w:val="24"/>
    </w:rPr>
  </w:style>
  <w:style w:type="character" w:customStyle="1" w:styleId="637">
    <w:name w:val="Char Char51"/>
    <w:qFormat/>
    <w:uiPriority w:val="0"/>
    <w:rPr>
      <w:rFonts w:ascii="宋体" w:hAnsi="Courier New" w:eastAsia="宋体"/>
      <w:kern w:val="2"/>
      <w:sz w:val="21"/>
      <w:lang w:val="en-US" w:eastAsia="zh-CN"/>
    </w:rPr>
  </w:style>
  <w:style w:type="character" w:customStyle="1" w:styleId="638">
    <w:name w:val="表正文 Char"/>
    <w:qFormat/>
    <w:uiPriority w:val="0"/>
    <w:rPr>
      <w:rFonts w:ascii="宋体" w:eastAsia="宋体"/>
      <w:snapToGrid w:val="0"/>
      <w:color w:val="000000"/>
      <w:kern w:val="28"/>
      <w:sz w:val="28"/>
      <w:lang w:val="en-US" w:eastAsia="zh-CN" w:bidi="ar-SA"/>
    </w:rPr>
  </w:style>
  <w:style w:type="character" w:customStyle="1" w:styleId="639">
    <w:name w:val="Char Char34"/>
    <w:qFormat/>
    <w:uiPriority w:val="6"/>
    <w:rPr>
      <w:b/>
      <w:kern w:val="1"/>
      <w:sz w:val="28"/>
      <w:szCs w:val="28"/>
    </w:rPr>
  </w:style>
  <w:style w:type="character" w:customStyle="1" w:styleId="64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1">
    <w:name w:val="哈哈正文 Char"/>
    <w:link w:val="85"/>
    <w:qFormat/>
    <w:uiPriority w:val="0"/>
    <w:rPr>
      <w:rFonts w:ascii="宋体" w:hAnsi="宋体" w:eastAsia="宋体"/>
      <w:kern w:val="2"/>
      <w:sz w:val="24"/>
      <w:lang w:bidi="ar-SA"/>
    </w:rPr>
  </w:style>
  <w:style w:type="character" w:customStyle="1" w:styleId="642">
    <w:name w:val="未处理的提及1"/>
    <w:qFormat/>
    <w:uiPriority w:val="0"/>
    <w:rPr>
      <w:color w:val="808080"/>
      <w:shd w:val="clear" w:color="auto" w:fill="E6E6E6"/>
    </w:rPr>
  </w:style>
  <w:style w:type="character" w:customStyle="1" w:styleId="643">
    <w:name w:val="txt"/>
    <w:qFormat/>
    <w:uiPriority w:val="0"/>
    <w:rPr>
      <w:rFonts w:ascii="仿宋_GB2312" w:eastAsia="微软雅黑"/>
      <w:b/>
      <w:kern w:val="2"/>
      <w:sz w:val="32"/>
      <w:szCs w:val="32"/>
      <w:lang w:val="en-US" w:eastAsia="zh-CN" w:bidi="ar-SA"/>
    </w:rPr>
  </w:style>
  <w:style w:type="character" w:customStyle="1" w:styleId="644">
    <w:name w:val="二级标题 Char Char"/>
    <w:qFormat/>
    <w:uiPriority w:val="0"/>
    <w:rPr>
      <w:rFonts w:ascii="宋体" w:hAnsi="宋体" w:eastAsia="宋体"/>
      <w:b/>
      <w:snapToGrid w:val="0"/>
      <w:kern w:val="2"/>
      <w:sz w:val="24"/>
      <w:szCs w:val="24"/>
      <w:lang w:val="en-US" w:eastAsia="zh-CN" w:bidi="ar-SA"/>
    </w:rPr>
  </w:style>
  <w:style w:type="character" w:customStyle="1" w:styleId="645">
    <w:name w:val="Char Char32"/>
    <w:qFormat/>
    <w:uiPriority w:val="6"/>
    <w:rPr>
      <w:b/>
      <w:kern w:val="1"/>
      <w:sz w:val="24"/>
      <w:szCs w:val="24"/>
    </w:rPr>
  </w:style>
  <w:style w:type="character" w:customStyle="1" w:styleId="646">
    <w:name w:val="PI Char1"/>
    <w:qFormat/>
    <w:uiPriority w:val="0"/>
    <w:rPr>
      <w:rFonts w:ascii="宋体" w:hAnsi="宋体"/>
      <w:kern w:val="2"/>
      <w:sz w:val="24"/>
      <w:szCs w:val="24"/>
    </w:rPr>
  </w:style>
  <w:style w:type="character" w:customStyle="1" w:styleId="647">
    <w:name w:val="tw4winTerm"/>
    <w:qFormat/>
    <w:uiPriority w:val="0"/>
    <w:rPr>
      <w:color w:val="0000FF"/>
    </w:rPr>
  </w:style>
  <w:style w:type="character" w:customStyle="1" w:styleId="648">
    <w:name w:val="Footer Char"/>
    <w:qFormat/>
    <w:locked/>
    <w:uiPriority w:val="0"/>
    <w:rPr>
      <w:rFonts w:eastAsia="宋体"/>
      <w:kern w:val="2"/>
      <w:sz w:val="18"/>
      <w:lang w:val="en-US" w:eastAsia="zh-CN" w:bidi="ar-SA"/>
    </w:rPr>
  </w:style>
  <w:style w:type="character" w:customStyle="1" w:styleId="649">
    <w:name w:val="普通文字 Char Char1"/>
    <w:qFormat/>
    <w:uiPriority w:val="0"/>
    <w:rPr>
      <w:rFonts w:ascii="宋体" w:hAnsi="Courier New"/>
      <w:kern w:val="2"/>
      <w:sz w:val="21"/>
    </w:rPr>
  </w:style>
  <w:style w:type="character" w:customStyle="1" w:styleId="650">
    <w:name w:val="Char Char101"/>
    <w:qFormat/>
    <w:uiPriority w:val="6"/>
    <w:rPr>
      <w:rFonts w:ascii="宋体" w:hAnsi="宋体"/>
      <w:kern w:val="2"/>
      <w:sz w:val="21"/>
      <w:szCs w:val="24"/>
      <w:lang w:val="en-US" w:eastAsia="zh-CN"/>
    </w:rPr>
  </w:style>
  <w:style w:type="character" w:customStyle="1" w:styleId="651">
    <w:name w:val="标题 4 Char"/>
    <w:qFormat/>
    <w:uiPriority w:val="0"/>
    <w:rPr>
      <w:rFonts w:ascii="Arial" w:hAnsi="Arial" w:eastAsia="黑体"/>
      <w:b/>
      <w:kern w:val="2"/>
      <w:sz w:val="28"/>
    </w:rPr>
  </w:style>
  <w:style w:type="character" w:customStyle="1" w:styleId="652">
    <w:name w:val="链接"/>
    <w:qFormat/>
    <w:uiPriority w:val="0"/>
    <w:rPr>
      <w:color w:val="0000FF"/>
      <w:sz w:val="21"/>
      <w:szCs w:val="21"/>
      <w:u w:val="single"/>
    </w:rPr>
  </w:style>
  <w:style w:type="character" w:customStyle="1" w:styleId="653">
    <w:name w:val="h4 Char"/>
    <w:qFormat/>
    <w:uiPriority w:val="0"/>
    <w:rPr>
      <w:rFonts w:ascii="Arial" w:hAnsi="Arial" w:eastAsia="黑体"/>
      <w:b/>
      <w:bCs/>
      <w:kern w:val="2"/>
      <w:sz w:val="28"/>
      <w:szCs w:val="28"/>
      <w:lang w:val="zh-CN" w:eastAsia="zh-CN" w:bidi="ar-SA"/>
    </w:rPr>
  </w:style>
  <w:style w:type="character" w:customStyle="1" w:styleId="654">
    <w:name w:val="5正文 Char"/>
    <w:link w:val="86"/>
    <w:qFormat/>
    <w:uiPriority w:val="0"/>
    <w:rPr>
      <w:rFonts w:ascii="仿宋_GB2312" w:hAnsi="微软雅黑" w:eastAsia="仿宋_GB2312"/>
      <w:sz w:val="28"/>
      <w:szCs w:val="21"/>
    </w:rPr>
  </w:style>
  <w:style w:type="character" w:customStyle="1" w:styleId="655">
    <w:name w:val="标题 3 字符"/>
    <w:qFormat/>
    <w:uiPriority w:val="9"/>
    <w:rPr>
      <w:b/>
      <w:bCs/>
      <w:kern w:val="2"/>
      <w:sz w:val="32"/>
      <w:szCs w:val="32"/>
    </w:rPr>
  </w:style>
  <w:style w:type="character" w:customStyle="1" w:styleId="656">
    <w:name w:val="样式6 Char"/>
    <w:qFormat/>
    <w:uiPriority w:val="0"/>
    <w:rPr>
      <w:rFonts w:ascii="仿宋_GB2312" w:hAnsi="宋体" w:eastAsia="仿宋_GB2312"/>
      <w:b/>
      <w:bCs/>
      <w:kern w:val="2"/>
      <w:sz w:val="24"/>
      <w:szCs w:val="24"/>
      <w:lang w:val="en-US" w:eastAsia="zh-CN" w:bidi="ar-SA"/>
    </w:rPr>
  </w:style>
  <w:style w:type="character" w:customStyle="1" w:styleId="657">
    <w:name w:val="Char Char14"/>
    <w:qFormat/>
    <w:uiPriority w:val="6"/>
    <w:rPr>
      <w:rFonts w:ascii="黑体" w:hAnsi="黑体" w:eastAsia="黑体"/>
    </w:rPr>
  </w:style>
  <w:style w:type="character" w:customStyle="1" w:styleId="658">
    <w:name w:val="Heading 2 Hidden Char"/>
    <w:qFormat/>
    <w:uiPriority w:val="0"/>
    <w:rPr>
      <w:rFonts w:ascii="仿宋_GB2312" w:eastAsia="仿宋_GB2312"/>
      <w:b/>
      <w:bCs/>
      <w:kern w:val="2"/>
      <w:sz w:val="24"/>
      <w:szCs w:val="24"/>
      <w:lang w:val="zh-CN" w:eastAsia="zh-CN" w:bidi="ar-SA"/>
    </w:rPr>
  </w:style>
  <w:style w:type="character" w:customStyle="1" w:styleId="659">
    <w:name w:val="正文文本首行缩进 2 字符"/>
    <w:link w:val="28"/>
    <w:qFormat/>
    <w:uiPriority w:val="0"/>
    <w:rPr>
      <w:rFonts w:ascii="宋体" w:hAnsi="宋体"/>
      <w:kern w:val="2"/>
      <w:sz w:val="21"/>
      <w:szCs w:val="24"/>
    </w:rPr>
  </w:style>
  <w:style w:type="character" w:customStyle="1" w:styleId="660">
    <w:name w:val="font11"/>
    <w:qFormat/>
    <w:uiPriority w:val="0"/>
    <w:rPr>
      <w:rFonts w:hint="default" w:ascii="Times New Roman" w:hAnsi="Times New Roman" w:cs="Times New Roman"/>
      <w:color w:val="000000"/>
      <w:sz w:val="22"/>
      <w:szCs w:val="22"/>
      <w:u w:val="none"/>
    </w:rPr>
  </w:style>
  <w:style w:type="character" w:customStyle="1" w:styleId="661">
    <w:name w:val="表正文 Char1"/>
    <w:qFormat/>
    <w:uiPriority w:val="0"/>
    <w:rPr>
      <w:rFonts w:ascii="宋体" w:eastAsia="宋体"/>
      <w:snapToGrid w:val="0"/>
      <w:color w:val="000000"/>
      <w:kern w:val="28"/>
      <w:sz w:val="28"/>
    </w:rPr>
  </w:style>
  <w:style w:type="character" w:customStyle="1" w:styleId="662">
    <w:name w:val="blue1"/>
    <w:basedOn w:val="70"/>
    <w:qFormat/>
    <w:uiPriority w:val="0"/>
    <w:rPr>
      <w:rFonts w:ascii="Arial" w:hAnsi="Arial" w:eastAsia="黑体" w:cs="Arial"/>
      <w:snapToGrid w:val="0"/>
      <w:kern w:val="0"/>
      <w:szCs w:val="21"/>
    </w:rPr>
  </w:style>
  <w:style w:type="character" w:customStyle="1" w:styleId="663">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664">
    <w:name w:val="标书1 Char"/>
    <w:qFormat/>
    <w:uiPriority w:val="0"/>
    <w:rPr>
      <w:rFonts w:eastAsia="宋体"/>
      <w:b/>
      <w:bCs/>
      <w:kern w:val="44"/>
      <w:sz w:val="44"/>
      <w:szCs w:val="44"/>
      <w:lang w:val="en-US" w:eastAsia="zh-CN" w:bidi="ar-SA"/>
    </w:rPr>
  </w:style>
  <w:style w:type="character" w:customStyle="1" w:styleId="665">
    <w:name w:val="样式5 Char"/>
    <w:qFormat/>
    <w:uiPriority w:val="0"/>
    <w:rPr>
      <w:rFonts w:ascii="仿宋_GB2312" w:hAnsi="仿宋" w:eastAsia="仿宋_GB2312"/>
      <w:kern w:val="2"/>
      <w:sz w:val="24"/>
      <w:szCs w:val="24"/>
    </w:rPr>
  </w:style>
  <w:style w:type="character" w:customStyle="1" w:styleId="666">
    <w:name w:val="样式4 Char"/>
    <w:qFormat/>
    <w:uiPriority w:val="0"/>
    <w:rPr>
      <w:rFonts w:ascii="仿宋_GB2312" w:hAnsi="仿宋" w:eastAsia="仿宋_GB2312"/>
      <w:b/>
      <w:kern w:val="2"/>
      <w:sz w:val="32"/>
      <w:szCs w:val="32"/>
      <w:lang w:bidi="ar-SA"/>
    </w:rPr>
  </w:style>
  <w:style w:type="character" w:customStyle="1" w:styleId="667">
    <w:name w:val="插图说明 Char"/>
    <w:qFormat/>
    <w:uiPriority w:val="0"/>
    <w:rPr>
      <w:rFonts w:eastAsia="黑体"/>
      <w:sz w:val="24"/>
      <w:lang w:val="en-US" w:eastAsia="zh-CN"/>
    </w:rPr>
  </w:style>
  <w:style w:type="character" w:customStyle="1" w:styleId="668">
    <w:name w:val="正文2 Char Char"/>
    <w:link w:val="87"/>
    <w:qFormat/>
    <w:uiPriority w:val="0"/>
    <w:rPr>
      <w:rFonts w:eastAsia="宋体"/>
      <w:kern w:val="2"/>
      <w:sz w:val="24"/>
      <w:lang w:val="en-US" w:eastAsia="zh-CN" w:bidi="ar-SA"/>
    </w:rPr>
  </w:style>
  <w:style w:type="character" w:customStyle="1" w:styleId="669">
    <w:name w:val="Char Char24"/>
    <w:qFormat/>
    <w:uiPriority w:val="6"/>
    <w:rPr>
      <w:kern w:val="1"/>
      <w:sz w:val="21"/>
    </w:rPr>
  </w:style>
  <w:style w:type="character" w:customStyle="1" w:styleId="670">
    <w:name w:val="副标题 字符"/>
    <w:link w:val="50"/>
    <w:qFormat/>
    <w:uiPriority w:val="0"/>
    <w:rPr>
      <w:rFonts w:ascii="Arial" w:hAnsi="Arial" w:eastAsia="隶书"/>
      <w:b/>
      <w:bCs/>
      <w:kern w:val="28"/>
      <w:sz w:val="44"/>
      <w:szCs w:val="32"/>
      <w:lang w:val="en-US" w:eastAsia="zh-CN" w:bidi="ar-SA"/>
    </w:rPr>
  </w:style>
  <w:style w:type="character" w:customStyle="1" w:styleId="671">
    <w:name w:val="普通文字 Char1 Char"/>
    <w:qFormat/>
    <w:uiPriority w:val="0"/>
    <w:rPr>
      <w:rFonts w:ascii="宋体" w:hAnsi="Courier New" w:eastAsia="宋体"/>
      <w:kern w:val="2"/>
      <w:sz w:val="21"/>
      <w:szCs w:val="24"/>
      <w:lang w:val="en-US" w:eastAsia="zh-CN" w:bidi="ar-SA"/>
    </w:rPr>
  </w:style>
  <w:style w:type="character" w:customStyle="1" w:styleId="672">
    <w:name w:val="h3 Char1"/>
    <w:qFormat/>
    <w:uiPriority w:val="0"/>
    <w:rPr>
      <w:rFonts w:eastAsia="宋体"/>
      <w:b/>
      <w:bCs/>
      <w:kern w:val="2"/>
      <w:sz w:val="32"/>
      <w:szCs w:val="32"/>
      <w:lang w:bidi="ar-SA"/>
    </w:rPr>
  </w:style>
  <w:style w:type="character" w:customStyle="1" w:styleId="673">
    <w:name w:val="标题 Char1"/>
    <w:qFormat/>
    <w:uiPriority w:val="0"/>
    <w:rPr>
      <w:rFonts w:ascii="Cambria" w:hAnsi="Cambria" w:eastAsia="宋体" w:cs="Times New Roman"/>
      <w:b/>
      <w:bCs/>
      <w:sz w:val="32"/>
      <w:szCs w:val="32"/>
      <w:lang w:bidi="ar-SA"/>
    </w:rPr>
  </w:style>
  <w:style w:type="character" w:customStyle="1" w:styleId="674">
    <w:name w:val="gf正文1 Char"/>
    <w:qFormat/>
    <w:uiPriority w:val="0"/>
    <w:rPr>
      <w:rFonts w:ascii="宋体" w:hAnsi="宋体" w:eastAsia="宋体" w:cs="宋体"/>
      <w:kern w:val="2"/>
      <w:sz w:val="24"/>
      <w:szCs w:val="24"/>
      <w:lang w:val="en-US" w:eastAsia="zh-CN" w:bidi="ar-SA"/>
    </w:rPr>
  </w:style>
  <w:style w:type="character" w:customStyle="1" w:styleId="675">
    <w:name w:val="正文文本缩进 Char1"/>
    <w:qFormat/>
    <w:uiPriority w:val="0"/>
    <w:rPr>
      <w:rFonts w:ascii="Calibri" w:hAnsi="Calibri"/>
      <w:sz w:val="28"/>
    </w:rPr>
  </w:style>
  <w:style w:type="character" w:customStyle="1" w:styleId="676">
    <w:name w:val="No Spacing Char"/>
    <w:link w:val="88"/>
    <w:qFormat/>
    <w:uiPriority w:val="1"/>
    <w:rPr>
      <w:sz w:val="22"/>
      <w:szCs w:val="22"/>
      <w:lang w:val="en-US" w:eastAsia="zh-CN" w:bidi="ar-SA"/>
    </w:rPr>
  </w:style>
  <w:style w:type="character" w:customStyle="1" w:styleId="677">
    <w:name w:val="样式7 Char"/>
    <w:qFormat/>
    <w:uiPriority w:val="0"/>
    <w:rPr>
      <w:rFonts w:ascii="仿宋_GB2312" w:hAnsi="仿宋" w:eastAsia="仿宋_GB2312"/>
      <w:b/>
      <w:kern w:val="2"/>
      <w:sz w:val="24"/>
      <w:szCs w:val="24"/>
    </w:rPr>
  </w:style>
  <w:style w:type="character" w:customStyle="1" w:styleId="678">
    <w:name w:val="font12gray1"/>
    <w:qFormat/>
    <w:uiPriority w:val="0"/>
    <w:rPr>
      <w:rFonts w:ascii="仿宋_GB2312" w:eastAsia="微软雅黑"/>
      <w:b/>
      <w:spacing w:val="300"/>
      <w:kern w:val="2"/>
      <w:sz w:val="18"/>
      <w:szCs w:val="18"/>
      <w:lang w:val="en-US" w:eastAsia="zh-CN" w:bidi="ar-SA"/>
    </w:rPr>
  </w:style>
  <w:style w:type="character" w:customStyle="1" w:styleId="679">
    <w:name w:val="Char Char7"/>
    <w:semiHidden/>
    <w:qFormat/>
    <w:uiPriority w:val="0"/>
    <w:rPr>
      <w:rFonts w:eastAsia="宋体"/>
      <w:kern w:val="2"/>
      <w:sz w:val="21"/>
      <w:szCs w:val="24"/>
      <w:lang w:val="en-US" w:eastAsia="zh-CN" w:bidi="ar-SA"/>
    </w:rPr>
  </w:style>
  <w:style w:type="character" w:customStyle="1" w:styleId="680">
    <w:name w:val="表名 Char"/>
    <w:qFormat/>
    <w:uiPriority w:val="0"/>
    <w:rPr>
      <w:rFonts w:eastAsia="宋体"/>
      <w:b/>
      <w:bCs/>
      <w:kern w:val="2"/>
      <w:sz w:val="24"/>
      <w:szCs w:val="24"/>
      <w:lang w:val="en-US" w:eastAsia="zh-CN" w:bidi="ar-SA"/>
    </w:rPr>
  </w:style>
  <w:style w:type="character" w:customStyle="1" w:styleId="681">
    <w:name w:val="Document Map Char"/>
    <w:qFormat/>
    <w:locked/>
    <w:uiPriority w:val="0"/>
    <w:rPr>
      <w:rFonts w:eastAsia="宋体"/>
      <w:kern w:val="2"/>
      <w:sz w:val="21"/>
      <w:szCs w:val="24"/>
      <w:lang w:val="en-US" w:eastAsia="zh-CN" w:bidi="ar-SA"/>
    </w:rPr>
  </w:style>
  <w:style w:type="character" w:customStyle="1" w:styleId="682">
    <w:name w:val="font41"/>
    <w:qFormat/>
    <w:uiPriority w:val="0"/>
    <w:rPr>
      <w:rFonts w:hint="eastAsia" w:ascii="仿宋_GB2312" w:eastAsia="仿宋_GB2312" w:cs="仿宋_GB2312"/>
      <w:color w:val="000000"/>
      <w:sz w:val="22"/>
      <w:szCs w:val="22"/>
      <w:u w:val="none"/>
    </w:rPr>
  </w:style>
  <w:style w:type="character" w:customStyle="1" w:styleId="683">
    <w:name w:val="标题 6 字符"/>
    <w:link w:val="9"/>
    <w:qFormat/>
    <w:uiPriority w:val="0"/>
    <w:rPr>
      <w:rFonts w:ascii="Arial" w:hAnsi="Arial" w:eastAsia="黑体"/>
      <w:b/>
      <w:bCs/>
      <w:kern w:val="2"/>
      <w:sz w:val="24"/>
      <w:szCs w:val="24"/>
    </w:rPr>
  </w:style>
  <w:style w:type="character" w:customStyle="1" w:styleId="684">
    <w:name w:val="纯文本 Char_0"/>
    <w:link w:val="89"/>
    <w:qFormat/>
    <w:uiPriority w:val="0"/>
    <w:rPr>
      <w:rFonts w:ascii="宋体" w:hAnsi="Courier New"/>
      <w:kern w:val="2"/>
      <w:sz w:val="21"/>
      <w:szCs w:val="21"/>
      <w:lang w:val="en-US" w:eastAsia="zh-CN"/>
    </w:rPr>
  </w:style>
  <w:style w:type="character" w:customStyle="1" w:styleId="685">
    <w:name w:val="Balloon Text Char"/>
    <w:qFormat/>
    <w:locked/>
    <w:uiPriority w:val="0"/>
    <w:rPr>
      <w:rFonts w:eastAsia="宋体"/>
      <w:kern w:val="2"/>
      <w:sz w:val="18"/>
      <w:szCs w:val="18"/>
      <w:lang w:val="en-US" w:eastAsia="zh-CN" w:bidi="ar-SA"/>
    </w:rPr>
  </w:style>
  <w:style w:type="character" w:customStyle="1" w:styleId="686">
    <w:name w:val="正文 项目2 Char"/>
    <w:basedOn w:val="687"/>
    <w:qFormat/>
    <w:uiPriority w:val="0"/>
    <w:rPr>
      <w:rFonts w:ascii="仿宋_GB2312" w:hAnsi="仿宋_GB2312" w:eastAsia="仿宋_GB2312"/>
      <w:kern w:val="2"/>
      <w:sz w:val="24"/>
      <w:lang w:bidi="ar-SA"/>
    </w:rPr>
  </w:style>
  <w:style w:type="character" w:customStyle="1" w:styleId="687">
    <w:name w:val="正文 项目 Char"/>
    <w:qFormat/>
    <w:uiPriority w:val="0"/>
    <w:rPr>
      <w:rFonts w:ascii="仿宋_GB2312" w:hAnsi="仿宋_GB2312" w:eastAsia="仿宋_GB2312"/>
      <w:kern w:val="2"/>
      <w:sz w:val="24"/>
      <w:lang w:bidi="ar-SA"/>
    </w:rPr>
  </w:style>
  <w:style w:type="character" w:customStyle="1" w:styleId="688">
    <w:name w:val="h Char Char1"/>
    <w:qFormat/>
    <w:uiPriority w:val="0"/>
    <w:rPr>
      <w:rFonts w:eastAsia="宋体"/>
      <w:kern w:val="2"/>
      <w:sz w:val="18"/>
      <w:szCs w:val="18"/>
      <w:lang w:val="en-US" w:eastAsia="zh-CN" w:bidi="ar-SA"/>
    </w:rPr>
  </w:style>
  <w:style w:type="character" w:customStyle="1" w:styleId="689">
    <w:name w:val="Char Char27"/>
    <w:qFormat/>
    <w:uiPriority w:val="6"/>
    <w:rPr>
      <w:rFonts w:ascii="宋体" w:hAnsi="宋体" w:eastAsia="宋体"/>
      <w:color w:val="000000"/>
      <w:kern w:val="1"/>
      <w:sz w:val="28"/>
      <w:lang w:val="en-US" w:eastAsia="zh-CN" w:bidi="ar-SA"/>
    </w:rPr>
  </w:style>
  <w:style w:type="character" w:customStyle="1" w:styleId="690">
    <w:name w:val="px14"/>
    <w:qFormat/>
    <w:uiPriority w:val="0"/>
    <w:rPr>
      <w:rFonts w:ascii="仿宋_GB2312" w:eastAsia="微软雅黑" w:cs="Times New Roman"/>
      <w:b/>
      <w:kern w:val="2"/>
      <w:sz w:val="32"/>
      <w:szCs w:val="32"/>
      <w:lang w:val="en-US" w:eastAsia="zh-CN" w:bidi="ar-SA"/>
    </w:rPr>
  </w:style>
  <w:style w:type="character" w:customStyle="1" w:styleId="691">
    <w:name w:val="HTML 预设格式 Char1"/>
    <w:qFormat/>
    <w:uiPriority w:val="0"/>
    <w:rPr>
      <w:rFonts w:ascii="Courier New" w:hAnsi="Courier New" w:eastAsia="宋体" w:cs="Courier New"/>
      <w:sz w:val="20"/>
      <w:szCs w:val="20"/>
    </w:rPr>
  </w:style>
  <w:style w:type="character" w:customStyle="1" w:styleId="692">
    <w:name w:val="普通文字 Char1"/>
    <w:qFormat/>
    <w:uiPriority w:val="0"/>
    <w:rPr>
      <w:rFonts w:ascii="宋体" w:hAnsi="Courier New" w:eastAsia="宋体"/>
      <w:kern w:val="2"/>
      <w:sz w:val="21"/>
      <w:lang w:val="en-US" w:eastAsia="zh-CN"/>
    </w:rPr>
  </w:style>
  <w:style w:type="character" w:customStyle="1" w:styleId="693">
    <w:name w:val="hei16b1"/>
    <w:qFormat/>
    <w:uiPriority w:val="0"/>
    <w:rPr>
      <w:rFonts w:hint="default" w:ascii="Arial" w:hAnsi="Arial" w:cs="Arial"/>
      <w:b/>
      <w:bCs/>
      <w:color w:val="000000"/>
      <w:sz w:val="24"/>
      <w:szCs w:val="24"/>
    </w:rPr>
  </w:style>
  <w:style w:type="character" w:customStyle="1" w:styleId="694">
    <w:name w:val="正文（绿盟科技） Char"/>
    <w:link w:val="91"/>
    <w:qFormat/>
    <w:uiPriority w:val="0"/>
    <w:rPr>
      <w:rFonts w:ascii="Arial" w:hAnsi="Arial"/>
      <w:sz w:val="21"/>
      <w:szCs w:val="21"/>
    </w:rPr>
  </w:style>
  <w:style w:type="character" w:customStyle="1" w:styleId="695">
    <w:name w:val="Char Char19"/>
    <w:qFormat/>
    <w:uiPriority w:val="6"/>
    <w:rPr>
      <w:rFonts w:ascii="宋体" w:hAnsi="宋体"/>
      <w:i/>
      <w:sz w:val="24"/>
      <w:szCs w:val="24"/>
    </w:rPr>
  </w:style>
  <w:style w:type="character" w:customStyle="1" w:styleId="696">
    <w:name w:val="页脚 Char"/>
    <w:qFormat/>
    <w:uiPriority w:val="0"/>
    <w:rPr>
      <w:rFonts w:eastAsia="仿宋_GB2312"/>
      <w:kern w:val="2"/>
      <w:sz w:val="18"/>
      <w:lang w:val="en-US" w:eastAsia="zh-CN"/>
    </w:rPr>
  </w:style>
  <w:style w:type="character" w:customStyle="1" w:styleId="697">
    <w:name w:val="批注主题 Char"/>
    <w:qFormat/>
    <w:uiPriority w:val="0"/>
    <w:rPr>
      <w:rFonts w:eastAsia="宋体"/>
      <w:b/>
      <w:bCs/>
      <w:kern w:val="2"/>
      <w:sz w:val="21"/>
      <w:szCs w:val="24"/>
      <w:lang w:val="en-US" w:eastAsia="zh-CN" w:bidi="ar-SA"/>
    </w:rPr>
  </w:style>
  <w:style w:type="character" w:customStyle="1" w:styleId="698">
    <w:name w:val="Comment Text Char"/>
    <w:qFormat/>
    <w:locked/>
    <w:uiPriority w:val="0"/>
    <w:rPr>
      <w:rFonts w:ascii="宋体" w:hAnsi="宋体" w:eastAsia="宋体"/>
      <w:kern w:val="2"/>
      <w:sz w:val="24"/>
      <w:lang w:val="en-US" w:eastAsia="zh-CN" w:bidi="ar-SA"/>
    </w:rPr>
  </w:style>
  <w:style w:type="character" w:customStyle="1" w:styleId="699">
    <w:name w:val="标题 2 字符"/>
    <w:qFormat/>
    <w:uiPriority w:val="1"/>
    <w:rPr>
      <w:rFonts w:ascii="仿宋_GB2312" w:hAnsi="Times New Roman" w:eastAsia="仿宋_GB2312" w:cs="Times New Roman"/>
      <w:b/>
      <w:kern w:val="2"/>
      <w:sz w:val="24"/>
      <w:lang w:val="zh-CN"/>
    </w:rPr>
  </w:style>
  <w:style w:type="character" w:customStyle="1" w:styleId="700">
    <w:name w:val="Char Char72"/>
    <w:qFormat/>
    <w:uiPriority w:val="0"/>
    <w:rPr>
      <w:rFonts w:eastAsia="宋体"/>
      <w:kern w:val="2"/>
      <w:sz w:val="21"/>
      <w:szCs w:val="24"/>
      <w:lang w:val="en-US" w:eastAsia="zh-CN" w:bidi="ar-SA"/>
    </w:rPr>
  </w:style>
  <w:style w:type="character" w:customStyle="1" w:styleId="701">
    <w:name w:val="正文文本缩进 Char2"/>
    <w:qFormat/>
    <w:uiPriority w:val="0"/>
    <w:rPr>
      <w:rFonts w:ascii="Times New Roman" w:hAnsi="Times New Roman" w:eastAsia="宋体" w:cs="Times New Roman"/>
      <w:snapToGrid w:val="0"/>
      <w:kern w:val="0"/>
      <w:szCs w:val="24"/>
    </w:rPr>
  </w:style>
  <w:style w:type="character" w:customStyle="1" w:styleId="702">
    <w:name w:val="样式2 Char"/>
    <w:qFormat/>
    <w:uiPriority w:val="0"/>
    <w:rPr>
      <w:rFonts w:ascii="仿宋_GB2312" w:hAnsi="仿宋" w:eastAsia="仿宋_GB2312" w:cs="仿宋_GB2312"/>
      <w:b/>
      <w:bCs/>
      <w:sz w:val="32"/>
      <w:szCs w:val="30"/>
      <w:lang w:val="zh-CN"/>
    </w:rPr>
  </w:style>
  <w:style w:type="character" w:customStyle="1" w:styleId="703">
    <w:name w:val="表格名称[858D7CFB-ED40-4347-BF05-701D383B685F]"/>
    <w:link w:val="92"/>
    <w:qFormat/>
    <w:uiPriority w:val="0"/>
    <w:rPr>
      <w:sz w:val="32"/>
    </w:rPr>
  </w:style>
  <w:style w:type="character" w:customStyle="1" w:styleId="704">
    <w:name w:val="Char Char4"/>
    <w:qFormat/>
    <w:uiPriority w:val="0"/>
    <w:rPr>
      <w:rFonts w:eastAsia="宋体"/>
      <w:b/>
      <w:sz w:val="24"/>
      <w:lang w:eastAsia="zh-CN" w:bidi="ar-SA"/>
    </w:rPr>
  </w:style>
  <w:style w:type="character" w:customStyle="1" w:styleId="705">
    <w:name w:val="c7 style3"/>
    <w:qFormat/>
    <w:uiPriority w:val="0"/>
  </w:style>
  <w:style w:type="character" w:customStyle="1" w:styleId="706">
    <w:name w:val="正文文本 3 Char1"/>
    <w:semiHidden/>
    <w:qFormat/>
    <w:uiPriority w:val="99"/>
    <w:rPr>
      <w:rFonts w:ascii="Times New Roman" w:hAnsi="Times New Roman" w:eastAsia="宋体" w:cs="Times New Roman"/>
      <w:sz w:val="16"/>
      <w:szCs w:val="16"/>
    </w:rPr>
  </w:style>
  <w:style w:type="character" w:customStyle="1" w:styleId="707">
    <w:name w:val="tw4winInternal"/>
    <w:qFormat/>
    <w:uiPriority w:val="0"/>
    <w:rPr>
      <w:rFonts w:ascii="Courier New" w:hAnsi="Courier New" w:cs="Courier New"/>
      <w:color w:val="FF0000"/>
      <w:lang w:val="en-US" w:eastAsia="zh-CN"/>
    </w:rPr>
  </w:style>
  <w:style w:type="character" w:customStyle="1" w:styleId="708">
    <w:name w:val="Char Char10"/>
    <w:semiHidden/>
    <w:qFormat/>
    <w:uiPriority w:val="0"/>
    <w:rPr>
      <w:rFonts w:ascii="宋体" w:hAnsi="宋体"/>
      <w:kern w:val="2"/>
      <w:sz w:val="21"/>
      <w:szCs w:val="24"/>
      <w:lang w:val="en-US" w:eastAsia="zh-CN"/>
    </w:rPr>
  </w:style>
  <w:style w:type="character" w:customStyle="1" w:styleId="709">
    <w:name w:val="shadow11"/>
    <w:qFormat/>
    <w:uiPriority w:val="0"/>
    <w:rPr>
      <w:color w:val="000000"/>
      <w:sz w:val="21"/>
    </w:rPr>
  </w:style>
  <w:style w:type="character" w:customStyle="1" w:styleId="710">
    <w:name w:val="正文非缩进 Char3"/>
    <w:qFormat/>
    <w:uiPriority w:val="0"/>
    <w:rPr>
      <w:rFonts w:ascii="宋体" w:eastAsia="宋体"/>
      <w:snapToGrid w:val="0"/>
      <w:color w:val="000000"/>
      <w:kern w:val="28"/>
      <w:sz w:val="28"/>
      <w:lang w:val="en-US" w:eastAsia="zh-CN" w:bidi="ar-SA"/>
    </w:rPr>
  </w:style>
  <w:style w:type="character" w:customStyle="1" w:styleId="711">
    <w:name w:val="Char Char"/>
    <w:qFormat/>
    <w:uiPriority w:val="0"/>
    <w:rPr>
      <w:rFonts w:ascii="宋体" w:hAnsi="Courier New" w:eastAsia="宋体"/>
      <w:kern w:val="2"/>
      <w:sz w:val="21"/>
      <w:lang w:val="en-US" w:eastAsia="zh-CN" w:bidi="ar-SA"/>
    </w:rPr>
  </w:style>
  <w:style w:type="character" w:customStyle="1" w:styleId="712">
    <w:name w:val="签名 Char1"/>
    <w:qFormat/>
    <w:uiPriority w:val="0"/>
    <w:rPr>
      <w:rFonts w:ascii="Times New Roman" w:hAnsi="Times New Roman" w:eastAsia="宋体" w:cs="Times New Roman"/>
      <w:szCs w:val="24"/>
    </w:rPr>
  </w:style>
  <w:style w:type="character" w:customStyle="1" w:styleId="713">
    <w:name w:val="日期 字符"/>
    <w:link w:val="39"/>
    <w:qFormat/>
    <w:uiPriority w:val="0"/>
    <w:rPr>
      <w:rFonts w:ascii="宋体"/>
      <w:kern w:val="2"/>
      <w:sz w:val="24"/>
      <w:szCs w:val="21"/>
      <w:lang w:val="zh-CN"/>
    </w:rPr>
  </w:style>
  <w:style w:type="character" w:customStyle="1" w:styleId="714">
    <w:name w:val="标题 9 字符"/>
    <w:link w:val="12"/>
    <w:qFormat/>
    <w:uiPriority w:val="0"/>
    <w:rPr>
      <w:rFonts w:ascii="Arial" w:hAnsi="Arial" w:eastAsia="黑体"/>
      <w:kern w:val="2"/>
      <w:sz w:val="21"/>
      <w:szCs w:val="21"/>
    </w:rPr>
  </w:style>
  <w:style w:type="character" w:customStyle="1" w:styleId="715">
    <w:name w:val="Char Char18"/>
    <w:qFormat/>
    <w:uiPriority w:val="6"/>
    <w:rPr>
      <w:rFonts w:ascii="宋体" w:hAnsi="宋体"/>
      <w:sz w:val="28"/>
    </w:rPr>
  </w:style>
  <w:style w:type="character" w:customStyle="1" w:styleId="716">
    <w:name w:val="批注文字 Char"/>
    <w:qFormat/>
    <w:uiPriority w:val="99"/>
    <w:rPr>
      <w:kern w:val="2"/>
      <w:sz w:val="21"/>
      <w:szCs w:val="24"/>
    </w:rPr>
  </w:style>
  <w:style w:type="character" w:customStyle="1" w:styleId="717">
    <w:name w:val="Char Char22"/>
    <w:qFormat/>
    <w:uiPriority w:val="6"/>
    <w:rPr>
      <w:rFonts w:ascii="宋体" w:hAnsi="宋体"/>
      <w:kern w:val="1"/>
      <w:sz w:val="24"/>
      <w:szCs w:val="24"/>
    </w:rPr>
  </w:style>
  <w:style w:type="character" w:customStyle="1" w:styleId="718">
    <w:name w:val="pt141"/>
    <w:qFormat/>
    <w:uiPriority w:val="0"/>
    <w:rPr>
      <w:color w:val="330066"/>
      <w:sz w:val="22"/>
      <w:szCs w:val="22"/>
    </w:rPr>
  </w:style>
  <w:style w:type="character" w:customStyle="1" w:styleId="719">
    <w:name w:val="正文文本缩进 2 Char1"/>
    <w:semiHidden/>
    <w:qFormat/>
    <w:uiPriority w:val="99"/>
    <w:rPr>
      <w:rFonts w:ascii="Times New Roman" w:hAnsi="Times New Roman" w:eastAsia="宋体" w:cs="Times New Roman"/>
      <w:szCs w:val="24"/>
    </w:rPr>
  </w:style>
  <w:style w:type="character" w:customStyle="1" w:styleId="720">
    <w:name w:val="批注框文本 字符1"/>
    <w:link w:val="42"/>
    <w:qFormat/>
    <w:uiPriority w:val="0"/>
    <w:rPr>
      <w:kern w:val="2"/>
      <w:sz w:val="18"/>
      <w:szCs w:val="18"/>
    </w:rPr>
  </w:style>
  <w:style w:type="character" w:customStyle="1" w:styleId="721">
    <w:name w:val="Char Char611"/>
    <w:qFormat/>
    <w:uiPriority w:val="0"/>
    <w:rPr>
      <w:rFonts w:eastAsia="宋体"/>
      <w:kern w:val="2"/>
      <w:sz w:val="21"/>
      <w:szCs w:val="24"/>
      <w:lang w:val="en-US" w:eastAsia="zh-CN" w:bidi="ar-SA"/>
    </w:rPr>
  </w:style>
  <w:style w:type="character" w:customStyle="1" w:styleId="722">
    <w:name w:val="highlight1"/>
    <w:qFormat/>
    <w:uiPriority w:val="0"/>
    <w:rPr>
      <w:rFonts w:ascii="仿宋_GB2312" w:eastAsia="微软雅黑"/>
      <w:b/>
      <w:kern w:val="2"/>
      <w:sz w:val="23"/>
      <w:szCs w:val="23"/>
      <w:lang w:val="en-US" w:eastAsia="zh-CN" w:bidi="ar-SA"/>
    </w:rPr>
  </w:style>
  <w:style w:type="character" w:customStyle="1" w:styleId="723">
    <w:name w:val="my正文 Char"/>
    <w:link w:val="93"/>
    <w:qFormat/>
    <w:locked/>
    <w:uiPriority w:val="0"/>
    <w:rPr>
      <w:rFonts w:ascii="Tahoma" w:hAnsi="Tahoma"/>
      <w:sz w:val="24"/>
      <w:szCs w:val="24"/>
    </w:rPr>
  </w:style>
  <w:style w:type="character" w:customStyle="1" w:styleId="724">
    <w:name w:val="正文缩进 字符2"/>
    <w:link w:val="6"/>
    <w:qFormat/>
    <w:uiPriority w:val="0"/>
    <w:rPr>
      <w:rFonts w:ascii="宋体" w:eastAsia="宋体"/>
      <w:snapToGrid w:val="0"/>
      <w:color w:val="000000"/>
      <w:kern w:val="28"/>
      <w:sz w:val="28"/>
      <w:lang w:val="en-US" w:eastAsia="zh-CN" w:bidi="ar-SA"/>
    </w:rPr>
  </w:style>
  <w:style w:type="character" w:customStyle="1" w:styleId="725">
    <w:name w:val="Used by Word for text of Help footnotes Char Char1"/>
    <w:qFormat/>
    <w:uiPriority w:val="0"/>
    <w:rPr>
      <w:color w:val="0000FF"/>
      <w:sz w:val="21"/>
    </w:rPr>
  </w:style>
  <w:style w:type="character" w:customStyle="1" w:styleId="726">
    <w:name w:val="页眉 Char"/>
    <w:qFormat/>
    <w:uiPriority w:val="0"/>
    <w:rPr>
      <w:rFonts w:eastAsia="仿宋_GB2312"/>
      <w:kern w:val="2"/>
      <w:sz w:val="18"/>
      <w:lang w:val="en-US" w:eastAsia="zh-CN"/>
    </w:rPr>
  </w:style>
  <w:style w:type="character" w:customStyle="1" w:styleId="727">
    <w:name w:val="FA正文 Char Char"/>
    <w:qFormat/>
    <w:uiPriority w:val="0"/>
    <w:rPr>
      <w:rFonts w:hAnsi="宋体"/>
      <w:kern w:val="2"/>
      <w:sz w:val="24"/>
      <w:lang w:bidi="ar-SA"/>
    </w:rPr>
  </w:style>
  <w:style w:type="character" w:customStyle="1" w:styleId="728">
    <w:name w:val="纯文本 字符"/>
    <w:qFormat/>
    <w:uiPriority w:val="0"/>
    <w:rPr>
      <w:rFonts w:ascii="宋体" w:hAnsi="Courier New" w:eastAsia="宋体" w:cs="Arial"/>
      <w:snapToGrid w:val="0"/>
      <w:kern w:val="2"/>
      <w:sz w:val="21"/>
      <w:szCs w:val="21"/>
      <w:lang w:val="en-US" w:eastAsia="zh-CN" w:bidi="ar-SA"/>
    </w:rPr>
  </w:style>
  <w:style w:type="character" w:customStyle="1" w:styleId="729">
    <w:name w:val="3级 Char"/>
    <w:link w:val="94"/>
    <w:qFormat/>
    <w:uiPriority w:val="0"/>
    <w:rPr>
      <w:rFonts w:ascii="宋体" w:hAnsi="宋体"/>
      <w:b/>
      <w:bCs/>
      <w:sz w:val="28"/>
    </w:rPr>
  </w:style>
  <w:style w:type="character" w:customStyle="1" w:styleId="730">
    <w:name w:val="myp11"/>
    <w:qFormat/>
    <w:uiPriority w:val="0"/>
    <w:rPr>
      <w:rFonts w:ascii="仿宋_GB2312" w:eastAsia="微软雅黑"/>
      <w:b/>
      <w:kern w:val="2"/>
      <w:sz w:val="32"/>
      <w:szCs w:val="32"/>
      <w:lang w:val="en-US" w:eastAsia="zh-CN" w:bidi="ar-SA"/>
    </w:rPr>
  </w:style>
  <w:style w:type="character" w:customStyle="1" w:styleId="731">
    <w:name w:val="文档结构图 字符"/>
    <w:link w:val="19"/>
    <w:qFormat/>
    <w:uiPriority w:val="0"/>
    <w:rPr>
      <w:kern w:val="2"/>
      <w:sz w:val="21"/>
      <w:szCs w:val="24"/>
      <w:shd w:val="clear" w:color="auto" w:fill="000080"/>
    </w:rPr>
  </w:style>
  <w:style w:type="character" w:customStyle="1" w:styleId="732">
    <w:name w:val="H6 Char"/>
    <w:qFormat/>
    <w:uiPriority w:val="0"/>
    <w:rPr>
      <w:rFonts w:ascii="Arial" w:hAnsi="Arial" w:eastAsia="黑体"/>
      <w:b/>
      <w:bCs/>
      <w:kern w:val="2"/>
      <w:sz w:val="24"/>
      <w:szCs w:val="24"/>
    </w:rPr>
  </w:style>
  <w:style w:type="character" w:customStyle="1" w:styleId="733">
    <w:name w:val="Char Char91"/>
    <w:qFormat/>
    <w:uiPriority w:val="0"/>
    <w:rPr>
      <w:rFonts w:eastAsia="宋体"/>
      <w:kern w:val="2"/>
      <w:sz w:val="18"/>
      <w:szCs w:val="18"/>
      <w:lang w:val="en-US" w:eastAsia="zh-CN" w:bidi="ar-SA"/>
    </w:rPr>
  </w:style>
  <w:style w:type="character" w:customStyle="1" w:styleId="734">
    <w:name w:val="副标题 Char1"/>
    <w:qFormat/>
    <w:uiPriority w:val="0"/>
    <w:rPr>
      <w:rFonts w:ascii="Cambria" w:hAnsi="Cambria" w:eastAsia="宋体" w:cs="Times New Roman"/>
      <w:b/>
      <w:bCs/>
      <w:snapToGrid w:val="0"/>
      <w:kern w:val="28"/>
      <w:sz w:val="32"/>
      <w:szCs w:val="32"/>
    </w:rPr>
  </w:style>
  <w:style w:type="character" w:customStyle="1" w:styleId="735">
    <w:name w:val="font61"/>
    <w:qFormat/>
    <w:uiPriority w:val="0"/>
    <w:rPr>
      <w:rFonts w:hint="eastAsia" w:ascii="仿宋" w:hAnsi="仿宋" w:eastAsia="仿宋" w:cs="仿宋"/>
      <w:color w:val="000000"/>
      <w:sz w:val="20"/>
      <w:szCs w:val="20"/>
      <w:u w:val="none"/>
    </w:rPr>
  </w:style>
  <w:style w:type="character" w:customStyle="1" w:styleId="73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7">
    <w:name w:val="Char Char211"/>
    <w:qFormat/>
    <w:uiPriority w:val="0"/>
    <w:rPr>
      <w:rFonts w:eastAsia="宋体"/>
      <w:b/>
      <w:bCs/>
      <w:kern w:val="2"/>
      <w:sz w:val="21"/>
      <w:szCs w:val="24"/>
      <w:lang w:val="en-US" w:eastAsia="zh-CN" w:bidi="ar-SA"/>
    </w:rPr>
  </w:style>
  <w:style w:type="character" w:customStyle="1" w:styleId="738">
    <w:name w:val="maywed421"/>
    <w:qFormat/>
    <w:uiPriority w:val="0"/>
    <w:rPr>
      <w:color w:val="366FB6"/>
      <w:u w:val="none"/>
    </w:rPr>
  </w:style>
  <w:style w:type="character" w:customStyle="1" w:styleId="739">
    <w:name w:val="正文文本缩进 Char"/>
    <w:qFormat/>
    <w:uiPriority w:val="0"/>
    <w:rPr>
      <w:rFonts w:ascii="宋体" w:hAnsi="宋体"/>
      <w:kern w:val="2"/>
      <w:sz w:val="24"/>
      <w:szCs w:val="24"/>
    </w:rPr>
  </w:style>
  <w:style w:type="character" w:customStyle="1" w:styleId="740">
    <w:name w:val="Char Char102"/>
    <w:semiHidden/>
    <w:qFormat/>
    <w:uiPriority w:val="0"/>
    <w:rPr>
      <w:rFonts w:ascii="宋体" w:hAnsi="宋体"/>
      <w:kern w:val="2"/>
      <w:sz w:val="21"/>
      <w:szCs w:val="24"/>
      <w:lang w:val="en-US" w:eastAsia="zh-CN"/>
    </w:rPr>
  </w:style>
  <w:style w:type="character" w:customStyle="1" w:styleId="741">
    <w:name w:val="页眉 Char1"/>
    <w:qFormat/>
    <w:uiPriority w:val="0"/>
    <w:rPr>
      <w:rFonts w:eastAsia="宋体"/>
      <w:kern w:val="2"/>
      <w:sz w:val="18"/>
      <w:szCs w:val="18"/>
      <w:lang w:val="en-US" w:eastAsia="zh-CN" w:bidi="ar-SA"/>
    </w:rPr>
  </w:style>
  <w:style w:type="character" w:customStyle="1" w:styleId="742">
    <w:name w:val="md"/>
    <w:basedOn w:val="70"/>
    <w:qFormat/>
    <w:uiPriority w:val="0"/>
    <w:rPr>
      <w:rFonts w:ascii="Arial" w:hAnsi="Arial" w:eastAsia="黑体" w:cs="Arial"/>
      <w:snapToGrid w:val="0"/>
      <w:kern w:val="0"/>
      <w:szCs w:val="21"/>
    </w:rPr>
  </w:style>
  <w:style w:type="character" w:customStyle="1" w:styleId="743">
    <w:name w:val="big1"/>
    <w:qFormat/>
    <w:uiPriority w:val="0"/>
    <w:rPr>
      <w:rFonts w:hint="eastAsia" w:ascii="宋体" w:hAnsi="宋体" w:eastAsia="宋体"/>
      <w:color w:val="333333"/>
      <w:sz w:val="22"/>
      <w:szCs w:val="22"/>
    </w:rPr>
  </w:style>
  <w:style w:type="character" w:customStyle="1" w:styleId="744">
    <w:name w:val="Char Char311"/>
    <w:qFormat/>
    <w:uiPriority w:val="0"/>
    <w:rPr>
      <w:rFonts w:eastAsia="宋体"/>
      <w:kern w:val="2"/>
      <w:sz w:val="21"/>
      <w:szCs w:val="24"/>
      <w:lang w:val="en-US" w:eastAsia="zh-CN" w:bidi="ar-SA"/>
    </w:rPr>
  </w:style>
  <w:style w:type="character" w:customStyle="1" w:styleId="745">
    <w:name w:val="Char Char81"/>
    <w:qFormat/>
    <w:uiPriority w:val="6"/>
    <w:rPr>
      <w:rFonts w:eastAsia="宋体"/>
      <w:b/>
      <w:sz w:val="24"/>
      <w:lang w:eastAsia="zh-CN"/>
    </w:rPr>
  </w:style>
  <w:style w:type="character" w:customStyle="1" w:styleId="746">
    <w:name w:val="样式3 Char"/>
    <w:basedOn w:val="702"/>
    <w:qFormat/>
    <w:uiPriority w:val="0"/>
    <w:rPr>
      <w:rFonts w:ascii="仿宋_GB2312" w:hAnsi="仿宋" w:eastAsia="仿宋_GB2312" w:cs="仿宋_GB2312"/>
      <w:sz w:val="32"/>
      <w:szCs w:val="30"/>
      <w:lang w:val="zh-CN"/>
    </w:rPr>
  </w:style>
  <w:style w:type="character" w:customStyle="1" w:styleId="747">
    <w:name w:val="HTML 地址 字符"/>
    <w:link w:val="33"/>
    <w:qFormat/>
    <w:uiPriority w:val="0"/>
    <w:rPr>
      <w:rFonts w:ascii="宋体" w:hAnsi="宋体"/>
      <w:i/>
      <w:iCs/>
      <w:sz w:val="24"/>
      <w:szCs w:val="24"/>
    </w:rPr>
  </w:style>
  <w:style w:type="character" w:customStyle="1" w:styleId="748">
    <w:name w:val="正文首行缩进 2 Char1"/>
    <w:qFormat/>
    <w:uiPriority w:val="0"/>
    <w:rPr>
      <w:rFonts w:ascii="Times New Roman" w:hAnsi="Times New Roman" w:eastAsia="宋体" w:cs="Times New Roman"/>
      <w:kern w:val="2"/>
      <w:sz w:val="24"/>
      <w:szCs w:val="24"/>
    </w:rPr>
  </w:style>
  <w:style w:type="character" w:customStyle="1" w:styleId="749">
    <w:name w:val="副标题 Char2"/>
    <w:qFormat/>
    <w:uiPriority w:val="0"/>
    <w:rPr>
      <w:rFonts w:ascii="Cambria" w:hAnsi="Cambria" w:eastAsia="宋体" w:cs="Times New Roman"/>
      <w:b/>
      <w:bCs/>
      <w:snapToGrid w:val="0"/>
      <w:kern w:val="28"/>
      <w:sz w:val="32"/>
      <w:szCs w:val="32"/>
    </w:rPr>
  </w:style>
  <w:style w:type="character" w:customStyle="1" w:styleId="750">
    <w:name w:val="标题4-dyf Char"/>
    <w:link w:val="96"/>
    <w:qFormat/>
    <w:uiPriority w:val="0"/>
    <w:rPr>
      <w:rFonts w:ascii="Cambria" w:hAnsi="Cambria"/>
      <w:b/>
      <w:bCs/>
      <w:color w:val="000000"/>
      <w:kern w:val="2"/>
      <w:sz w:val="21"/>
      <w:szCs w:val="21"/>
    </w:rPr>
  </w:style>
  <w:style w:type="character" w:customStyle="1" w:styleId="751">
    <w:name w:val="dectext1"/>
    <w:qFormat/>
    <w:uiPriority w:val="0"/>
    <w:rPr>
      <w:rFonts w:ascii="宋体" w:hAnsi="宋体" w:eastAsia="宋体"/>
      <w:color w:val="333333"/>
      <w:sz w:val="21"/>
      <w:szCs w:val="21"/>
      <w:u w:val="none"/>
    </w:rPr>
  </w:style>
  <w:style w:type="character" w:customStyle="1" w:styleId="752">
    <w:name w:val="冯 Char"/>
    <w:link w:val="97"/>
    <w:qFormat/>
    <w:uiPriority w:val="0"/>
    <w:rPr>
      <w:rFonts w:ascii="宋体" w:hAnsi="宋体"/>
      <w:color w:val="000000"/>
      <w:sz w:val="24"/>
      <w:szCs w:val="24"/>
    </w:rPr>
  </w:style>
  <w:style w:type="character" w:customStyle="1" w:styleId="753">
    <w:name w:val="Header Char"/>
    <w:qFormat/>
    <w:locked/>
    <w:uiPriority w:val="0"/>
    <w:rPr>
      <w:rFonts w:eastAsia="宋体"/>
      <w:kern w:val="2"/>
      <w:sz w:val="18"/>
      <w:szCs w:val="18"/>
      <w:lang w:val="en-US" w:eastAsia="zh-CN" w:bidi="ar-SA"/>
    </w:rPr>
  </w:style>
  <w:style w:type="character" w:customStyle="1" w:styleId="754">
    <w:name w:val="Char Char12"/>
    <w:qFormat/>
    <w:uiPriority w:val="0"/>
    <w:rPr>
      <w:rFonts w:ascii="仿宋_GB2312" w:eastAsia="仿宋_GB2312"/>
      <w:b/>
      <w:bCs/>
      <w:kern w:val="2"/>
      <w:sz w:val="24"/>
      <w:szCs w:val="24"/>
      <w:lang w:val="zh-CN" w:eastAsia="zh-CN" w:bidi="ar-SA"/>
    </w:rPr>
  </w:style>
  <w:style w:type="character" w:customStyle="1" w:styleId="755">
    <w:name w:val="题注 字符"/>
    <w:link w:val="17"/>
    <w:qFormat/>
    <w:uiPriority w:val="0"/>
    <w:rPr>
      <w:b/>
      <w:kern w:val="2"/>
      <w:sz w:val="28"/>
    </w:rPr>
  </w:style>
  <w:style w:type="character" w:customStyle="1" w:styleId="756">
    <w:name w:val="普通文字 Char3"/>
    <w:qFormat/>
    <w:uiPriority w:val="0"/>
    <w:rPr>
      <w:rFonts w:ascii="宋体" w:hAnsi="Courier New" w:eastAsia="宋体"/>
      <w:kern w:val="2"/>
      <w:sz w:val="21"/>
      <w:lang w:val="en-US" w:eastAsia="zh-CN" w:bidi="ar-SA"/>
    </w:rPr>
  </w:style>
  <w:style w:type="character" w:customStyle="1" w:styleId="757">
    <w:name w:val="公文正文 Char"/>
    <w:qFormat/>
    <w:uiPriority w:val="0"/>
    <w:rPr>
      <w:rFonts w:ascii="仿宋_GB2312" w:eastAsia="仿宋_GB2312"/>
      <w:kern w:val="2"/>
      <w:sz w:val="24"/>
      <w:szCs w:val="24"/>
      <w:lang w:val="en-US" w:eastAsia="zh-CN" w:bidi="ar-SA"/>
    </w:rPr>
  </w:style>
  <w:style w:type="character" w:customStyle="1" w:styleId="758">
    <w:name w:val="正文首行缩进 Char Char Char Char Char"/>
    <w:qFormat/>
    <w:uiPriority w:val="0"/>
    <w:rPr>
      <w:rFonts w:ascii="宋体"/>
      <w:kern w:val="2"/>
      <w:sz w:val="24"/>
      <w:lang w:val="zh-CN"/>
    </w:rPr>
  </w:style>
  <w:style w:type="character" w:customStyle="1" w:styleId="759">
    <w:name w:val="PI Char"/>
    <w:qFormat/>
    <w:uiPriority w:val="0"/>
    <w:rPr>
      <w:rFonts w:ascii="宋体" w:hAnsi="宋体" w:eastAsia="宋体"/>
      <w:kern w:val="2"/>
      <w:sz w:val="24"/>
      <w:szCs w:val="24"/>
      <w:lang w:val="en-US" w:eastAsia="zh-CN" w:bidi="ar-SA"/>
    </w:rPr>
  </w:style>
  <w:style w:type="character" w:customStyle="1" w:styleId="760">
    <w:name w:val="Default Char"/>
    <w:link w:val="81"/>
    <w:qFormat/>
    <w:uiPriority w:val="0"/>
    <w:rPr>
      <w:rFonts w:ascii="仿宋_GB2312" w:eastAsia="仿宋_GB2312" w:cs="仿宋_GB2312"/>
      <w:color w:val="000000"/>
      <w:sz w:val="24"/>
      <w:szCs w:val="24"/>
      <w:lang w:val="en-US" w:eastAsia="zh-CN" w:bidi="ar-SA"/>
    </w:rPr>
  </w:style>
  <w:style w:type="character" w:customStyle="1" w:styleId="761">
    <w:name w:val="style91"/>
    <w:qFormat/>
    <w:uiPriority w:val="0"/>
    <w:rPr>
      <w:color w:val="333333"/>
    </w:rPr>
  </w:style>
  <w:style w:type="character" w:customStyle="1" w:styleId="762">
    <w:name w:val="列出段落 Char2"/>
    <w:qFormat/>
    <w:uiPriority w:val="34"/>
    <w:rPr>
      <w:rFonts w:ascii="Calibri" w:hAnsi="Calibri"/>
      <w:kern w:val="2"/>
      <w:sz w:val="28"/>
    </w:rPr>
  </w:style>
  <w:style w:type="character" w:customStyle="1" w:styleId="763">
    <w:name w:val="mdeck"/>
    <w:qFormat/>
    <w:uiPriority w:val="0"/>
    <w:rPr>
      <w:rFonts w:ascii="仿宋_GB2312" w:eastAsia="微软雅黑"/>
      <w:b/>
      <w:kern w:val="2"/>
      <w:sz w:val="32"/>
      <w:szCs w:val="32"/>
      <w:lang w:val="en-US" w:eastAsia="zh-CN" w:bidi="ar-SA"/>
    </w:rPr>
  </w:style>
  <w:style w:type="character" w:customStyle="1" w:styleId="764">
    <w:name w:val="unnamed11"/>
    <w:qFormat/>
    <w:uiPriority w:val="0"/>
    <w:rPr>
      <w:sz w:val="20"/>
      <w:szCs w:val="20"/>
    </w:rPr>
  </w:style>
  <w:style w:type="character" w:customStyle="1" w:styleId="765">
    <w:name w:val="正文文本 Char2"/>
    <w:semiHidden/>
    <w:qFormat/>
    <w:uiPriority w:val="99"/>
    <w:rPr>
      <w:rFonts w:ascii="Times New Roman" w:hAnsi="Times New Roman" w:eastAsia="宋体" w:cs="Times New Roman"/>
      <w:snapToGrid w:val="0"/>
      <w:kern w:val="0"/>
      <w:szCs w:val="24"/>
    </w:rPr>
  </w:style>
  <w:style w:type="character" w:customStyle="1" w:styleId="766">
    <w:name w:val="标书正文格式 Char"/>
    <w:qFormat/>
    <w:uiPriority w:val="0"/>
    <w:rPr>
      <w:rFonts w:eastAsia="楷体_GB2312"/>
      <w:kern w:val="2"/>
      <w:sz w:val="24"/>
      <w:szCs w:val="24"/>
      <w:lang w:bidi="ar-SA"/>
    </w:rPr>
  </w:style>
  <w:style w:type="character" w:customStyle="1" w:styleId="767">
    <w:name w:val="Char Char11"/>
    <w:qFormat/>
    <w:locked/>
    <w:uiPriority w:val="0"/>
    <w:rPr>
      <w:rFonts w:ascii="宋体" w:hAnsi="宋体" w:eastAsia="宋体"/>
      <w:b/>
      <w:kern w:val="2"/>
      <w:sz w:val="24"/>
      <w:szCs w:val="24"/>
      <w:lang w:val="en-US" w:eastAsia="zh-CN" w:bidi="ar-SA"/>
    </w:rPr>
  </w:style>
  <w:style w:type="character" w:customStyle="1" w:styleId="768">
    <w:name w:val="ca-131"/>
    <w:qFormat/>
    <w:uiPriority w:val="0"/>
    <w:rPr>
      <w:rFonts w:hint="eastAsia" w:ascii="仿宋_GB2312" w:eastAsia="仿宋_GB2312"/>
      <w:b/>
      <w:bCs/>
      <w:color w:val="000000"/>
      <w:spacing w:val="-20"/>
      <w:sz w:val="24"/>
      <w:szCs w:val="24"/>
    </w:rPr>
  </w:style>
  <w:style w:type="character" w:customStyle="1" w:styleId="769">
    <w:name w:val="tw4winMark"/>
    <w:qFormat/>
    <w:uiPriority w:val="0"/>
    <w:rPr>
      <w:rFonts w:ascii="Courier New" w:hAnsi="Courier New" w:cs="Courier New"/>
      <w:vanish/>
      <w:color w:val="800080"/>
      <w:sz w:val="24"/>
      <w:szCs w:val="24"/>
      <w:vertAlign w:val="subscript"/>
    </w:rPr>
  </w:style>
  <w:style w:type="character" w:customStyle="1" w:styleId="770">
    <w:name w:val="正文样式 Char"/>
    <w:link w:val="98"/>
    <w:qFormat/>
    <w:uiPriority w:val="0"/>
    <w:rPr>
      <w:rFonts w:ascii="Calibri" w:hAnsi="Calibri"/>
      <w:sz w:val="24"/>
      <w:szCs w:val="24"/>
    </w:rPr>
  </w:style>
  <w:style w:type="character" w:customStyle="1" w:styleId="771">
    <w:name w:val="表正文 Char3"/>
    <w:qFormat/>
    <w:uiPriority w:val="0"/>
    <w:rPr>
      <w:rFonts w:eastAsia="宋体"/>
    </w:rPr>
  </w:style>
  <w:style w:type="character" w:customStyle="1" w:styleId="772">
    <w:name w:val="H5 Char"/>
    <w:qFormat/>
    <w:uiPriority w:val="0"/>
    <w:rPr>
      <w:b/>
      <w:bCs/>
      <w:kern w:val="2"/>
      <w:sz w:val="28"/>
      <w:szCs w:val="28"/>
    </w:rPr>
  </w:style>
  <w:style w:type="character" w:customStyle="1" w:styleId="773">
    <w:name w:val="Char Char3"/>
    <w:qFormat/>
    <w:uiPriority w:val="0"/>
    <w:rPr>
      <w:rFonts w:eastAsia="宋体"/>
      <w:kern w:val="2"/>
      <w:sz w:val="21"/>
      <w:szCs w:val="24"/>
      <w:lang w:val="en-US" w:eastAsia="zh-CN" w:bidi="ar-SA"/>
    </w:rPr>
  </w:style>
  <w:style w:type="character" w:customStyle="1" w:styleId="774">
    <w:name w:val="正文 编号 Char"/>
    <w:qFormat/>
    <w:uiPriority w:val="0"/>
    <w:rPr>
      <w:rFonts w:ascii="仿宋_GB2312" w:hAnsi="仿宋_GB2312" w:eastAsia="仿宋_GB2312"/>
      <w:kern w:val="2"/>
      <w:sz w:val="24"/>
      <w:lang w:bidi="ar-SA"/>
    </w:rPr>
  </w:style>
  <w:style w:type="character" w:customStyle="1" w:styleId="775">
    <w:name w:val="question-title2"/>
    <w:qFormat/>
    <w:uiPriority w:val="6"/>
    <w:rPr>
      <w:rFonts w:ascii="Arial" w:hAnsi="Arial" w:eastAsia="黑体" w:cs="Arial"/>
      <w:snapToGrid w:val="0"/>
      <w:kern w:val="0"/>
      <w:szCs w:val="21"/>
    </w:rPr>
  </w:style>
  <w:style w:type="character" w:customStyle="1" w:styleId="776">
    <w:name w:val="gf正文1 Char Char"/>
    <w:link w:val="99"/>
    <w:qFormat/>
    <w:uiPriority w:val="0"/>
    <w:rPr>
      <w:rFonts w:ascii="宋体" w:hAnsi="宋体" w:cs="宋体"/>
      <w:kern w:val="2"/>
      <w:sz w:val="24"/>
      <w:szCs w:val="24"/>
    </w:rPr>
  </w:style>
  <w:style w:type="character" w:customStyle="1" w:styleId="777">
    <w:name w:val="Char Char15"/>
    <w:qFormat/>
    <w:uiPriority w:val="6"/>
    <w:rPr>
      <w:rFonts w:ascii="宋体" w:hAnsi="宋体"/>
      <w:kern w:val="1"/>
      <w:sz w:val="21"/>
    </w:rPr>
  </w:style>
  <w:style w:type="character" w:customStyle="1" w:styleId="778">
    <w:name w:val="正文缩进 Char3"/>
    <w:qFormat/>
    <w:uiPriority w:val="0"/>
    <w:rPr>
      <w:rFonts w:ascii="宋体" w:eastAsia="宋体"/>
      <w:snapToGrid w:val="0"/>
      <w:color w:val="000000"/>
      <w:kern w:val="28"/>
      <w:sz w:val="28"/>
      <w:lang w:val="en-US" w:eastAsia="zh-CN" w:bidi="ar-SA"/>
    </w:rPr>
  </w:style>
  <w:style w:type="character" w:customStyle="1" w:styleId="779">
    <w:name w:val="列出段落 Char1"/>
    <w:link w:val="100"/>
    <w:qFormat/>
    <w:uiPriority w:val="0"/>
    <w:rPr>
      <w:rFonts w:ascii="Calibri" w:hAnsi="Calibri"/>
      <w:sz w:val="24"/>
      <w:lang w:eastAsia="en-US"/>
    </w:rPr>
  </w:style>
  <w:style w:type="character" w:customStyle="1" w:styleId="780">
    <w:name w:val="Char Char8"/>
    <w:qFormat/>
    <w:uiPriority w:val="0"/>
    <w:rPr>
      <w:rFonts w:eastAsia="宋体"/>
      <w:b/>
      <w:sz w:val="24"/>
      <w:lang w:eastAsia="zh-CN"/>
    </w:rPr>
  </w:style>
  <w:style w:type="character" w:customStyle="1" w:styleId="781">
    <w:name w:val="Normal Indent Char Char"/>
    <w:qFormat/>
    <w:uiPriority w:val="0"/>
    <w:rPr>
      <w:rFonts w:eastAsia="宋体"/>
      <w:kern w:val="2"/>
      <w:sz w:val="21"/>
      <w:lang w:val="en-US" w:eastAsia="zh-CN" w:bidi="ar-SA"/>
    </w:rPr>
  </w:style>
  <w:style w:type="character" w:customStyle="1" w:styleId="782">
    <w:name w:val="列表段落 字符"/>
    <w:qFormat/>
    <w:uiPriority w:val="99"/>
  </w:style>
  <w:style w:type="character" w:customStyle="1" w:styleId="783">
    <w:name w:val="Ò³Ã¼ Char Char1"/>
    <w:qFormat/>
    <w:uiPriority w:val="0"/>
    <w:rPr>
      <w:rFonts w:eastAsia="宋体"/>
      <w:kern w:val="2"/>
      <w:sz w:val="18"/>
      <w:szCs w:val="18"/>
      <w:lang w:val="en-US" w:eastAsia="zh-CN" w:bidi="ar-SA"/>
    </w:rPr>
  </w:style>
  <w:style w:type="character" w:customStyle="1" w:styleId="784">
    <w:name w:val="方案正文 Char"/>
    <w:qFormat/>
    <w:uiPriority w:val="0"/>
    <w:rPr>
      <w:rFonts w:ascii="仿宋_GB2312" w:eastAsia="仿宋_GB2312"/>
      <w:b/>
      <w:color w:val="000000"/>
      <w:kern w:val="2"/>
      <w:sz w:val="24"/>
      <w:lang w:val="en-US" w:eastAsia="zh-CN" w:bidi="ar-SA"/>
    </w:rPr>
  </w:style>
  <w:style w:type="character" w:customStyle="1" w:styleId="785">
    <w:name w:val="Char Char30"/>
    <w:qFormat/>
    <w:uiPriority w:val="6"/>
    <w:rPr>
      <w:rFonts w:ascii="Arial" w:hAnsi="Arial" w:eastAsia="黑体"/>
      <w:kern w:val="1"/>
      <w:sz w:val="21"/>
      <w:szCs w:val="21"/>
    </w:rPr>
  </w:style>
  <w:style w:type="character" w:customStyle="1" w:styleId="786">
    <w:name w:val="正文文本缩进 字符1"/>
    <w:link w:val="27"/>
    <w:qFormat/>
    <w:uiPriority w:val="0"/>
    <w:rPr>
      <w:rFonts w:ascii="宋体" w:hAnsi="宋体"/>
      <w:kern w:val="2"/>
      <w:sz w:val="24"/>
      <w:szCs w:val="24"/>
    </w:rPr>
  </w:style>
  <w:style w:type="character" w:customStyle="1" w:styleId="787">
    <w:name w:val="font01"/>
    <w:qFormat/>
    <w:uiPriority w:val="0"/>
    <w:rPr>
      <w:rFonts w:hint="eastAsia" w:ascii="微软雅黑" w:hAnsi="微软雅黑" w:eastAsia="微软雅黑" w:cs="微软雅黑"/>
      <w:color w:val="000000"/>
      <w:sz w:val="20"/>
      <w:szCs w:val="20"/>
      <w:u w:val="none"/>
    </w:rPr>
  </w:style>
  <w:style w:type="character" w:customStyle="1" w:styleId="788">
    <w:name w:val="Char Char20"/>
    <w:qFormat/>
    <w:uiPriority w:val="6"/>
    <w:rPr>
      <w:kern w:val="1"/>
      <w:sz w:val="24"/>
    </w:rPr>
  </w:style>
  <w:style w:type="character" w:customStyle="1" w:styleId="789">
    <w:name w:val="tw4winExternal"/>
    <w:qFormat/>
    <w:uiPriority w:val="0"/>
    <w:rPr>
      <w:rFonts w:ascii="Courier New" w:hAnsi="Courier New" w:cs="Courier New"/>
      <w:color w:val="808080"/>
      <w:lang w:val="en-US" w:eastAsia="zh-CN"/>
    </w:rPr>
  </w:style>
  <w:style w:type="character" w:customStyle="1" w:styleId="790">
    <w:name w:val="标题 4 Char1"/>
    <w:qFormat/>
    <w:uiPriority w:val="9"/>
    <w:rPr>
      <w:rFonts w:ascii="Cambria" w:hAnsi="Cambria" w:eastAsia="宋体" w:cs="Times New Roman"/>
      <w:b/>
      <w:bCs/>
      <w:kern w:val="2"/>
      <w:sz w:val="28"/>
      <w:szCs w:val="28"/>
    </w:rPr>
  </w:style>
  <w:style w:type="character" w:customStyle="1" w:styleId="791">
    <w:name w:val="批注文字 Char2"/>
    <w:qFormat/>
    <w:uiPriority w:val="99"/>
    <w:rPr>
      <w:rFonts w:ascii="Times New Roman" w:hAnsi="Times New Roman" w:eastAsia="宋体" w:cs="Times New Roman"/>
      <w:snapToGrid w:val="0"/>
      <w:kern w:val="0"/>
      <w:szCs w:val="24"/>
    </w:rPr>
  </w:style>
  <w:style w:type="character" w:customStyle="1" w:styleId="792">
    <w:name w:val="正文文本 2 Char"/>
    <w:qFormat/>
    <w:uiPriority w:val="0"/>
    <w:rPr>
      <w:rFonts w:eastAsia="宋体"/>
      <w:kern w:val="2"/>
      <w:sz w:val="21"/>
      <w:szCs w:val="24"/>
      <w:lang w:val="en-US" w:eastAsia="zh-CN" w:bidi="ar-SA"/>
    </w:rPr>
  </w:style>
  <w:style w:type="character" w:customStyle="1" w:styleId="793">
    <w:name w:val="Ò³Ã¼ Char Char"/>
    <w:qFormat/>
    <w:uiPriority w:val="0"/>
    <w:rPr>
      <w:rFonts w:eastAsia="宋体"/>
      <w:kern w:val="2"/>
      <w:sz w:val="18"/>
      <w:lang w:val="en-US" w:eastAsia="zh-CN" w:bidi="ar-SA"/>
    </w:rPr>
  </w:style>
  <w:style w:type="character" w:customStyle="1" w:styleId="794">
    <w:name w:val="message1"/>
    <w:qFormat/>
    <w:uiPriority w:val="0"/>
    <w:rPr>
      <w:rFonts w:hint="default" w:ascii="Tahoma" w:hAnsi="Tahoma" w:cs="Tahoma"/>
      <w:sz w:val="18"/>
      <w:szCs w:val="18"/>
    </w:rPr>
  </w:style>
  <w:style w:type="character" w:customStyle="1" w:styleId="795">
    <w:name w:val="Char Char23"/>
    <w:qFormat/>
    <w:uiPriority w:val="6"/>
    <w:rPr>
      <w:color w:val="0000FF"/>
      <w:sz w:val="21"/>
    </w:rPr>
  </w:style>
  <w:style w:type="character" w:customStyle="1" w:styleId="796">
    <w:name w:val="批注框文本 字符"/>
    <w:qFormat/>
    <w:uiPriority w:val="0"/>
    <w:rPr>
      <w:rFonts w:ascii="Arial" w:hAnsi="Arial" w:eastAsia="黑体" w:cs="Arial"/>
      <w:snapToGrid w:val="0"/>
      <w:kern w:val="0"/>
      <w:sz w:val="18"/>
      <w:szCs w:val="18"/>
    </w:rPr>
  </w:style>
  <w:style w:type="character" w:customStyle="1" w:styleId="797">
    <w:name w:val="纯文本 Char2"/>
    <w:semiHidden/>
    <w:qFormat/>
    <w:uiPriority w:val="99"/>
    <w:rPr>
      <w:rFonts w:ascii="宋体" w:hAnsi="Courier New" w:eastAsia="宋体" w:cs="Courier New"/>
    </w:rPr>
  </w:style>
  <w:style w:type="character" w:customStyle="1" w:styleId="798">
    <w:name w:val="Char Char25"/>
    <w:qFormat/>
    <w:uiPriority w:val="6"/>
    <w:rPr>
      <w:rFonts w:ascii="宋体" w:hAnsi="宋体"/>
      <w:kern w:val="1"/>
      <w:sz w:val="24"/>
      <w:lang w:val="zh-CN"/>
    </w:rPr>
  </w:style>
  <w:style w:type="character" w:customStyle="1" w:styleId="799">
    <w:name w:val="Char Char411"/>
    <w:qFormat/>
    <w:uiPriority w:val="0"/>
    <w:rPr>
      <w:rFonts w:eastAsia="宋体"/>
      <w:b/>
      <w:sz w:val="24"/>
      <w:lang w:eastAsia="zh-CN" w:bidi="ar-SA"/>
    </w:rPr>
  </w:style>
  <w:style w:type="character" w:customStyle="1" w:styleId="800">
    <w:name w:val="Heading 7 Char"/>
    <w:qFormat/>
    <w:locked/>
    <w:uiPriority w:val="0"/>
    <w:rPr>
      <w:rFonts w:ascii="宋体" w:hAnsi="宋体" w:eastAsia="宋体"/>
      <w:b/>
      <w:bCs/>
      <w:kern w:val="2"/>
      <w:sz w:val="24"/>
      <w:szCs w:val="24"/>
      <w:lang w:val="en-US" w:eastAsia="zh-CN" w:bidi="ar-SA"/>
    </w:rPr>
  </w:style>
  <w:style w:type="character" w:customStyle="1" w:styleId="801">
    <w:name w:val="此正文 Char"/>
    <w:link w:val="102"/>
    <w:qFormat/>
    <w:uiPriority w:val="0"/>
    <w:rPr>
      <w:kern w:val="2"/>
      <w:sz w:val="24"/>
      <w:szCs w:val="24"/>
    </w:rPr>
  </w:style>
  <w:style w:type="character" w:customStyle="1" w:styleId="802">
    <w:name w:val="Char Char2"/>
    <w:qFormat/>
    <w:uiPriority w:val="0"/>
    <w:rPr>
      <w:rFonts w:eastAsia="宋体"/>
      <w:b/>
      <w:bCs/>
      <w:kern w:val="2"/>
      <w:sz w:val="21"/>
      <w:szCs w:val="24"/>
      <w:lang w:val="en-US" w:eastAsia="zh-CN" w:bidi="ar-SA"/>
    </w:rPr>
  </w:style>
  <w:style w:type="character" w:customStyle="1" w:styleId="803">
    <w:name w:val="标题 1 字符1"/>
    <w:link w:val="3"/>
    <w:qFormat/>
    <w:uiPriority w:val="9"/>
    <w:rPr>
      <w:b/>
      <w:bCs/>
      <w:kern w:val="44"/>
      <w:sz w:val="44"/>
      <w:szCs w:val="44"/>
    </w:rPr>
  </w:style>
  <w:style w:type="character" w:customStyle="1" w:styleId="804">
    <w:name w:val="Footer-Even Char1"/>
    <w:qFormat/>
    <w:uiPriority w:val="0"/>
    <w:rPr>
      <w:rFonts w:eastAsia="宋体"/>
      <w:kern w:val="2"/>
      <w:sz w:val="18"/>
      <w:szCs w:val="18"/>
      <w:lang w:val="en-US" w:eastAsia="zh-CN" w:bidi="ar-SA"/>
    </w:rPr>
  </w:style>
  <w:style w:type="character" w:customStyle="1" w:styleId="805">
    <w:name w:val="Char Char29"/>
    <w:qFormat/>
    <w:uiPriority w:val="6"/>
    <w:rPr>
      <w:rFonts w:ascii="Arial" w:hAnsi="Arial" w:eastAsia="微软雅黑"/>
      <w:b/>
      <w:kern w:val="1"/>
      <w:sz w:val="44"/>
      <w:szCs w:val="32"/>
      <w:lang w:val="en-US" w:eastAsia="zh-CN" w:bidi="ar-SA"/>
    </w:rPr>
  </w:style>
  <w:style w:type="character" w:customStyle="1" w:styleId="806">
    <w:name w:val="标题 字符"/>
    <w:link w:val="61"/>
    <w:qFormat/>
    <w:uiPriority w:val="10"/>
    <w:rPr>
      <w:b/>
      <w:sz w:val="24"/>
    </w:rPr>
  </w:style>
  <w:style w:type="character" w:customStyle="1" w:styleId="807">
    <w:name w:val="font81"/>
    <w:qFormat/>
    <w:uiPriority w:val="0"/>
    <w:rPr>
      <w:rFonts w:ascii="微软雅黑" w:hAnsi="微软雅黑" w:eastAsia="微软雅黑" w:cs="微软雅黑"/>
      <w:color w:val="000000"/>
      <w:sz w:val="20"/>
      <w:szCs w:val="20"/>
      <w:u w:val="none"/>
    </w:rPr>
  </w:style>
  <w:style w:type="character" w:customStyle="1" w:styleId="808">
    <w:name w:val="Char Char312"/>
    <w:qFormat/>
    <w:uiPriority w:val="0"/>
    <w:rPr>
      <w:rFonts w:ascii="Times New Roman" w:hAnsi="Times New Roman" w:eastAsia="宋体" w:cs="Times New Roman"/>
      <w:b/>
      <w:kern w:val="2"/>
      <w:sz w:val="32"/>
      <w:szCs w:val="24"/>
      <w:lang w:val="en-US" w:eastAsia="zh-CN" w:bidi="ar-SA"/>
    </w:rPr>
  </w:style>
  <w:style w:type="character" w:customStyle="1" w:styleId="809">
    <w:name w:val="t21"/>
    <w:qFormat/>
    <w:uiPriority w:val="0"/>
    <w:rPr>
      <w:rFonts w:ascii="仿宋_GB2312" w:eastAsia="微软雅黑"/>
      <w:b/>
      <w:kern w:val="2"/>
      <w:sz w:val="23"/>
      <w:szCs w:val="23"/>
      <w:lang w:val="en-US" w:eastAsia="zh-CN" w:bidi="ar-SA"/>
    </w:rPr>
  </w:style>
  <w:style w:type="character" w:customStyle="1" w:styleId="810">
    <w:name w:val="样式8 Char"/>
    <w:qFormat/>
    <w:uiPriority w:val="0"/>
    <w:rPr>
      <w:rFonts w:ascii="仿宋_GB2312" w:hAnsi="宋体" w:eastAsia="仿宋_GB2312"/>
      <w:b/>
      <w:bCs/>
      <w:kern w:val="2"/>
      <w:sz w:val="24"/>
      <w:szCs w:val="24"/>
    </w:rPr>
  </w:style>
  <w:style w:type="character" w:customStyle="1" w:styleId="811">
    <w:name w:val="表格 Char Char"/>
    <w:qFormat/>
    <w:uiPriority w:val="0"/>
    <w:rPr>
      <w:rFonts w:ascii="宋体" w:hAnsi="宋体" w:eastAsia="宋体"/>
      <w:lang w:bidi="ar-SA"/>
    </w:rPr>
  </w:style>
  <w:style w:type="character" w:customStyle="1" w:styleId="812">
    <w:name w:val="正文文本 字符1"/>
    <w:qFormat/>
    <w:uiPriority w:val="0"/>
    <w:rPr>
      <w:rFonts w:ascii="Calibri" w:hAnsi="Calibri" w:eastAsia="黑体" w:cs="Arial"/>
      <w:snapToGrid w:val="0"/>
      <w:kern w:val="2"/>
      <w:sz w:val="28"/>
      <w:szCs w:val="21"/>
    </w:rPr>
  </w:style>
  <w:style w:type="character" w:customStyle="1" w:styleId="813">
    <w:name w:val="标题 5 字符"/>
    <w:link w:val="8"/>
    <w:qFormat/>
    <w:uiPriority w:val="9"/>
    <w:rPr>
      <w:b/>
      <w:bCs/>
      <w:kern w:val="2"/>
      <w:sz w:val="28"/>
      <w:szCs w:val="28"/>
    </w:rPr>
  </w:style>
  <w:style w:type="character" w:customStyle="1" w:styleId="814">
    <w:name w:val="标题 6 Char1"/>
    <w:qFormat/>
    <w:uiPriority w:val="0"/>
    <w:rPr>
      <w:rFonts w:ascii="Arial" w:hAnsi="Arial" w:eastAsia="黑体" w:cs="Times New Roman"/>
      <w:b/>
      <w:sz w:val="24"/>
      <w:szCs w:val="20"/>
      <w:lang w:bidi="ar-SA"/>
    </w:rPr>
  </w:style>
  <w:style w:type="character" w:customStyle="1" w:styleId="815">
    <w:name w:val="带编号样式 Char"/>
    <w:qFormat/>
    <w:uiPriority w:val="0"/>
    <w:rPr>
      <w:rFonts w:ascii="仿宋_GB2312" w:eastAsia="仿宋_GB2312"/>
      <w:color w:val="000000"/>
      <w:sz w:val="24"/>
      <w:lang w:bidi="ar-SA"/>
    </w:rPr>
  </w:style>
  <w:style w:type="character" w:customStyle="1" w:styleId="816">
    <w:name w:val="unnamed31"/>
    <w:qFormat/>
    <w:uiPriority w:val="0"/>
    <w:rPr>
      <w:rFonts w:ascii="Tahoma" w:hAnsi="Tahoma" w:eastAsia="宋体"/>
      <w:b/>
      <w:kern w:val="2"/>
      <w:sz w:val="24"/>
      <w:szCs w:val="32"/>
      <w:u w:val="none"/>
      <w:lang w:val="en-US" w:eastAsia="zh-CN" w:bidi="ar-SA"/>
    </w:rPr>
  </w:style>
  <w:style w:type="character" w:customStyle="1" w:styleId="817">
    <w:name w:val="正文首行缩进 Char Char Char Char Char Char1"/>
    <w:qFormat/>
    <w:uiPriority w:val="0"/>
    <w:rPr>
      <w:rFonts w:ascii="宋体" w:eastAsia="宋体"/>
      <w:kern w:val="2"/>
      <w:sz w:val="24"/>
      <w:szCs w:val="24"/>
      <w:lang w:val="zh-CN" w:bidi="ar-SA"/>
    </w:rPr>
  </w:style>
  <w:style w:type="character" w:customStyle="1" w:styleId="818">
    <w:name w:val="称呼 字符"/>
    <w:link w:val="21"/>
    <w:qFormat/>
    <w:uiPriority w:val="0"/>
    <w:rPr>
      <w:rFonts w:ascii="仿宋_GB2312" w:eastAsia="仿宋_GB2312"/>
      <w:kern w:val="2"/>
      <w:sz w:val="28"/>
    </w:rPr>
  </w:style>
  <w:style w:type="character" w:customStyle="1" w:styleId="819">
    <w:name w:val="文本正文 Char Char"/>
    <w:qFormat/>
    <w:locked/>
    <w:uiPriority w:val="0"/>
    <w:rPr>
      <w:sz w:val="24"/>
      <w:lang w:bidi="ar-SA"/>
    </w:rPr>
  </w:style>
  <w:style w:type="character" w:customStyle="1" w:styleId="820">
    <w:name w:val="正文缩进 字符"/>
    <w:qFormat/>
    <w:uiPriority w:val="0"/>
    <w:rPr>
      <w:rFonts w:ascii="宋体" w:eastAsia="宋体"/>
      <w:snapToGrid w:val="0"/>
      <w:color w:val="000000"/>
      <w:kern w:val="28"/>
      <w:sz w:val="28"/>
      <w:lang w:val="en-US" w:eastAsia="zh-CN" w:bidi="ar-SA"/>
    </w:rPr>
  </w:style>
  <w:style w:type="character" w:customStyle="1" w:styleId="821">
    <w:name w:val="HTML 预设格式 字符"/>
    <w:link w:val="59"/>
    <w:qFormat/>
    <w:uiPriority w:val="0"/>
    <w:rPr>
      <w:rFonts w:ascii="黑体" w:hAnsi="Courier New" w:eastAsia="黑体"/>
    </w:rPr>
  </w:style>
  <w:style w:type="character" w:customStyle="1" w:styleId="822">
    <w:name w:val="正文文本 2 字符1"/>
    <w:link w:val="58"/>
    <w:qFormat/>
    <w:uiPriority w:val="0"/>
    <w:rPr>
      <w:kern w:val="2"/>
      <w:sz w:val="21"/>
      <w:szCs w:val="24"/>
    </w:rPr>
  </w:style>
  <w:style w:type="character" w:customStyle="1" w:styleId="823">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24">
    <w:name w:val="正文非缩进 Char"/>
    <w:qFormat/>
    <w:uiPriority w:val="0"/>
    <w:rPr>
      <w:rFonts w:ascii="宋体" w:eastAsia="宋体"/>
      <w:snapToGrid w:val="0"/>
      <w:color w:val="000000"/>
      <w:kern w:val="28"/>
      <w:sz w:val="28"/>
      <w:lang w:val="en-US" w:eastAsia="zh-CN" w:bidi="ar-SA"/>
    </w:rPr>
  </w:style>
  <w:style w:type="character" w:customStyle="1" w:styleId="825">
    <w:name w:val="标题 7 字符"/>
    <w:link w:val="10"/>
    <w:qFormat/>
    <w:uiPriority w:val="0"/>
    <w:rPr>
      <w:b/>
      <w:bCs/>
      <w:kern w:val="2"/>
      <w:sz w:val="24"/>
      <w:szCs w:val="24"/>
    </w:rPr>
  </w:style>
  <w:style w:type="character" w:customStyle="1" w:styleId="826">
    <w:name w:val="正文文本缩进 2 字符"/>
    <w:link w:val="40"/>
    <w:qFormat/>
    <w:uiPriority w:val="0"/>
    <w:rPr>
      <w:rFonts w:ascii="宋体"/>
      <w:sz w:val="28"/>
    </w:rPr>
  </w:style>
  <w:style w:type="character" w:customStyle="1" w:styleId="827">
    <w:name w:val="Char Char5"/>
    <w:qFormat/>
    <w:uiPriority w:val="0"/>
    <w:rPr>
      <w:rFonts w:ascii="宋体" w:hAnsi="Courier New" w:eastAsia="宋体"/>
      <w:kern w:val="2"/>
      <w:sz w:val="21"/>
      <w:lang w:val="en-US" w:eastAsia="zh-CN"/>
    </w:rPr>
  </w:style>
  <w:style w:type="character" w:customStyle="1" w:styleId="828">
    <w:name w:val="脚注文本 字符"/>
    <w:link w:val="53"/>
    <w:qFormat/>
    <w:uiPriority w:val="0"/>
    <w:rPr>
      <w:color w:val="0000FF"/>
      <w:sz w:val="21"/>
    </w:rPr>
  </w:style>
  <w:style w:type="character" w:customStyle="1" w:styleId="829">
    <w:name w:val="称呼 Char1"/>
    <w:qFormat/>
    <w:uiPriority w:val="0"/>
    <w:rPr>
      <w:rFonts w:ascii="Times New Roman" w:hAnsi="Times New Roman" w:eastAsia="宋体" w:cs="Times New Roman"/>
      <w:szCs w:val="24"/>
    </w:rPr>
  </w:style>
  <w:style w:type="character" w:customStyle="1" w:styleId="830">
    <w:name w:val="正文1 Char"/>
    <w:qFormat/>
    <w:uiPriority w:val="0"/>
    <w:rPr>
      <w:rFonts w:ascii="宋体" w:eastAsia="宋体"/>
      <w:snapToGrid w:val="0"/>
      <w:color w:val="000000"/>
      <w:kern w:val="28"/>
      <w:sz w:val="28"/>
      <w:lang w:val="en-US" w:eastAsia="zh-CN" w:bidi="ar-SA"/>
    </w:rPr>
  </w:style>
  <w:style w:type="character" w:customStyle="1" w:styleId="831">
    <w:name w:val="正文缩进 Char1"/>
    <w:qFormat/>
    <w:uiPriority w:val="0"/>
    <w:rPr>
      <w:rFonts w:ascii="宋体" w:eastAsia="宋体"/>
      <w:snapToGrid w:val="0"/>
      <w:color w:val="000000"/>
      <w:kern w:val="28"/>
      <w:sz w:val="28"/>
      <w:lang w:val="en-US" w:eastAsia="zh-CN" w:bidi="ar-SA"/>
    </w:rPr>
  </w:style>
  <w:style w:type="character" w:customStyle="1" w:styleId="832">
    <w:name w:val="font21"/>
    <w:qFormat/>
    <w:uiPriority w:val="0"/>
    <w:rPr>
      <w:rFonts w:hint="eastAsia" w:ascii="宋体" w:hAnsi="宋体" w:eastAsia="宋体"/>
      <w:kern w:val="2"/>
      <w:sz w:val="28"/>
      <w:szCs w:val="28"/>
      <w:lang w:val="en-US" w:eastAsia="zh-CN" w:bidi="ar-SA"/>
    </w:rPr>
  </w:style>
  <w:style w:type="character" w:customStyle="1" w:styleId="833">
    <w:name w:val="Char Char26"/>
    <w:qFormat/>
    <w:uiPriority w:val="6"/>
    <w:rPr>
      <w:kern w:val="1"/>
      <w:sz w:val="21"/>
      <w:szCs w:val="24"/>
    </w:rPr>
  </w:style>
  <w:style w:type="character" w:customStyle="1" w:styleId="834">
    <w:name w:val="Item List Char"/>
    <w:link w:val="105"/>
    <w:qFormat/>
    <w:uiPriority w:val="0"/>
    <w:rPr>
      <w:rFonts w:ascii="Arial"/>
      <w:bCs/>
      <w:sz w:val="21"/>
      <w:szCs w:val="21"/>
      <w:lang w:val="en-US" w:eastAsia="zh-CN" w:bidi="ar-SA"/>
    </w:rPr>
  </w:style>
  <w:style w:type="character" w:customStyle="1" w:styleId="835">
    <w:name w:val="批注框文本 Char1"/>
    <w:qFormat/>
    <w:uiPriority w:val="0"/>
    <w:rPr>
      <w:rFonts w:ascii="Times New Roman" w:hAnsi="Times New Roman" w:eastAsia="宋体" w:cs="Times New Roman"/>
      <w:sz w:val="18"/>
      <w:szCs w:val="18"/>
    </w:rPr>
  </w:style>
  <w:style w:type="character" w:customStyle="1" w:styleId="836">
    <w:name w:val="纯文本 Char1"/>
    <w:link w:val="106"/>
    <w:qFormat/>
    <w:uiPriority w:val="0"/>
    <w:rPr>
      <w:rFonts w:ascii="宋体" w:hAnsi="Courier New"/>
    </w:rPr>
  </w:style>
  <w:style w:type="character" w:customStyle="1" w:styleId="837">
    <w:name w:val="正文文本首行缩进 字符"/>
    <w:link w:val="25"/>
    <w:qFormat/>
    <w:uiPriority w:val="0"/>
    <w:rPr>
      <w:rFonts w:ascii="宋体"/>
      <w:kern w:val="2"/>
      <w:sz w:val="24"/>
      <w:lang w:val="zh-CN"/>
    </w:rPr>
  </w:style>
  <w:style w:type="character" w:customStyle="1" w:styleId="838">
    <w:name w:val="h3 Char"/>
    <w:qFormat/>
    <w:uiPriority w:val="0"/>
    <w:rPr>
      <w:rFonts w:eastAsia="宋体"/>
      <w:b/>
      <w:kern w:val="2"/>
      <w:sz w:val="32"/>
      <w:lang w:val="en-US" w:eastAsia="zh-CN" w:bidi="ar-SA"/>
    </w:rPr>
  </w:style>
  <w:style w:type="character" w:customStyle="1" w:styleId="839">
    <w:name w:val="dandyren_title1"/>
    <w:qFormat/>
    <w:uiPriority w:val="0"/>
    <w:rPr>
      <w:b/>
      <w:bCs/>
      <w:color w:val="FF6633"/>
      <w:sz w:val="18"/>
      <w:szCs w:val="18"/>
    </w:rPr>
  </w:style>
  <w:style w:type="character" w:customStyle="1" w:styleId="840">
    <w:name w:val="Char Char31"/>
    <w:qFormat/>
    <w:uiPriority w:val="6"/>
    <w:rPr>
      <w:rFonts w:ascii="Arial" w:hAnsi="Arial" w:eastAsia="黑体"/>
      <w:kern w:val="1"/>
      <w:sz w:val="24"/>
      <w:szCs w:val="24"/>
    </w:rPr>
  </w:style>
  <w:style w:type="character" w:customStyle="1" w:styleId="841">
    <w:name w:val="h Char1"/>
    <w:qFormat/>
    <w:uiPriority w:val="0"/>
    <w:rPr>
      <w:sz w:val="18"/>
      <w:szCs w:val="18"/>
    </w:rPr>
  </w:style>
  <w:style w:type="character" w:customStyle="1" w:styleId="842">
    <w:name w:val="solutionfonts"/>
    <w:qFormat/>
    <w:uiPriority w:val="0"/>
  </w:style>
  <w:style w:type="character" w:customStyle="1" w:styleId="843">
    <w:name w:val="标题 4 字符1"/>
    <w:link w:val="7"/>
    <w:qFormat/>
    <w:uiPriority w:val="9"/>
    <w:rPr>
      <w:rFonts w:ascii="Arial" w:hAnsi="Arial" w:eastAsia="黑体"/>
      <w:b/>
      <w:bCs/>
      <w:kern w:val="2"/>
      <w:sz w:val="28"/>
      <w:szCs w:val="28"/>
      <w:lang w:val="zh-CN"/>
    </w:rPr>
  </w:style>
  <w:style w:type="character" w:customStyle="1" w:styleId="844">
    <w:name w:val="首行缩进 Char"/>
    <w:qFormat/>
    <w:uiPriority w:val="0"/>
    <w:rPr>
      <w:rFonts w:ascii="宋体" w:eastAsia="宋体"/>
      <w:kern w:val="2"/>
      <w:sz w:val="24"/>
      <w:lang w:val="en-US" w:eastAsia="zh-CN" w:bidi="ar-SA"/>
    </w:rPr>
  </w:style>
  <w:style w:type="character" w:customStyle="1" w:styleId="845">
    <w:name w:val="Char Char52"/>
    <w:qFormat/>
    <w:uiPriority w:val="0"/>
    <w:rPr>
      <w:rFonts w:ascii="宋体" w:hAnsi="Courier New" w:eastAsia="宋体"/>
      <w:kern w:val="2"/>
      <w:sz w:val="21"/>
      <w:lang w:val="en-US" w:eastAsia="zh-CN"/>
    </w:rPr>
  </w:style>
  <w:style w:type="character" w:customStyle="1" w:styleId="846">
    <w:name w:val="正文文本 3 字符"/>
    <w:link w:val="22"/>
    <w:qFormat/>
    <w:uiPriority w:val="0"/>
    <w:rPr>
      <w:kern w:val="2"/>
      <w:sz w:val="21"/>
    </w:rPr>
  </w:style>
  <w:style w:type="character" w:customStyle="1" w:styleId="847">
    <w:name w:val="font31"/>
    <w:qFormat/>
    <w:uiPriority w:val="0"/>
    <w:rPr>
      <w:rFonts w:hint="eastAsia" w:ascii="仿宋" w:hAnsi="仿宋" w:eastAsia="仿宋" w:cs="仿宋"/>
      <w:color w:val="000000"/>
      <w:sz w:val="20"/>
      <w:szCs w:val="20"/>
      <w:u w:val="none"/>
    </w:rPr>
  </w:style>
  <w:style w:type="character" w:customStyle="1" w:styleId="848">
    <w:name w:val="正文说明 Char"/>
    <w:link w:val="107"/>
    <w:qFormat/>
    <w:uiPriority w:val="0"/>
    <w:rPr>
      <w:sz w:val="24"/>
      <w:szCs w:val="24"/>
    </w:rPr>
  </w:style>
  <w:style w:type="character" w:customStyle="1" w:styleId="849">
    <w:name w:val="脚注文本 Char1"/>
    <w:qFormat/>
    <w:uiPriority w:val="0"/>
    <w:rPr>
      <w:rFonts w:ascii="Times New Roman" w:hAnsi="Times New Roman" w:eastAsia="宋体" w:cs="Times New Roman"/>
      <w:sz w:val="18"/>
      <w:szCs w:val="18"/>
    </w:rPr>
  </w:style>
  <w:style w:type="character" w:customStyle="1" w:styleId="850">
    <w:name w:val="Char Char1211"/>
    <w:qFormat/>
    <w:uiPriority w:val="0"/>
    <w:rPr>
      <w:rFonts w:ascii="仿宋_GB2312" w:eastAsia="仿宋_GB2312"/>
      <w:b/>
      <w:bCs/>
      <w:kern w:val="2"/>
      <w:sz w:val="24"/>
      <w:szCs w:val="24"/>
      <w:lang w:val="zh-CN" w:eastAsia="zh-CN" w:bidi="ar-SA"/>
    </w:rPr>
  </w:style>
  <w:style w:type="character" w:customStyle="1" w:styleId="851">
    <w:name w:val="标题 Char"/>
    <w:qFormat/>
    <w:uiPriority w:val="0"/>
    <w:rPr>
      <w:rFonts w:eastAsia="宋体"/>
      <w:b/>
      <w:sz w:val="24"/>
      <w:lang w:eastAsia="zh-CN" w:bidi="ar-SA"/>
    </w:rPr>
  </w:style>
  <w:style w:type="character" w:customStyle="1" w:styleId="852">
    <w:name w:val="Char Char35"/>
    <w:qFormat/>
    <w:uiPriority w:val="6"/>
    <w:rPr>
      <w:rFonts w:ascii="Arial" w:hAnsi="Arial" w:eastAsia="黑体"/>
      <w:b/>
      <w:kern w:val="1"/>
      <w:sz w:val="28"/>
      <w:szCs w:val="28"/>
      <w:lang w:val="zh-CN"/>
    </w:rPr>
  </w:style>
  <w:style w:type="character" w:customStyle="1" w:styleId="853">
    <w:name w:val="纯文本 Char Char Char"/>
    <w:qFormat/>
    <w:uiPriority w:val="0"/>
    <w:rPr>
      <w:rFonts w:ascii="宋体" w:hAnsi="Courier New" w:eastAsia="宋体"/>
      <w:kern w:val="2"/>
      <w:sz w:val="21"/>
      <w:lang w:val="en-US" w:eastAsia="zh-CN" w:bidi="ar-SA"/>
    </w:rPr>
  </w:style>
  <w:style w:type="character" w:customStyle="1" w:styleId="854">
    <w:name w:val="Table Text Char"/>
    <w:link w:val="108"/>
    <w:qFormat/>
    <w:uiPriority w:val="0"/>
    <w:rPr>
      <w:sz w:val="24"/>
      <w:szCs w:val="24"/>
    </w:rPr>
  </w:style>
  <w:style w:type="character" w:customStyle="1" w:styleId="855">
    <w:name w:val="正文1 Char1"/>
    <w:qFormat/>
    <w:uiPriority w:val="0"/>
    <w:rPr>
      <w:rFonts w:ascii="仿宋_GB2312" w:hAnsi="Courier New" w:eastAsia="仿宋_GB2312"/>
      <w:kern w:val="28"/>
      <w:sz w:val="24"/>
      <w:szCs w:val="24"/>
      <w:lang w:val="en-US" w:eastAsia="zh-CN"/>
    </w:rPr>
  </w:style>
  <w:style w:type="character" w:customStyle="1" w:styleId="856">
    <w:name w:val="页脚 Char1"/>
    <w:qFormat/>
    <w:uiPriority w:val="0"/>
    <w:rPr>
      <w:rFonts w:eastAsia="宋体"/>
      <w:kern w:val="2"/>
      <w:sz w:val="18"/>
      <w:szCs w:val="18"/>
      <w:lang w:val="en-US" w:eastAsia="zh-CN" w:bidi="ar-SA"/>
    </w:rPr>
  </w:style>
  <w:style w:type="character" w:customStyle="1" w:styleId="857">
    <w:name w:val="Bold"/>
    <w:qFormat/>
    <w:uiPriority w:val="0"/>
    <w:rPr>
      <w:rFonts w:ascii="Arial" w:hAnsi="Arial" w:eastAsia="黑体" w:cs="Times New Roman"/>
      <w:b/>
      <w:kern w:val="2"/>
      <w:sz w:val="32"/>
      <w:szCs w:val="32"/>
      <w:lang w:val="en-US" w:eastAsia="zh-CN" w:bidi="ar-SA"/>
    </w:rPr>
  </w:style>
  <w:style w:type="character" w:customStyle="1" w:styleId="858">
    <w:name w:val="批注文字 字符1"/>
    <w:link w:val="20"/>
    <w:qFormat/>
    <w:uiPriority w:val="0"/>
    <w:rPr>
      <w:kern w:val="2"/>
      <w:sz w:val="21"/>
      <w:szCs w:val="24"/>
    </w:rPr>
  </w:style>
  <w:style w:type="character" w:customStyle="1" w:styleId="859">
    <w:name w:val="签名 字符"/>
    <w:link w:val="45"/>
    <w:qFormat/>
    <w:uiPriority w:val="0"/>
    <w:rPr>
      <w:rFonts w:eastAsia="仿宋_GB2312"/>
      <w:sz w:val="24"/>
    </w:rPr>
  </w:style>
  <w:style w:type="character" w:customStyle="1" w:styleId="860">
    <w:name w:val="hui3"/>
    <w:qFormat/>
    <w:uiPriority w:val="0"/>
    <w:rPr>
      <w:color w:val="333333"/>
    </w:rPr>
  </w:style>
  <w:style w:type="character" w:customStyle="1" w:styleId="861">
    <w:name w:val="Char Char17"/>
    <w:qFormat/>
    <w:uiPriority w:val="6"/>
    <w:rPr>
      <w:rFonts w:eastAsia="仿宋_GB2312"/>
      <w:sz w:val="24"/>
    </w:rPr>
  </w:style>
  <w:style w:type="character" w:customStyle="1" w:styleId="862">
    <w:name w:val="标题 4 字符"/>
    <w:qFormat/>
    <w:uiPriority w:val="9"/>
    <w:rPr>
      <w:rFonts w:ascii="等线 Light" w:hAnsi="等线 Light" w:eastAsia="等线 Light" w:cs="Times New Roman"/>
      <w:b/>
      <w:bCs/>
      <w:snapToGrid w:val="0"/>
      <w:kern w:val="0"/>
      <w:sz w:val="28"/>
      <w:szCs w:val="28"/>
    </w:rPr>
  </w:style>
  <w:style w:type="character" w:customStyle="1" w:styleId="863">
    <w:name w:val="Char Char37"/>
    <w:qFormat/>
    <w:uiPriority w:val="6"/>
    <w:rPr>
      <w:b/>
      <w:kern w:val="1"/>
      <w:sz w:val="44"/>
      <w:szCs w:val="44"/>
    </w:rPr>
  </w:style>
  <w:style w:type="character" w:customStyle="1" w:styleId="864">
    <w:name w:val="列出段落 Char"/>
    <w:qFormat/>
    <w:uiPriority w:val="0"/>
    <w:rPr>
      <w:rFonts w:eastAsia="楷体_GB2312" w:cs="Lucida Sans"/>
      <w:kern w:val="2"/>
      <w:sz w:val="24"/>
      <w:szCs w:val="24"/>
      <w:lang w:val="en-US" w:eastAsia="zh-CN" w:bidi="ar-SA"/>
    </w:rPr>
  </w:style>
  <w:style w:type="character" w:customStyle="1" w:styleId="865">
    <w:name w:val="正文文本缩进 3 Char1"/>
    <w:semiHidden/>
    <w:qFormat/>
    <w:uiPriority w:val="99"/>
    <w:rPr>
      <w:rFonts w:ascii="Times New Roman" w:hAnsi="Times New Roman" w:eastAsia="宋体" w:cs="Times New Roman"/>
      <w:sz w:val="16"/>
      <w:szCs w:val="16"/>
    </w:rPr>
  </w:style>
  <w:style w:type="character" w:customStyle="1" w:styleId="866">
    <w:name w:val="公文正文 Char Char"/>
    <w:link w:val="109"/>
    <w:qFormat/>
    <w:uiPriority w:val="0"/>
    <w:rPr>
      <w:rFonts w:ascii="仿宋_GB2312" w:eastAsia="仿宋_GB2312"/>
      <w:kern w:val="2"/>
      <w:sz w:val="24"/>
      <w:szCs w:val="24"/>
    </w:rPr>
  </w:style>
  <w:style w:type="character" w:customStyle="1" w:styleId="867">
    <w:name w:val="Table Text Char1"/>
    <w:qFormat/>
    <w:uiPriority w:val="0"/>
    <w:rPr>
      <w:rFonts w:eastAsia="宋体"/>
      <w:sz w:val="24"/>
      <w:szCs w:val="24"/>
      <w:lang w:val="en-US" w:eastAsia="zh-CN" w:bidi="ar-SA"/>
    </w:rPr>
  </w:style>
  <w:style w:type="character" w:customStyle="1" w:styleId="868">
    <w:name w:val="标题 1 Char Char"/>
    <w:qFormat/>
    <w:uiPriority w:val="0"/>
    <w:rPr>
      <w:rFonts w:hint="eastAsia" w:ascii="宋体" w:hAnsi="宋体" w:eastAsia="宋体"/>
      <w:b/>
      <w:spacing w:val="-2"/>
      <w:sz w:val="24"/>
      <w:lang w:val="en-US" w:eastAsia="zh-CN" w:bidi="ar-SA"/>
    </w:rPr>
  </w:style>
  <w:style w:type="character" w:customStyle="1" w:styleId="869">
    <w:name w:val="正文（缩进2汉字） Char"/>
    <w:link w:val="110"/>
    <w:qFormat/>
    <w:uiPriority w:val="0"/>
    <w:rPr>
      <w:rFonts w:ascii="宋体"/>
    </w:rPr>
  </w:style>
  <w:style w:type="character" w:customStyle="1" w:styleId="870">
    <w:name w:val="标题 8 字符"/>
    <w:link w:val="11"/>
    <w:qFormat/>
    <w:uiPriority w:val="0"/>
    <w:rPr>
      <w:rFonts w:ascii="Arial" w:hAnsi="Arial" w:eastAsia="黑体"/>
      <w:kern w:val="2"/>
      <w:sz w:val="24"/>
      <w:szCs w:val="24"/>
    </w:rPr>
  </w:style>
  <w:style w:type="character" w:customStyle="1" w:styleId="871">
    <w:name w:val="标书表格字体格式 Char"/>
    <w:qFormat/>
    <w:uiPriority w:val="0"/>
    <w:rPr>
      <w:kern w:val="2"/>
      <w:sz w:val="21"/>
      <w:szCs w:val="24"/>
      <w:lang w:bidi="ar-SA"/>
    </w:rPr>
  </w:style>
  <w:style w:type="character" w:customStyle="1" w:styleId="872">
    <w:name w:val="tw4winError"/>
    <w:qFormat/>
    <w:uiPriority w:val="0"/>
    <w:rPr>
      <w:rFonts w:ascii="Courier New" w:hAnsi="Courier New" w:cs="Courier New"/>
      <w:color w:val="00FF00"/>
      <w:sz w:val="40"/>
      <w:szCs w:val="40"/>
    </w:rPr>
  </w:style>
  <w:style w:type="character" w:customStyle="1" w:styleId="873">
    <w:name w:val="Body Text(ch) Char Char"/>
    <w:qFormat/>
    <w:uiPriority w:val="0"/>
    <w:rPr>
      <w:rFonts w:ascii="宋体"/>
      <w:kern w:val="2"/>
      <w:sz w:val="24"/>
      <w:szCs w:val="21"/>
      <w:lang w:val="zh-CN"/>
    </w:rPr>
  </w:style>
  <w:style w:type="character" w:customStyle="1" w:styleId="874">
    <w:name w:val="正文首行缩进两字 Char"/>
    <w:qFormat/>
    <w:uiPriority w:val="0"/>
    <w:rPr>
      <w:sz w:val="24"/>
      <w:szCs w:val="24"/>
      <w:lang w:val="en-US" w:eastAsia="zh-CN" w:bidi="ar-SA"/>
    </w:rPr>
  </w:style>
  <w:style w:type="character" w:customStyle="1" w:styleId="875">
    <w:name w:val="正文文本 Char"/>
    <w:qFormat/>
    <w:uiPriority w:val="0"/>
    <w:rPr>
      <w:rFonts w:eastAsia="宋体"/>
      <w:kern w:val="2"/>
      <w:sz w:val="24"/>
      <w:szCs w:val="24"/>
      <w:lang w:val="en-US" w:eastAsia="zh-CN" w:bidi="ar-SA"/>
    </w:rPr>
  </w:style>
  <w:style w:type="character" w:customStyle="1" w:styleId="876">
    <w:name w:val="文档结构图 字符1"/>
    <w:qFormat/>
    <w:uiPriority w:val="0"/>
    <w:rPr>
      <w:rFonts w:ascii="宋体" w:hAnsi="Calibri" w:eastAsia="黑体" w:cs="Arial"/>
      <w:snapToGrid w:val="0"/>
      <w:kern w:val="2"/>
      <w:sz w:val="18"/>
      <w:szCs w:val="18"/>
    </w:rPr>
  </w:style>
  <w:style w:type="character" w:customStyle="1" w:styleId="877">
    <w:name w:val="content"/>
    <w:qFormat/>
    <w:uiPriority w:val="0"/>
  </w:style>
  <w:style w:type="character" w:customStyle="1" w:styleId="878">
    <w:name w:val="tw4winPopup"/>
    <w:qFormat/>
    <w:uiPriority w:val="0"/>
    <w:rPr>
      <w:rFonts w:ascii="Courier New" w:hAnsi="Courier New" w:cs="Courier New"/>
      <w:color w:val="008000"/>
      <w:lang w:val="en-US" w:eastAsia="zh-CN"/>
    </w:rPr>
  </w:style>
  <w:style w:type="character" w:customStyle="1" w:styleId="879">
    <w:name w:val="param-name"/>
    <w:qFormat/>
    <w:uiPriority w:val="99"/>
    <w:rPr>
      <w:rFonts w:ascii="Arial" w:hAnsi="Arial" w:eastAsia="黑体" w:cs="Arial"/>
      <w:snapToGrid w:val="0"/>
      <w:kern w:val="0"/>
      <w:szCs w:val="21"/>
    </w:rPr>
  </w:style>
  <w:style w:type="character" w:customStyle="1" w:styleId="880">
    <w:name w:val="标准正文格式 Char"/>
    <w:qFormat/>
    <w:uiPriority w:val="0"/>
    <w:rPr>
      <w:rFonts w:ascii="宋体" w:eastAsia="仿宋_GB2312" w:cs="宋体"/>
      <w:color w:val="000000"/>
      <w:sz w:val="24"/>
      <w:lang w:val="en-US" w:eastAsia="zh-CN" w:bidi="ar-SA"/>
    </w:rPr>
  </w:style>
  <w:style w:type="character" w:customStyle="1" w:styleId="881">
    <w:name w:val="Char Char212"/>
    <w:qFormat/>
    <w:uiPriority w:val="0"/>
    <w:rPr>
      <w:rFonts w:eastAsia="宋体"/>
      <w:b/>
      <w:bCs/>
      <w:kern w:val="2"/>
      <w:sz w:val="21"/>
      <w:szCs w:val="24"/>
      <w:lang w:val="en-US" w:eastAsia="zh-CN" w:bidi="ar-SA"/>
    </w:rPr>
  </w:style>
  <w:style w:type="character" w:customStyle="1" w:styleId="882">
    <w:name w:val="文档结构图 Char"/>
    <w:qFormat/>
    <w:uiPriority w:val="0"/>
    <w:rPr>
      <w:rFonts w:eastAsia="宋体"/>
      <w:kern w:val="2"/>
      <w:sz w:val="21"/>
      <w:szCs w:val="24"/>
      <w:lang w:val="en-US" w:eastAsia="zh-CN" w:bidi="ar-SA"/>
    </w:rPr>
  </w:style>
  <w:style w:type="character" w:customStyle="1" w:styleId="883">
    <w:name w:val="zbggmain style9"/>
    <w:qFormat/>
    <w:uiPriority w:val="0"/>
  </w:style>
  <w:style w:type="character" w:customStyle="1" w:styleId="884">
    <w:name w:val="Char Char16"/>
    <w:qFormat/>
    <w:uiPriority w:val="6"/>
    <w:rPr>
      <w:kern w:val="1"/>
      <w:sz w:val="18"/>
      <w:szCs w:val="18"/>
    </w:rPr>
  </w:style>
  <w:style w:type="character" w:customStyle="1" w:styleId="885">
    <w:name w:val="font51"/>
    <w:qFormat/>
    <w:uiPriority w:val="0"/>
    <w:rPr>
      <w:rFonts w:hint="eastAsia" w:ascii="仿宋" w:hAnsi="仿宋" w:eastAsia="仿宋" w:cs="仿宋"/>
      <w:color w:val="000000"/>
      <w:sz w:val="20"/>
      <w:szCs w:val="20"/>
      <w:u w:val="none"/>
    </w:rPr>
  </w:style>
  <w:style w:type="character" w:customStyle="1" w:styleId="886">
    <w:name w:val="Char Char82"/>
    <w:qFormat/>
    <w:uiPriority w:val="0"/>
    <w:rPr>
      <w:rFonts w:eastAsia="宋体"/>
      <w:b/>
      <w:sz w:val="24"/>
      <w:lang w:eastAsia="zh-CN"/>
    </w:rPr>
  </w:style>
  <w:style w:type="character" w:customStyle="1" w:styleId="887">
    <w:name w:val="正文文本缩进 3 字符"/>
    <w:link w:val="55"/>
    <w:qFormat/>
    <w:uiPriority w:val="0"/>
    <w:rPr>
      <w:kern w:val="2"/>
      <w:sz w:val="24"/>
    </w:rPr>
  </w:style>
  <w:style w:type="character" w:customStyle="1" w:styleId="888">
    <w:name w:val="日期 Char1"/>
    <w:semiHidden/>
    <w:qFormat/>
    <w:uiPriority w:val="99"/>
    <w:rPr>
      <w:rFonts w:ascii="Times New Roman" w:hAnsi="Times New Roman" w:eastAsia="宋体" w:cs="Times New Roman"/>
      <w:szCs w:val="24"/>
    </w:rPr>
  </w:style>
  <w:style w:type="character" w:customStyle="1" w:styleId="889">
    <w:name w:val="页眉 字符"/>
    <w:qFormat/>
    <w:uiPriority w:val="99"/>
    <w:rPr>
      <w:kern w:val="2"/>
      <w:sz w:val="18"/>
      <w:szCs w:val="18"/>
    </w:rPr>
  </w:style>
  <w:style w:type="character" w:customStyle="1" w:styleId="890">
    <w:name w:val="Char Char33"/>
    <w:qFormat/>
    <w:uiPriority w:val="6"/>
    <w:rPr>
      <w:rFonts w:ascii="Arial" w:hAnsi="Arial" w:eastAsia="黑体"/>
      <w:b/>
      <w:kern w:val="1"/>
      <w:sz w:val="24"/>
      <w:szCs w:val="24"/>
    </w:rPr>
  </w:style>
  <w:style w:type="character" w:customStyle="1" w:styleId="891">
    <w:name w:val="b11_01b Char"/>
    <w:link w:val="111"/>
    <w:qFormat/>
    <w:uiPriority w:val="0"/>
    <w:rPr>
      <w:rFonts w:ascii="Verdana" w:hAnsi="Verdana"/>
      <w:b/>
      <w:bCs/>
      <w:color w:val="4A82CA"/>
      <w:sz w:val="17"/>
      <w:szCs w:val="17"/>
    </w:rPr>
  </w:style>
  <w:style w:type="character" w:customStyle="1" w:styleId="892">
    <w:name w:val="Char Char121"/>
    <w:qFormat/>
    <w:uiPriority w:val="6"/>
    <w:rPr>
      <w:rFonts w:ascii="仿宋_GB2312" w:eastAsia="仿宋_GB2312"/>
      <w:b/>
      <w:bCs/>
      <w:kern w:val="2"/>
      <w:sz w:val="24"/>
      <w:szCs w:val="24"/>
      <w:lang w:val="zh-CN" w:eastAsia="zh-CN" w:bidi="ar-SA"/>
    </w:rPr>
  </w:style>
  <w:style w:type="character" w:customStyle="1" w:styleId="893">
    <w:name w:val="Footer-Even Char"/>
    <w:qFormat/>
    <w:uiPriority w:val="0"/>
    <w:rPr>
      <w:rFonts w:eastAsia="宋体"/>
      <w:kern w:val="2"/>
      <w:sz w:val="18"/>
      <w:lang w:val="en-US" w:eastAsia="zh-CN" w:bidi="ar-SA"/>
    </w:rPr>
  </w:style>
  <w:style w:type="character" w:customStyle="1" w:styleId="894">
    <w:name w:val="页脚 字符2"/>
    <w:link w:val="43"/>
    <w:qFormat/>
    <w:locked/>
    <w:uiPriority w:val="99"/>
    <w:rPr>
      <w:kern w:val="2"/>
      <w:sz w:val="18"/>
      <w:szCs w:val="18"/>
    </w:rPr>
  </w:style>
  <w:style w:type="character" w:customStyle="1" w:styleId="895">
    <w:name w:val="Char Char36"/>
    <w:qFormat/>
    <w:uiPriority w:val="6"/>
    <w:rPr>
      <w:rFonts w:ascii="仿宋_GB2312" w:hAnsi="仿宋_GB2312" w:eastAsia="仿宋_GB2312" w:cs="Arial"/>
      <w:b/>
      <w:kern w:val="1"/>
      <w:sz w:val="32"/>
      <w:szCs w:val="32"/>
      <w:lang w:val="zh-CN" w:eastAsia="zh-CN" w:bidi="ar-SA"/>
    </w:rPr>
  </w:style>
  <w:style w:type="character" w:customStyle="1" w:styleId="896">
    <w:name w:val="Char Char61"/>
    <w:qFormat/>
    <w:uiPriority w:val="6"/>
    <w:rPr>
      <w:rFonts w:eastAsia="宋体"/>
      <w:kern w:val="2"/>
      <w:sz w:val="21"/>
      <w:szCs w:val="24"/>
      <w:lang w:val="en-US" w:eastAsia="zh-CN" w:bidi="ar-SA"/>
    </w:rPr>
  </w:style>
  <w:style w:type="character" w:customStyle="1" w:styleId="897">
    <w:name w:val="正文文字缩进 2 Char Char"/>
    <w:qFormat/>
    <w:uiPriority w:val="0"/>
    <w:rPr>
      <w:rFonts w:ascii="宋体"/>
      <w:sz w:val="28"/>
    </w:rPr>
  </w:style>
  <w:style w:type="character" w:customStyle="1" w:styleId="898">
    <w:name w:val="f141"/>
    <w:qFormat/>
    <w:uiPriority w:val="0"/>
    <w:rPr>
      <w:rFonts w:ascii="Tahoma" w:hAnsi="Tahoma" w:eastAsia="宋体"/>
      <w:b/>
      <w:kern w:val="2"/>
      <w:sz w:val="21"/>
      <w:szCs w:val="21"/>
      <w:lang w:val="en-US" w:eastAsia="zh-CN" w:bidi="ar-SA"/>
    </w:rPr>
  </w:style>
  <w:style w:type="character" w:customStyle="1" w:styleId="899">
    <w:name w:val="段落 Char Char"/>
    <w:link w:val="112"/>
    <w:qFormat/>
    <w:uiPriority w:val="0"/>
    <w:rPr>
      <w:rFonts w:ascii="宋体" w:hAnsi="宋体"/>
      <w:sz w:val="24"/>
    </w:rPr>
  </w:style>
  <w:style w:type="character" w:customStyle="1" w:styleId="900">
    <w:name w:val="标题 3 Char2"/>
    <w:qFormat/>
    <w:uiPriority w:val="0"/>
    <w:rPr>
      <w:rFonts w:eastAsia="宋体"/>
      <w:b/>
      <w:bCs/>
      <w:kern w:val="2"/>
      <w:sz w:val="32"/>
      <w:szCs w:val="32"/>
      <w:lang w:val="en-US" w:eastAsia="zh-CN" w:bidi="ar-SA"/>
    </w:rPr>
  </w:style>
  <w:style w:type="character" w:customStyle="1" w:styleId="901">
    <w:name w:val="apple-converted-space"/>
    <w:qFormat/>
    <w:uiPriority w:val="0"/>
  </w:style>
  <w:style w:type="character" w:customStyle="1" w:styleId="902">
    <w:name w:val="页眉 字符2"/>
    <w:link w:val="44"/>
    <w:qFormat/>
    <w:uiPriority w:val="99"/>
    <w:rPr>
      <w:kern w:val="2"/>
      <w:sz w:val="18"/>
      <w:szCs w:val="18"/>
    </w:rPr>
  </w:style>
  <w:style w:type="character" w:customStyle="1" w:styleId="903">
    <w:name w:val="Char Char9"/>
    <w:qFormat/>
    <w:uiPriority w:val="0"/>
    <w:rPr>
      <w:rFonts w:eastAsia="宋体"/>
      <w:kern w:val="2"/>
      <w:sz w:val="18"/>
      <w:szCs w:val="18"/>
      <w:lang w:val="en-US" w:eastAsia="zh-CN" w:bidi="ar-SA"/>
    </w:rPr>
  </w:style>
  <w:style w:type="character" w:customStyle="1" w:styleId="904">
    <w:name w:val="Char Char41"/>
    <w:qFormat/>
    <w:uiPriority w:val="0"/>
    <w:rPr>
      <w:rFonts w:eastAsia="宋体"/>
      <w:b/>
      <w:sz w:val="24"/>
      <w:lang w:eastAsia="zh-CN" w:bidi="ar-SA"/>
    </w:rPr>
  </w:style>
  <w:style w:type="character" w:customStyle="1" w:styleId="905">
    <w:name w:val="large1"/>
    <w:qFormat/>
    <w:uiPriority w:val="0"/>
    <w:rPr>
      <w:rFonts w:hint="eastAsia" w:ascii="宋体" w:hAnsi="宋体" w:eastAsia="宋体"/>
      <w:sz w:val="21"/>
      <w:szCs w:val="21"/>
    </w:rPr>
  </w:style>
  <w:style w:type="character" w:customStyle="1" w:styleId="906">
    <w:name w:val="正文段 Char"/>
    <w:link w:val="113"/>
    <w:qFormat/>
    <w:uiPriority w:val="0"/>
    <w:rPr>
      <w:sz w:val="24"/>
    </w:rPr>
  </w:style>
  <w:style w:type="character" w:customStyle="1" w:styleId="907">
    <w:name w:val="Char Char13"/>
    <w:qFormat/>
    <w:uiPriority w:val="6"/>
    <w:rPr>
      <w:rFonts w:ascii="宋体" w:hAnsi="宋体"/>
      <w:kern w:val="1"/>
      <w:sz w:val="21"/>
      <w:szCs w:val="24"/>
    </w:rPr>
  </w:style>
  <w:style w:type="character" w:customStyle="1" w:styleId="90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9">
    <w:name w:val="冯广丽 Char"/>
    <w:link w:val="114"/>
    <w:qFormat/>
    <w:uiPriority w:val="0"/>
    <w:rPr>
      <w:rFonts w:ascii="宋体" w:hAnsi="宋体"/>
      <w:kern w:val="2"/>
      <w:sz w:val="24"/>
      <w:szCs w:val="22"/>
    </w:rPr>
  </w:style>
  <w:style w:type="character" w:customStyle="1" w:styleId="910">
    <w:name w:val="批注文字 字符"/>
    <w:qFormat/>
    <w:uiPriority w:val="0"/>
    <w:rPr>
      <w:rFonts w:ascii="Arial" w:hAnsi="Arial" w:eastAsia="黑体" w:cs="Arial"/>
      <w:snapToGrid w:val="0"/>
      <w:kern w:val="0"/>
      <w:szCs w:val="21"/>
    </w:rPr>
  </w:style>
  <w:style w:type="character" w:customStyle="1" w:styleId="911">
    <w:name w:val="Char Char161"/>
    <w:qFormat/>
    <w:uiPriority w:val="0"/>
    <w:rPr>
      <w:rFonts w:eastAsia="宋体"/>
      <w:b/>
      <w:kern w:val="2"/>
      <w:sz w:val="32"/>
      <w:lang w:val="en-US" w:eastAsia="zh-CN"/>
    </w:rPr>
  </w:style>
  <w:style w:type="character" w:customStyle="1" w:styleId="912">
    <w:name w:val="javascript"/>
    <w:qFormat/>
    <w:uiPriority w:val="0"/>
  </w:style>
  <w:style w:type="character" w:customStyle="1" w:styleId="913">
    <w:name w:val="图名 Char"/>
    <w:qFormat/>
    <w:uiPriority w:val="0"/>
    <w:rPr>
      <w:rFonts w:ascii="Arial" w:hAnsi="Arial" w:eastAsia="黑体"/>
      <w:kern w:val="2"/>
      <w:sz w:val="24"/>
      <w:szCs w:val="24"/>
      <w:lang w:val="en-US" w:eastAsia="zh-CN" w:bidi="ar-SA"/>
    </w:rPr>
  </w:style>
  <w:style w:type="character" w:customStyle="1" w:styleId="914">
    <w:name w:val="Used by Word for text of Help footnotes Char Char"/>
    <w:qFormat/>
    <w:uiPriority w:val="0"/>
    <w:rPr>
      <w:rFonts w:ascii="Times New Roman" w:hAnsi="Times New Roman" w:eastAsia="宋体" w:cs="Times New Roman"/>
      <w:sz w:val="20"/>
      <w:szCs w:val="20"/>
    </w:rPr>
  </w:style>
  <w:style w:type="character" w:customStyle="1" w:styleId="915">
    <w:name w:val="编号，小四 Char"/>
    <w:link w:val="115"/>
    <w:qFormat/>
    <w:uiPriority w:val="0"/>
    <w:rPr>
      <w:rFonts w:ascii="Arial" w:hAnsi="Arial"/>
      <w:sz w:val="24"/>
    </w:rPr>
  </w:style>
  <w:style w:type="character" w:customStyle="1" w:styleId="916">
    <w:name w:val="Font Style82"/>
    <w:qFormat/>
    <w:uiPriority w:val="99"/>
    <w:rPr>
      <w:rFonts w:ascii="宋体" w:eastAsia="宋体" w:cs="宋体"/>
      <w:color w:val="000000"/>
      <w:sz w:val="14"/>
      <w:szCs w:val="14"/>
    </w:rPr>
  </w:style>
  <w:style w:type="character" w:customStyle="1" w:styleId="917">
    <w:name w:val="标题 2 Char Char"/>
    <w:qFormat/>
    <w:uiPriority w:val="0"/>
    <w:rPr>
      <w:rFonts w:ascii="楷体_GB2312" w:hAnsi="Arial" w:eastAsia="楷体_GB2312"/>
      <w:b/>
      <w:bCs/>
      <w:kern w:val="2"/>
      <w:sz w:val="24"/>
      <w:szCs w:val="32"/>
      <w:lang w:val="en-US" w:eastAsia="zh-CN" w:bidi="ar-SA"/>
    </w:rPr>
  </w:style>
  <w:style w:type="character" w:customStyle="1" w:styleId="918">
    <w:name w:val="未用 Char"/>
    <w:qFormat/>
    <w:uiPriority w:val="0"/>
    <w:rPr>
      <w:rFonts w:ascii="Arial" w:hAnsi="Arial" w:eastAsia="黑体"/>
      <w:kern w:val="2"/>
      <w:sz w:val="21"/>
      <w:szCs w:val="21"/>
      <w:lang w:val="en-US" w:eastAsia="zh-CN" w:bidi="ar-SA"/>
    </w:rPr>
  </w:style>
  <w:style w:type="character" w:customStyle="1" w:styleId="919">
    <w:name w:val="myp1111"/>
    <w:qFormat/>
    <w:uiPriority w:val="0"/>
    <w:rPr>
      <w:rFonts w:hint="default" w:ascii="ˎ̥" w:hAnsi="ˎ̥"/>
      <w:color w:val="000000"/>
      <w:sz w:val="20"/>
      <w:szCs w:val="20"/>
      <w:u w:val="none"/>
    </w:rPr>
  </w:style>
  <w:style w:type="character" w:customStyle="1" w:styleId="920">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21">
    <w:name w:val="h Char Char"/>
    <w:qFormat/>
    <w:uiPriority w:val="0"/>
    <w:rPr>
      <w:rFonts w:eastAsia="宋体"/>
      <w:kern w:val="2"/>
      <w:sz w:val="18"/>
      <w:lang w:val="en-US" w:eastAsia="zh-CN" w:bidi="ar-SA"/>
    </w:rPr>
  </w:style>
  <w:style w:type="character" w:customStyle="1" w:styleId="922">
    <w:name w:val="仿宋正文 Char"/>
    <w:link w:val="116"/>
    <w:qFormat/>
    <w:uiPriority w:val="0"/>
    <w:rPr>
      <w:rFonts w:ascii="仿宋_GB2312" w:eastAsia="仿宋_GB2312"/>
      <w:kern w:val="2"/>
      <w:sz w:val="24"/>
      <w:lang w:val="en-US" w:eastAsia="zh-CN" w:bidi="ar-SA"/>
    </w:rPr>
  </w:style>
  <w:style w:type="character" w:customStyle="1" w:styleId="923">
    <w:name w:val="正文首行缩进 Char Char Char Char Char Char"/>
    <w:qFormat/>
    <w:uiPriority w:val="0"/>
    <w:rPr>
      <w:rFonts w:ascii="宋体" w:eastAsia="宋体"/>
      <w:kern w:val="2"/>
      <w:sz w:val="24"/>
      <w:lang w:val="zh-CN" w:bidi="ar-SA"/>
    </w:rPr>
  </w:style>
  <w:style w:type="character" w:customStyle="1" w:styleId="924">
    <w:name w:val="样式 宋体"/>
    <w:qFormat/>
    <w:uiPriority w:val="0"/>
    <w:rPr>
      <w:rFonts w:ascii="宋体" w:hAnsi="宋体"/>
      <w:sz w:val="24"/>
    </w:rPr>
  </w:style>
  <w:style w:type="character" w:customStyle="1" w:styleId="925">
    <w:name w:val="tw4winJump"/>
    <w:qFormat/>
    <w:uiPriority w:val="0"/>
    <w:rPr>
      <w:rFonts w:ascii="Courier New" w:hAnsi="Courier New" w:cs="Courier New"/>
      <w:color w:val="008080"/>
      <w:lang w:val="en-US" w:eastAsia="zh-CN"/>
    </w:rPr>
  </w:style>
  <w:style w:type="character" w:customStyle="1" w:styleId="926">
    <w:name w:val="标题 1 字符"/>
    <w:qFormat/>
    <w:uiPriority w:val="9"/>
    <w:rPr>
      <w:rFonts w:ascii="Arial" w:hAnsi="Arial" w:eastAsia="黑体" w:cs="Arial"/>
      <w:b/>
      <w:bCs/>
      <w:snapToGrid w:val="0"/>
      <w:kern w:val="44"/>
      <w:sz w:val="44"/>
      <w:szCs w:val="44"/>
    </w:rPr>
  </w:style>
  <w:style w:type="character" w:customStyle="1" w:styleId="927">
    <w:name w:val="style36"/>
    <w:basedOn w:val="70"/>
    <w:qFormat/>
    <w:uiPriority w:val="0"/>
    <w:rPr>
      <w:rFonts w:ascii="Arial" w:hAnsi="Arial" w:eastAsia="黑体" w:cs="Arial"/>
      <w:snapToGrid w:val="0"/>
      <w:kern w:val="0"/>
      <w:szCs w:val="21"/>
    </w:rPr>
  </w:style>
  <w:style w:type="character" w:customStyle="1" w:styleId="928">
    <w:name w:val="pt9"/>
    <w:qFormat/>
    <w:uiPriority w:val="0"/>
    <w:rPr>
      <w:rFonts w:ascii="仿宋_GB2312" w:eastAsia="微软雅黑"/>
      <w:b/>
      <w:kern w:val="2"/>
      <w:sz w:val="32"/>
      <w:szCs w:val="32"/>
      <w:lang w:val="en-US" w:eastAsia="zh-CN" w:bidi="ar-SA"/>
    </w:rPr>
  </w:style>
  <w:style w:type="character" w:customStyle="1" w:styleId="929">
    <w:name w:val="DO_NOT_TRANSLATE"/>
    <w:qFormat/>
    <w:uiPriority w:val="0"/>
    <w:rPr>
      <w:rFonts w:ascii="Courier New" w:hAnsi="Courier New" w:cs="Courier New"/>
      <w:color w:val="800000"/>
      <w:lang w:val="en-US" w:eastAsia="zh-CN"/>
    </w:rPr>
  </w:style>
  <w:style w:type="character" w:customStyle="1" w:styleId="930">
    <w:name w:val="标书1 Char1"/>
    <w:qFormat/>
    <w:uiPriority w:val="0"/>
    <w:rPr>
      <w:rFonts w:eastAsia="宋体"/>
      <w:b/>
      <w:bCs/>
      <w:kern w:val="44"/>
      <w:sz w:val="44"/>
      <w:szCs w:val="44"/>
      <w:lang w:val="en-US" w:eastAsia="zh-CN" w:bidi="ar-SA"/>
    </w:rPr>
  </w:style>
  <w:style w:type="character" w:customStyle="1" w:styleId="931">
    <w:name w:val="页脚 字符"/>
    <w:qFormat/>
    <w:uiPriority w:val="99"/>
    <w:rPr>
      <w:kern w:val="2"/>
      <w:sz w:val="18"/>
      <w:szCs w:val="18"/>
    </w:rPr>
  </w:style>
  <w:style w:type="character" w:customStyle="1" w:styleId="932">
    <w:name w:val="正文2 Char"/>
    <w:qFormat/>
    <w:uiPriority w:val="0"/>
    <w:rPr>
      <w:rFonts w:eastAsia="宋体"/>
      <w:kern w:val="2"/>
      <w:sz w:val="24"/>
      <w:lang w:val="en-US" w:eastAsia="zh-CN" w:bidi="ar-SA"/>
    </w:rPr>
  </w:style>
  <w:style w:type="character" w:customStyle="1" w:styleId="933">
    <w:name w:val="Char Char21"/>
    <w:qFormat/>
    <w:uiPriority w:val="6"/>
    <w:rPr>
      <w:rFonts w:ascii="宋体" w:hAnsi="宋体"/>
      <w:kern w:val="1"/>
      <w:sz w:val="24"/>
      <w:szCs w:val="21"/>
      <w:lang w:val="zh-CN"/>
    </w:rPr>
  </w:style>
  <w:style w:type="character" w:customStyle="1" w:styleId="934">
    <w:name w:val="样式 正文缩进 + 首行缩进:  2 字符 Char Char"/>
    <w:link w:val="117"/>
    <w:qFormat/>
    <w:uiPriority w:val="0"/>
    <w:rPr>
      <w:rFonts w:cs="宋体"/>
      <w:kern w:val="2"/>
      <w:sz w:val="24"/>
    </w:rPr>
  </w:style>
  <w:style w:type="character" w:customStyle="1" w:styleId="935">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936">
    <w:name w:val="gray6"/>
    <w:basedOn w:val="70"/>
    <w:qFormat/>
    <w:uiPriority w:val="0"/>
    <w:rPr>
      <w:rFonts w:ascii="Arial" w:hAnsi="Arial" w:eastAsia="黑体" w:cs="Arial"/>
      <w:snapToGrid w:val="0"/>
      <w:kern w:val="0"/>
      <w:szCs w:val="21"/>
    </w:rPr>
  </w:style>
  <w:style w:type="character" w:customStyle="1" w:styleId="937">
    <w:name w:val="hui"/>
    <w:basedOn w:val="70"/>
    <w:qFormat/>
    <w:uiPriority w:val="0"/>
    <w:rPr>
      <w:rFonts w:ascii="Arial" w:hAnsi="Arial" w:eastAsia="黑体" w:cs="Arial"/>
      <w:snapToGrid w:val="0"/>
      <w:kern w:val="0"/>
      <w:szCs w:val="21"/>
    </w:rPr>
  </w:style>
  <w:style w:type="character" w:customStyle="1" w:styleId="938">
    <w:name w:val="哈哈正文 Char Char"/>
    <w:qFormat/>
    <w:uiPriority w:val="0"/>
    <w:rPr>
      <w:rFonts w:ascii="宋体" w:hAnsi="宋体" w:eastAsia="宋体" w:cs="宋体"/>
      <w:kern w:val="2"/>
      <w:sz w:val="24"/>
      <w:lang w:val="en-US" w:eastAsia="zh-CN" w:bidi="ar-SA"/>
    </w:rPr>
  </w:style>
  <w:style w:type="character" w:customStyle="1" w:styleId="939">
    <w:name w:val="交叉引用"/>
    <w:qFormat/>
    <w:uiPriority w:val="1"/>
    <w:rPr>
      <w:rFonts w:ascii="Arial" w:hAnsi="Arial" w:eastAsia="黑体"/>
      <w:snapToGrid w:val="0"/>
      <w:color w:val="0000FF"/>
      <w:kern w:val="0"/>
      <w:sz w:val="20"/>
      <w:szCs w:val="21"/>
      <w:u w:val="single"/>
      <w:lang w:val="en-US" w:eastAsia="zh-CN"/>
    </w:rPr>
  </w:style>
  <w:style w:type="character" w:customStyle="1" w:styleId="940">
    <w:name w:val="正文缩进 字符1"/>
    <w:qFormat/>
    <w:uiPriority w:val="0"/>
    <w:rPr>
      <w:rFonts w:ascii="宋体" w:eastAsia="宋体"/>
      <w:snapToGrid w:val="0"/>
      <w:color w:val="000000"/>
      <w:kern w:val="28"/>
      <w:sz w:val="28"/>
      <w:lang w:val="en-US" w:eastAsia="zh-CN" w:bidi="ar-SA"/>
    </w:rPr>
  </w:style>
  <w:style w:type="character" w:customStyle="1" w:styleId="941">
    <w:name w:val="页脚 字符1"/>
    <w:qFormat/>
    <w:locked/>
    <w:uiPriority w:val="99"/>
    <w:rPr>
      <w:kern w:val="2"/>
      <w:sz w:val="18"/>
      <w:szCs w:val="18"/>
    </w:rPr>
  </w:style>
  <w:style w:type="character" w:customStyle="1" w:styleId="942">
    <w:name w:val="页眉 字符1"/>
    <w:qFormat/>
    <w:uiPriority w:val="99"/>
    <w:rPr>
      <w:kern w:val="2"/>
      <w:sz w:val="18"/>
      <w:szCs w:val="18"/>
    </w:rPr>
  </w:style>
  <w:style w:type="character" w:customStyle="1" w:styleId="943">
    <w:name w:val="尾注文本 字符"/>
    <w:link w:val="41"/>
    <w:qFormat/>
    <w:uiPriority w:val="0"/>
    <w:rPr>
      <w:kern w:val="2"/>
      <w:sz w:val="21"/>
      <w:szCs w:val="24"/>
      <w:lang w:val="zh-CN"/>
    </w:rPr>
  </w:style>
  <w:style w:type="character" w:customStyle="1" w:styleId="944">
    <w:name w:val="无间隔 字符"/>
    <w:link w:val="167"/>
    <w:qFormat/>
    <w:uiPriority w:val="99"/>
    <w:rPr>
      <w:kern w:val="2"/>
      <w:sz w:val="21"/>
      <w:szCs w:val="22"/>
    </w:rPr>
  </w:style>
  <w:style w:type="character" w:customStyle="1" w:styleId="945">
    <w:name w:val="标准文本 Char Char"/>
    <w:link w:val="605"/>
    <w:qFormat/>
    <w:uiPriority w:val="0"/>
    <w:rPr>
      <w:rFonts w:cs="宋体"/>
      <w:kern w:val="2"/>
      <w:sz w:val="24"/>
    </w:rPr>
  </w:style>
  <w:style w:type="character" w:customStyle="1" w:styleId="946">
    <w:name w:val="Char Char213"/>
    <w:qFormat/>
    <w:uiPriority w:val="0"/>
    <w:rPr>
      <w:rFonts w:eastAsia="Century Gothic"/>
      <w:b/>
      <w:bCs/>
      <w:kern w:val="44"/>
      <w:sz w:val="32"/>
      <w:szCs w:val="44"/>
      <w:lang w:val="en-US" w:eastAsia="zh-CN" w:bidi="ar-SA"/>
    </w:rPr>
  </w:style>
  <w:style w:type="character" w:customStyle="1" w:styleId="947">
    <w:name w:val="apple-style-span"/>
    <w:qFormat/>
    <w:uiPriority w:val="0"/>
    <w:rPr>
      <w:rFonts w:ascii="Arial" w:hAnsi="Arial" w:eastAsia="黑体" w:cs="Arial"/>
      <w:snapToGrid w:val="0"/>
      <w:kern w:val="0"/>
      <w:szCs w:val="21"/>
    </w:rPr>
  </w:style>
  <w:style w:type="character" w:customStyle="1" w:styleId="948">
    <w:name w:val="15"/>
    <w:qFormat/>
    <w:uiPriority w:val="0"/>
    <w:rPr>
      <w:rFonts w:hint="default" w:ascii="Calibri" w:hAnsi="Calibri"/>
      <w:color w:val="0000FF"/>
      <w:u w:val="single"/>
    </w:rPr>
  </w:style>
  <w:style w:type="character" w:customStyle="1" w:styleId="949">
    <w:name w:val="16"/>
    <w:qFormat/>
    <w:uiPriority w:val="0"/>
    <w:rPr>
      <w:rFonts w:hint="eastAsia" w:ascii="宋体" w:hAnsi="宋体" w:eastAsia="宋体"/>
      <w:color w:val="000000"/>
      <w:sz w:val="20"/>
      <w:szCs w:val="20"/>
    </w:rPr>
  </w:style>
  <w:style w:type="character" w:customStyle="1" w:styleId="950">
    <w:name w:val="edui-unclickable"/>
    <w:qFormat/>
    <w:uiPriority w:val="0"/>
    <w:rPr>
      <w:color w:val="808080"/>
    </w:rPr>
  </w:style>
  <w:style w:type="character" w:customStyle="1" w:styleId="951">
    <w:name w:val="tpc_content1"/>
    <w:qFormat/>
    <w:uiPriority w:val="0"/>
    <w:rPr>
      <w:sz w:val="20"/>
      <w:szCs w:val="20"/>
    </w:rPr>
  </w:style>
  <w:style w:type="character" w:customStyle="1" w:styleId="952">
    <w:name w:val="正文文本缩进 字符"/>
    <w:qFormat/>
    <w:uiPriority w:val="0"/>
    <w:rPr>
      <w:rFonts w:ascii="Century Gothic" w:hAnsi="Century Gothic" w:eastAsia="Century Gothic"/>
      <w:kern w:val="2"/>
      <w:sz w:val="24"/>
      <w:lang w:val="en-US" w:eastAsia="zh-CN" w:bidi="ar-SA"/>
    </w:rPr>
  </w:style>
  <w:style w:type="character" w:customStyle="1" w:styleId="953">
    <w:name w:val="正文文本 2 字符"/>
    <w:qFormat/>
    <w:uiPriority w:val="0"/>
    <w:rPr>
      <w:rFonts w:ascii="Arial" w:hAnsi="Arial" w:eastAsia="宋体"/>
      <w:kern w:val="2"/>
      <w:sz w:val="24"/>
      <w:szCs w:val="24"/>
      <w:lang w:val="en-US" w:eastAsia="zh-CN" w:bidi="ar-SA"/>
    </w:rPr>
  </w:style>
  <w:style w:type="character" w:customStyle="1" w:styleId="954">
    <w:name w:val="edui-clickable2"/>
    <w:qFormat/>
    <w:uiPriority w:val="0"/>
    <w:rPr>
      <w:color w:val="0000FF"/>
      <w:u w:val="single"/>
    </w:rPr>
  </w:style>
  <w:style w:type="character" w:customStyle="1" w:styleId="955">
    <w:name w:val="style1"/>
    <w:qFormat/>
    <w:uiPriority w:val="0"/>
    <w:rPr>
      <w:rFonts w:ascii="Arial" w:hAnsi="Arial" w:eastAsia="黑体" w:cs="Arial"/>
      <w:snapToGrid w:val="0"/>
      <w:kern w:val="0"/>
      <w:szCs w:val="21"/>
    </w:rPr>
  </w:style>
  <w:style w:type="character" w:customStyle="1" w:styleId="956">
    <w:name w:val="zbggtop11 style5"/>
    <w:qFormat/>
    <w:uiPriority w:val="0"/>
    <w:rPr>
      <w:rFonts w:ascii="Arial" w:hAnsi="Arial" w:eastAsia="黑体" w:cs="Arial"/>
      <w:snapToGrid w:val="0"/>
      <w:kern w:val="0"/>
      <w:szCs w:val="21"/>
    </w:rPr>
  </w:style>
  <w:style w:type="character" w:customStyle="1" w:styleId="95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8">
    <w:name w:val="bulletintext1"/>
    <w:qFormat/>
    <w:uiPriority w:val="0"/>
    <w:rPr>
      <w:color w:val="000000"/>
      <w:sz w:val="18"/>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未处理的提及2"/>
    <w:basedOn w:val="70"/>
    <w:unhideWhenUsed/>
    <w:qFormat/>
    <w:uiPriority w:val="99"/>
    <w:rPr>
      <w:color w:val="605E5C"/>
      <w:shd w:val="clear" w:color="auto" w:fill="E1DFDD"/>
    </w:rPr>
  </w:style>
  <w:style w:type="character" w:customStyle="1" w:styleId="963">
    <w:name w:val="列表段落 字符1"/>
    <w:link w:val="545"/>
    <w:qFormat/>
    <w:locked/>
    <w:uiPriority w:val="99"/>
    <w:rPr>
      <w:rFonts w:ascii="Calibri" w:hAnsi="Calibri"/>
      <w:kern w:val="2"/>
      <w:sz w:val="24"/>
      <w:szCs w:val="24"/>
    </w:rPr>
  </w:style>
  <w:style w:type="character" w:customStyle="1" w:styleId="964">
    <w:name w:val="NormalCharacter"/>
    <w:link w:val="622"/>
    <w:semiHidden/>
    <w:qFormat/>
    <w:uiPriority w:val="0"/>
  </w:style>
  <w:style w:type="table" w:customStyle="1" w:styleId="965">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1">
    <w:name w:val="正文首行缩进 21"/>
    <w:basedOn w:val="27"/>
    <w:qFormat/>
    <w:uiPriority w:val="0"/>
    <w:pPr>
      <w:spacing w:after="120" w:line="240" w:lineRule="auto"/>
      <w:ind w:left="420" w:leftChars="200" w:firstLine="420" w:firstLineChars="200"/>
    </w:pPr>
    <w:rPr>
      <w:rFonts w:ascii="Times New Roman" w:hAnsi="Times New Roman" w:eastAsia="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36820</Words>
  <Characters>39018</Characters>
  <Lines>262</Lines>
  <Paragraphs>73</Paragraphs>
  <TotalTime>29</TotalTime>
  <ScaleCrop>false</ScaleCrop>
  <LinksUpToDate>false</LinksUpToDate>
  <CharactersWithSpaces>45055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2022-01-25T13:38:00Z</dcterms:created>
  <dc:creator>kanT</dc:creator>
  <cp:lastModifiedBy>清水无影</cp:lastModifiedBy>
  <cp:lastPrinted>2022-01-11T08:46:00Z</cp:lastPrinted>
  <dcterms:modified xsi:type="dcterms:W3CDTF">2022-12-02T07:54:48Z</dcterms:modified>
  <dc:title>余杭街道社会工作站暨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9CDB593050C244529063B3C3751C4650</vt:lpwstr>
  </property>
</Properties>
</file>