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杭州市临平区第一人民医院医共体职工劳保用品采购项目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 xml:space="preserve"> （</w:t>
      </w:r>
      <w:r>
        <w:rPr>
          <w:rFonts w:hint="eastAsia" w:ascii="仿宋" w:hAnsi="仿宋" w:eastAsia="仿宋" w:cs="仿宋_GB2312"/>
          <w:sz w:val="30"/>
          <w:szCs w:val="30"/>
          <w:lang w:eastAsia="zh-CN"/>
        </w:rPr>
        <w:t>HZZHCG2022-061</w:t>
      </w:r>
      <w:r>
        <w:rPr>
          <w:rFonts w:hint="eastAsia" w:ascii="仿宋" w:hAnsi="仿宋" w:eastAsia="仿宋" w:cs="仿宋_GB2312"/>
          <w:sz w:val="30"/>
          <w:szCs w:val="30"/>
        </w:rPr>
        <w:t>）</w:t>
      </w:r>
    </w:p>
    <w:p>
      <w:pPr>
        <w:adjustRightInd/>
        <w:spacing w:line="360" w:lineRule="auto"/>
        <w:jc w:val="center"/>
        <w:rPr>
          <w:rFonts w:ascii="仿宋" w:hAnsi="仿宋" w:eastAsia="仿宋" w:cs="仿宋_GB2312"/>
          <w:sz w:val="28"/>
          <w:szCs w:val="20"/>
        </w:rPr>
      </w:pPr>
    </w:p>
    <w:p>
      <w:pPr>
        <w:pStyle w:val="5"/>
        <w:rPr>
          <w:rFonts w:ascii="仿宋" w:hAnsi="仿宋" w:eastAsia="仿宋" w:cs="仿宋_GB2312"/>
          <w:sz w:val="28"/>
          <w:szCs w:val="20"/>
        </w:rPr>
      </w:pPr>
    </w:p>
    <w:p>
      <w:pPr>
        <w:rPr>
          <w:rFonts w:ascii="仿宋" w:hAnsi="仿宋" w:eastAsia="仿宋" w:cs="仿宋_GB2312"/>
          <w:sz w:val="28"/>
          <w:szCs w:val="20"/>
        </w:rPr>
      </w:pPr>
    </w:p>
    <w:p>
      <w:pPr>
        <w:pStyle w:val="5"/>
        <w:rPr>
          <w:rFonts w:ascii="仿宋" w:hAnsi="仿宋" w:eastAsia="仿宋" w:cs="仿宋_GB2312"/>
          <w:sz w:val="28"/>
          <w:szCs w:val="20"/>
        </w:rPr>
      </w:pPr>
    </w:p>
    <w:p>
      <w:pPr>
        <w:rPr>
          <w:rFonts w:ascii="仿宋" w:hAnsi="仿宋" w:eastAsia="仿宋" w:cs="仿宋_GB2312"/>
          <w:sz w:val="28"/>
          <w:szCs w:val="20"/>
        </w:rPr>
      </w:pPr>
    </w:p>
    <w:p>
      <w:pPr>
        <w:pStyle w:val="5"/>
        <w:rPr>
          <w:rFonts w:ascii="仿宋" w:hAnsi="仿宋" w:eastAsia="仿宋" w:cs="仿宋_GB2312"/>
          <w:sz w:val="28"/>
          <w:szCs w:val="20"/>
        </w:rPr>
      </w:pPr>
    </w:p>
    <w:p>
      <w:pPr>
        <w:rPr>
          <w:rFonts w:ascii="仿宋" w:hAnsi="仿宋" w:eastAsia="仿宋" w:cs="仿宋_GB2312"/>
          <w:sz w:val="28"/>
          <w:szCs w:val="20"/>
        </w:rPr>
      </w:pPr>
    </w:p>
    <w:p>
      <w:pPr>
        <w:pStyle w:val="5"/>
        <w:rPr>
          <w:rFonts w:ascii="仿宋" w:hAnsi="仿宋" w:eastAsia="仿宋" w:cs="仿宋_GB2312"/>
          <w:sz w:val="28"/>
          <w:szCs w:val="20"/>
        </w:rPr>
      </w:pPr>
    </w:p>
    <w:p>
      <w:pPr>
        <w:rPr>
          <w:rFonts w:ascii="仿宋" w:hAnsi="仿宋" w:eastAsia="仿宋" w:cs="仿宋_GB2312"/>
          <w:sz w:val="28"/>
          <w:szCs w:val="20"/>
        </w:rPr>
      </w:pPr>
    </w:p>
    <w:p>
      <w:pPr>
        <w:pStyle w:val="5"/>
        <w:rPr>
          <w:rFonts w:ascii="仿宋" w:hAnsi="仿宋" w:eastAsia="仿宋" w:cs="仿宋_GB2312"/>
          <w:sz w:val="28"/>
          <w:szCs w:val="20"/>
        </w:rPr>
      </w:pPr>
    </w:p>
    <w:p>
      <w:pPr>
        <w:rPr>
          <w:rFonts w:ascii="仿宋" w:hAnsi="仿宋" w:eastAsia="仿宋" w:cs="仿宋_GB2312"/>
          <w:sz w:val="28"/>
          <w:szCs w:val="20"/>
        </w:rPr>
      </w:pPr>
    </w:p>
    <w:p>
      <w:pPr>
        <w:spacing w:line="360" w:lineRule="auto"/>
        <w:jc w:val="both"/>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杭州市临平区第一人民医院</w:t>
      </w:r>
      <w:r>
        <w:rPr>
          <w:rFonts w:hint="eastAsia" w:ascii="仿宋" w:hAnsi="仿宋" w:eastAsia="仿宋" w:cs="仿宋_GB2312"/>
          <w:sz w:val="32"/>
          <w:szCs w:val="32"/>
        </w:rPr>
        <w:t xml:space="preserve">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杭州正鸿工程咨询有限公司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val="en-US" w:eastAsia="zh-CN"/>
        </w:rPr>
        <w:t>十一</w:t>
      </w:r>
      <w:r>
        <w:rPr>
          <w:rFonts w:hint="eastAsia" w:ascii="仿宋_GB2312" w:hAnsi="仿宋_GB2312" w:eastAsia="仿宋_GB2312" w:cs="仿宋_GB2312"/>
          <w:bCs/>
          <w:sz w:val="32"/>
          <w:szCs w:val="32"/>
        </w:rPr>
        <w:t>月</w:t>
      </w:r>
    </w:p>
    <w:p>
      <w:pPr>
        <w:spacing w:line="360" w:lineRule="auto"/>
        <w:jc w:val="both"/>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杭州市临平区第一人民医院医共体职工劳保用品采购项目</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78"/>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lang w:val="en-US" w:eastAsia="zh-CN"/>
        </w:rPr>
        <w:t>00</w:t>
      </w:r>
      <w:r>
        <w:rPr>
          <w:rFonts w:hint="eastAsia" w:ascii="仿宋_GB2312" w:hAnsi="仿宋" w:eastAsia="仿宋_GB2312"/>
          <w:bCs/>
          <w:sz w:val="24"/>
          <w:u w:val="single"/>
        </w:rPr>
        <w:t>秒</w:t>
      </w:r>
      <w: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hint="default" w:ascii="仿宋_GB2312" w:hAnsi="仿宋" w:eastAsia="仿宋_GB2312"/>
          <w:sz w:val="24"/>
          <w:lang w:val="en-US"/>
        </w:rPr>
      </w:pPr>
      <w:r>
        <w:rPr>
          <w:rFonts w:hint="eastAsia" w:ascii="仿宋_GB2312" w:hAnsi="仿宋" w:eastAsia="仿宋_GB2312"/>
          <w:b/>
          <w:sz w:val="24"/>
          <w:lang w:val="en-US" w:eastAsia="zh-CN"/>
        </w:rPr>
        <w:t xml:space="preserve"> </w:t>
      </w:r>
      <w:r>
        <w:rPr>
          <w:rFonts w:hint="eastAsia" w:ascii="仿宋_GB2312" w:hAnsi="仿宋" w:eastAsia="仿宋_GB2312"/>
          <w:b/>
          <w:sz w:val="24"/>
        </w:rPr>
        <w:t>项目编号：</w:t>
      </w:r>
      <w:r>
        <w:rPr>
          <w:rFonts w:hint="eastAsia" w:ascii="仿宋_GB2312" w:hAnsi="仿宋" w:eastAsia="仿宋_GB2312"/>
          <w:sz w:val="24"/>
          <w:lang w:eastAsia="zh-CN"/>
        </w:rPr>
        <w:t>HZZHCG2022-061</w:t>
      </w:r>
    </w:p>
    <w:p>
      <w:pPr>
        <w:spacing w:line="360" w:lineRule="auto"/>
        <w:rPr>
          <w:rFonts w:ascii="仿宋_GB2312" w:hAnsi="仿宋" w:eastAsia="仿宋_GB2312"/>
          <w:sz w:val="24"/>
        </w:rPr>
      </w:pPr>
      <w:r>
        <w:rPr>
          <w:rFonts w:ascii="仿宋_GB2312" w:hAnsi="仿宋" w:eastAsia="仿宋_GB2312"/>
          <w:b/>
          <w:sz w:val="24"/>
        </w:rPr>
        <w:t xml:space="preserve"> 项目名称：</w:t>
      </w:r>
      <w:r>
        <w:rPr>
          <w:rFonts w:hint="eastAsia" w:ascii="仿宋_GB2312" w:hAnsi="仿宋" w:eastAsia="仿宋_GB2312" w:cs="仿宋_GB2312"/>
          <w:sz w:val="24"/>
          <w:lang w:eastAsia="zh-CN"/>
        </w:rPr>
        <w:t>杭州市临平区第一人民医院医共体职工劳保用品采购项目</w:t>
      </w:r>
    </w:p>
    <w:p>
      <w:pPr>
        <w:spacing w:line="360" w:lineRule="auto"/>
        <w:rPr>
          <w:rFonts w:ascii="仿宋_GB2312" w:hAnsi="仿宋" w:eastAsia="仿宋_GB2312"/>
          <w:sz w:val="24"/>
        </w:rPr>
      </w:pPr>
      <w:r>
        <w:rPr>
          <w:rFonts w:ascii="仿宋_GB2312" w:hAnsi="仿宋" w:eastAsia="仿宋_GB2312"/>
          <w:b/>
          <w:sz w:val="24"/>
        </w:rPr>
        <w:t xml:space="preserve"> </w:t>
      </w:r>
      <w:r>
        <w:rPr>
          <w:rFonts w:hint="eastAsia" w:ascii="仿宋_GB2312" w:hAnsi="仿宋" w:eastAsia="仿宋_GB2312"/>
          <w:b/>
          <w:sz w:val="24"/>
          <w:lang w:val="en-US" w:eastAsia="zh-CN"/>
        </w:rPr>
        <w:t>最高限价</w:t>
      </w:r>
      <w:r>
        <w:rPr>
          <w:rFonts w:ascii="仿宋_GB2312" w:hAnsi="仿宋" w:eastAsia="仿宋_GB2312"/>
          <w:b/>
          <w:sz w:val="24"/>
        </w:rPr>
        <w:t>（元）：2276000</w:t>
      </w:r>
      <w:r>
        <w:rPr>
          <w:rFonts w:hint="eastAsia" w:ascii="仿宋_GB2312" w:hAnsi="仿宋" w:eastAsia="仿宋_GB2312"/>
          <w:b/>
          <w:sz w:val="24"/>
          <w:lang w:val="en-US" w:eastAsia="zh-CN"/>
        </w:rPr>
        <w:t>元</w:t>
      </w:r>
    </w:p>
    <w:p>
      <w:pPr>
        <w:pStyle w:val="17"/>
        <w:spacing w:line="360" w:lineRule="auto"/>
        <w:ind w:left="0" w:leftChars="0" w:firstLine="0" w:firstLineChars="0"/>
        <w:rPr>
          <w:rFonts w:hint="eastAsia" w:ascii="仿宋_GB2312" w:hAnsi="仿宋" w:eastAsia="仿宋_GB2312"/>
          <w:bCs/>
          <w:color w:val="auto"/>
          <w:kern w:val="2"/>
          <w:sz w:val="24"/>
          <w:szCs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采购需求：</w:t>
      </w:r>
      <w:r>
        <w:rPr>
          <w:rFonts w:hint="eastAsia" w:ascii="仿宋_GB2312" w:hAnsi="仿宋" w:eastAsia="仿宋_GB2312" w:cs="仿宋_GB2312"/>
          <w:sz w:val="24"/>
          <w:lang w:eastAsia="zh-CN"/>
        </w:rPr>
        <w:t>杭州市临平区第一人民医院医共体职工劳保用品采购项目</w:t>
      </w:r>
      <w:r>
        <w:rPr>
          <w:rFonts w:hint="eastAsia" w:ascii="仿宋_GB2312" w:hAnsi="仿宋" w:eastAsia="仿宋_GB2312"/>
          <w:bCs/>
          <w:color w:val="auto"/>
          <w:kern w:val="2"/>
          <w:sz w:val="24"/>
          <w:szCs w:val="24"/>
        </w:rPr>
        <w:t>主要内容：详见招标文件第三部分采购需求。</w:t>
      </w:r>
    </w:p>
    <w:p>
      <w:pPr>
        <w:pStyle w:val="17"/>
        <w:spacing w:line="360" w:lineRule="auto"/>
        <w:ind w:left="0" w:leftChars="0" w:firstLine="0" w:firstLineChars="0"/>
        <w:rPr>
          <w:rFonts w:hint="eastAsia" w:ascii="仿宋_GB2312" w:hAnsi="仿宋" w:eastAsia="仿宋_GB2312" w:cs="仿宋_GB2312"/>
          <w:sz w:val="24"/>
          <w:lang w:eastAsia="zh-CN"/>
        </w:rPr>
      </w:pPr>
      <w:r>
        <w:rPr>
          <w:rFonts w:hint="eastAsia" w:ascii="仿宋_GB2312" w:hAnsi="仿宋" w:eastAsia="仿宋_GB2312"/>
          <w:bCs/>
          <w:color w:val="auto"/>
          <w:kern w:val="2"/>
          <w:sz w:val="24"/>
          <w:szCs w:val="24"/>
          <w:lang w:val="en-US" w:eastAsia="zh-CN"/>
        </w:rPr>
        <w:t xml:space="preserve"> </w:t>
      </w:r>
      <w:r>
        <w:rPr>
          <w:rFonts w:hint="eastAsia" w:ascii="仿宋_GB2312" w:hAnsi="仿宋" w:eastAsia="仿宋_GB2312" w:cs="Times New Roman"/>
          <w:b/>
          <w:color w:val="auto"/>
          <w:kern w:val="2"/>
          <w:sz w:val="24"/>
          <w:szCs w:val="24"/>
          <w:lang w:val="en-US" w:eastAsia="zh-CN" w:bidi="ar-SA"/>
        </w:rPr>
        <w:t>合同履约期限：</w:t>
      </w:r>
      <w:r>
        <w:rPr>
          <w:rFonts w:hint="eastAsia" w:ascii="仿宋_GB2312" w:hAnsi="仿宋" w:eastAsia="仿宋_GB2312" w:cs="仿宋_GB2312"/>
          <w:sz w:val="24"/>
          <w:lang w:eastAsia="zh-CN"/>
        </w:rPr>
        <w:t>详见招标文件第三部分采购需求</w:t>
      </w:r>
    </w:p>
    <w:p>
      <w:pPr>
        <w:pStyle w:val="17"/>
        <w:spacing w:line="360" w:lineRule="auto"/>
        <w:ind w:left="0" w:leftChars="0" w:firstLine="0" w:firstLineChars="0"/>
        <w:rPr>
          <w:rFonts w:ascii="仿宋_GB2312" w:hAnsi="仿宋" w:eastAsia="仿宋_GB2312"/>
          <w:b/>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00FE"/>
      </w:r>
      <w:r>
        <w:rPr>
          <w:rFonts w:hint="eastAsia" w:ascii="仿宋_GB2312" w:hAnsi="仿宋" w:eastAsia="仿宋_GB2312"/>
          <w:b/>
          <w:color w:val="auto"/>
          <w:sz w:val="24"/>
        </w:rPr>
        <w:t>是，</w:t>
      </w:r>
      <w:r>
        <w:rPr>
          <w:rFonts w:hint="eastAsia" w:ascii="仿宋_GB2312" w:hAnsi="仿宋" w:eastAsia="仿宋_GB2312"/>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    2.落实政府采购政策需满足的资格要求：</w:t>
      </w:r>
    </w:p>
    <w:p>
      <w:pPr>
        <w:snapToGrid w:val="0"/>
        <w:spacing w:line="360" w:lineRule="auto"/>
        <w:ind w:firstLine="480" w:firstLineChars="200"/>
        <w:rPr>
          <w:rFonts w:hint="eastAsia" w:ascii="仿宋_GB2312" w:hAnsi="仿宋" w:eastAsia="仿宋_GB2312"/>
          <w:sz w:val="24"/>
        </w:rPr>
      </w:pPr>
      <w:r>
        <w:rPr>
          <w:rFonts w:ascii="MS Gothic" w:hAnsi="MS Gothic" w:eastAsia="MS Gothic" w:cs="Arial"/>
          <w:color w:val="auto"/>
          <w:kern w:val="0"/>
          <w:sz w:val="24"/>
        </w:rPr>
        <w:sym w:font="Wingdings" w:char="00FE"/>
      </w:r>
      <w:r>
        <w:rPr>
          <w:rFonts w:hint="eastAsia" w:ascii="仿宋_GB2312" w:hAnsi="仿宋" w:eastAsia="仿宋_GB2312"/>
          <w:sz w:val="24"/>
        </w:rPr>
        <w:t>专门面向中小企业</w:t>
      </w:r>
    </w:p>
    <w:p>
      <w:pPr>
        <w:snapToGrid w:val="0"/>
        <w:spacing w:line="360" w:lineRule="auto"/>
        <w:ind w:firstLine="480" w:firstLineChars="200"/>
        <w:rPr>
          <w:rFonts w:hint="eastAsia" w:ascii="仿宋_GB2312" w:hAnsi="仿宋" w:eastAsia="仿宋_GB2312"/>
          <w:sz w:val="24"/>
        </w:rPr>
      </w:pPr>
      <w:r>
        <w:rPr>
          <w:rFonts w:ascii="MS Gothic" w:hAnsi="MS Gothic" w:eastAsia="MS Gothic" w:cs="Arial"/>
          <w:color w:val="auto"/>
          <w:kern w:val="0"/>
          <w:sz w:val="24"/>
        </w:rPr>
        <w:sym w:font="Wingdings" w:char="00FE"/>
      </w:r>
      <w:r>
        <w:rPr>
          <w:rFonts w:hint="eastAsia" w:ascii="仿宋_GB2312" w:hAnsi="仿宋" w:eastAsia="仿宋_GB2312"/>
          <w:sz w:val="24"/>
        </w:rPr>
        <w:t>货物全部由符合政策要求的中小企业制造，提供中小企业声明函；</w:t>
      </w:r>
    </w:p>
    <w:p>
      <w:pPr>
        <w:snapToGrid w:val="0"/>
        <w:spacing w:line="360" w:lineRule="auto"/>
        <w:ind w:firstLine="480" w:firstLineChars="200"/>
        <w:rPr>
          <w:rFonts w:hint="eastAsia" w:ascii="仿宋_GB2312" w:hAnsi="仿宋" w:eastAsia="仿宋_GB2312"/>
          <w:sz w:val="24"/>
        </w:rPr>
      </w:pPr>
      <w:r>
        <w:rPr>
          <w:rFonts w:ascii="MS Gothic" w:hAnsi="MS Gothic" w:eastAsia="MS Gothic" w:cs="Arial"/>
          <w:color w:val="auto"/>
          <w:kern w:val="0"/>
          <w:sz w:val="24"/>
        </w:rPr>
        <w:sym w:font="Wingdings" w:char="00FE"/>
      </w:r>
      <w:r>
        <w:rPr>
          <w:rFonts w:hint="eastAsia" w:ascii="仿宋_GB2312" w:hAnsi="仿宋" w:eastAsia="仿宋_GB2312"/>
          <w:sz w:val="24"/>
        </w:rPr>
        <w:t xml:space="preserve"> 货物全部由符合政策要求的小微企业制造，提供中小企业声明函；</w:t>
      </w: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☐服务全部由符合政策要求的中小企业承接，提供中小企业声明函；</w:t>
      </w: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☐服务全部由符合政策要求的小微企业承接，提供中小企业声明函；</w:t>
      </w:r>
    </w:p>
    <w:p>
      <w:pPr>
        <w:snapToGrid w:val="0"/>
        <w:spacing w:line="360" w:lineRule="auto"/>
        <w:ind w:firstLine="480" w:firstLineChars="200"/>
        <w:rPr>
          <w:rFonts w:hint="eastAsia" w:ascii="仿宋_GB2312" w:hAnsi="仿宋" w:eastAsia="仿宋_GB2312"/>
          <w:sz w:val="24"/>
        </w:rPr>
      </w:pP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☐要求合同分包，提供分包意向协议和中小企业声明函，分包意向协议中中小企业合同金额应当达到% ，小微企业合同金额应当达到% ;如果供应商本身提供所有标的均由中小企业制造、承建或承接，视同符合了资格条件，无需再向中小企业分包，无需提供分包意向协议；</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ascii="仿宋_GB2312" w:hAnsi="仿宋" w:eastAsia="仿宋_GB2312"/>
          <w:sz w:val="24"/>
          <w:u w:val="single"/>
        </w:rPr>
        <w:t>月</w:t>
      </w:r>
      <w:r>
        <w:rPr>
          <w:rFonts w:hint="eastAsia" w:ascii="仿宋_GB2312" w:hAnsi="仿宋" w:eastAsia="仿宋_GB2312"/>
          <w:sz w:val="24"/>
          <w:u w:val="single"/>
          <w:lang w:val="en-US" w:eastAsia="zh-CN"/>
        </w:rPr>
        <w:t>1</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杭州市临平区第一人民医院</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地    址：</w:t>
      </w:r>
      <w:r>
        <w:rPr>
          <w:rFonts w:hint="eastAsia" w:ascii="仿宋_GB2312" w:hAnsi="仿宋" w:eastAsia="仿宋_GB2312"/>
          <w:sz w:val="24"/>
        </w:rPr>
        <w:t>南苑街道迎宾路369号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_GB2312" w:hAnsi="仿宋" w:eastAsia="仿宋_GB2312"/>
          <w:sz w:val="24"/>
          <w:lang w:val="en-US" w:eastAsia="zh-CN"/>
        </w:rPr>
        <w:t xml:space="preserve"> 李鹏</w:t>
      </w:r>
    </w:p>
    <w:p>
      <w:pPr>
        <w:spacing w:line="360" w:lineRule="auto"/>
        <w:ind w:firstLine="480"/>
        <w:rPr>
          <w:rFonts w:hint="eastAsia" w:ascii="仿宋_GB2312" w:hAnsi="仿宋" w:eastAsia="仿宋_GB2312" w:cs="Times New Roman"/>
          <w:sz w:val="24"/>
          <w:lang w:val="en-US" w:eastAsia="zh-CN"/>
        </w:rPr>
      </w:pPr>
      <w:r>
        <w:rPr>
          <w:rFonts w:ascii="仿宋_GB2312" w:hAnsi="仿宋" w:eastAsia="仿宋_GB2312"/>
          <w:sz w:val="24"/>
        </w:rPr>
        <w:t>项目联系方式（询问）：</w:t>
      </w:r>
      <w:r>
        <w:rPr>
          <w:rFonts w:hint="eastAsia" w:ascii="仿宋_GB2312" w:hAnsi="仿宋" w:eastAsia="仿宋_GB2312"/>
          <w:sz w:val="24"/>
        </w:rPr>
        <w:t>0571-89369506</w:t>
      </w:r>
    </w:p>
    <w:p>
      <w:pPr>
        <w:spacing w:line="360" w:lineRule="auto"/>
        <w:ind w:firstLine="480"/>
        <w:rPr>
          <w:rFonts w:ascii="仿宋" w:hAnsi="仿宋" w:eastAsia="仿宋"/>
          <w:sz w:val="24"/>
        </w:rPr>
      </w:pPr>
      <w:r>
        <w:rPr>
          <w:rFonts w:ascii="仿宋_GB2312" w:hAnsi="仿宋" w:eastAsia="仿宋_GB2312"/>
          <w:sz w:val="24"/>
        </w:rPr>
        <w:t>质疑联系人：</w:t>
      </w:r>
      <w:r>
        <w:rPr>
          <w:rFonts w:hint="eastAsia" w:ascii="仿宋_GB2312" w:hAnsi="仿宋" w:eastAsia="仿宋_GB2312"/>
          <w:sz w:val="24"/>
        </w:rPr>
        <w:t>尤虹力</w:t>
      </w:r>
      <w:r>
        <w:rPr>
          <w:rFonts w:hint="eastAsia" w:ascii="仿宋_GB2312" w:hAnsi="仿宋" w:eastAsia="仿宋_GB2312"/>
          <w:sz w:val="24"/>
          <w:lang w:val="en-US" w:eastAsia="zh-CN"/>
        </w:rPr>
        <w:t xml:space="preserve"> </w:t>
      </w:r>
    </w:p>
    <w:p>
      <w:pPr>
        <w:spacing w:line="360" w:lineRule="auto"/>
        <w:ind w:firstLine="480"/>
        <w:rPr>
          <w:rFonts w:hint="eastAsia" w:ascii="仿宋_GB2312" w:hAnsi="仿宋" w:eastAsia="仿宋_GB2312" w:cs="Times New Roman"/>
          <w:sz w:val="24"/>
          <w:lang w:val="en-US" w:eastAsia="zh-CN"/>
        </w:rPr>
      </w:pPr>
      <w:r>
        <w:rPr>
          <w:rFonts w:ascii="仿宋_GB2312" w:hAnsi="仿宋" w:eastAsia="仿宋_GB2312"/>
          <w:sz w:val="24"/>
        </w:rPr>
        <w:t>质疑联系方式：</w:t>
      </w:r>
      <w:r>
        <w:rPr>
          <w:rFonts w:hint="eastAsia" w:ascii="仿宋_GB2312" w:hAnsi="仿宋" w:eastAsia="仿宋_GB2312"/>
          <w:sz w:val="24"/>
        </w:rPr>
        <w:t>0571-89369917</w:t>
      </w:r>
    </w:p>
    <w:p>
      <w:pPr>
        <w:spacing w:line="360" w:lineRule="auto"/>
        <w:rPr>
          <w:rFonts w:ascii="仿宋_GB2312" w:hAnsi="仿宋" w:eastAsia="仿宋_GB2312"/>
          <w:sz w:val="24"/>
        </w:rPr>
      </w:pP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名称：</w:t>
      </w:r>
      <w:r>
        <w:rPr>
          <w:rFonts w:hint="eastAsia" w:ascii="仿宋_GB2312" w:hAnsi="仿宋" w:eastAsia="仿宋_GB2312"/>
          <w:sz w:val="24"/>
          <w:lang w:eastAsia="zh-CN"/>
        </w:rPr>
        <w:t>杭州正鸿工程咨询有限公司</w:t>
      </w:r>
    </w:p>
    <w:p>
      <w:pPr>
        <w:spacing w:line="360" w:lineRule="auto"/>
        <w:ind w:firstLine="480"/>
        <w:rPr>
          <w:rFonts w:ascii="仿宋_GB2312" w:hAnsi="仿宋" w:eastAsia="仿宋_GB2312"/>
          <w:sz w:val="24"/>
        </w:rPr>
      </w:pPr>
      <w:r>
        <w:rPr>
          <w:rFonts w:hint="eastAsia" w:ascii="仿宋_GB2312" w:hAnsi="仿宋" w:eastAsia="仿宋_GB2312"/>
          <w:sz w:val="24"/>
        </w:rPr>
        <w:t>地址：</w:t>
      </w:r>
      <w:r>
        <w:rPr>
          <w:rFonts w:hint="eastAsia" w:ascii="仿宋_GB2312" w:hAnsi="仿宋" w:eastAsia="仿宋_GB2312"/>
          <w:sz w:val="24"/>
          <w:lang w:eastAsia="zh-CN"/>
        </w:rPr>
        <w:t>杭州市临平区星桥街道联融大厦22幢505室</w:t>
      </w:r>
    </w:p>
    <w:p>
      <w:pPr>
        <w:spacing w:line="360" w:lineRule="auto"/>
        <w:rPr>
          <w:rFonts w:hint="eastAsia" w:ascii="仿宋_GB2312" w:hAnsi="仿宋" w:eastAsia="仿宋_GB2312"/>
          <w:sz w:val="24"/>
          <w:lang w:val="en-US" w:eastAsia="zh-CN"/>
        </w:rPr>
      </w:pPr>
      <w:r>
        <w:rPr>
          <w:rFonts w:ascii="仿宋_GB2312" w:hAnsi="仿宋" w:eastAsia="仿宋_GB2312"/>
          <w:sz w:val="24"/>
        </w:rPr>
        <w:t xml:space="preserve">    项目联系人（询问）：</w:t>
      </w:r>
      <w:r>
        <w:rPr>
          <w:rFonts w:hint="eastAsia" w:ascii="仿宋_GB2312" w:hAnsi="仿宋" w:eastAsia="仿宋_GB2312"/>
          <w:sz w:val="24"/>
          <w:lang w:val="en-US" w:eastAsia="zh-CN"/>
        </w:rPr>
        <w:t>贺胜杰</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13737009078</w:t>
      </w:r>
    </w:p>
    <w:p>
      <w:pPr>
        <w:spacing w:line="360" w:lineRule="auto"/>
        <w:rPr>
          <w:rFonts w:hint="eastAsia" w:ascii="仿宋_GB2312" w:hAnsi="仿宋" w:eastAsia="仿宋_GB2312"/>
          <w:sz w:val="24"/>
          <w:lang w:val="en-US" w:eastAsia="zh-CN"/>
        </w:rPr>
      </w:pPr>
      <w:r>
        <w:rPr>
          <w:rFonts w:ascii="仿宋_GB2312" w:hAnsi="仿宋" w:eastAsia="仿宋_GB2312"/>
          <w:sz w:val="24"/>
        </w:rPr>
        <w:t xml:space="preserve">    质疑联系人：</w:t>
      </w:r>
      <w:r>
        <w:rPr>
          <w:rFonts w:hint="eastAsia" w:ascii="仿宋_GB2312" w:hAnsi="仿宋" w:eastAsia="仿宋_GB2312"/>
          <w:sz w:val="24"/>
          <w:lang w:val="en-US" w:eastAsia="zh-CN"/>
        </w:rPr>
        <w:t>俞方华</w:t>
      </w:r>
    </w:p>
    <w:p>
      <w:pPr>
        <w:spacing w:line="360" w:lineRule="auto"/>
        <w:rPr>
          <w:rFonts w:hint="default" w:ascii="仿宋" w:hAnsi="仿宋" w:eastAsia="仿宋_GB2312"/>
          <w:sz w:val="24"/>
          <w:lang w:val="en-US" w:eastAsia="zh-CN"/>
        </w:rPr>
      </w:pPr>
      <w:r>
        <w:rPr>
          <w:rFonts w:ascii="仿宋_GB2312" w:hAnsi="仿宋" w:eastAsia="仿宋_GB2312"/>
          <w:sz w:val="24"/>
        </w:rPr>
        <w:t xml:space="preserve">    质疑联系方式：</w:t>
      </w:r>
      <w:r>
        <w:rPr>
          <w:rFonts w:hint="eastAsia" w:ascii="仿宋_GB2312" w:hAnsi="仿宋" w:eastAsia="仿宋_GB2312"/>
          <w:sz w:val="24"/>
          <w:lang w:val="en-US" w:eastAsia="zh-CN"/>
        </w:rPr>
        <w:t>18757186930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w:t>
      </w:r>
      <w:r>
        <w:rPr>
          <w:rFonts w:hint="eastAsia" w:ascii="宋体" w:hAnsi="宋体" w:cs="宋体"/>
          <w:sz w:val="24"/>
        </w:rPr>
        <w:t> </w:t>
      </w:r>
      <w:r>
        <w:rPr>
          <w:rFonts w:hint="eastAsia" w:ascii="仿宋_GB2312" w:hAnsi="仿宋" w:eastAsia="仿宋_GB2312"/>
          <w:sz w:val="24"/>
        </w:rPr>
        <w:t xml:space="preserve"> 名</w:t>
      </w:r>
      <w:r>
        <w:rPr>
          <w:rFonts w:hint="eastAsia" w:ascii="宋体" w:hAnsi="宋体" w:cs="宋体"/>
          <w:sz w:val="24"/>
        </w:rPr>
        <w:t> </w:t>
      </w:r>
      <w:r>
        <w:rPr>
          <w:rFonts w:hint="eastAsia" w:ascii="仿宋_GB2312" w:hAnsi="仿宋" w:eastAsia="仿宋_GB2312"/>
          <w:sz w:val="24"/>
        </w:rPr>
        <w:t>称：</w:t>
      </w:r>
      <w:r>
        <w:rPr>
          <w:rFonts w:hint="eastAsia" w:ascii="宋体" w:hAnsi="宋体" w:cs="宋体"/>
          <w:sz w:val="24"/>
        </w:rPr>
        <w:t> </w:t>
      </w:r>
      <w:r>
        <w:rPr>
          <w:rFonts w:hint="eastAsia" w:ascii="仿宋_GB2312" w:hAnsi="仿宋" w:eastAsia="仿宋_GB2312"/>
          <w:sz w:val="24"/>
        </w:rPr>
        <w:t>杭州市</w:t>
      </w:r>
      <w:r>
        <w:rPr>
          <w:rFonts w:hint="eastAsia" w:ascii="仿宋_GB2312" w:hAnsi="仿宋" w:eastAsia="仿宋_GB2312"/>
          <w:sz w:val="24"/>
          <w:lang w:val="en-US" w:eastAsia="zh-CN"/>
        </w:rPr>
        <w:t>临平</w:t>
      </w:r>
      <w:r>
        <w:rPr>
          <w:rFonts w:hint="eastAsia" w:ascii="仿宋_GB2312" w:hAnsi="仿宋" w:eastAsia="仿宋_GB2312"/>
          <w:sz w:val="24"/>
        </w:rPr>
        <w:t>区财政局</w:t>
      </w:r>
      <w:r>
        <w:rPr>
          <w:rFonts w:hint="eastAsia" w:ascii="宋体" w:hAnsi="宋体" w:cs="宋体"/>
          <w:sz w:val="24"/>
        </w:rPr>
        <w:t> </w:t>
      </w:r>
    </w:p>
    <w:p>
      <w:pPr>
        <w:spacing w:line="360" w:lineRule="auto"/>
        <w:ind w:firstLine="720" w:firstLineChars="300"/>
        <w:rPr>
          <w:rFonts w:ascii="仿宋_GB2312" w:hAnsi="仿宋" w:eastAsia="仿宋_GB2312"/>
          <w:sz w:val="24"/>
        </w:rPr>
      </w:pPr>
      <w:r>
        <w:rPr>
          <w:rFonts w:hint="eastAsia" w:ascii="仿宋_GB2312" w:hAnsi="仿宋" w:eastAsia="仿宋_GB2312"/>
          <w:sz w:val="24"/>
        </w:rPr>
        <w:t>地址：杭州市临平区东湖中路236号财税大楼</w:t>
      </w:r>
    </w:p>
    <w:p>
      <w:pPr>
        <w:spacing w:line="360" w:lineRule="auto"/>
        <w:ind w:firstLine="720" w:firstLineChars="300"/>
        <w:rPr>
          <w:rFonts w:ascii="仿宋_GB2312" w:hAnsi="仿宋" w:eastAsia="仿宋_GB2312"/>
          <w:sz w:val="24"/>
        </w:rPr>
      </w:pPr>
      <w:r>
        <w:rPr>
          <w:rFonts w:hint="eastAsia" w:ascii="仿宋_GB2312" w:hAnsi="仿宋" w:eastAsia="仿宋_GB2312"/>
          <w:sz w:val="24"/>
        </w:rPr>
        <w:t>联系人 ：</w:t>
      </w:r>
      <w:r>
        <w:rPr>
          <w:rFonts w:hint="eastAsia" w:ascii="宋体" w:hAnsi="宋体" w:cs="宋体"/>
          <w:sz w:val="24"/>
        </w:rPr>
        <w:t> </w:t>
      </w:r>
      <w:r>
        <w:rPr>
          <w:rFonts w:hint="eastAsia" w:ascii="仿宋_GB2312" w:hAnsi="仿宋" w:eastAsia="仿宋_GB2312"/>
          <w:sz w:val="24"/>
          <w:lang w:val="en-US" w:eastAsia="zh-CN"/>
        </w:rPr>
        <w:t>俞征</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w:t>
      </w:r>
      <w:r>
        <w:rPr>
          <w:rFonts w:hint="eastAsia" w:ascii="宋体" w:hAnsi="宋体" w:cs="宋体"/>
          <w:sz w:val="24"/>
        </w:rPr>
        <w:t> </w:t>
      </w:r>
      <w:r>
        <w:rPr>
          <w:rFonts w:hint="eastAsia" w:ascii="仿宋_GB2312" w:hAnsi="仿宋" w:eastAsia="仿宋_GB2312"/>
          <w:sz w:val="24"/>
        </w:rPr>
        <w:t xml:space="preserve"> 监督投诉电话：0571-89180113</w:t>
      </w:r>
      <w:r>
        <w:rPr>
          <w:rFonts w:hint="eastAsia" w:ascii="宋体" w:hAnsi="宋体" w:cs="宋体"/>
          <w:sz w:val="24"/>
        </w:rPr>
        <w:t> </w:t>
      </w:r>
    </w:p>
    <w:p>
      <w:pPr>
        <w:spacing w:line="360" w:lineRule="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9"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kern w:val="0"/>
                <w:sz w:val="24"/>
                <w:lang w:val="en-US" w:eastAsia="zh-CN"/>
              </w:rPr>
              <w:t>本次招标为</w:t>
            </w:r>
            <w:r>
              <w:rPr>
                <w:rFonts w:hint="eastAsia" w:ascii="仿宋_GB2312" w:hAnsi="仿宋" w:eastAsia="仿宋_GB2312"/>
                <w:b/>
                <w:bCs/>
                <w:kern w:val="0"/>
                <w:sz w:val="24"/>
                <w:lang w:val="en-US" w:eastAsia="zh-CN"/>
              </w:rPr>
              <w:t>单价招标</w:t>
            </w:r>
            <w:r>
              <w:rPr>
                <w:rFonts w:hint="eastAsia" w:ascii="仿宋_GB2312" w:hAnsi="仿宋" w:eastAsia="仿宋_GB2312"/>
                <w:kern w:val="0"/>
                <w:sz w:val="24"/>
                <w:lang w:val="en-US" w:eastAsia="zh-CN"/>
              </w:rPr>
              <w:t>，</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w:t>
            </w:r>
            <w:r>
              <w:rPr>
                <w:rFonts w:hint="eastAsia" w:ascii="仿宋_GB2312" w:hAnsi="仿宋" w:eastAsia="仿宋_GB2312" w:cs="仿宋_GB2312"/>
                <w:b/>
                <w:kern w:val="0"/>
                <w:sz w:val="24"/>
                <w:lang w:val="en-US" w:eastAsia="zh-CN"/>
              </w:rPr>
              <w:t>中标人</w:t>
            </w:r>
            <w:r>
              <w:rPr>
                <w:rFonts w:hint="eastAsia" w:ascii="仿宋_GB2312" w:hAnsi="仿宋" w:eastAsia="仿宋_GB2312" w:cs="仿宋_GB2312"/>
                <w:b/>
                <w:kern w:val="0"/>
                <w:sz w:val="24"/>
                <w:lang w:val="zh-CN"/>
              </w:rPr>
              <w:t>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ascii="MS Gothic" w:hAnsi="MS Gothic" w:eastAsia="MS Gothic" w:cs="Arial"/>
                <w:kern w:val="0"/>
                <w:sz w:val="24"/>
                <w:highlight w:val="none"/>
              </w:rPr>
              <w:sym w:font="Wingdings" w:char="00A8"/>
            </w:r>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spacing w:line="360" w:lineRule="auto"/>
              <w:rPr>
                <w:rFonts w:ascii="仿宋_GB2312" w:hAnsi="仿宋" w:eastAsia="仿宋_GB2312"/>
                <w:kern w:val="0"/>
                <w:sz w:val="24"/>
                <w:highlight w:val="none"/>
              </w:rPr>
            </w:pPr>
            <w:r>
              <w:rPr>
                <w:rFonts w:ascii="仿宋_GB2312" w:hAnsi="仿宋" w:eastAsia="仿宋_GB2312" w:cs="Arial"/>
                <w:kern w:val="0"/>
                <w:sz w:val="24"/>
              </w:rPr>
              <w:sym w:font="Wingdings" w:char="F0FE"/>
            </w:r>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sz w:val="24"/>
                <w:highlight w:val="none"/>
                <w:u w:val="single"/>
                <w:lang w:val="en-US" w:eastAsia="zh-CN"/>
              </w:rPr>
              <w:t>见招标文件第三部分采购需求中采购清单一整套</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r>
              <w:rPr>
                <w:rFonts w:ascii="MS Gothic" w:hAnsi="MS Gothic" w:eastAsia="仿宋_GB2312" w:cs="Arial"/>
                <w:kern w:val="0"/>
                <w:sz w:val="24"/>
                <w:highlight w:val="none"/>
              </w:rPr>
              <w:sym w:font="Wingdings" w:char="F0FE"/>
            </w:r>
            <w:r>
              <w:rPr>
                <w:rFonts w:ascii="仿宋_GB2312" w:hAnsi="仿宋" w:eastAsia="仿宋_GB2312"/>
                <w:kern w:val="0"/>
                <w:sz w:val="24"/>
                <w:highlight w:val="none"/>
              </w:rPr>
              <w:t>否；</w:t>
            </w:r>
            <w:r>
              <w:rPr>
                <w:rFonts w:ascii="MS Gothic" w:hAnsi="MS Gothic" w:eastAsia="仿宋_GB2312" w:cs="Arial"/>
                <w:kern w:val="0"/>
                <w:sz w:val="24"/>
                <w:highlight w:val="none"/>
              </w:rPr>
              <w:t>☐</w:t>
            </w:r>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_GB2312" w:hAnsi="仿宋" w:eastAsia="仿宋_GB2312"/>
                <w:sz w:val="24"/>
                <w:highlight w:val="none"/>
              </w:rPr>
              <w:t xml:space="preserve"> </w:t>
            </w:r>
            <w:r>
              <w:rPr>
                <w:rFonts w:hint="eastAsia" w:ascii="仿宋_GB2312" w:hAnsi="仿宋" w:eastAsia="仿宋_GB2312"/>
                <w:sz w:val="24"/>
                <w:highlight w:val="none"/>
                <w:lang w:val="en-US" w:eastAsia="zh-CN"/>
              </w:rPr>
              <w:t>2022年12月1日10:00-12:00</w:t>
            </w:r>
            <w:r>
              <w:rPr>
                <w:rFonts w:hint="eastAsia" w:ascii="仿宋_GB2312" w:hAnsi="仿宋" w:eastAsia="仿宋_GB2312"/>
                <w:sz w:val="24"/>
                <w:highlight w:val="none"/>
              </w:rPr>
              <w:t xml:space="preserve"> ；地点：</w:t>
            </w:r>
            <w:r>
              <w:rPr>
                <w:rFonts w:hint="eastAsia" w:ascii="仿宋_GB2312" w:hAnsi="仿宋" w:eastAsia="仿宋_GB2312"/>
                <w:sz w:val="24"/>
                <w:highlight w:val="none"/>
                <w:lang w:val="en-US" w:eastAsia="zh-CN"/>
              </w:rPr>
              <w:t>杭州市临平区星桥街道联融大厦22幢505室</w:t>
            </w:r>
            <w:r>
              <w:rPr>
                <w:rFonts w:hint="eastAsia" w:ascii="仿宋_GB2312" w:hAnsi="仿宋" w:eastAsia="仿宋_GB2312"/>
                <w:sz w:val="24"/>
                <w:highlight w:val="none"/>
              </w:rPr>
              <w:t xml:space="preserve"> ；联系人：</w:t>
            </w:r>
            <w:r>
              <w:rPr>
                <w:rFonts w:hint="eastAsia" w:ascii="仿宋_GB2312" w:hAnsi="仿宋" w:eastAsia="仿宋_GB2312"/>
                <w:sz w:val="24"/>
                <w:highlight w:val="none"/>
                <w:lang w:val="en-US" w:eastAsia="zh-CN"/>
              </w:rPr>
              <w:t>贺胜杰</w:t>
            </w:r>
            <w:r>
              <w:rPr>
                <w:rFonts w:hint="eastAsia" w:ascii="仿宋_GB2312" w:hAnsi="仿宋" w:eastAsia="仿宋_GB2312"/>
                <w:sz w:val="24"/>
                <w:highlight w:val="none"/>
              </w:rPr>
              <w:t>，联系电话：</w:t>
            </w:r>
            <w:r>
              <w:rPr>
                <w:rFonts w:hint="eastAsia" w:ascii="仿宋_GB2312" w:hAnsi="仿宋" w:eastAsia="仿宋_GB2312"/>
                <w:sz w:val="24"/>
                <w:highlight w:val="none"/>
                <w:lang w:val="en-US" w:eastAsia="zh-CN"/>
              </w:rPr>
              <w:t>13738009078</w:t>
            </w:r>
            <w:r>
              <w:rPr>
                <w:rFonts w:hint="eastAsia" w:ascii="仿宋_GB2312" w:hAnsi="仿宋" w:eastAsia="仿宋_GB2312"/>
                <w:sz w:val="24"/>
                <w:highlight w:val="none"/>
              </w:rPr>
              <w:t xml:space="preserve"> 。请投标人在上述时间内提供样品并按规定位置安装完毕。超过截止时间的，采购人或</w:t>
            </w:r>
            <w:r>
              <w:rPr>
                <w:rFonts w:hint="eastAsia" w:ascii="仿宋_GB2312" w:hAnsi="仿宋" w:eastAsia="仿宋_GB2312"/>
                <w:sz w:val="24"/>
                <w:highlight w:val="none"/>
                <w:lang w:eastAsia="zh-CN"/>
              </w:rPr>
              <w:t>杭州正鸿工程咨询有限公司</w:t>
            </w:r>
            <w:r>
              <w:rPr>
                <w:rFonts w:hint="eastAsia" w:ascii="仿宋_GB2312" w:hAnsi="仿宋" w:eastAsia="仿宋_GB2312"/>
                <w:sz w:val="24"/>
                <w:highlight w:val="none"/>
              </w:rPr>
              <w:t>将不予接收，并将清场并封闭样品现场。</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pPr>
              <w:spacing w:line="360" w:lineRule="auto"/>
              <w:rPr>
                <w:rFonts w:ascii="仿宋_GB2312" w:hAnsi="仿宋" w:eastAsia="仿宋_GB2312"/>
                <w:sz w:val="24"/>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货物类。核心产品：</w:t>
            </w:r>
            <w:r>
              <w:rPr>
                <w:rFonts w:hint="eastAsia" w:ascii="仿宋_GB2312" w:hAnsi="仿宋" w:eastAsia="仿宋_GB2312"/>
                <w:sz w:val="24"/>
                <w:lang w:val="en-US" w:eastAsia="zh-CN"/>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MS Gothic" w:hAnsi="MS Gothic"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采购标的：</w:t>
            </w:r>
            <w:r>
              <w:rPr>
                <w:rFonts w:hint="eastAsia" w:ascii="仿宋_GB2312" w:hAnsi="仿宋" w:eastAsia="仿宋_GB2312" w:cs="Arial"/>
                <w:kern w:val="0"/>
                <w:sz w:val="24"/>
                <w:lang w:val="en-US" w:eastAsia="zh-CN"/>
              </w:rPr>
              <w:t>劳保用品</w:t>
            </w:r>
            <w:r>
              <w:rPr>
                <w:rFonts w:hint="eastAsia" w:ascii="仿宋_GB2312" w:hAnsi="仿宋" w:eastAsia="仿宋_GB2312" w:cs="Arial"/>
                <w:kern w:val="0"/>
                <w:sz w:val="24"/>
              </w:rPr>
              <w:t>；所属行业：</w:t>
            </w:r>
            <w:r>
              <w:rPr>
                <w:rFonts w:hint="eastAsia" w:ascii="仿宋_GB2312" w:hAnsi="仿宋" w:eastAsia="仿宋_GB2312" w:cs="Arial"/>
                <w:kern w:val="0"/>
                <w:sz w:val="24"/>
                <w:lang w:val="en-US" w:eastAsia="zh-CN"/>
              </w:rPr>
              <w:t>工业</w:t>
            </w:r>
            <w:r>
              <w:rPr>
                <w:rFonts w:hint="eastAsia" w:ascii="仿宋_GB2312" w:hAnsi="仿宋" w:eastAsia="仿宋_GB2312" w:cs="Arial"/>
                <w:kern w:val="0"/>
                <w:sz w:val="24"/>
              </w:rPr>
              <w:t>。</w:t>
            </w:r>
          </w:p>
          <w:p>
            <w:pPr>
              <w:pStyle w:val="5"/>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Times New Roman"/>
                <w:kern w:val="28"/>
                <w:sz w:val="24"/>
                <w:szCs w:val="24"/>
                <w:lang w:val="en-US" w:eastAsia="zh-CN"/>
              </w:rPr>
              <w:t>杭州市临平区星桥街道联融大厦22幢505室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lang w:val="en-US" w:eastAsia="zh-CN"/>
              </w:rPr>
              <w:t>贺胜杰13738009078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本项目的招标代理费用由各标项中标单位支付，代理费用付款按国家计委计价格[2002]1980号文件直接支付给分散采购招标代理单位，投标人在报价时应综合考虑该笔费用，但不单列进投标总价。</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中标服务费的交纳方式：以转帐或支票的形式支付，开户名：</w:t>
            </w:r>
            <w:r>
              <w:rPr>
                <w:rFonts w:hint="eastAsia" w:ascii="仿宋_GB2312" w:hAnsi="仿宋" w:eastAsia="仿宋_GB2312"/>
                <w:snapToGrid w:val="0"/>
                <w:kern w:val="28"/>
                <w:sz w:val="24"/>
                <w:lang w:eastAsia="zh-CN"/>
              </w:rPr>
              <w:t>杭州正鸿工程咨询有限公司</w:t>
            </w:r>
            <w:r>
              <w:rPr>
                <w:rFonts w:hint="eastAsia" w:ascii="仿宋_GB2312" w:hAnsi="仿宋" w:eastAsia="仿宋_GB2312"/>
                <w:snapToGrid w:val="0"/>
                <w:kern w:val="28"/>
                <w:sz w:val="24"/>
              </w:rPr>
              <w:t>；开户行名称：杭州联合农村商业银行股份有限公司康桥支行 帐号：201000279863923中标单位需在领取中标通知书时缴纳中标服务费，缴纳时注明招标编号。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6"/>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6"/>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6"/>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6"/>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6"/>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6"/>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6"/>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6"/>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cs="仿宋_GB2312"/>
          <w:b/>
          <w:sz w:val="32"/>
        </w:rPr>
      </w:pPr>
    </w:p>
    <w:p>
      <w:pPr>
        <w:pStyle w:val="86"/>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1"/>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1"/>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6"/>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6"/>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6"/>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6"/>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6"/>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74707468"/>
      <w:bookmarkEnd w:id="15"/>
      <w:bookmarkStart w:id="16" w:name="_Hlt75236101"/>
      <w:bookmarkEnd w:id="16"/>
      <w:bookmarkStart w:id="17" w:name="_Hlt68073093"/>
      <w:bookmarkEnd w:id="17"/>
      <w:bookmarkStart w:id="18" w:name="_Hlt68403820"/>
      <w:bookmarkEnd w:id="18"/>
      <w:bookmarkStart w:id="19" w:name="_Hlt74730295"/>
      <w:bookmarkEnd w:id="19"/>
      <w:bookmarkStart w:id="20" w:name="_Hlt68057669"/>
      <w:bookmarkEnd w:id="20"/>
      <w:bookmarkStart w:id="21" w:name="_Hlt68072990"/>
      <w:bookmarkEnd w:id="21"/>
      <w:bookmarkStart w:id="22" w:name="_Hlt74729768"/>
      <w:bookmarkEnd w:id="22"/>
      <w:bookmarkStart w:id="23" w:name="_Hlt75236011"/>
      <w:bookmarkEnd w:id="23"/>
      <w:bookmarkStart w:id="24" w:name="_Hlt68072998"/>
      <w:bookmarkEnd w:id="24"/>
      <w:bookmarkStart w:id="25" w:name="_Hlt75236290"/>
      <w:bookmarkEnd w:id="25"/>
    </w:p>
    <w:bookmarkEnd w:id="11"/>
    <w:bookmarkEnd w:id="12"/>
    <w:p>
      <w:pPr>
        <w:spacing w:line="360" w:lineRule="auto"/>
        <w:jc w:val="center"/>
        <w:outlineLvl w:val="0"/>
        <w:rPr>
          <w:rFonts w:ascii="华文仿宋" w:hAnsi="华文仿宋" w:eastAsia="华文仿宋"/>
          <w:b/>
          <w:sz w:val="24"/>
        </w:rPr>
      </w:pPr>
      <w:bookmarkStart w:id="26" w:name="第四部分"/>
      <w:r>
        <w:rPr>
          <w:rFonts w:hint="eastAsia" w:ascii="仿宋" w:hAnsi="仿宋" w:eastAsia="仿宋" w:cs="仿宋_GB2312"/>
          <w:b/>
          <w:sz w:val="36"/>
          <w:szCs w:val="36"/>
        </w:rPr>
        <w:t>第三部分采购需求</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一、概述</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本项目为“交钥匙”项目，采购内容包括采购清单中货物供货、运输、质保期内的售后服务等。投标报价包括样品、供货、运输、货物验收、售后服务费、政策性文件规定及合同包含的所有风险、责任等各项全部费用。</w:t>
      </w:r>
    </w:p>
    <w:p>
      <w:pPr>
        <w:ind w:firstLine="482" w:firstLineChars="200"/>
        <w:jc w:val="left"/>
        <w:rPr>
          <w:rFonts w:hint="eastAsia" w:ascii="仿宋" w:hAnsi="仿宋" w:eastAsia="仿宋" w:cs="仿宋"/>
          <w:b/>
          <w:bCs/>
        </w:rPr>
      </w:pPr>
      <w:r>
        <w:rPr>
          <w:rFonts w:hint="eastAsia" w:ascii="仿宋" w:hAnsi="仿宋" w:eastAsia="仿宋" w:cs="仿宋"/>
          <w:b/>
          <w:bCs/>
          <w:sz w:val="24"/>
        </w:rPr>
        <w:t>二、</w:t>
      </w:r>
      <w:r>
        <w:rPr>
          <w:rFonts w:hint="eastAsia" w:ascii="仿宋" w:hAnsi="仿宋" w:eastAsia="仿宋" w:cs="仿宋"/>
          <w:b/>
          <w:sz w:val="24"/>
        </w:rPr>
        <w:t>单份货物名称、型号、规格、技术参数、数量</w:t>
      </w:r>
    </w:p>
    <w:p>
      <w:pPr>
        <w:spacing w:line="360" w:lineRule="auto"/>
        <w:ind w:firstLine="482" w:firstLineChars="200"/>
        <w:rPr>
          <w:rFonts w:hint="eastAsia" w:ascii="仿宋" w:hAnsi="仿宋" w:eastAsia="仿宋" w:cs="仿宋"/>
          <w:b/>
          <w:bCs/>
          <w:sz w:val="24"/>
        </w:rPr>
      </w:pPr>
    </w:p>
    <w:tbl>
      <w:tblPr>
        <w:tblStyle w:val="6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536"/>
        <w:gridCol w:w="1536"/>
        <w:gridCol w:w="754"/>
        <w:gridCol w:w="944"/>
        <w:gridCol w:w="3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品   名</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牙膏</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150g</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成分：碳酸钙、山梨醇、聚丙烯酸钠、水合硅石、丙二醇、月桂醇硫酸酯钠、香精（薄荷味）糖精钠、羟甲基纤维素钠、羟苯甲酯、羟苯丁酯、单氟磷酸钠（0.095%氟）（含单氟磷酸钠）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牙刷</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2支装</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卡</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3.0mm薄头、抗菌含炭进口先端极细毛、抗菌率达99%、0.02mm超极细毛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洗衣凝珠</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15g*30颗</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成分：表面活性剂、天然椰油酸、APG、护色因子、柔顺因子、复合生物酵素、污垢分散剂、香精、着色剂。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滋润维E霜</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250g</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成分：水、甘油、鲸蜡硬脂醇、硬脂酸、矿油、羊毛脂、三乙醇胺、山梨（糖）醇、苯氧乙醇、卡波姆、（日用）香精、羟苯甲酯、EDTA二钠、生育酚乙酸酯、羟苯乙酯、羟苯丁酯、羟苯丙酯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护手霜</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130g</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成分：水、甘油、矿油、双丙甘醇、鲸蜡醇、尿素、鲸蜡醇乙基己酸酯，甘油硬脂酸酯SE、PEG-60甘油异硬脂酸酯，聚二甲基硅氧烷、硬脂酸，木糖醇、微晶纤维素、甘氨酸、透明质酸钠、丝氨酸、PEG-5甘油硬脂酸酯、滑石粉、氢氧化钾、乙基纤维素、维生素E、丙氨酸、苯氧乙醇、羟苯甲酯、CI77492、CI77491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洗衣液</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880g</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成分：表面活性剂（26%聚氧乙烯烷基醚、直链烷基苯磺酸）、香精、分散剂、稳定剂、软化剂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洗发水</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440ml</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分：水、C14-16烯烃磺酸钠、月桂酰胺丙基甜菜碱、月桂酰基甲基氨基丙酸钠、甘油、椰油酰胺DEA、椰油酰基谷氨酸TEA盐、（日用）香精、聚季铵盐-10、苯甲酸钠、肉豆寇基甜菜碱、苯氧乙醇、EDTA二钠、柠檬酸、聚季铵盐-47、薄荷醇、焦糖色、蜂（Apismellifera）蜜、刺阿干树（ARGANIA SPINOSA）仁油、泛醇、精氨酸、鲸蜡硬脂醇橄榄油酸酯、丁二醇、山梨坦橄榄油酸酯、硝酸镁、阿拉伯胶树（ACACIASENBGAL）胶、聚丙二醇-7、蜂蜜提取物、椰油基葡糖苷、水解蜂蜜蛋白、角蛋白、氯化镁、蜂王浆提取物、芍药（PAEONIAOFFICINALIS）花提取物、蜂胶提取物、甲基氯异噻唑啉酮、水解蚕丝、羟丙基三甲基氯化铵透明质酸、甲基异噻唑啉酮、山梨酸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沐浴露</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440ml</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成分：水、月桂酸、月桂酰胺丙基甜菜碱、氢氧化钾、肉豆蔻酸、棕榈酸、双丙甘醇、月桂醇聚醚硫酸酯钠、氯化钾、（日用）香精、椰油酰两性基乙酸钠、椰油酰胺 MEA 、乙二醇二硬脂酸酯、甘油、苯氧乙醇、 EDTA 二钠、 PEG -40氢化蓖麻油、苯甲酸钠、霍霍巴 （SIMMONDSIA CHINENSIS）籽油、羟丙基甲基纤维素、聚乙二醇-9M、透明质酸钠、蜂( Apis mellifera ）蜜、可可 (THEOBROMA CACAO）籽脂、牛油果树( BUTYROSPERMUMPARKll）果脂、氢化霍霍巴油、椰子（ COCOS NUCFERA ）油、木鲁星果棕 （ASTROCARYUMMRUMURU）籽脂、白池花δ﹣内酯、酸乳滤液、辛基十二醇、向日葵 （HELIANTHUSANNUUS ）籽油、丁二醇、乙醇、油橄榄（OLEA EUROPAEA ）果油、野生芒果（IRVNCAGIAGABOENSS）果仁脂、氢化椰油甘油酯类、杏（PRUNUS ARMENACA ）仁油、PPG-4鲸蜡醇聚醚-20、甜扁桃 （PRUNUS AMYGDALUS DULCS）油、柑橘（CITRUS RETICULATA )果皮提取物、乳铁蛋白、刺阿干树（ARGANA SPNOSA）仁油、生育酚（维生素E)、神经酰胺2、母菊（CHAMOMLLA RECUTITA ）花提取物、野山楂（CRATAEGUS CUNEATA）果提取物、柚（CITRUS GRANDIS）果提取物、枣（ZIZYPHUS JUJUBA ）果提取物、苹果（PYRUS MALUS）果提取物、乳酸、可溶性胶原、来檬（CITRUS AURANTIFOLIA）汁、甜橙（CITRUS AURANTIUM DULCIS）汁、香橼（CITRUS MEDICA LIMCNUM)汁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沐浴露</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650ml</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分：水、月桂酸、肉豆蔻酸、氢氧化钾、粽榈酸、丙二醇、油酸、月桂醇聚醚硫酸酯钠、乙二醇二硬脂酸酯、月桂酰两性基乙酸钠、PPG-10甘油醚、月桂酸牛磺酸钠、小烛树蜡、聚季铵盐-10、稻胚芽油、甲基椰油酰基牛磺酸钠、藻酸钙、硬脂酸、椰油酰胺MEA、羟丙基甲基纤维素、EDTA二钠、柠檬酸、丁羟甲苯、维生素E、苯氧乙醇、香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护肤皂</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130g*3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牛奶香、温和去角质清洁肌肤，还有保湿的功效，迅速渗透肌肤充分补水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洗面奶</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120g</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产品成分：水、硬脂酸、甘油、乙醇、透明质酸、丝胶、香料、水解蚕丝、柠檬酸等。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洁面柔巾</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60抽</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20cm*19cm、植物纤维100%（水刺工艺）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纱布毛巾</w:t>
            </w:r>
          </w:p>
        </w:tc>
        <w:tc>
          <w:tcPr>
            <w:tcW w:w="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34*76cm</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1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100%棉（装饰部分除外）、执行标准：GB/T22864-2009、安全类别：GB18401-2010（B类）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厨房纸巾</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55张*4卷</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2层、205mm*208mm/张、100%原生木浆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衣领净</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成分：非离子表面活性剂、阴离子表面活性剂、肥皂、酶、香料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抽取式面巾纸</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90抽*8包</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天然无香、四层、160mm*195mm/张、100%原生木浆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卷筒卫生纸</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140g*10卷</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四层、138mm*100m/节、100%原生木浆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洗涤五件套</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2.975ml+300g</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洗衣液 </w:t>
            </w:r>
            <w:r>
              <w:rPr>
                <w:rFonts w:hint="eastAsia" w:ascii="仿宋" w:hAnsi="仿宋" w:eastAsia="仿宋" w:cs="仿宋"/>
                <w:i w:val="0"/>
                <w:iCs w:val="0"/>
                <w:color w:val="000000"/>
                <w:kern w:val="0"/>
                <w:sz w:val="22"/>
                <w:szCs w:val="22"/>
                <w:u w:val="none"/>
                <w:lang w:val="en-US" w:eastAsia="zh-CN" w:bidi="ar"/>
              </w:rPr>
              <w:t xml:space="preserve">成分：低于5%的聚羟酸盐、5%-15%的阴离子表面活性剂、皂剂、香料、二羟甲基乙二醇  </w:t>
            </w:r>
            <w:r>
              <w:rPr>
                <w:rFonts w:hint="eastAsia" w:ascii="仿宋" w:hAnsi="仿宋" w:eastAsia="仿宋" w:cs="仿宋"/>
                <w:b/>
                <w:bCs/>
                <w:i w:val="0"/>
                <w:iCs w:val="0"/>
                <w:color w:val="000000"/>
                <w:kern w:val="0"/>
                <w:sz w:val="22"/>
                <w:szCs w:val="22"/>
                <w:u w:val="none"/>
                <w:lang w:val="en-US" w:eastAsia="zh-CN" w:bidi="ar"/>
              </w:rPr>
              <w:t>洗洁精</w:t>
            </w:r>
            <w:r>
              <w:rPr>
                <w:rFonts w:hint="eastAsia" w:ascii="仿宋" w:hAnsi="仿宋" w:eastAsia="仿宋" w:cs="仿宋"/>
                <w:i w:val="0"/>
                <w:iCs w:val="0"/>
                <w:color w:val="000000"/>
                <w:kern w:val="0"/>
                <w:sz w:val="22"/>
                <w:szCs w:val="22"/>
                <w:u w:val="none"/>
                <w:lang w:val="en-US" w:eastAsia="zh-CN" w:bidi="ar"/>
              </w:rPr>
              <w:t xml:space="preserve">  成分：低于5%的两性表面活性剂、非离子表面活性剂、5-15阴离子表面活性剂。其他成分：香精、硝酸盐、甲基异、苯基异塞唑酮、苯氧基乙醇。  </w:t>
            </w:r>
            <w:r>
              <w:rPr>
                <w:rFonts w:hint="eastAsia" w:ascii="仿宋" w:hAnsi="仿宋" w:eastAsia="仿宋" w:cs="仿宋"/>
                <w:b/>
                <w:bCs/>
                <w:i w:val="0"/>
                <w:iCs w:val="0"/>
                <w:color w:val="000000"/>
                <w:kern w:val="0"/>
                <w:sz w:val="22"/>
                <w:szCs w:val="22"/>
                <w:u w:val="none"/>
                <w:lang w:val="en-US" w:eastAsia="zh-CN" w:bidi="ar"/>
              </w:rPr>
              <w:t>油污净</w:t>
            </w:r>
            <w:r>
              <w:rPr>
                <w:rFonts w:hint="eastAsia" w:ascii="仿宋" w:hAnsi="仿宋" w:eastAsia="仿宋" w:cs="仿宋"/>
                <w:i w:val="0"/>
                <w:iCs w:val="0"/>
                <w:color w:val="000000"/>
                <w:kern w:val="0"/>
                <w:sz w:val="22"/>
                <w:szCs w:val="22"/>
                <w:u w:val="none"/>
                <w:lang w:val="en-US" w:eastAsia="zh-CN" w:bidi="ar"/>
              </w:rPr>
              <w:t xml:space="preserve">  成分：低于5%的非离子型表面活性剂，阳离子表面活性剂：香叶醇，柠檬烯，苯甲醇，香精。  </w:t>
            </w:r>
            <w:r>
              <w:rPr>
                <w:rFonts w:hint="eastAsia" w:ascii="仿宋" w:hAnsi="仿宋" w:eastAsia="仿宋" w:cs="仿宋"/>
                <w:b/>
                <w:bCs/>
                <w:i w:val="0"/>
                <w:iCs w:val="0"/>
                <w:color w:val="000000"/>
                <w:kern w:val="0"/>
                <w:sz w:val="22"/>
                <w:szCs w:val="22"/>
                <w:u w:val="none"/>
                <w:lang w:val="en-US" w:eastAsia="zh-CN" w:bidi="ar"/>
              </w:rPr>
              <w:t>污渍克星</w:t>
            </w:r>
            <w:r>
              <w:rPr>
                <w:rFonts w:hint="eastAsia" w:ascii="仿宋" w:hAnsi="仿宋" w:eastAsia="仿宋" w:cs="仿宋"/>
                <w:i w:val="0"/>
                <w:iCs w:val="0"/>
                <w:color w:val="000000"/>
                <w:kern w:val="0"/>
                <w:sz w:val="22"/>
                <w:szCs w:val="22"/>
                <w:u w:val="none"/>
                <w:lang w:val="en-US" w:eastAsia="zh-CN" w:bidi="ar"/>
              </w:rPr>
              <w:t xml:space="preserve">  成分：低于5%的磷、5%-15%的阴离子表面活性剂、酶、香料、防腐剂、2-溴-2硝基丙烷-1、3-二醇、甲基氯异噻唑啉酮、甲基异噻唑啉酮。</w:t>
            </w:r>
            <w:r>
              <w:rPr>
                <w:rFonts w:hint="eastAsia" w:ascii="仿宋" w:hAnsi="仿宋" w:eastAsia="仿宋" w:cs="仿宋"/>
                <w:b/>
                <w:bCs/>
                <w:i w:val="0"/>
                <w:iCs w:val="0"/>
                <w:color w:val="000000"/>
                <w:kern w:val="0"/>
                <w:sz w:val="22"/>
                <w:szCs w:val="22"/>
                <w:u w:val="none"/>
                <w:lang w:val="en-US" w:eastAsia="zh-CN" w:bidi="ar"/>
              </w:rPr>
              <w:t>马赛洗衣皂</w:t>
            </w:r>
            <w:r>
              <w:rPr>
                <w:rFonts w:hint="eastAsia" w:ascii="仿宋" w:hAnsi="仿宋" w:eastAsia="仿宋" w:cs="仿宋"/>
                <w:i w:val="0"/>
                <w:iCs w:val="0"/>
                <w:color w:val="000000"/>
                <w:kern w:val="0"/>
                <w:sz w:val="22"/>
                <w:szCs w:val="22"/>
                <w:u w:val="none"/>
                <w:lang w:val="en-US" w:eastAsia="zh-CN" w:bidi="ar"/>
              </w:rPr>
              <w:t xml:space="preserve">  成分：脂肪酸、皂剂、香精、水、柠檬烯。</w:t>
            </w:r>
          </w:p>
        </w:tc>
      </w:tr>
    </w:tbl>
    <w:p>
      <w:pPr>
        <w:adjustRightInd w:val="0"/>
        <w:snapToGrid w:val="0"/>
        <w:spacing w:line="360" w:lineRule="auto"/>
        <w:ind w:firstLine="482" w:firstLineChars="200"/>
        <w:rPr>
          <w:rFonts w:hint="default" w:ascii="仿宋" w:hAnsi="仿宋" w:eastAsia="仿宋" w:cs="仿宋"/>
          <w:b/>
          <w:bCs/>
          <w:sz w:val="24"/>
          <w:lang w:val="en-US" w:eastAsia="zh-CN"/>
        </w:rPr>
      </w:pPr>
      <w:r>
        <w:rPr>
          <w:rFonts w:hint="eastAsia" w:ascii="仿宋" w:hAnsi="仿宋" w:eastAsia="仿宋" w:cs="仿宋"/>
          <w:b/>
          <w:bCs/>
          <w:sz w:val="24"/>
          <w:lang w:val="en-US" w:eastAsia="zh-CN"/>
        </w:rPr>
        <w:t>本次采购参考份数2276份，具体结算以实际发放验收数量为准。</w:t>
      </w:r>
    </w:p>
    <w:p>
      <w:pPr>
        <w:adjustRightInd w:val="0"/>
        <w:snapToGrid w:val="0"/>
        <w:spacing w:line="360" w:lineRule="auto"/>
        <w:rPr>
          <w:rFonts w:hint="eastAsia" w:ascii="仿宋" w:hAnsi="仿宋" w:eastAsia="仿宋" w:cs="仿宋"/>
          <w:bCs/>
          <w:sz w:val="24"/>
        </w:rPr>
      </w:pPr>
      <w:r>
        <w:rPr>
          <w:rFonts w:hint="eastAsia" w:ascii="仿宋" w:hAnsi="仿宋" w:eastAsia="仿宋" w:cs="仿宋"/>
          <w:b/>
          <w:bCs/>
          <w:sz w:val="24"/>
        </w:rPr>
        <w:t>三、其他要求：</w:t>
      </w:r>
    </w:p>
    <w:p>
      <w:pPr>
        <w:adjustRightInd w:val="0"/>
        <w:snapToGrid w:val="0"/>
        <w:spacing w:line="360" w:lineRule="auto"/>
        <w:ind w:left="309" w:leftChars="147"/>
        <w:rPr>
          <w:rFonts w:hint="eastAsia" w:ascii="仿宋" w:hAnsi="仿宋" w:eastAsia="仿宋" w:cs="仿宋"/>
          <w:bCs/>
          <w:sz w:val="24"/>
        </w:rPr>
      </w:pPr>
      <w:r>
        <w:rPr>
          <w:rFonts w:hint="eastAsia" w:ascii="仿宋" w:hAnsi="仿宋" w:eastAsia="仿宋" w:cs="仿宋"/>
          <w:bCs/>
          <w:sz w:val="24"/>
        </w:rPr>
        <w:t xml:space="preserve">1、本次采购由供应商制作采购清单中货物，并运抵采购人指定的地点。   </w:t>
      </w:r>
    </w:p>
    <w:p>
      <w:pPr>
        <w:adjustRightInd w:val="0"/>
        <w:snapToGrid w:val="0"/>
        <w:spacing w:line="360" w:lineRule="auto"/>
        <w:ind w:left="309" w:leftChars="147"/>
        <w:rPr>
          <w:rFonts w:hint="eastAsia" w:ascii="仿宋" w:hAnsi="仿宋" w:eastAsia="仿宋" w:cs="仿宋"/>
          <w:bCs/>
          <w:sz w:val="24"/>
        </w:rPr>
      </w:pPr>
      <w:r>
        <w:rPr>
          <w:rFonts w:hint="eastAsia" w:ascii="仿宋" w:hAnsi="仿宋" w:eastAsia="仿宋" w:cs="仿宋"/>
          <w:bCs/>
          <w:sz w:val="24"/>
        </w:rPr>
        <w:t>2、投标人必须对应以上清单进行一一响应。</w:t>
      </w:r>
    </w:p>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●3、所有招标产品收货时临保期不得低于质保期的3/4。</w:t>
      </w:r>
    </w:p>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四</w:t>
      </w:r>
      <w:r>
        <w:rPr>
          <w:rFonts w:hint="eastAsia" w:ascii="仿宋" w:hAnsi="仿宋" w:eastAsia="仿宋" w:cs="仿宋"/>
          <w:b/>
          <w:bCs/>
          <w:sz w:val="24"/>
        </w:rPr>
        <w:t>、供货要求：</w:t>
      </w:r>
    </w:p>
    <w:p>
      <w:pPr>
        <w:adjustRightInd w:val="0"/>
        <w:snapToGrid w:val="0"/>
        <w:spacing w:line="360" w:lineRule="auto"/>
        <w:ind w:firstLine="352" w:firstLineChars="147"/>
        <w:rPr>
          <w:rFonts w:hint="eastAsia" w:ascii="仿宋" w:hAnsi="仿宋" w:eastAsia="仿宋" w:cs="仿宋"/>
          <w:bCs/>
          <w:sz w:val="24"/>
        </w:rPr>
      </w:pPr>
      <w:r>
        <w:rPr>
          <w:rFonts w:hint="eastAsia" w:ascii="仿宋" w:hAnsi="仿宋" w:eastAsia="仿宋" w:cs="仿宋"/>
          <w:bCs/>
          <w:sz w:val="24"/>
        </w:rPr>
        <w:t>1、供方所供的货物必须为全新的，符合国家标准的合格产品；</w:t>
      </w:r>
    </w:p>
    <w:p>
      <w:pPr>
        <w:adjustRightInd w:val="0"/>
        <w:snapToGrid w:val="0"/>
        <w:spacing w:line="360" w:lineRule="auto"/>
        <w:ind w:firstLine="352" w:firstLineChars="147"/>
        <w:rPr>
          <w:rFonts w:hint="eastAsia" w:ascii="仿宋" w:hAnsi="仿宋" w:eastAsia="仿宋" w:cs="仿宋"/>
          <w:bCs/>
          <w:sz w:val="24"/>
        </w:rPr>
      </w:pPr>
      <w:r>
        <w:rPr>
          <w:rFonts w:hint="eastAsia" w:ascii="仿宋" w:hAnsi="仿宋" w:eastAsia="仿宋" w:cs="仿宋"/>
          <w:bCs/>
          <w:sz w:val="24"/>
        </w:rPr>
        <w:t xml:space="preserve">2、所供货物不会侵犯任何第三方知识产权； </w:t>
      </w:r>
    </w:p>
    <w:p>
      <w:pPr>
        <w:adjustRightInd w:val="0"/>
        <w:snapToGrid w:val="0"/>
        <w:spacing w:line="360" w:lineRule="auto"/>
        <w:rPr>
          <w:rFonts w:hint="eastAsia" w:ascii="仿宋" w:hAnsi="仿宋" w:eastAsia="仿宋" w:cs="仿宋"/>
          <w:b/>
          <w:bCs/>
          <w:sz w:val="24"/>
        </w:rPr>
      </w:pPr>
      <w:r>
        <w:rPr>
          <w:rFonts w:hint="eastAsia" w:ascii="仿宋" w:hAnsi="仿宋" w:eastAsia="仿宋" w:cs="仿宋"/>
        </w:rPr>
        <w:t>●</w:t>
      </w:r>
      <w:r>
        <w:rPr>
          <w:rFonts w:hint="eastAsia" w:ascii="仿宋" w:hAnsi="仿宋" w:eastAsia="仿宋" w:cs="仿宋"/>
          <w:b/>
          <w:bCs/>
          <w:sz w:val="24"/>
        </w:rPr>
        <w:t>五、售后服务要求：</w:t>
      </w:r>
    </w:p>
    <w:p>
      <w:pPr>
        <w:adjustRightInd w:val="0"/>
        <w:snapToGrid w:val="0"/>
        <w:spacing w:line="360" w:lineRule="auto"/>
        <w:ind w:firstLine="352" w:firstLineChars="147"/>
        <w:rPr>
          <w:rFonts w:hint="eastAsia" w:ascii="仿宋" w:hAnsi="仿宋" w:eastAsia="仿宋" w:cs="仿宋"/>
          <w:bCs/>
          <w:sz w:val="24"/>
        </w:rPr>
      </w:pPr>
      <w:r>
        <w:rPr>
          <w:rFonts w:hint="eastAsia" w:ascii="仿宋" w:hAnsi="仿宋" w:eastAsia="仿宋" w:cs="仿宋"/>
          <w:bCs/>
          <w:sz w:val="24"/>
        </w:rPr>
        <w:t>1、质保期要求：中标单位对其提供的产品，必须保证品质，所有产品验收合格使用之日起，</w:t>
      </w:r>
      <w:r>
        <w:rPr>
          <w:rFonts w:hint="eastAsia" w:ascii="仿宋" w:hAnsi="仿宋" w:eastAsia="仿宋" w:cs="仿宋"/>
          <w:b/>
          <w:bCs/>
          <w:sz w:val="24"/>
        </w:rPr>
        <w:t>免费质保一年以上具体见（采购清单参数）</w:t>
      </w:r>
      <w:r>
        <w:rPr>
          <w:rFonts w:hint="eastAsia" w:ascii="仿宋" w:hAnsi="仿宋" w:eastAsia="仿宋" w:cs="仿宋"/>
          <w:bCs/>
          <w:sz w:val="24"/>
        </w:rPr>
        <w:t>。</w:t>
      </w:r>
    </w:p>
    <w:p>
      <w:pPr>
        <w:adjustRightInd w:val="0"/>
        <w:snapToGrid w:val="0"/>
        <w:spacing w:line="360" w:lineRule="auto"/>
        <w:ind w:firstLine="352" w:firstLineChars="147"/>
        <w:rPr>
          <w:rFonts w:hint="eastAsia" w:ascii="仿宋" w:hAnsi="仿宋" w:eastAsia="仿宋" w:cs="仿宋"/>
          <w:bCs/>
          <w:sz w:val="24"/>
        </w:rPr>
      </w:pPr>
      <w:r>
        <w:rPr>
          <w:rFonts w:hint="eastAsia" w:ascii="仿宋" w:hAnsi="仿宋" w:eastAsia="仿宋" w:cs="仿宋"/>
          <w:bCs/>
          <w:sz w:val="24"/>
        </w:rPr>
        <w:t>2、技术支持要求：质保期内出现问题，中标单位在接到电话后2小时内响应，6小时内到达现场解决问题，最迟在2个工作日内修复，如不能修复应采取补救措施，以保证使用方的正常工作，中标单位有其它服务承诺的，一并履行。在保修期内中标单位必须在不得以任何理由影响正常使用。</w:t>
      </w:r>
      <w:r>
        <w:rPr>
          <w:rFonts w:hint="eastAsia" w:ascii="仿宋" w:hAnsi="仿宋" w:eastAsia="仿宋" w:cs="仿宋"/>
          <w:kern w:val="0"/>
          <w:sz w:val="24"/>
          <w:szCs w:val="20"/>
        </w:rPr>
        <w:t xml:space="preserve">                            </w:t>
      </w:r>
    </w:p>
    <w:p>
      <w:pPr>
        <w:adjustRightInd w:val="0"/>
        <w:snapToGrid w:val="0"/>
        <w:spacing w:line="360" w:lineRule="auto"/>
        <w:rPr>
          <w:rFonts w:hint="eastAsia" w:ascii="仿宋" w:hAnsi="仿宋" w:eastAsia="仿宋" w:cs="仿宋"/>
          <w:kern w:val="0"/>
        </w:rPr>
      </w:pPr>
      <w:r>
        <w:rPr>
          <w:rFonts w:hint="eastAsia" w:ascii="仿宋" w:hAnsi="仿宋" w:eastAsia="仿宋" w:cs="仿宋"/>
          <w:b/>
          <w:bCs/>
          <w:sz w:val="24"/>
        </w:rPr>
        <w:t>六、培训要求：</w:t>
      </w:r>
      <w:r>
        <w:rPr>
          <w:rFonts w:hint="eastAsia" w:ascii="仿宋" w:hAnsi="仿宋" w:eastAsia="仿宋" w:cs="仿宋"/>
          <w:bCs/>
          <w:sz w:val="24"/>
        </w:rPr>
        <w:t>对货物的功能及日常维护进行培训。</w:t>
      </w:r>
    </w:p>
    <w:p>
      <w:pPr>
        <w:adjustRightInd w:val="0"/>
        <w:snapToGrid w:val="0"/>
        <w:spacing w:line="360" w:lineRule="auto"/>
        <w:rPr>
          <w:rFonts w:hint="eastAsia" w:ascii="仿宋" w:hAnsi="仿宋" w:eastAsia="仿宋" w:cs="仿宋"/>
          <w:kern w:val="0"/>
        </w:rPr>
      </w:pPr>
      <w:r>
        <w:rPr>
          <w:rFonts w:hint="eastAsia" w:ascii="仿宋" w:hAnsi="仿宋" w:eastAsia="仿宋" w:cs="仿宋"/>
          <w:b/>
          <w:bCs/>
          <w:sz w:val="24"/>
          <w:lang w:val="en-US" w:eastAsia="zh-CN"/>
        </w:rPr>
        <w:t>七</w:t>
      </w:r>
      <w:r>
        <w:rPr>
          <w:rFonts w:hint="eastAsia" w:ascii="仿宋" w:hAnsi="仿宋" w:eastAsia="仿宋" w:cs="仿宋"/>
          <w:b/>
          <w:bCs/>
          <w:sz w:val="24"/>
        </w:rPr>
        <w:t>、履约保证金和质量保证金：</w:t>
      </w:r>
      <w:r>
        <w:rPr>
          <w:rFonts w:hint="eastAsia" w:ascii="仿宋" w:hAnsi="仿宋" w:eastAsia="仿宋" w:cs="仿宋"/>
          <w:bCs/>
          <w:sz w:val="24"/>
        </w:rPr>
        <w:t>在合同签订以前供应商向采购人缴纳履约保证金，履约保证金的数额不得超过政府采购合同金额的</w:t>
      </w:r>
      <w:r>
        <w:rPr>
          <w:rFonts w:hint="eastAsia" w:ascii="仿宋" w:hAnsi="仿宋" w:eastAsia="仿宋" w:cs="仿宋"/>
          <w:bCs/>
          <w:sz w:val="24"/>
          <w:lang w:val="en-US" w:eastAsia="zh-CN"/>
        </w:rPr>
        <w:t>1</w:t>
      </w:r>
      <w:r>
        <w:rPr>
          <w:rFonts w:hint="eastAsia" w:ascii="仿宋" w:hAnsi="仿宋" w:eastAsia="仿宋" w:cs="仿宋"/>
          <w:bCs/>
          <w:sz w:val="24"/>
        </w:rPr>
        <w:t>%。鼓励和支持供应商以银行、保险公司出具的保函形式提供履约保证金。采购人不得拒收履约保函。验收合格后履约保证金三个月后无息退还</w:t>
      </w:r>
      <w:r>
        <w:rPr>
          <w:rFonts w:hint="eastAsia" w:ascii="仿宋" w:hAnsi="仿宋" w:eastAsia="仿宋" w:cs="仿宋"/>
          <w:kern w:val="0"/>
          <w:sz w:val="24"/>
        </w:rPr>
        <w:t>。</w:t>
      </w:r>
    </w:p>
    <w:p>
      <w:pPr>
        <w:pStyle w:val="34"/>
        <w:snapToGrid w:val="0"/>
        <w:spacing w:before="120" w:after="120" w:line="440" w:lineRule="exact"/>
        <w:rPr>
          <w:rFonts w:hint="eastAsia" w:ascii="仿宋" w:hAnsi="仿宋" w:eastAsia="仿宋" w:cs="仿宋"/>
          <w:b/>
          <w:bCs/>
          <w:sz w:val="24"/>
        </w:rPr>
      </w:pPr>
      <w:r>
        <w:rPr>
          <w:rFonts w:hint="eastAsia" w:ascii="仿宋" w:hAnsi="仿宋" w:eastAsia="仿宋" w:cs="仿宋"/>
          <w:b/>
          <w:bCs/>
          <w:kern w:val="2"/>
          <w:sz w:val="24"/>
          <w:szCs w:val="24"/>
          <w:lang w:val="en-US" w:eastAsia="zh-CN" w:bidi="ar-SA"/>
        </w:rPr>
        <w:t>八、货款支付</w:t>
      </w:r>
      <w:r>
        <w:rPr>
          <w:rFonts w:hint="eastAsia" w:ascii="仿宋" w:hAnsi="仿宋" w:eastAsia="仿宋" w:cs="仿宋"/>
          <w:b/>
          <w:bCs/>
          <w:sz w:val="24"/>
        </w:rPr>
        <w:t>：</w:t>
      </w:r>
    </w:p>
    <w:p>
      <w:pPr>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合同签订后支付合同价的40%，所有合同货物到货送达到甲方指定的地点，经验收合格后按实际供货数量结算，支付合同货款的100%。</w:t>
      </w:r>
    </w:p>
    <w:p>
      <w:pPr>
        <w:snapToGrid w:val="0"/>
        <w:spacing w:line="360" w:lineRule="auto"/>
        <w:jc w:val="center"/>
        <w:rPr>
          <w:rFonts w:ascii="华文仿宋" w:hAnsi="华文仿宋" w:eastAsia="华文仿宋"/>
          <w:b/>
          <w:sz w:val="24"/>
        </w:rPr>
      </w:pPr>
    </w:p>
    <w:p>
      <w:pPr>
        <w:snapToGrid w:val="0"/>
        <w:spacing w:line="360" w:lineRule="auto"/>
        <w:jc w:val="center"/>
        <w:rPr>
          <w:rFonts w:ascii="华文仿宋" w:hAnsi="华文仿宋" w:eastAsia="华文仿宋"/>
          <w:b/>
          <w:sz w:val="24"/>
        </w:rPr>
      </w:pPr>
    </w:p>
    <w:p>
      <w:pPr>
        <w:snapToGrid w:val="0"/>
        <w:spacing w:line="360" w:lineRule="auto"/>
        <w:jc w:val="center"/>
        <w:rPr>
          <w:rFonts w:ascii="华文仿宋" w:hAnsi="华文仿宋" w:eastAsia="华文仿宋"/>
          <w:b/>
          <w:sz w:val="24"/>
        </w:rPr>
      </w:pPr>
    </w:p>
    <w:p>
      <w:pPr>
        <w:snapToGrid w:val="0"/>
        <w:spacing w:line="360" w:lineRule="auto"/>
        <w:jc w:val="center"/>
        <w:rPr>
          <w:rFonts w:ascii="华文仿宋" w:hAnsi="华文仿宋" w:eastAsia="华文仿宋"/>
          <w:b/>
          <w:sz w:val="24"/>
        </w:rPr>
      </w:pPr>
    </w:p>
    <w:p>
      <w:pPr>
        <w:snapToGrid w:val="0"/>
        <w:spacing w:line="360" w:lineRule="auto"/>
        <w:jc w:val="center"/>
        <w:rPr>
          <w:rFonts w:ascii="华文仿宋" w:hAnsi="华文仿宋" w:eastAsia="华文仿宋"/>
          <w:b/>
          <w:sz w:val="24"/>
        </w:rPr>
      </w:pPr>
    </w:p>
    <w:p>
      <w:pPr>
        <w:snapToGrid w:val="0"/>
        <w:spacing w:line="360" w:lineRule="auto"/>
        <w:jc w:val="both"/>
        <w:rPr>
          <w:rFonts w:ascii="华文仿宋" w:hAnsi="华文仿宋" w:eastAsia="华文仿宋"/>
          <w:b/>
          <w:sz w:val="24"/>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08063"/>
      <w:bookmarkEnd w:id="27"/>
      <w:bookmarkStart w:id="28" w:name="_Toc184313285"/>
      <w:bookmarkEnd w:id="28"/>
      <w:bookmarkStart w:id="29" w:name="_Toc184312095"/>
      <w:bookmarkEnd w:id="29"/>
      <w:bookmarkStart w:id="30" w:name="_Toc184308081"/>
      <w:bookmarkEnd w:id="30"/>
      <w:bookmarkStart w:id="31" w:name="_Toc184313245"/>
      <w:bookmarkEnd w:id="31"/>
      <w:bookmarkStart w:id="32" w:name="_Toc184308059"/>
      <w:bookmarkEnd w:id="32"/>
      <w:bookmarkStart w:id="33" w:name="_Toc184308101"/>
      <w:bookmarkEnd w:id="33"/>
      <w:bookmarkStart w:id="34" w:name="_Toc184308058"/>
      <w:bookmarkEnd w:id="34"/>
      <w:bookmarkStart w:id="35" w:name="_Toc184314425"/>
      <w:bookmarkEnd w:id="35"/>
      <w:bookmarkStart w:id="36" w:name="_Toc184310319"/>
      <w:bookmarkEnd w:id="36"/>
      <w:bookmarkStart w:id="37" w:name="_Toc184310276"/>
      <w:bookmarkEnd w:id="37"/>
      <w:bookmarkStart w:id="38" w:name="_Toc184313252"/>
      <w:bookmarkEnd w:id="38"/>
      <w:bookmarkStart w:id="39" w:name="_Toc184308083"/>
      <w:bookmarkEnd w:id="39"/>
      <w:bookmarkStart w:id="40" w:name="_Toc184313279"/>
      <w:bookmarkEnd w:id="40"/>
      <w:bookmarkStart w:id="41" w:name="_Toc184308062"/>
      <w:bookmarkEnd w:id="41"/>
      <w:bookmarkStart w:id="42" w:name="_Toc184312082"/>
      <w:bookmarkEnd w:id="42"/>
      <w:bookmarkStart w:id="43" w:name="_Toc184308085"/>
      <w:bookmarkEnd w:id="43"/>
      <w:bookmarkStart w:id="44" w:name="_Toc184310328"/>
      <w:bookmarkEnd w:id="44"/>
      <w:bookmarkStart w:id="45" w:name="_Toc184312080"/>
      <w:bookmarkEnd w:id="45"/>
      <w:bookmarkStart w:id="46" w:name="_Toc184312097"/>
      <w:bookmarkEnd w:id="46"/>
      <w:bookmarkStart w:id="47" w:name="_Toc184310307"/>
      <w:bookmarkEnd w:id="47"/>
      <w:bookmarkStart w:id="48" w:name="_Toc184313290"/>
      <w:bookmarkEnd w:id="48"/>
      <w:bookmarkStart w:id="49" w:name="_Toc184312099"/>
      <w:bookmarkEnd w:id="49"/>
      <w:bookmarkStart w:id="50" w:name="_Toc184312075"/>
      <w:bookmarkEnd w:id="50"/>
      <w:bookmarkStart w:id="51" w:name="_Toc184310278"/>
      <w:bookmarkEnd w:id="51"/>
      <w:bookmarkStart w:id="52" w:name="_Toc184308090"/>
      <w:bookmarkEnd w:id="52"/>
      <w:bookmarkStart w:id="53" w:name="_Toc184308055"/>
      <w:bookmarkEnd w:id="53"/>
      <w:bookmarkStart w:id="54" w:name="_Toc184310308"/>
      <w:bookmarkEnd w:id="54"/>
      <w:bookmarkStart w:id="55" w:name="_Toc184314471"/>
      <w:bookmarkEnd w:id="55"/>
      <w:bookmarkStart w:id="56" w:name="_Toc184313264"/>
      <w:bookmarkEnd w:id="56"/>
      <w:bookmarkStart w:id="57" w:name="_Toc184313250"/>
      <w:bookmarkEnd w:id="57"/>
      <w:bookmarkStart w:id="58" w:name="_Toc184312079"/>
      <w:bookmarkEnd w:id="58"/>
      <w:bookmarkStart w:id="59" w:name="_Toc184313258"/>
      <w:bookmarkEnd w:id="59"/>
      <w:bookmarkStart w:id="60" w:name="_Toc184313240"/>
      <w:bookmarkEnd w:id="60"/>
      <w:bookmarkStart w:id="61" w:name="_Toc184314460"/>
      <w:bookmarkEnd w:id="61"/>
      <w:bookmarkStart w:id="62" w:name="_Toc184312128"/>
      <w:bookmarkEnd w:id="62"/>
      <w:bookmarkStart w:id="63" w:name="_Toc184310340"/>
      <w:bookmarkEnd w:id="63"/>
      <w:bookmarkStart w:id="64" w:name="_Toc184308053"/>
      <w:bookmarkEnd w:id="64"/>
      <w:bookmarkStart w:id="65" w:name="_Toc184314446"/>
      <w:bookmarkEnd w:id="65"/>
      <w:bookmarkStart w:id="66" w:name="_Toc184314481"/>
      <w:bookmarkEnd w:id="66"/>
      <w:bookmarkStart w:id="67" w:name="_Toc184313286"/>
      <w:bookmarkEnd w:id="67"/>
      <w:bookmarkStart w:id="68" w:name="_Toc184312105"/>
      <w:bookmarkEnd w:id="68"/>
      <w:bookmarkStart w:id="69" w:name="_Toc184308041"/>
      <w:bookmarkEnd w:id="69"/>
      <w:bookmarkStart w:id="70" w:name="_Toc184313297"/>
      <w:bookmarkEnd w:id="70"/>
      <w:bookmarkStart w:id="71" w:name="_Toc184312133"/>
      <w:bookmarkEnd w:id="71"/>
      <w:bookmarkStart w:id="72" w:name="_Toc184310273"/>
      <w:bookmarkEnd w:id="72"/>
      <w:bookmarkStart w:id="73" w:name="_Toc184314464"/>
      <w:bookmarkEnd w:id="73"/>
      <w:bookmarkStart w:id="74" w:name="_Toc184314470"/>
      <w:bookmarkEnd w:id="74"/>
      <w:bookmarkStart w:id="75" w:name="_Toc184313281"/>
      <w:bookmarkEnd w:id="75"/>
      <w:bookmarkStart w:id="76" w:name="_Toc184313287"/>
      <w:bookmarkEnd w:id="76"/>
      <w:bookmarkStart w:id="77" w:name="_Toc184308070"/>
      <w:bookmarkEnd w:id="77"/>
      <w:bookmarkStart w:id="78" w:name="_Toc184310291"/>
      <w:bookmarkEnd w:id="78"/>
      <w:bookmarkStart w:id="79" w:name="_Toc184312115"/>
      <w:bookmarkEnd w:id="79"/>
      <w:bookmarkStart w:id="80" w:name="_Toc184313263"/>
      <w:bookmarkEnd w:id="80"/>
      <w:bookmarkStart w:id="81" w:name="_Toc184308048"/>
      <w:bookmarkEnd w:id="81"/>
      <w:bookmarkStart w:id="82" w:name="_Toc184314477"/>
      <w:bookmarkEnd w:id="82"/>
      <w:bookmarkStart w:id="83" w:name="_Toc184308087"/>
      <w:bookmarkEnd w:id="83"/>
      <w:bookmarkStart w:id="84" w:name="_Toc184310318"/>
      <w:bookmarkEnd w:id="84"/>
      <w:bookmarkStart w:id="85" w:name="_Toc184310285"/>
      <w:bookmarkEnd w:id="85"/>
      <w:bookmarkStart w:id="86" w:name="_Toc184313274"/>
      <w:bookmarkEnd w:id="86"/>
      <w:bookmarkStart w:id="87" w:name="_Toc184313269"/>
      <w:bookmarkEnd w:id="87"/>
      <w:bookmarkStart w:id="88" w:name="_Toc184310303"/>
      <w:bookmarkEnd w:id="88"/>
      <w:bookmarkStart w:id="89" w:name="_Toc184314478"/>
      <w:bookmarkEnd w:id="89"/>
      <w:bookmarkStart w:id="90" w:name="_Toc184310324"/>
      <w:bookmarkEnd w:id="90"/>
      <w:bookmarkStart w:id="91" w:name="_Toc184308093"/>
      <w:bookmarkEnd w:id="91"/>
      <w:bookmarkStart w:id="92" w:name="_Toc184312124"/>
      <w:bookmarkEnd w:id="92"/>
      <w:bookmarkStart w:id="93" w:name="_Toc184314412"/>
      <w:bookmarkEnd w:id="93"/>
      <w:bookmarkStart w:id="94" w:name="_Toc184313291"/>
      <w:bookmarkEnd w:id="94"/>
      <w:bookmarkStart w:id="95" w:name="_Toc184310329"/>
      <w:bookmarkEnd w:id="95"/>
      <w:bookmarkStart w:id="96" w:name="_Toc184314453"/>
      <w:bookmarkEnd w:id="96"/>
      <w:bookmarkStart w:id="97" w:name="_Toc184312087"/>
      <w:bookmarkEnd w:id="97"/>
      <w:bookmarkStart w:id="98" w:name="_Toc184314443"/>
      <w:bookmarkEnd w:id="98"/>
      <w:bookmarkStart w:id="99" w:name="_Toc184310330"/>
      <w:bookmarkEnd w:id="99"/>
      <w:bookmarkStart w:id="100" w:name="_Toc184312074"/>
      <w:bookmarkEnd w:id="100"/>
      <w:bookmarkStart w:id="101" w:name="_Toc184314445"/>
      <w:bookmarkEnd w:id="101"/>
      <w:bookmarkStart w:id="102" w:name="_Toc184308043"/>
      <w:bookmarkEnd w:id="102"/>
      <w:bookmarkStart w:id="103" w:name="_Toc184313273"/>
      <w:bookmarkEnd w:id="103"/>
      <w:bookmarkStart w:id="104" w:name="_Toc184310341"/>
      <w:bookmarkEnd w:id="104"/>
      <w:bookmarkStart w:id="105" w:name="_Toc184308076"/>
      <w:bookmarkEnd w:id="105"/>
      <w:bookmarkStart w:id="106" w:name="_Toc184312118"/>
      <w:bookmarkEnd w:id="106"/>
      <w:bookmarkStart w:id="107" w:name="_Toc184308082"/>
      <w:bookmarkEnd w:id="107"/>
      <w:bookmarkStart w:id="108" w:name="_Toc184312116"/>
      <w:bookmarkEnd w:id="108"/>
      <w:bookmarkStart w:id="109" w:name="_Toc184314479"/>
      <w:bookmarkEnd w:id="109"/>
      <w:bookmarkStart w:id="110" w:name="_Toc184314468"/>
      <w:bookmarkEnd w:id="110"/>
      <w:bookmarkStart w:id="111" w:name="_Toc184314473"/>
      <w:bookmarkEnd w:id="111"/>
      <w:bookmarkStart w:id="112" w:name="_Toc184312093"/>
      <w:bookmarkEnd w:id="112"/>
      <w:bookmarkStart w:id="113" w:name="_Toc184310292"/>
      <w:bookmarkEnd w:id="113"/>
      <w:bookmarkStart w:id="114" w:name="_Toc184313278"/>
      <w:bookmarkEnd w:id="114"/>
      <w:bookmarkStart w:id="115" w:name="_Toc184313266"/>
      <w:bookmarkEnd w:id="115"/>
      <w:bookmarkStart w:id="116" w:name="_Toc184312089"/>
      <w:bookmarkEnd w:id="116"/>
      <w:bookmarkStart w:id="117" w:name="_Toc184308089"/>
      <w:bookmarkEnd w:id="117"/>
      <w:bookmarkStart w:id="118" w:name="_Toc184312096"/>
      <w:bookmarkEnd w:id="118"/>
      <w:bookmarkStart w:id="119" w:name="_Toc184312126"/>
      <w:bookmarkEnd w:id="119"/>
      <w:bookmarkStart w:id="120" w:name="_Toc184310337"/>
      <w:bookmarkEnd w:id="120"/>
      <w:bookmarkStart w:id="121" w:name="_Toc184314480"/>
      <w:bookmarkEnd w:id="121"/>
      <w:bookmarkStart w:id="122" w:name="_Toc184313251"/>
      <w:bookmarkEnd w:id="122"/>
      <w:bookmarkStart w:id="123" w:name="_Toc184313294"/>
      <w:bookmarkEnd w:id="123"/>
      <w:bookmarkStart w:id="124" w:name="_Toc184313271"/>
      <w:bookmarkEnd w:id="124"/>
      <w:bookmarkStart w:id="125" w:name="_Toc184310315"/>
      <w:bookmarkEnd w:id="125"/>
      <w:bookmarkStart w:id="126" w:name="_Toc184310284"/>
      <w:bookmarkEnd w:id="126"/>
      <w:bookmarkStart w:id="127" w:name="_Toc184314454"/>
      <w:bookmarkEnd w:id="127"/>
      <w:bookmarkStart w:id="128" w:name="_Toc184314435"/>
      <w:bookmarkEnd w:id="128"/>
      <w:bookmarkStart w:id="129" w:name="_Toc184313238"/>
      <w:bookmarkEnd w:id="129"/>
      <w:bookmarkStart w:id="130" w:name="_Toc184314448"/>
      <w:bookmarkEnd w:id="130"/>
      <w:bookmarkStart w:id="131" w:name="_Toc184312078"/>
      <w:bookmarkEnd w:id="131"/>
      <w:bookmarkStart w:id="132" w:name="_Toc184308067"/>
      <w:bookmarkEnd w:id="132"/>
      <w:bookmarkStart w:id="133" w:name="_Toc184314452"/>
      <w:bookmarkEnd w:id="133"/>
      <w:bookmarkStart w:id="134" w:name="_Toc184310314"/>
      <w:bookmarkEnd w:id="134"/>
      <w:bookmarkStart w:id="135" w:name="_Toc184308095"/>
      <w:bookmarkEnd w:id="135"/>
      <w:bookmarkStart w:id="136" w:name="_Toc184312072"/>
      <w:bookmarkEnd w:id="136"/>
      <w:bookmarkStart w:id="137" w:name="_Toc184308074"/>
      <w:bookmarkEnd w:id="137"/>
      <w:bookmarkStart w:id="138" w:name="_Toc184312098"/>
      <w:bookmarkEnd w:id="138"/>
      <w:bookmarkStart w:id="139" w:name="_Toc184308100"/>
      <w:bookmarkEnd w:id="139"/>
      <w:bookmarkStart w:id="140" w:name="_Toc184308098"/>
      <w:bookmarkEnd w:id="140"/>
      <w:bookmarkStart w:id="141" w:name="_Toc184312076"/>
      <w:bookmarkEnd w:id="141"/>
      <w:bookmarkStart w:id="142" w:name="_Toc184312111"/>
      <w:bookmarkEnd w:id="142"/>
      <w:bookmarkStart w:id="143" w:name="_Toc184314451"/>
      <w:bookmarkEnd w:id="143"/>
      <w:bookmarkStart w:id="144" w:name="_Toc184313284"/>
      <w:bookmarkEnd w:id="144"/>
      <w:bookmarkStart w:id="145" w:name="_Toc184308077"/>
      <w:bookmarkEnd w:id="145"/>
      <w:bookmarkStart w:id="146" w:name="_Toc184310320"/>
      <w:bookmarkEnd w:id="146"/>
      <w:bookmarkStart w:id="147" w:name="_Toc184313303"/>
      <w:bookmarkEnd w:id="147"/>
      <w:bookmarkStart w:id="148" w:name="_Toc184314431"/>
      <w:bookmarkEnd w:id="148"/>
      <w:bookmarkStart w:id="149" w:name="_Toc184313292"/>
      <w:bookmarkEnd w:id="149"/>
      <w:bookmarkStart w:id="150" w:name="_Toc184314424"/>
      <w:bookmarkEnd w:id="150"/>
      <w:bookmarkStart w:id="151" w:name="_Toc184314461"/>
      <w:bookmarkEnd w:id="151"/>
      <w:bookmarkStart w:id="152" w:name="_Toc184312083"/>
      <w:bookmarkEnd w:id="152"/>
      <w:bookmarkStart w:id="153" w:name="_Toc184308044"/>
      <w:bookmarkEnd w:id="153"/>
      <w:bookmarkStart w:id="154" w:name="_Toc184308106"/>
      <w:bookmarkEnd w:id="154"/>
      <w:bookmarkStart w:id="155" w:name="_Toc184308099"/>
      <w:bookmarkEnd w:id="155"/>
      <w:bookmarkStart w:id="156" w:name="_Toc184312134"/>
      <w:bookmarkEnd w:id="156"/>
      <w:bookmarkStart w:id="157" w:name="_Toc184314430"/>
      <w:bookmarkEnd w:id="157"/>
      <w:bookmarkStart w:id="158" w:name="_Toc184312110"/>
      <w:bookmarkEnd w:id="158"/>
      <w:bookmarkStart w:id="159" w:name="_Toc184314432"/>
      <w:bookmarkEnd w:id="159"/>
      <w:bookmarkStart w:id="160" w:name="_Toc184312121"/>
      <w:bookmarkEnd w:id="160"/>
      <w:bookmarkStart w:id="161" w:name="_Toc184308060"/>
      <w:bookmarkEnd w:id="161"/>
      <w:bookmarkStart w:id="162" w:name="_Toc184312119"/>
      <w:bookmarkEnd w:id="162"/>
      <w:bookmarkStart w:id="163" w:name="_Toc184313248"/>
      <w:bookmarkEnd w:id="163"/>
      <w:bookmarkStart w:id="164" w:name="_Toc184313257"/>
      <w:bookmarkEnd w:id="164"/>
      <w:bookmarkStart w:id="165" w:name="_Toc184313307"/>
      <w:bookmarkEnd w:id="165"/>
      <w:bookmarkStart w:id="166" w:name="_Toc184314411"/>
      <w:bookmarkEnd w:id="166"/>
      <w:bookmarkStart w:id="167" w:name="_Toc184310327"/>
      <w:bookmarkEnd w:id="167"/>
      <w:bookmarkStart w:id="168" w:name="_Toc184313255"/>
      <w:bookmarkEnd w:id="168"/>
      <w:bookmarkStart w:id="169" w:name="_Toc184308092"/>
      <w:bookmarkEnd w:id="169"/>
      <w:bookmarkStart w:id="170" w:name="_Toc184313259"/>
      <w:bookmarkEnd w:id="170"/>
      <w:bookmarkStart w:id="171" w:name="_Toc184312100"/>
      <w:bookmarkEnd w:id="171"/>
      <w:bookmarkStart w:id="172" w:name="_Toc184312070"/>
      <w:bookmarkEnd w:id="172"/>
      <w:bookmarkStart w:id="173" w:name="_Toc184314416"/>
      <w:bookmarkEnd w:id="173"/>
      <w:bookmarkStart w:id="174" w:name="_Toc184314456"/>
      <w:bookmarkEnd w:id="174"/>
      <w:bookmarkStart w:id="175" w:name="_Toc184312135"/>
      <w:bookmarkEnd w:id="175"/>
      <w:bookmarkStart w:id="176" w:name="_Toc184313270"/>
      <w:bookmarkEnd w:id="176"/>
      <w:bookmarkStart w:id="177" w:name="_Toc184312081"/>
      <w:bookmarkEnd w:id="177"/>
      <w:bookmarkStart w:id="178" w:name="_Toc184308097"/>
      <w:bookmarkEnd w:id="178"/>
      <w:bookmarkStart w:id="179" w:name="_Toc184313272"/>
      <w:bookmarkEnd w:id="179"/>
      <w:bookmarkStart w:id="180" w:name="_Toc184314436"/>
      <w:bookmarkEnd w:id="180"/>
      <w:bookmarkStart w:id="181" w:name="_Toc184313301"/>
      <w:bookmarkEnd w:id="181"/>
      <w:bookmarkStart w:id="182" w:name="_Toc184313254"/>
      <w:bookmarkEnd w:id="182"/>
      <w:bookmarkStart w:id="183" w:name="_Toc184314422"/>
      <w:bookmarkEnd w:id="183"/>
      <w:bookmarkStart w:id="184" w:name="_Toc184308040"/>
      <w:bookmarkEnd w:id="184"/>
      <w:bookmarkStart w:id="185" w:name="_Toc184314462"/>
      <w:bookmarkEnd w:id="185"/>
      <w:bookmarkStart w:id="186" w:name="_Toc184313275"/>
      <w:bookmarkEnd w:id="186"/>
      <w:bookmarkStart w:id="187" w:name="_Toc184308071"/>
      <w:bookmarkEnd w:id="187"/>
      <w:bookmarkStart w:id="188" w:name="_Toc184312069"/>
      <w:bookmarkEnd w:id="188"/>
      <w:bookmarkStart w:id="189" w:name="_Toc184312136"/>
      <w:bookmarkEnd w:id="189"/>
      <w:bookmarkStart w:id="190" w:name="_Toc184313239"/>
      <w:bookmarkEnd w:id="190"/>
      <w:bookmarkStart w:id="191" w:name="_Toc184313265"/>
      <w:bookmarkEnd w:id="191"/>
      <w:bookmarkStart w:id="192" w:name="_Toc184314444"/>
      <w:bookmarkEnd w:id="192"/>
      <w:bookmarkStart w:id="193" w:name="_Toc184310336"/>
      <w:bookmarkEnd w:id="193"/>
      <w:bookmarkStart w:id="194" w:name="_Toc184313244"/>
      <w:bookmarkEnd w:id="194"/>
      <w:bookmarkStart w:id="195" w:name="_Toc184314414"/>
      <w:bookmarkEnd w:id="195"/>
      <w:bookmarkStart w:id="196" w:name="_Toc184313283"/>
      <w:bookmarkEnd w:id="196"/>
      <w:bookmarkStart w:id="197" w:name="_Toc184308096"/>
      <w:bookmarkEnd w:id="197"/>
      <w:bookmarkStart w:id="198" w:name="_Toc184313308"/>
      <w:bookmarkEnd w:id="198"/>
      <w:bookmarkStart w:id="199" w:name="_Toc184308049"/>
      <w:bookmarkEnd w:id="199"/>
      <w:bookmarkStart w:id="200" w:name="_Toc184312103"/>
      <w:bookmarkEnd w:id="200"/>
      <w:bookmarkStart w:id="201" w:name="_Toc184310323"/>
      <w:bookmarkEnd w:id="201"/>
      <w:bookmarkStart w:id="202" w:name="_Toc184310275"/>
      <w:bookmarkEnd w:id="202"/>
      <w:bookmarkStart w:id="203" w:name="_Toc184314439"/>
      <w:bookmarkEnd w:id="203"/>
      <w:bookmarkStart w:id="204" w:name="_Toc184310288"/>
      <w:bookmarkEnd w:id="204"/>
      <w:bookmarkStart w:id="205" w:name="_Toc184314428"/>
      <w:bookmarkEnd w:id="205"/>
      <w:bookmarkStart w:id="206" w:name="_Toc184310316"/>
      <w:bookmarkEnd w:id="206"/>
      <w:bookmarkStart w:id="207" w:name="_Toc184313241"/>
      <w:bookmarkEnd w:id="207"/>
      <w:bookmarkStart w:id="208" w:name="_Toc184310305"/>
      <w:bookmarkEnd w:id="208"/>
      <w:bookmarkStart w:id="209" w:name="_Toc184310302"/>
      <w:bookmarkEnd w:id="209"/>
      <w:bookmarkStart w:id="210" w:name="_Toc184313305"/>
      <w:bookmarkEnd w:id="210"/>
      <w:bookmarkStart w:id="211" w:name="_Toc184308036"/>
      <w:bookmarkEnd w:id="211"/>
      <w:bookmarkStart w:id="212" w:name="_Toc184308068"/>
      <w:bookmarkEnd w:id="212"/>
      <w:bookmarkStart w:id="213" w:name="_Toc184310298"/>
      <w:bookmarkEnd w:id="213"/>
      <w:bookmarkStart w:id="214" w:name="_Toc184312123"/>
      <w:bookmarkEnd w:id="214"/>
      <w:bookmarkStart w:id="215" w:name="_Toc184313262"/>
      <w:bookmarkEnd w:id="215"/>
      <w:bookmarkStart w:id="216" w:name="_Toc184314440"/>
      <w:bookmarkEnd w:id="216"/>
      <w:bookmarkStart w:id="217" w:name="_Toc184314421"/>
      <w:bookmarkEnd w:id="217"/>
      <w:bookmarkStart w:id="218" w:name="_Toc184308075"/>
      <w:bookmarkEnd w:id="218"/>
      <w:bookmarkStart w:id="219" w:name="_Toc184310280"/>
      <w:bookmarkEnd w:id="219"/>
      <w:bookmarkStart w:id="220" w:name="_Toc184312131"/>
      <w:bookmarkEnd w:id="220"/>
      <w:bookmarkStart w:id="221" w:name="_Toc184310342"/>
      <w:bookmarkEnd w:id="221"/>
      <w:bookmarkStart w:id="222" w:name="_Toc184314458"/>
      <w:bookmarkEnd w:id="222"/>
      <w:bookmarkStart w:id="223" w:name="_Toc184314459"/>
      <w:bookmarkEnd w:id="223"/>
      <w:bookmarkStart w:id="224" w:name="_Toc184314450"/>
      <w:bookmarkEnd w:id="224"/>
      <w:bookmarkStart w:id="225" w:name="_Toc184312129"/>
      <w:bookmarkEnd w:id="225"/>
      <w:bookmarkStart w:id="226" w:name="_Toc184312094"/>
      <w:bookmarkEnd w:id="226"/>
      <w:bookmarkStart w:id="227" w:name="_Toc184312101"/>
      <w:bookmarkEnd w:id="227"/>
      <w:bookmarkStart w:id="228" w:name="_Toc184312106"/>
      <w:bookmarkEnd w:id="228"/>
      <w:bookmarkStart w:id="229" w:name="_Toc184314469"/>
      <w:bookmarkEnd w:id="229"/>
      <w:bookmarkStart w:id="230" w:name="_Toc184308088"/>
      <w:bookmarkEnd w:id="230"/>
      <w:bookmarkStart w:id="231" w:name="_Toc184312120"/>
      <w:bookmarkEnd w:id="231"/>
      <w:bookmarkStart w:id="232" w:name="_Toc184308056"/>
      <w:bookmarkEnd w:id="232"/>
      <w:bookmarkStart w:id="233" w:name="_Toc184308091"/>
      <w:bookmarkEnd w:id="233"/>
      <w:bookmarkStart w:id="234" w:name="_Toc184314429"/>
      <w:bookmarkEnd w:id="234"/>
      <w:bookmarkStart w:id="235" w:name="_Toc184314449"/>
      <w:bookmarkEnd w:id="235"/>
      <w:bookmarkStart w:id="236" w:name="_Toc184313277"/>
      <w:bookmarkEnd w:id="236"/>
      <w:bookmarkStart w:id="237" w:name="_Toc184314476"/>
      <w:bookmarkEnd w:id="237"/>
      <w:bookmarkStart w:id="238" w:name="_Toc184310313"/>
      <w:bookmarkEnd w:id="238"/>
      <w:bookmarkStart w:id="239" w:name="_Toc184310279"/>
      <w:bookmarkEnd w:id="239"/>
      <w:bookmarkStart w:id="240" w:name="_Toc184308037"/>
      <w:bookmarkEnd w:id="240"/>
      <w:bookmarkStart w:id="241" w:name="_Toc184312112"/>
      <w:bookmarkEnd w:id="241"/>
      <w:bookmarkStart w:id="242" w:name="_Toc184310289"/>
      <w:bookmarkEnd w:id="242"/>
      <w:bookmarkStart w:id="243" w:name="_Toc184313282"/>
      <w:bookmarkEnd w:id="243"/>
      <w:bookmarkStart w:id="244" w:name="_Toc184310296"/>
      <w:bookmarkEnd w:id="244"/>
      <w:bookmarkStart w:id="245" w:name="_Toc184308064"/>
      <w:bookmarkEnd w:id="245"/>
      <w:bookmarkStart w:id="246" w:name="_Toc184312130"/>
      <w:bookmarkEnd w:id="246"/>
      <w:bookmarkStart w:id="247" w:name="_Toc184308107"/>
      <w:bookmarkEnd w:id="247"/>
      <w:bookmarkStart w:id="248" w:name="_Toc184313246"/>
      <w:bookmarkEnd w:id="248"/>
      <w:bookmarkStart w:id="249" w:name="_Toc184308052"/>
      <w:bookmarkEnd w:id="249"/>
      <w:bookmarkStart w:id="250" w:name="_Toc184313276"/>
      <w:bookmarkEnd w:id="250"/>
      <w:bookmarkStart w:id="251" w:name="_Toc184310272"/>
      <w:bookmarkEnd w:id="251"/>
      <w:bookmarkStart w:id="252" w:name="_Toc184312091"/>
      <w:bookmarkEnd w:id="252"/>
      <w:bookmarkStart w:id="253" w:name="_Toc184313280"/>
      <w:bookmarkEnd w:id="253"/>
      <w:bookmarkStart w:id="254" w:name="_Toc184312117"/>
      <w:bookmarkEnd w:id="254"/>
      <w:bookmarkStart w:id="255" w:name="_Toc184314437"/>
      <w:bookmarkEnd w:id="255"/>
      <w:bookmarkStart w:id="256" w:name="_Toc184312092"/>
      <w:bookmarkEnd w:id="256"/>
      <w:bookmarkStart w:id="257" w:name="_Toc184310283"/>
      <w:bookmarkEnd w:id="257"/>
      <w:bookmarkStart w:id="258" w:name="_Toc184314427"/>
      <w:bookmarkEnd w:id="258"/>
      <w:bookmarkStart w:id="259" w:name="_Toc184310299"/>
      <w:bookmarkEnd w:id="259"/>
      <w:bookmarkStart w:id="260" w:name="_Toc184314434"/>
      <w:bookmarkEnd w:id="260"/>
      <w:bookmarkStart w:id="261" w:name="_Toc184310274"/>
      <w:bookmarkEnd w:id="261"/>
      <w:bookmarkStart w:id="262" w:name="_Toc184310281"/>
      <w:bookmarkEnd w:id="262"/>
      <w:bookmarkStart w:id="263" w:name="_Toc184308042"/>
      <w:bookmarkEnd w:id="263"/>
      <w:bookmarkStart w:id="264" w:name="_Toc184308104"/>
      <w:bookmarkEnd w:id="264"/>
      <w:bookmarkStart w:id="265" w:name="_Toc184308050"/>
      <w:bookmarkEnd w:id="265"/>
      <w:bookmarkStart w:id="266" w:name="_Toc184312138"/>
      <w:bookmarkEnd w:id="266"/>
      <w:bookmarkStart w:id="267" w:name="_Toc184308079"/>
      <w:bookmarkEnd w:id="267"/>
      <w:bookmarkStart w:id="268" w:name="_Toc184312139"/>
      <w:bookmarkEnd w:id="268"/>
      <w:bookmarkStart w:id="269" w:name="_Toc184314413"/>
      <w:bookmarkEnd w:id="269"/>
      <w:bookmarkStart w:id="270" w:name="_Toc184308094"/>
      <w:bookmarkEnd w:id="270"/>
      <w:bookmarkStart w:id="271" w:name="_Toc184308103"/>
      <w:bookmarkEnd w:id="271"/>
      <w:bookmarkStart w:id="272" w:name="_Toc184313243"/>
      <w:bookmarkEnd w:id="272"/>
      <w:bookmarkStart w:id="273" w:name="_Toc184312067"/>
      <w:bookmarkEnd w:id="273"/>
      <w:bookmarkStart w:id="274" w:name="_Toc184308054"/>
      <w:bookmarkEnd w:id="274"/>
      <w:bookmarkStart w:id="275" w:name="_Toc184313300"/>
      <w:bookmarkEnd w:id="275"/>
      <w:bookmarkStart w:id="276" w:name="_Toc184310304"/>
      <w:bookmarkEnd w:id="276"/>
      <w:bookmarkStart w:id="277" w:name="_Toc184312077"/>
      <w:bookmarkEnd w:id="277"/>
      <w:bookmarkStart w:id="278" w:name="_Toc184313260"/>
      <w:bookmarkEnd w:id="278"/>
      <w:bookmarkStart w:id="279" w:name="_Toc184312127"/>
      <w:bookmarkEnd w:id="279"/>
      <w:bookmarkStart w:id="280" w:name="_Toc184314423"/>
      <w:bookmarkEnd w:id="280"/>
      <w:bookmarkStart w:id="281" w:name="_Toc184312085"/>
      <w:bookmarkEnd w:id="281"/>
      <w:bookmarkStart w:id="282" w:name="_Toc184312086"/>
      <w:bookmarkEnd w:id="282"/>
      <w:bookmarkStart w:id="283" w:name="_Toc184308069"/>
      <w:bookmarkEnd w:id="283"/>
      <w:bookmarkStart w:id="284" w:name="_Toc184313306"/>
      <w:bookmarkEnd w:id="284"/>
      <w:bookmarkStart w:id="285" w:name="_Toc184313302"/>
      <w:bookmarkEnd w:id="285"/>
      <w:bookmarkStart w:id="286" w:name="_Toc184308039"/>
      <w:bookmarkEnd w:id="286"/>
      <w:bookmarkStart w:id="287" w:name="_Toc184312071"/>
      <w:bookmarkEnd w:id="287"/>
      <w:bookmarkStart w:id="288" w:name="_Toc184310286"/>
      <w:bookmarkEnd w:id="288"/>
      <w:bookmarkStart w:id="289" w:name="_Toc184308047"/>
      <w:bookmarkEnd w:id="289"/>
      <w:bookmarkStart w:id="290" w:name="_Toc184314441"/>
      <w:bookmarkEnd w:id="290"/>
      <w:bookmarkStart w:id="291" w:name="_Toc184310301"/>
      <w:bookmarkEnd w:id="291"/>
      <w:bookmarkStart w:id="292" w:name="_Toc184310326"/>
      <w:bookmarkEnd w:id="292"/>
      <w:bookmarkStart w:id="293" w:name="_Toc184313261"/>
      <w:bookmarkEnd w:id="293"/>
      <w:bookmarkStart w:id="294" w:name="_Toc184313298"/>
      <w:bookmarkEnd w:id="294"/>
      <w:bookmarkStart w:id="295" w:name="_Toc184313249"/>
      <w:bookmarkEnd w:id="295"/>
      <w:bookmarkStart w:id="296" w:name="_Toc184310290"/>
      <w:bookmarkEnd w:id="296"/>
      <w:bookmarkStart w:id="297" w:name="_Toc184308073"/>
      <w:bookmarkEnd w:id="297"/>
      <w:bookmarkStart w:id="298" w:name="_Toc184314482"/>
      <w:bookmarkEnd w:id="298"/>
      <w:bookmarkStart w:id="299" w:name="_Toc184310277"/>
      <w:bookmarkEnd w:id="299"/>
      <w:bookmarkStart w:id="300" w:name="_Toc184308086"/>
      <w:bookmarkEnd w:id="300"/>
      <w:bookmarkStart w:id="301" w:name="_Toc184310332"/>
      <w:bookmarkEnd w:id="301"/>
      <w:bookmarkStart w:id="302" w:name="_Toc184312090"/>
      <w:bookmarkEnd w:id="302"/>
      <w:bookmarkStart w:id="303" w:name="_Toc184314417"/>
      <w:bookmarkEnd w:id="303"/>
      <w:bookmarkStart w:id="304" w:name="_Toc184308072"/>
      <w:bookmarkEnd w:id="304"/>
      <w:bookmarkStart w:id="305" w:name="_Toc184312068"/>
      <w:bookmarkEnd w:id="305"/>
      <w:bookmarkStart w:id="306" w:name="_Toc184310297"/>
      <w:bookmarkEnd w:id="306"/>
      <w:bookmarkStart w:id="307" w:name="_Toc184312088"/>
      <w:bookmarkEnd w:id="307"/>
      <w:bookmarkStart w:id="308" w:name="_Toc184310331"/>
      <w:bookmarkEnd w:id="308"/>
      <w:bookmarkStart w:id="309" w:name="_Toc184312073"/>
      <w:bookmarkEnd w:id="309"/>
      <w:bookmarkStart w:id="310" w:name="_Toc184314457"/>
      <w:bookmarkEnd w:id="310"/>
      <w:bookmarkStart w:id="311" w:name="_Toc184312114"/>
      <w:bookmarkEnd w:id="311"/>
      <w:bookmarkStart w:id="312" w:name="_Toc184308038"/>
      <w:bookmarkEnd w:id="312"/>
      <w:bookmarkStart w:id="313" w:name="_Toc184314433"/>
      <w:bookmarkEnd w:id="313"/>
      <w:bookmarkStart w:id="314" w:name="_Toc184314419"/>
      <w:bookmarkEnd w:id="314"/>
      <w:bookmarkStart w:id="315" w:name="_Toc184314463"/>
      <w:bookmarkEnd w:id="315"/>
      <w:bookmarkStart w:id="316" w:name="_Toc184313296"/>
      <w:bookmarkEnd w:id="316"/>
      <w:bookmarkStart w:id="317" w:name="_Toc184314472"/>
      <w:bookmarkEnd w:id="317"/>
      <w:bookmarkStart w:id="318" w:name="_Toc184310282"/>
      <w:bookmarkEnd w:id="318"/>
      <w:bookmarkStart w:id="319" w:name="_Toc184314455"/>
      <w:bookmarkEnd w:id="319"/>
      <w:bookmarkStart w:id="320" w:name="_Toc184308105"/>
      <w:bookmarkEnd w:id="320"/>
      <w:bookmarkStart w:id="321" w:name="_Toc184313267"/>
      <w:bookmarkEnd w:id="321"/>
      <w:bookmarkStart w:id="322" w:name="_Toc184310306"/>
      <w:bookmarkEnd w:id="322"/>
      <w:bookmarkStart w:id="323" w:name="_Toc184313247"/>
      <w:bookmarkEnd w:id="323"/>
      <w:bookmarkStart w:id="324" w:name="_Toc184310312"/>
      <w:bookmarkEnd w:id="324"/>
      <w:bookmarkStart w:id="325" w:name="_Toc184310300"/>
      <w:bookmarkEnd w:id="325"/>
      <w:bookmarkStart w:id="326" w:name="_Toc184314410"/>
      <w:bookmarkEnd w:id="326"/>
      <w:bookmarkStart w:id="327" w:name="_Toc184310309"/>
      <w:bookmarkEnd w:id="327"/>
      <w:bookmarkStart w:id="328" w:name="_Toc184308102"/>
      <w:bookmarkEnd w:id="328"/>
      <w:bookmarkStart w:id="329" w:name="_Toc184312109"/>
      <w:bookmarkEnd w:id="329"/>
      <w:bookmarkStart w:id="330" w:name="_Toc184310287"/>
      <w:bookmarkEnd w:id="330"/>
      <w:bookmarkStart w:id="331" w:name="_Toc184314420"/>
      <w:bookmarkEnd w:id="331"/>
      <w:bookmarkStart w:id="332" w:name="_Toc184310294"/>
      <w:bookmarkEnd w:id="332"/>
      <w:bookmarkStart w:id="333" w:name="_Toc184313310"/>
      <w:bookmarkEnd w:id="333"/>
      <w:bookmarkStart w:id="334" w:name="_Toc184313288"/>
      <w:bookmarkEnd w:id="334"/>
      <w:bookmarkStart w:id="335" w:name="_Toc184313253"/>
      <w:bookmarkEnd w:id="335"/>
      <w:bookmarkStart w:id="336" w:name="_Toc184314475"/>
      <w:bookmarkEnd w:id="336"/>
      <w:bookmarkStart w:id="337" w:name="_Toc184312113"/>
      <w:bookmarkEnd w:id="337"/>
      <w:bookmarkStart w:id="338" w:name="_Toc184310344"/>
      <w:bookmarkEnd w:id="338"/>
      <w:bookmarkStart w:id="339" w:name="_Toc184314442"/>
      <w:bookmarkEnd w:id="339"/>
      <w:bookmarkStart w:id="340" w:name="_Toc184310335"/>
      <w:bookmarkEnd w:id="340"/>
      <w:bookmarkStart w:id="341" w:name="_Toc184308065"/>
      <w:bookmarkEnd w:id="341"/>
      <w:bookmarkStart w:id="342" w:name="_Toc184308051"/>
      <w:bookmarkEnd w:id="342"/>
      <w:bookmarkStart w:id="343" w:name="_Toc184308046"/>
      <w:bookmarkEnd w:id="343"/>
      <w:bookmarkStart w:id="344" w:name="_Toc184312102"/>
      <w:bookmarkEnd w:id="344"/>
      <w:bookmarkStart w:id="345" w:name="_Toc184310338"/>
      <w:bookmarkEnd w:id="345"/>
      <w:bookmarkStart w:id="346" w:name="_Toc184310339"/>
      <w:bookmarkEnd w:id="346"/>
      <w:bookmarkStart w:id="347" w:name="_Toc184308045"/>
      <w:bookmarkEnd w:id="347"/>
      <w:bookmarkStart w:id="348" w:name="_Toc184313295"/>
      <w:bookmarkEnd w:id="348"/>
      <w:bookmarkStart w:id="349" w:name="_Toc184313309"/>
      <w:bookmarkEnd w:id="349"/>
      <w:bookmarkStart w:id="350" w:name="_Toc184310317"/>
      <w:bookmarkEnd w:id="350"/>
      <w:bookmarkStart w:id="351" w:name="_Toc184308066"/>
      <w:bookmarkEnd w:id="351"/>
      <w:bookmarkStart w:id="352" w:name="_Toc184314418"/>
      <w:bookmarkEnd w:id="352"/>
      <w:bookmarkStart w:id="353" w:name="_Toc184310310"/>
      <w:bookmarkEnd w:id="353"/>
      <w:bookmarkStart w:id="354" w:name="_Toc184308057"/>
      <w:bookmarkEnd w:id="354"/>
      <w:bookmarkStart w:id="355" w:name="_Toc184312137"/>
      <w:bookmarkEnd w:id="355"/>
      <w:bookmarkStart w:id="356" w:name="_Toc184310334"/>
      <w:bookmarkEnd w:id="356"/>
      <w:bookmarkStart w:id="357" w:name="_Toc184308108"/>
      <w:bookmarkEnd w:id="357"/>
      <w:bookmarkStart w:id="358" w:name="_Toc184313293"/>
      <w:bookmarkEnd w:id="358"/>
      <w:bookmarkStart w:id="359" w:name="_Toc184308078"/>
      <w:bookmarkEnd w:id="359"/>
      <w:bookmarkStart w:id="360" w:name="_Toc184308080"/>
      <w:bookmarkEnd w:id="360"/>
      <w:bookmarkStart w:id="361" w:name="_Toc184310311"/>
      <w:bookmarkEnd w:id="361"/>
      <w:bookmarkStart w:id="362" w:name="_Toc184313289"/>
      <w:bookmarkEnd w:id="362"/>
      <w:bookmarkStart w:id="363" w:name="_Toc184308084"/>
      <w:bookmarkEnd w:id="363"/>
      <w:bookmarkStart w:id="364" w:name="_Toc184310325"/>
      <w:bookmarkEnd w:id="364"/>
      <w:bookmarkStart w:id="365" w:name="_Toc184312084"/>
      <w:bookmarkEnd w:id="365"/>
      <w:bookmarkStart w:id="366" w:name="_Toc184310321"/>
      <w:bookmarkEnd w:id="366"/>
      <w:bookmarkStart w:id="367" w:name="_Toc184308061"/>
      <w:bookmarkEnd w:id="367"/>
      <w:bookmarkStart w:id="368" w:name="_Toc184314426"/>
      <w:bookmarkEnd w:id="368"/>
      <w:bookmarkStart w:id="369" w:name="_Toc184312104"/>
      <w:bookmarkEnd w:id="369"/>
      <w:bookmarkStart w:id="370" w:name="_Toc184310333"/>
      <w:bookmarkEnd w:id="370"/>
      <w:bookmarkStart w:id="371" w:name="_Toc184312125"/>
      <w:bookmarkEnd w:id="371"/>
      <w:bookmarkStart w:id="372" w:name="_Toc184310293"/>
      <w:bookmarkEnd w:id="372"/>
      <w:bookmarkStart w:id="373" w:name="_Toc184312122"/>
      <w:bookmarkEnd w:id="373"/>
      <w:bookmarkStart w:id="374" w:name="_Toc184312132"/>
      <w:bookmarkEnd w:id="374"/>
      <w:bookmarkStart w:id="375" w:name="_Toc184313304"/>
      <w:bookmarkEnd w:id="375"/>
      <w:bookmarkStart w:id="376" w:name="_Toc184310295"/>
      <w:bookmarkEnd w:id="376"/>
      <w:bookmarkStart w:id="377" w:name="_Toc184312107"/>
      <w:bookmarkEnd w:id="377"/>
      <w:bookmarkStart w:id="378" w:name="_Toc184313256"/>
      <w:bookmarkEnd w:id="378"/>
      <w:bookmarkStart w:id="379" w:name="_Toc184314438"/>
      <w:bookmarkEnd w:id="379"/>
      <w:bookmarkStart w:id="380" w:name="_Toc184313299"/>
      <w:bookmarkEnd w:id="380"/>
      <w:bookmarkStart w:id="381" w:name="_Toc184310322"/>
      <w:bookmarkEnd w:id="381"/>
      <w:bookmarkStart w:id="382" w:name="_Toc184314466"/>
      <w:bookmarkEnd w:id="382"/>
      <w:bookmarkStart w:id="383" w:name="_Toc184312108"/>
      <w:bookmarkEnd w:id="383"/>
      <w:bookmarkStart w:id="384" w:name="_Toc184313242"/>
      <w:bookmarkEnd w:id="384"/>
      <w:bookmarkStart w:id="385" w:name="_Toc184314465"/>
      <w:bookmarkEnd w:id="385"/>
      <w:bookmarkStart w:id="386" w:name="_Toc184310343"/>
      <w:bookmarkEnd w:id="386"/>
      <w:bookmarkStart w:id="387" w:name="_Toc184314415"/>
      <w:bookmarkEnd w:id="387"/>
      <w:bookmarkStart w:id="388" w:name="_Toc184314467"/>
      <w:bookmarkEnd w:id="388"/>
      <w:bookmarkStart w:id="389" w:name="_Toc184313268"/>
      <w:bookmarkEnd w:id="389"/>
      <w:bookmarkStart w:id="390" w:name="_Toc184314447"/>
      <w:bookmarkEnd w:id="390"/>
      <w:bookmarkStart w:id="391" w:name="_Toc184314474"/>
      <w:bookmarkEnd w:id="391"/>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pPr>
        <w:spacing w:beforeLines="50" w:afterLines="50" w:line="360" w:lineRule="auto"/>
        <w:ind w:firstLine="472" w:firstLineChars="196"/>
        <w:rPr>
          <w:rFonts w:hint="eastAsia" w:ascii="宋体" w:hAnsi="宋体"/>
          <w:b/>
          <w:sz w:val="24"/>
        </w:rPr>
      </w:pPr>
      <w:r>
        <w:rPr>
          <w:rFonts w:hint="eastAsia" w:ascii="宋体" w:hAnsi="宋体"/>
          <w:b/>
          <w:bCs/>
          <w:sz w:val="24"/>
        </w:rPr>
        <w:t>（一）商务、技术部分</w:t>
      </w:r>
      <w:r>
        <w:rPr>
          <w:rFonts w:hint="eastAsia" w:ascii="宋体" w:hAnsi="宋体"/>
          <w:b/>
          <w:sz w:val="24"/>
        </w:rPr>
        <w:t>（</w:t>
      </w:r>
      <w:r>
        <w:rPr>
          <w:rFonts w:hint="eastAsia" w:ascii="宋体" w:hAnsi="宋体"/>
          <w:b/>
          <w:sz w:val="24"/>
          <w:u w:val="single"/>
        </w:rPr>
        <w:t>70</w:t>
      </w:r>
      <w:r>
        <w:rPr>
          <w:rFonts w:hint="eastAsia" w:ascii="宋体" w:hAnsi="宋体"/>
          <w:b/>
          <w:sz w:val="24"/>
        </w:rPr>
        <w:t>分）</w:t>
      </w:r>
    </w:p>
    <w:tbl>
      <w:tblPr>
        <w:tblStyle w:val="64"/>
        <w:tblpPr w:leftFromText="180" w:rightFromText="180" w:vertAnchor="text" w:horzAnchor="margin" w:tblpXSpec="left" w:tblpY="276"/>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731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5" w:type="dxa"/>
            <w:vMerge w:val="restart"/>
            <w:vAlign w:val="center"/>
          </w:tcPr>
          <w:p>
            <w:pPr>
              <w:spacing w:before="0" w:beforeAutospacing="0" w:after="0" w:afterAutospacing="0" w:line="440" w:lineRule="exact"/>
              <w:ind w:left="0" w:right="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整体方案</w:t>
            </w:r>
          </w:p>
          <w:p>
            <w:pPr>
              <w:spacing w:before="0" w:beforeAutospacing="0" w:after="0" w:afterAutospacing="0" w:line="440" w:lineRule="exact"/>
              <w:ind w:left="0" w:right="0"/>
              <w:rPr>
                <w:rFonts w:hint="eastAsia" w:ascii="仿宋" w:hAnsi="仿宋" w:eastAsia="仿宋" w:cs="仿宋"/>
                <w:i w:val="0"/>
                <w:iCs w:val="0"/>
                <w:color w:val="000000"/>
                <w:kern w:val="0"/>
                <w:sz w:val="24"/>
                <w:szCs w:val="24"/>
                <w:u w:val="none"/>
                <w:lang w:val="en-US" w:eastAsia="zh-CN"/>
              </w:rPr>
            </w:pPr>
          </w:p>
        </w:tc>
        <w:tc>
          <w:tcPr>
            <w:tcW w:w="7313" w:type="dxa"/>
            <w:vAlign w:val="center"/>
          </w:tcPr>
          <w:p>
            <w:pPr>
              <w:spacing w:before="0" w:beforeAutospacing="0" w:after="0" w:afterAutospacing="0" w:line="440" w:lineRule="exact"/>
              <w:ind w:left="0" w:right="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投标产品的基本技术指标与需求的吻合程度和偏差情况（包括所投标产品的品牌、规格型号、详细配置、主要参数等）。一般技术指标负偏离每一项扣减1分；对于标★的技术指标负偏离每一项扣3分，扣完为止（25分）。</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sz w:val="24"/>
                <w:szCs w:val="24"/>
                <w:lang w:val="en-US" w:eastAsia="zh-CN"/>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25" w:type="dxa"/>
            <w:vMerge w:val="continue"/>
            <w:vAlign w:val="center"/>
          </w:tcPr>
          <w:p>
            <w:pPr>
              <w:spacing w:before="0" w:beforeAutospacing="0" w:after="0" w:afterAutospacing="0" w:line="360" w:lineRule="auto"/>
              <w:ind w:left="0" w:right="0" w:firstLine="240" w:firstLineChars="100"/>
              <w:outlineLvl w:val="0"/>
              <w:rPr>
                <w:rFonts w:hint="eastAsia" w:ascii="仿宋" w:hAnsi="仿宋" w:eastAsia="仿宋" w:cs="仿宋"/>
                <w:i w:val="0"/>
                <w:iCs w:val="0"/>
                <w:color w:val="000000"/>
                <w:kern w:val="0"/>
                <w:sz w:val="24"/>
                <w:szCs w:val="24"/>
                <w:u w:val="none"/>
                <w:lang w:val="en-US" w:eastAsia="zh-CN"/>
              </w:rPr>
            </w:pPr>
          </w:p>
        </w:tc>
        <w:tc>
          <w:tcPr>
            <w:tcW w:w="7313" w:type="dxa"/>
            <w:vAlign w:val="center"/>
          </w:tcPr>
          <w:p>
            <w:pPr>
              <w:spacing w:before="0" w:beforeAutospacing="0" w:after="0" w:afterAutospacing="0" w:line="440" w:lineRule="exact"/>
              <w:ind w:left="0" w:right="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投标人是否提供相关货物的进货凭证。每提供一个的0.5分，最多3分。</w:t>
            </w:r>
            <w:r>
              <w:rPr>
                <w:rFonts w:hint="eastAsia" w:ascii="仿宋" w:hAnsi="仿宋" w:eastAsia="仿宋" w:cs="仿宋"/>
                <w:b/>
                <w:bCs/>
                <w:i w:val="0"/>
                <w:iCs w:val="0"/>
                <w:color w:val="000000"/>
                <w:kern w:val="0"/>
                <w:sz w:val="24"/>
                <w:szCs w:val="24"/>
                <w:u w:val="none"/>
                <w:lang w:val="en-US" w:eastAsia="zh-CN"/>
              </w:rPr>
              <w:t>（提供相关证明材料并加盖公章）</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225" w:type="dxa"/>
            <w:vMerge w:val="continue"/>
            <w:vAlign w:val="center"/>
          </w:tcPr>
          <w:p>
            <w:pPr>
              <w:spacing w:before="0" w:beforeAutospacing="0" w:after="0" w:afterAutospacing="0" w:line="360" w:lineRule="auto"/>
              <w:ind w:left="0" w:right="0" w:firstLine="240" w:firstLineChars="100"/>
              <w:outlineLvl w:val="0"/>
              <w:rPr>
                <w:rFonts w:hint="eastAsia" w:ascii="仿宋" w:hAnsi="仿宋" w:eastAsia="仿宋" w:cs="仿宋"/>
                <w:i w:val="0"/>
                <w:iCs w:val="0"/>
                <w:color w:val="000000"/>
                <w:kern w:val="0"/>
                <w:sz w:val="24"/>
                <w:szCs w:val="24"/>
                <w:u w:val="none"/>
                <w:lang w:val="en-US" w:eastAsia="zh-CN"/>
              </w:rPr>
            </w:pPr>
          </w:p>
        </w:tc>
        <w:tc>
          <w:tcPr>
            <w:tcW w:w="7313" w:type="dxa"/>
            <w:vAlign w:val="center"/>
          </w:tcPr>
          <w:p>
            <w:pPr>
              <w:spacing w:before="0" w:beforeAutospacing="0" w:after="0" w:afterAutospacing="0" w:line="440" w:lineRule="exact"/>
              <w:ind w:left="0" w:right="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投标人拥有的配送车辆情况，具有面包车和普通货车每辆得0.5分，厢式货车每辆得1分，最多得3分。提供以上车辆行驶证复印件（所有人须为该公司或公司法人代表，如车辆在股东名下的，还需提供公司章程）。</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225" w:type="dxa"/>
            <w:vMerge w:val="continue"/>
            <w:vAlign w:val="center"/>
          </w:tcPr>
          <w:p>
            <w:pPr>
              <w:spacing w:before="0" w:beforeAutospacing="0" w:after="0" w:afterAutospacing="0" w:line="360" w:lineRule="auto"/>
              <w:ind w:left="0" w:right="0" w:firstLine="240" w:firstLineChars="100"/>
              <w:outlineLvl w:val="0"/>
              <w:rPr>
                <w:rFonts w:hint="eastAsia" w:ascii="仿宋" w:hAnsi="仿宋" w:eastAsia="仿宋" w:cs="仿宋"/>
                <w:i w:val="0"/>
                <w:iCs w:val="0"/>
                <w:color w:val="000000"/>
                <w:kern w:val="0"/>
                <w:sz w:val="24"/>
                <w:szCs w:val="24"/>
                <w:u w:val="none"/>
                <w:lang w:val="en-US" w:eastAsia="zh-CN"/>
              </w:rPr>
            </w:pPr>
          </w:p>
        </w:tc>
        <w:tc>
          <w:tcPr>
            <w:tcW w:w="7313" w:type="dxa"/>
            <w:vAlign w:val="center"/>
          </w:tcPr>
          <w:p>
            <w:pPr>
              <w:spacing w:before="0" w:beforeAutospacing="0" w:after="0" w:afterAutospacing="0" w:line="440" w:lineRule="exact"/>
              <w:ind w:left="0" w:right="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投标人有符合经营配送场地建筑面积:1000平方米以上得3分，500～1000（含）平方米得2分，200～500（含）平方米得1分，200平方米以下不得分。</w:t>
            </w:r>
          </w:p>
          <w:p>
            <w:pPr>
              <w:spacing w:before="0" w:beforeAutospacing="0" w:after="0" w:afterAutospacing="0" w:line="440" w:lineRule="exact"/>
              <w:ind w:left="0" w:right="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（自有仓库提供房产证，租赁仓库，提供租赁合同）</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225" w:type="dxa"/>
            <w:vMerge w:val="continue"/>
            <w:vAlign w:val="center"/>
          </w:tcPr>
          <w:p>
            <w:pPr>
              <w:spacing w:before="0" w:beforeAutospacing="0" w:after="0" w:afterAutospacing="0" w:line="360" w:lineRule="auto"/>
              <w:ind w:left="0" w:right="0" w:firstLine="240" w:firstLineChars="100"/>
              <w:outlineLvl w:val="0"/>
              <w:rPr>
                <w:rFonts w:hint="eastAsia" w:ascii="仿宋" w:hAnsi="仿宋" w:eastAsia="仿宋" w:cs="仿宋"/>
                <w:i w:val="0"/>
                <w:iCs w:val="0"/>
                <w:color w:val="000000"/>
                <w:kern w:val="0"/>
                <w:sz w:val="24"/>
                <w:szCs w:val="24"/>
                <w:u w:val="none"/>
                <w:lang w:val="en-US" w:eastAsia="zh-CN"/>
              </w:rPr>
            </w:pPr>
          </w:p>
        </w:tc>
        <w:tc>
          <w:tcPr>
            <w:tcW w:w="7313" w:type="dxa"/>
            <w:vAlign w:val="center"/>
          </w:tcPr>
          <w:p>
            <w:pPr>
              <w:spacing w:before="0" w:beforeAutospacing="0" w:after="0" w:afterAutospacing="0" w:line="440" w:lineRule="exact"/>
              <w:ind w:left="0" w:right="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投标人组织实施方案情况，包括①项目整体实施方案②工作时间进度表、③工作程序和步骤、④管理和协调方法等；根据提供的方案内容进行评分，每一项内容完整、措施有效、符合采购人实际视为合理，合理得1分，不提供或不合理得0分，本项最高4分。</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225" w:type="dxa"/>
            <w:vAlign w:val="center"/>
          </w:tcPr>
          <w:p>
            <w:pPr>
              <w:spacing w:before="0" w:beforeAutospacing="0" w:after="0" w:afterAutospacing="0" w:line="360" w:lineRule="auto"/>
              <w:ind w:left="0" w:right="0" w:firstLine="240" w:firstLineChars="100"/>
              <w:jc w:val="both"/>
              <w:outlineLvl w:val="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样品</w:t>
            </w:r>
          </w:p>
        </w:tc>
        <w:tc>
          <w:tcPr>
            <w:tcW w:w="7313"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1、样品包装的设计、制作情况：对比设计美观度（0-2分）、产品包装（0-2分）、产品档次（0-2分），易储存（0-2分）等特点综合评分。</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2、样品数量不全，则全部样品分为0分</w:t>
            </w:r>
          </w:p>
        </w:tc>
        <w:tc>
          <w:tcPr>
            <w:tcW w:w="935" w:type="dxa"/>
            <w:vAlign w:val="center"/>
          </w:tcPr>
          <w:p>
            <w:pPr>
              <w:spacing w:before="0" w:beforeAutospacing="0" w:after="0" w:afterAutospacing="0" w:line="440" w:lineRule="exact"/>
              <w:ind w:left="0" w:right="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0-8分</w:t>
            </w:r>
          </w:p>
          <w:p>
            <w:pPr>
              <w:spacing w:before="0" w:beforeAutospacing="0" w:after="0" w:afterAutospacing="0" w:line="440" w:lineRule="exact"/>
              <w:ind w:left="0" w:right="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25" w:type="dxa"/>
            <w:vAlign w:val="top"/>
          </w:tcPr>
          <w:p>
            <w:pPr>
              <w:spacing w:before="0" w:beforeAutospacing="0" w:after="0" w:afterAutospacing="0" w:line="360" w:lineRule="auto"/>
              <w:ind w:left="0" w:right="0"/>
              <w:jc w:val="left"/>
              <w:outlineLvl w:val="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服务保障</w:t>
            </w:r>
          </w:p>
        </w:tc>
        <w:tc>
          <w:tcPr>
            <w:tcW w:w="7313"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服务保障方案完善及合理（包含但不限于：项目全程跟踪，多次多地分批送货至指定地点，免费上门退换货等）。方案好的得5分，较好的得3分，一般的得1分，不满足本项目特点或者不满足需求的不得分。</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25"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驾驶员</w:t>
            </w:r>
          </w:p>
        </w:tc>
        <w:tc>
          <w:tcPr>
            <w:tcW w:w="7313"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拟投入本项目的驾驶员（须提供本单位社保缴纳证明、2年以上驾龄的驾照复印件）中，具有持C照的，每提供一项得0.5分，持B照及以上的，每提供一项的1分，最多得4分。</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5"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服务团队人员情况</w:t>
            </w:r>
          </w:p>
        </w:tc>
        <w:tc>
          <w:tcPr>
            <w:tcW w:w="7313"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根据服务团队项目经理及项目组人员情况的合理性，可分配性，以及人员经验等进行综合评分。人员情况好的得3分，一般的得1分，不满足本项目特点或者不满足需求的不得分。</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5"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突发事件应急预案</w:t>
            </w:r>
          </w:p>
        </w:tc>
        <w:tc>
          <w:tcPr>
            <w:tcW w:w="7313"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根据对本项目是否提供详尽周到的突发事件应急预案的合理性，可操作性，可行性等进行综合评分。方案好的得3分，较好的得2分，一般的得1分，不满足本项目特点或者不满足需求的不得分。</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5"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质量保证措施</w:t>
            </w:r>
          </w:p>
        </w:tc>
        <w:tc>
          <w:tcPr>
            <w:tcW w:w="7313"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物资质量保证体系是否健全，质量保证措施是否可行，物资出现质量问题后的退换货服务措施是否及时等方面。措施好的得3分，较好的得2分，一般的得1分，不满足本项目特点或者</w:t>
            </w:r>
            <w:bookmarkStart w:id="406" w:name="_GoBack"/>
            <w:bookmarkEnd w:id="406"/>
            <w:r>
              <w:rPr>
                <w:rFonts w:hint="eastAsia" w:ascii="仿宋" w:hAnsi="仿宋" w:eastAsia="仿宋" w:cs="仿宋"/>
                <w:i w:val="0"/>
                <w:iCs w:val="0"/>
                <w:color w:val="000000"/>
                <w:kern w:val="0"/>
                <w:sz w:val="24"/>
                <w:szCs w:val="24"/>
                <w:u w:val="none"/>
                <w:lang w:val="en-US" w:eastAsia="zh-CN" w:bidi="ar"/>
              </w:rPr>
              <w:t>不满足需求的不得分。</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225"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成功案例</w:t>
            </w:r>
          </w:p>
        </w:tc>
        <w:tc>
          <w:tcPr>
            <w:tcW w:w="7313"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投标人2018年至今完成同类项目情况，每提供一个得1分，提供合同复印件，同时提供项目单位业主满意度评价表，加盖公章；最高3分。</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25"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资质证书</w:t>
            </w:r>
          </w:p>
        </w:tc>
        <w:tc>
          <w:tcPr>
            <w:tcW w:w="7313"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具有有效质量管理体系认证证书得1分；</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具有有效环境认证体系认证证书得1分； </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具有有效职业健康安全管理体系认证证书得1分； </w:t>
            </w:r>
          </w:p>
        </w:tc>
        <w:tc>
          <w:tcPr>
            <w:tcW w:w="935" w:type="dxa"/>
            <w:vAlign w:val="center"/>
          </w:tcPr>
          <w:p>
            <w:pPr>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0-3分</w:t>
            </w:r>
          </w:p>
        </w:tc>
      </w:tr>
    </w:tbl>
    <w:p>
      <w:pPr>
        <w:spacing w:beforeLines="50" w:afterLines="50" w:line="360" w:lineRule="auto"/>
        <w:ind w:firstLine="472" w:firstLineChars="196"/>
        <w:rPr>
          <w:rFonts w:hint="eastAsia" w:ascii="宋体" w:hAnsi="宋体"/>
          <w:b/>
          <w:sz w:val="24"/>
        </w:rPr>
      </w:pPr>
    </w:p>
    <w:p>
      <w:pPr>
        <w:pStyle w:val="25"/>
        <w:snapToGrid w:val="0"/>
        <w:spacing w:line="360" w:lineRule="auto"/>
        <w:ind w:firstLine="311" w:firstLineChars="129"/>
        <w:jc w:val="left"/>
        <w:rPr>
          <w:rFonts w:hint="eastAsia" w:hAnsi="宋体"/>
          <w:b/>
          <w:bCs/>
          <w:sz w:val="24"/>
        </w:rPr>
      </w:pPr>
      <w:r>
        <w:rPr>
          <w:rFonts w:hint="eastAsia" w:hAnsi="宋体"/>
          <w:b/>
          <w:sz w:val="24"/>
        </w:rPr>
        <w:t>（二</w:t>
      </w:r>
      <w:r>
        <w:rPr>
          <w:rFonts w:hAnsi="宋体"/>
          <w:b/>
          <w:sz w:val="24"/>
        </w:rPr>
        <w:t>）</w:t>
      </w:r>
      <w:r>
        <w:rPr>
          <w:rFonts w:hAnsi="宋体"/>
          <w:b/>
          <w:bCs/>
          <w:sz w:val="24"/>
        </w:rPr>
        <w:t>价格</w:t>
      </w:r>
      <w:r>
        <w:rPr>
          <w:rFonts w:hint="eastAsia" w:hAnsi="宋体"/>
          <w:b/>
          <w:bCs/>
          <w:sz w:val="24"/>
        </w:rPr>
        <w:t>部分</w:t>
      </w:r>
      <w:r>
        <w:rPr>
          <w:rFonts w:hAnsi="宋体"/>
          <w:b/>
          <w:bCs/>
          <w:sz w:val="24"/>
        </w:rPr>
        <w:t>（</w:t>
      </w:r>
      <w:r>
        <w:rPr>
          <w:rFonts w:hint="eastAsia" w:hAnsi="宋体"/>
          <w:b/>
          <w:bCs/>
          <w:sz w:val="24"/>
          <w:u w:val="single"/>
          <w:lang w:eastAsia="zh-CN"/>
        </w:rPr>
        <w:t>3</w:t>
      </w:r>
      <w:r>
        <w:rPr>
          <w:rFonts w:hint="eastAsia" w:hAnsi="宋体"/>
          <w:b/>
          <w:bCs/>
          <w:sz w:val="24"/>
          <w:u w:val="single"/>
        </w:rPr>
        <w:t>0</w:t>
      </w:r>
      <w:r>
        <w:rPr>
          <w:rFonts w:hAnsi="宋体"/>
          <w:b/>
          <w:bCs/>
          <w:sz w:val="24"/>
        </w:rPr>
        <w:t>分）</w:t>
      </w:r>
    </w:p>
    <w:p>
      <w:pPr>
        <w:pStyle w:val="34"/>
        <w:tabs>
          <w:tab w:val="left" w:pos="5745"/>
        </w:tabs>
        <w:snapToGrid w:val="0"/>
        <w:spacing w:before="0" w:after="0" w:line="360" w:lineRule="auto"/>
        <w:ind w:firstLine="420" w:firstLineChars="200"/>
        <w:rPr>
          <w:rFonts w:hint="eastAsia" w:hAnsi="宋体"/>
        </w:rPr>
      </w:pPr>
      <w:r>
        <w:rPr>
          <w:rFonts w:hint="eastAsia" w:hAnsi="宋体"/>
        </w:rPr>
        <w:t>价格分采用低价优先法计算，即满足采购文件要求且报价最低的报价为评审基准价，其价格分为满分。其他供应商的价格分按照下列公式计算：</w:t>
      </w:r>
    </w:p>
    <w:p>
      <w:pPr>
        <w:pStyle w:val="34"/>
        <w:tabs>
          <w:tab w:val="left" w:pos="5745"/>
        </w:tabs>
        <w:snapToGrid w:val="0"/>
        <w:spacing w:before="0" w:after="0" w:line="360" w:lineRule="auto"/>
        <w:ind w:firstLine="420" w:firstLineChars="200"/>
        <w:rPr>
          <w:rFonts w:hint="eastAsia" w:hAnsi="宋体"/>
          <w:lang w:eastAsia="zh-CN"/>
        </w:rPr>
      </w:pPr>
      <w:r>
        <w:rPr>
          <w:rFonts w:hint="eastAsia" w:hAnsi="宋体"/>
        </w:rPr>
        <w:t>价格分=（评审基准价/报价）×</w:t>
      </w:r>
      <w:r>
        <w:rPr>
          <w:rFonts w:hint="eastAsia" w:hAnsi="宋体"/>
          <w:u w:val="single"/>
          <w:lang w:eastAsia="zh-CN"/>
        </w:rPr>
        <w:t>3</w:t>
      </w:r>
      <w:r>
        <w:rPr>
          <w:rFonts w:hint="eastAsia" w:hAnsi="宋体"/>
          <w:u w:val="single"/>
        </w:rPr>
        <w:t>0</w:t>
      </w:r>
      <w:r>
        <w:rPr>
          <w:rFonts w:hint="eastAsia" w:hAnsi="宋体"/>
        </w:rPr>
        <w:t>%×100</w:t>
      </w:r>
    </w:p>
    <w:p>
      <w:pPr>
        <w:pStyle w:val="34"/>
        <w:tabs>
          <w:tab w:val="left" w:pos="5745"/>
        </w:tabs>
        <w:snapToGrid w:val="0"/>
        <w:spacing w:before="0" w:after="0" w:line="360" w:lineRule="auto"/>
        <w:ind w:firstLine="420" w:firstLineChars="200"/>
        <w:rPr>
          <w:rFonts w:hint="eastAsia" w:hAnsi="宋体"/>
          <w:lang w:eastAsia="zh-CN"/>
        </w:rPr>
      </w:pPr>
      <w:r>
        <w:rPr>
          <w:rFonts w:hint="eastAsia" w:hAnsi="宋体"/>
          <w:lang w:eastAsia="zh-CN"/>
        </w:rPr>
        <w:t>备注：以投标总价作为价格部分评审的基数。</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6"/>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6"/>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3.4.1.1投标文件中开标一览表(报价表)内容与投标文件中相应内容不一致的，以开标一览表(报价表)为准;</w:t>
      </w:r>
    </w:p>
    <w:p>
      <w:pPr>
        <w:pStyle w:val="86"/>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3.4.1.2大写金额和小写金额不一致的，以大写金额为准;</w:t>
      </w:r>
    </w:p>
    <w:p>
      <w:pPr>
        <w:pStyle w:val="86"/>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3.4.1.3单价金额小数点或者百分比有明显错位的，以开标一览表的总价为准，并修改单价;</w:t>
      </w:r>
    </w:p>
    <w:p>
      <w:pPr>
        <w:pStyle w:val="86"/>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3.4.1.4总价金额与按单价汇总金额不一致的，以单价金额计算结果为准。</w:t>
      </w:r>
    </w:p>
    <w:p>
      <w:pPr>
        <w:pStyle w:val="86"/>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3.4.1.5同时出现两种以上不一致的，按照3.4.1</w:t>
      </w:r>
      <w:r>
        <w:rPr>
          <w:rFonts w:hint="eastAsia" w:ascii="仿宋_GB2312" w:hAnsi="仿宋" w:eastAsia="仿宋_GB2312" w:cs="Arial"/>
          <w:kern w:val="0"/>
          <w:sz w:val="24"/>
          <w:szCs w:val="24"/>
          <w:lang w:val="en-US" w:eastAsia="zh-CN" w:bidi="ar-SA"/>
        </w:rPr>
        <w:t>规定的顺序修正。修正后的报价按照财政部第</w:t>
      </w:r>
      <w:r>
        <w:rPr>
          <w:rFonts w:ascii="仿宋_GB2312" w:hAnsi="仿宋" w:eastAsia="仿宋_GB2312" w:cs="Arial"/>
          <w:kern w:val="0"/>
          <w:sz w:val="24"/>
          <w:szCs w:val="24"/>
          <w:lang w:val="en-US" w:eastAsia="zh-CN" w:bidi="ar-SA"/>
        </w:rPr>
        <w:t xml:space="preserve">87号令 </w:t>
      </w:r>
      <w:r>
        <w:rPr>
          <w:rFonts w:hint="eastAsia" w:ascii="仿宋_GB2312" w:hAnsi="仿宋" w:eastAsia="仿宋_GB2312" w:cs="Arial"/>
          <w:kern w:val="0"/>
          <w:sz w:val="24"/>
          <w:szCs w:val="24"/>
          <w:lang w:val="en-US" w:eastAsia="zh-CN" w:bidi="ar-SA"/>
        </w:rPr>
        <w:t>《政府采购货物和服务招标投标管理办法》第五十一条第二款的规定经投标人确认后产生约束力。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3.4.2</w:t>
      </w:r>
      <w:r>
        <w:rPr>
          <w:rFonts w:hint="eastAsia" w:ascii="仿宋_GB2312" w:hAnsi="仿宋" w:eastAsia="仿宋_GB2312" w:cs="Arial"/>
          <w:kern w:val="0"/>
          <w:sz w:val="24"/>
          <w:szCs w:val="24"/>
          <w:lang w:val="en-US" w:eastAsia="zh-CN" w:bidi="ar-SA"/>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3.4.3</w:t>
      </w:r>
      <w:r>
        <w:rPr>
          <w:rFonts w:hint="eastAsia" w:ascii="仿宋_GB2312" w:hAnsi="仿宋" w:eastAsia="仿宋_GB2312" w:cs="Arial"/>
          <w:kern w:val="0"/>
          <w:sz w:val="24"/>
          <w:szCs w:val="24"/>
          <w:lang w:val="en-US" w:eastAsia="zh-CN" w:bidi="ar-SA"/>
        </w:rPr>
        <w:t>投标报价超过招标文件中规定的预算金额或者最高限价的，投标无效。</w:t>
      </w:r>
    </w:p>
    <w:p>
      <w:pPr>
        <w:pStyle w:val="86"/>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3.4.4</w:t>
      </w:r>
      <w:r>
        <w:rPr>
          <w:rFonts w:hint="eastAsia" w:ascii="仿宋_GB2312" w:hAnsi="仿宋" w:eastAsia="仿宋_GB2312" w:cs="Arial"/>
          <w:kern w:val="0"/>
          <w:sz w:val="24"/>
          <w:szCs w:val="24"/>
          <w:lang w:val="en-US" w:eastAsia="zh-CN" w:bidi="ar-SA"/>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 w:val="24"/>
          <w:szCs w:val="24"/>
          <w:lang w:val="en-US" w:eastAsia="zh-CN" w:bidi="ar-SA"/>
        </w:rPr>
        <w:t>;投标人不能证明其报价合理性的，评标委员会应当将其作为无效投标处理。</w:t>
      </w:r>
    </w:p>
    <w:p>
      <w:pPr>
        <w:pStyle w:val="86"/>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3.4.5</w:t>
      </w:r>
      <w:r>
        <w:rPr>
          <w:rFonts w:hint="eastAsia" w:ascii="仿宋_GB2312" w:hAnsi="仿宋" w:eastAsia="仿宋_GB2312" w:cs="Arial"/>
          <w:kern w:val="0"/>
          <w:sz w:val="24"/>
          <w:szCs w:val="24"/>
          <w:lang w:val="en-US" w:eastAsia="zh-CN" w:bidi="ar-SA"/>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cs="Arial"/>
          <w:kern w:val="0"/>
          <w:sz w:val="24"/>
          <w:szCs w:val="24"/>
          <w:lang w:val="en-US" w:eastAsia="zh-CN" w:bidi="ar-SA"/>
        </w:rPr>
        <w:t>0%的扣除，用扣除后的价格参与评审。接受大中型企业与小</w:t>
      </w:r>
      <w:r>
        <w:rPr>
          <w:rFonts w:hint="eastAsia" w:ascii="仿宋_GB2312" w:hAnsi="仿宋" w:eastAsia="仿宋_GB2312" w:cs="Arial"/>
          <w:kern w:val="0"/>
          <w:sz w:val="24"/>
          <w:szCs w:val="24"/>
          <w:lang w:val="en-US" w:eastAsia="zh-CN" w:bidi="ar-SA"/>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 w:val="24"/>
          <w:szCs w:val="24"/>
          <w:lang w:val="en-US" w:eastAsia="zh-CN" w:bidi="ar-SA"/>
        </w:rPr>
        <w:t>30%以上的，对联合体或者大中型企业的报价给予</w:t>
      </w:r>
      <w:r>
        <w:rPr>
          <w:rFonts w:hint="eastAsia" w:ascii="仿宋_GB2312" w:hAnsi="仿宋" w:eastAsia="仿宋_GB2312" w:cs="Arial"/>
          <w:kern w:val="0"/>
          <w:sz w:val="24"/>
          <w:szCs w:val="24"/>
          <w:lang w:val="en-US" w:eastAsia="zh-CN" w:bidi="ar-SA"/>
        </w:rPr>
        <w:t>6</w:t>
      </w:r>
      <w:r>
        <w:rPr>
          <w:rFonts w:ascii="仿宋_GB2312" w:hAnsi="仿宋" w:eastAsia="仿宋_GB2312" w:cs="Arial"/>
          <w:kern w:val="0"/>
          <w:sz w:val="24"/>
          <w:szCs w:val="24"/>
          <w:lang w:val="en-US" w:eastAsia="zh-CN" w:bidi="ar-SA"/>
        </w:rPr>
        <w:t>%的扣除，用扣除后的价格参加评审。组成联合体或者接受分包的小</w:t>
      </w:r>
      <w:r>
        <w:rPr>
          <w:rFonts w:hint="eastAsia" w:ascii="仿宋_GB2312" w:hAnsi="仿宋" w:eastAsia="仿宋_GB2312" w:cs="Arial"/>
          <w:kern w:val="0"/>
          <w:sz w:val="24"/>
          <w:szCs w:val="24"/>
          <w:lang w:val="en-US" w:eastAsia="zh-CN" w:bidi="ar-SA"/>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6"/>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hint="eastAsia" w:ascii="仿宋_GB2312" w:hAnsi="仿宋" w:eastAsia="仿宋_GB2312" w:cs="仿宋_GB2312"/>
          <w:b/>
          <w:sz w:val="36"/>
          <w:szCs w:val="36"/>
        </w:rPr>
      </w:pPr>
    </w:p>
    <w:p>
      <w:pPr>
        <w:spacing w:line="480" w:lineRule="auto"/>
        <w:jc w:val="center"/>
        <w:rPr>
          <w:rFonts w:hint="eastAsia" w:ascii="仿宋_GB2312" w:hAnsi="仿宋" w:eastAsia="仿宋_GB2312" w:cs="仿宋_GB2312"/>
          <w:b/>
          <w:sz w:val="36"/>
          <w:szCs w:val="36"/>
        </w:rPr>
      </w:pPr>
    </w:p>
    <w:p>
      <w:pPr>
        <w:spacing w:line="480" w:lineRule="auto"/>
        <w:jc w:val="center"/>
        <w:rPr>
          <w:rFonts w:hint="eastAsia" w:ascii="仿宋_GB2312" w:hAnsi="仿宋" w:eastAsia="仿宋_GB2312" w:cs="仿宋_GB2312"/>
          <w:b/>
          <w:sz w:val="36"/>
          <w:szCs w:val="36"/>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 w:hAnsi="仿宋" w:eastAsia="仿宋"/>
          <w:szCs w:val="24"/>
        </w:rPr>
      </w:pPr>
      <w:r>
        <w:rPr>
          <w:rFonts w:hint="eastAsia" w:ascii="仿宋_GB2312" w:hAnsi="仿宋" w:eastAsia="仿宋_GB2312" w:cs="仿宋_GB2312"/>
          <w:b/>
          <w:sz w:val="36"/>
          <w:szCs w:val="36"/>
        </w:rPr>
        <w:t>（货物类）</w:t>
      </w:r>
    </w:p>
    <w:p>
      <w:pPr>
        <w:pStyle w:val="386"/>
        <w:jc w:val="center"/>
        <w:rPr>
          <w:rFonts w:ascii="仿宋" w:hAnsi="仿宋" w:eastAsia="仿宋"/>
          <w:szCs w:val="24"/>
        </w:rPr>
      </w:pPr>
    </w:p>
    <w:p>
      <w:pPr>
        <w:pStyle w:val="34"/>
        <w:snapToGrid w:val="0"/>
        <w:spacing w:line="400" w:lineRule="atLeast"/>
        <w:jc w:val="right"/>
        <w:rPr>
          <w:rFonts w:hAnsi="宋体" w:eastAsia="宋体"/>
          <w:b/>
          <w:sz w:val="24"/>
          <w:szCs w:val="24"/>
        </w:rPr>
      </w:pPr>
      <w:r>
        <w:rPr>
          <w:rFonts w:hAnsi="宋体" w:eastAsia="宋体"/>
          <w:sz w:val="24"/>
          <w:szCs w:val="24"/>
        </w:rPr>
        <w:t xml:space="preserve">合同编号：            </w:t>
      </w:r>
    </w:p>
    <w:p>
      <w:pPr>
        <w:pStyle w:val="34"/>
        <w:snapToGrid w:val="0"/>
        <w:spacing w:line="400" w:lineRule="atLeast"/>
        <w:rPr>
          <w:rFonts w:hAnsi="宋体" w:eastAsia="宋体"/>
          <w:sz w:val="24"/>
          <w:szCs w:val="24"/>
        </w:rPr>
      </w:pPr>
      <w:r>
        <w:rPr>
          <w:rFonts w:hAnsi="宋体" w:eastAsia="宋体"/>
          <w:sz w:val="24"/>
          <w:szCs w:val="24"/>
        </w:rPr>
        <w:t>甲方：（买方）</w:t>
      </w:r>
    </w:p>
    <w:p>
      <w:pPr>
        <w:pStyle w:val="34"/>
        <w:snapToGrid w:val="0"/>
        <w:spacing w:line="400" w:lineRule="atLeast"/>
        <w:rPr>
          <w:rFonts w:hAnsi="宋体" w:eastAsia="宋体"/>
          <w:sz w:val="24"/>
          <w:szCs w:val="24"/>
        </w:rPr>
      </w:pPr>
      <w:r>
        <w:rPr>
          <w:rFonts w:hAnsi="宋体" w:eastAsia="宋体"/>
          <w:sz w:val="24"/>
          <w:szCs w:val="24"/>
        </w:rPr>
        <w:t>乙方：（卖方）</w:t>
      </w:r>
    </w:p>
    <w:p>
      <w:pPr>
        <w:pStyle w:val="34"/>
        <w:snapToGrid w:val="0"/>
        <w:spacing w:line="400" w:lineRule="atLeast"/>
        <w:rPr>
          <w:rFonts w:hAnsi="宋体" w:eastAsia="宋体"/>
          <w:sz w:val="24"/>
          <w:szCs w:val="24"/>
        </w:rPr>
      </w:pPr>
      <w:r>
        <w:rPr>
          <w:rFonts w:hAnsi="宋体" w:eastAsia="宋体"/>
          <w:sz w:val="24"/>
          <w:szCs w:val="24"/>
        </w:rPr>
        <w:t>鉴证方：</w:t>
      </w:r>
    </w:p>
    <w:p>
      <w:pPr>
        <w:pStyle w:val="34"/>
        <w:snapToGrid w:val="0"/>
        <w:spacing w:line="400" w:lineRule="atLeast"/>
        <w:rPr>
          <w:rFonts w:hAnsi="宋体" w:eastAsia="宋体"/>
          <w:b/>
          <w:sz w:val="24"/>
          <w:szCs w:val="24"/>
        </w:rPr>
      </w:pPr>
      <w:r>
        <w:rPr>
          <w:rFonts w:hAnsi="宋体" w:eastAsia="宋体"/>
          <w:b/>
          <w:sz w:val="24"/>
          <w:szCs w:val="24"/>
        </w:rPr>
        <w:t xml:space="preserve">   </w:t>
      </w:r>
      <w:r>
        <w:rPr>
          <w:rFonts w:hAnsi="宋体" w:eastAsia="宋体"/>
          <w:sz w:val="24"/>
          <w:szCs w:val="24"/>
        </w:rPr>
        <w:t>甲、乙双方根据</w:t>
      </w:r>
      <w:r>
        <w:rPr>
          <w:rFonts w:hAnsi="宋体" w:eastAsia="宋体"/>
          <w:sz w:val="24"/>
          <w:szCs w:val="24"/>
          <w:u w:val="single"/>
        </w:rPr>
        <w:t xml:space="preserve">                  </w:t>
      </w:r>
      <w:r>
        <w:rPr>
          <w:rFonts w:hAnsi="宋体" w:eastAsia="宋体"/>
          <w:sz w:val="24"/>
          <w:szCs w:val="24"/>
        </w:rPr>
        <w:t>项目（项目编号：）公开招标的结果，签署本合同。</w:t>
      </w:r>
    </w:p>
    <w:p>
      <w:pPr>
        <w:pStyle w:val="34"/>
        <w:snapToGrid w:val="0"/>
        <w:spacing w:line="400" w:lineRule="atLeast"/>
        <w:rPr>
          <w:rFonts w:hAnsi="宋体" w:eastAsia="宋体"/>
          <w:b/>
          <w:sz w:val="24"/>
          <w:szCs w:val="24"/>
        </w:rPr>
      </w:pPr>
      <w:r>
        <w:rPr>
          <w:rFonts w:hAnsi="宋体" w:eastAsia="宋体"/>
          <w:b/>
          <w:sz w:val="24"/>
          <w:szCs w:val="24"/>
        </w:rPr>
        <w:t>一、货物名称、型号、规格、配置、技术参数、数量及合同价款</w:t>
      </w:r>
    </w:p>
    <w:tbl>
      <w:tblPr>
        <w:tblStyle w:val="64"/>
        <w:tblW w:w="918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516"/>
        <w:gridCol w:w="2940"/>
        <w:gridCol w:w="832"/>
        <w:gridCol w:w="987"/>
        <w:gridCol w:w="936"/>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jc w:val="center"/>
              <w:rPr>
                <w:rFonts w:hAnsi="宋体" w:eastAsia="宋体"/>
                <w:b/>
                <w:sz w:val="24"/>
                <w:szCs w:val="24"/>
                <w:lang w:val="en-US" w:eastAsia="zh-CN"/>
              </w:rPr>
            </w:pPr>
            <w:r>
              <w:rPr>
                <w:rFonts w:hAnsi="宋体" w:eastAsia="宋体"/>
                <w:b/>
                <w:sz w:val="24"/>
                <w:szCs w:val="24"/>
                <w:lang w:val="en-US" w:eastAsia="zh-CN"/>
              </w:rPr>
              <w:t>序号</w:t>
            </w:r>
          </w:p>
        </w:tc>
        <w:tc>
          <w:tcPr>
            <w:tcW w:w="1516"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jc w:val="center"/>
              <w:rPr>
                <w:rFonts w:hAnsi="宋体" w:eastAsia="宋体"/>
                <w:b/>
                <w:sz w:val="24"/>
                <w:szCs w:val="24"/>
                <w:lang w:val="en-US" w:eastAsia="zh-CN"/>
              </w:rPr>
            </w:pPr>
            <w:r>
              <w:rPr>
                <w:rFonts w:hAnsi="宋体" w:eastAsia="宋体"/>
                <w:b/>
                <w:sz w:val="24"/>
                <w:szCs w:val="24"/>
                <w:lang w:val="en-US" w:eastAsia="zh-CN"/>
              </w:rPr>
              <w:t>货物名称</w:t>
            </w:r>
          </w:p>
        </w:tc>
        <w:tc>
          <w:tcPr>
            <w:tcW w:w="2940"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jc w:val="center"/>
              <w:rPr>
                <w:rFonts w:hAnsi="宋体" w:eastAsia="宋体"/>
                <w:b/>
                <w:sz w:val="24"/>
                <w:szCs w:val="24"/>
                <w:lang w:val="en-US" w:eastAsia="zh-CN"/>
              </w:rPr>
            </w:pPr>
            <w:r>
              <w:rPr>
                <w:rFonts w:hAnsi="宋体" w:eastAsia="宋体"/>
                <w:b/>
                <w:sz w:val="24"/>
                <w:szCs w:val="24"/>
                <w:lang w:val="en-US" w:eastAsia="zh-CN"/>
              </w:rPr>
              <w:t>型号规格配置</w:t>
            </w:r>
          </w:p>
          <w:p>
            <w:pPr>
              <w:pStyle w:val="34"/>
              <w:spacing w:line="400" w:lineRule="atLeast"/>
              <w:jc w:val="center"/>
              <w:rPr>
                <w:rFonts w:hAnsi="宋体" w:eastAsia="宋体"/>
                <w:b/>
                <w:sz w:val="24"/>
                <w:szCs w:val="24"/>
                <w:lang w:val="en-US" w:eastAsia="zh-CN"/>
              </w:rPr>
            </w:pPr>
            <w:r>
              <w:rPr>
                <w:rFonts w:hAnsi="宋体" w:eastAsia="宋体"/>
                <w:b/>
                <w:sz w:val="24"/>
                <w:szCs w:val="24"/>
                <w:lang w:val="en-US" w:eastAsia="zh-CN"/>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jc w:val="center"/>
              <w:rPr>
                <w:rFonts w:hAnsi="宋体" w:eastAsia="宋体"/>
                <w:b/>
                <w:sz w:val="24"/>
                <w:szCs w:val="24"/>
                <w:lang w:val="en-US" w:eastAsia="zh-CN"/>
              </w:rPr>
            </w:pPr>
            <w:r>
              <w:rPr>
                <w:rFonts w:hAnsi="宋体" w:eastAsia="宋体"/>
                <w:b/>
                <w:sz w:val="24"/>
                <w:szCs w:val="24"/>
                <w:lang w:val="en-US" w:eastAsia="zh-CN"/>
              </w:rPr>
              <w:t>单价(元)</w:t>
            </w:r>
          </w:p>
        </w:tc>
        <w:tc>
          <w:tcPr>
            <w:tcW w:w="987"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jc w:val="center"/>
              <w:rPr>
                <w:rFonts w:hAnsi="宋体" w:eastAsia="宋体"/>
                <w:b/>
                <w:sz w:val="24"/>
                <w:szCs w:val="24"/>
                <w:lang w:val="en-US" w:eastAsia="zh-CN"/>
              </w:rPr>
            </w:pPr>
            <w:r>
              <w:rPr>
                <w:rFonts w:hAnsi="宋体" w:eastAsia="宋体"/>
                <w:b/>
                <w:sz w:val="24"/>
                <w:szCs w:val="24"/>
                <w:lang w:val="en-US" w:eastAsia="zh-CN"/>
              </w:rPr>
              <w:t>数量(台)</w:t>
            </w:r>
          </w:p>
        </w:tc>
        <w:tc>
          <w:tcPr>
            <w:tcW w:w="936"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jc w:val="center"/>
              <w:rPr>
                <w:rFonts w:hAnsi="宋体" w:eastAsia="宋体"/>
                <w:b/>
                <w:sz w:val="24"/>
                <w:szCs w:val="24"/>
                <w:lang w:val="en-US" w:eastAsia="zh-CN"/>
              </w:rPr>
            </w:pPr>
            <w:r>
              <w:rPr>
                <w:rFonts w:hAnsi="宋体" w:eastAsia="宋体"/>
                <w:b/>
                <w:sz w:val="24"/>
                <w:szCs w:val="24"/>
                <w:lang w:val="en-US" w:eastAsia="zh-CN"/>
              </w:rPr>
              <w:t>合价(元)</w:t>
            </w:r>
          </w:p>
        </w:tc>
        <w:tc>
          <w:tcPr>
            <w:tcW w:w="1280"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jc w:val="center"/>
              <w:rPr>
                <w:rFonts w:hAnsi="宋体" w:eastAsia="宋体"/>
                <w:b/>
                <w:sz w:val="24"/>
                <w:szCs w:val="24"/>
                <w:lang w:val="en-US" w:eastAsia="zh-CN"/>
              </w:rPr>
            </w:pPr>
            <w:r>
              <w:rPr>
                <w:rFonts w:hAnsi="宋体" w:eastAsia="宋体"/>
                <w:b/>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r>
              <w:rPr>
                <w:rFonts w:hAnsi="宋体" w:eastAsia="宋体"/>
                <w:b/>
                <w:sz w:val="24"/>
                <w:szCs w:val="24"/>
                <w:lang w:val="en-US" w:eastAsia="zh-CN"/>
              </w:rPr>
              <w:t>合计</w:t>
            </w:r>
          </w:p>
        </w:tc>
        <w:tc>
          <w:tcPr>
            <w:tcW w:w="1923" w:type="dxa"/>
            <w:gridSpan w:val="2"/>
            <w:tcBorders>
              <w:top w:val="single" w:color="auto" w:sz="4" w:space="0"/>
              <w:left w:val="single" w:color="auto" w:sz="4" w:space="0"/>
              <w:bottom w:val="single" w:color="auto" w:sz="4" w:space="0"/>
              <w:right w:val="single" w:color="auto" w:sz="4" w:space="0"/>
            </w:tcBorders>
            <w:vAlign w:val="center"/>
          </w:tcPr>
          <w:p>
            <w:pPr>
              <w:pStyle w:val="34"/>
              <w:spacing w:line="400" w:lineRule="atLeast"/>
              <w:ind w:firstLine="602" w:firstLineChars="250"/>
              <w:jc w:val="center"/>
              <w:rPr>
                <w:rFonts w:hAnsi="宋体" w:eastAsia="宋体"/>
                <w:b/>
                <w:sz w:val="24"/>
                <w:szCs w:val="24"/>
                <w:lang w:val="en-US" w:eastAsia="zh-CN"/>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34"/>
              <w:spacing w:line="400" w:lineRule="atLeast"/>
              <w:rPr>
                <w:rFonts w:hAnsi="宋体" w:eastAsia="宋体"/>
                <w:b/>
                <w:sz w:val="24"/>
                <w:szCs w:val="24"/>
                <w:lang w:val="en-US" w:eastAsia="zh-CN"/>
              </w:rPr>
            </w:pPr>
            <w:r>
              <w:rPr>
                <w:rFonts w:hAnsi="宋体" w:eastAsia="宋体"/>
                <w:b/>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pStyle w:val="34"/>
              <w:spacing w:line="400" w:lineRule="atLeast"/>
              <w:rPr>
                <w:rFonts w:hAnsi="宋体" w:eastAsia="宋体"/>
                <w:b/>
                <w:sz w:val="24"/>
                <w:szCs w:val="24"/>
                <w:lang w:val="en-US" w:eastAsia="zh-CN"/>
              </w:rPr>
            </w:pPr>
            <w:r>
              <w:rPr>
                <w:rFonts w:hAnsi="宋体" w:eastAsia="宋体"/>
                <w:b/>
                <w:sz w:val="24"/>
                <w:szCs w:val="24"/>
                <w:lang w:val="en-US" w:eastAsia="zh-CN"/>
              </w:rPr>
              <w:t>合同价款大写：</w:t>
            </w:r>
          </w:p>
        </w:tc>
        <w:tc>
          <w:tcPr>
            <w:tcW w:w="3203" w:type="dxa"/>
            <w:gridSpan w:val="3"/>
            <w:tcBorders>
              <w:top w:val="single" w:color="auto" w:sz="4" w:space="0"/>
              <w:left w:val="single" w:color="auto" w:sz="4" w:space="0"/>
              <w:bottom w:val="single" w:color="auto" w:sz="4" w:space="0"/>
              <w:right w:val="single" w:color="auto" w:sz="4" w:space="0"/>
            </w:tcBorders>
            <w:vAlign w:val="center"/>
          </w:tcPr>
          <w:p>
            <w:pPr>
              <w:pStyle w:val="34"/>
              <w:spacing w:line="400" w:lineRule="atLeast"/>
              <w:rPr>
                <w:rFonts w:hAnsi="宋体" w:eastAsia="宋体"/>
                <w:b/>
                <w:sz w:val="24"/>
                <w:szCs w:val="24"/>
                <w:lang w:val="en-US" w:eastAsia="zh-CN"/>
              </w:rPr>
            </w:pPr>
          </w:p>
        </w:tc>
      </w:tr>
    </w:tbl>
    <w:p>
      <w:pPr>
        <w:pStyle w:val="34"/>
        <w:snapToGrid w:val="0"/>
        <w:spacing w:line="400" w:lineRule="atLeast"/>
        <w:rPr>
          <w:rFonts w:hAnsi="宋体" w:eastAsia="宋体"/>
          <w:sz w:val="24"/>
          <w:szCs w:val="24"/>
        </w:rPr>
      </w:pPr>
      <w:r>
        <w:rPr>
          <w:rFonts w:hAnsi="宋体" w:eastAsia="宋体"/>
          <w:sz w:val="24"/>
          <w:szCs w:val="24"/>
        </w:rPr>
        <w:t>（合同价款包括</w:t>
      </w:r>
      <w:r>
        <w:rPr>
          <w:rFonts w:hAnsi="宋体" w:eastAsia="宋体"/>
          <w:bCs/>
          <w:sz w:val="24"/>
          <w:szCs w:val="24"/>
        </w:rPr>
        <w:t>含</w:t>
      </w:r>
      <w:r>
        <w:rPr>
          <w:rFonts w:hAnsi="宋体" w:eastAsia="宋体"/>
          <w:sz w:val="24"/>
          <w:szCs w:val="24"/>
        </w:rPr>
        <w:t>货款、</w:t>
      </w:r>
      <w:r>
        <w:rPr>
          <w:rFonts w:hint="eastAsia" w:hAnsi="宋体" w:eastAsia="宋体"/>
          <w:sz w:val="24"/>
          <w:szCs w:val="24"/>
        </w:rPr>
        <w:t>样品费、</w:t>
      </w:r>
      <w:r>
        <w:rPr>
          <w:rFonts w:hAnsi="宋体" w:eastAsia="宋体"/>
          <w:sz w:val="24"/>
          <w:szCs w:val="24"/>
        </w:rPr>
        <w:t>标准附件、备品备件、专用工具、包装、运输、装卸、保险、税金、货到就位以及安装、调试、培训、保修等一切税金和费用及其他因本项目而产生的一切费用）。</w:t>
      </w:r>
    </w:p>
    <w:p>
      <w:pPr>
        <w:pStyle w:val="34"/>
        <w:snapToGrid w:val="0"/>
        <w:spacing w:line="400" w:lineRule="atLeast"/>
        <w:rPr>
          <w:rFonts w:hAnsi="宋体" w:eastAsia="宋体"/>
          <w:b/>
          <w:sz w:val="24"/>
          <w:szCs w:val="24"/>
        </w:rPr>
      </w:pPr>
      <w:r>
        <w:rPr>
          <w:rFonts w:hAnsi="宋体" w:eastAsia="宋体"/>
          <w:b/>
          <w:sz w:val="24"/>
          <w:szCs w:val="24"/>
        </w:rPr>
        <w:t>二、技术资料</w:t>
      </w:r>
    </w:p>
    <w:p>
      <w:pPr>
        <w:pStyle w:val="34"/>
        <w:snapToGrid w:val="0"/>
        <w:spacing w:line="400" w:lineRule="atLeast"/>
        <w:ind w:firstLine="410" w:firstLineChars="171"/>
        <w:rPr>
          <w:rFonts w:hAnsi="宋体" w:eastAsia="宋体"/>
          <w:sz w:val="24"/>
          <w:szCs w:val="24"/>
        </w:rPr>
      </w:pPr>
      <w:r>
        <w:rPr>
          <w:rFonts w:hAnsi="宋体" w:eastAsia="宋体"/>
          <w:sz w:val="24"/>
          <w:szCs w:val="24"/>
        </w:rPr>
        <w:t>1、乙方应按招标文件规定的时间向甲方提供使用货物的有关技术资料。</w:t>
      </w:r>
    </w:p>
    <w:p>
      <w:pPr>
        <w:pStyle w:val="34"/>
        <w:snapToGrid w:val="0"/>
        <w:spacing w:line="400" w:lineRule="atLeast"/>
        <w:ind w:firstLine="410" w:firstLineChars="171"/>
        <w:rPr>
          <w:rFonts w:hAnsi="宋体" w:eastAsia="宋体"/>
          <w:sz w:val="24"/>
          <w:szCs w:val="24"/>
        </w:rPr>
      </w:pPr>
      <w:r>
        <w:rPr>
          <w:rFonts w:hAnsi="宋体" w:eastAsia="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snapToGrid w:val="0"/>
        <w:spacing w:line="400" w:lineRule="atLeast"/>
        <w:ind w:left="410" w:hanging="412" w:hangingChars="171"/>
        <w:rPr>
          <w:rFonts w:hAnsi="宋体" w:eastAsia="宋体"/>
          <w:b/>
          <w:sz w:val="24"/>
          <w:szCs w:val="24"/>
        </w:rPr>
      </w:pPr>
      <w:r>
        <w:rPr>
          <w:rFonts w:hAnsi="宋体" w:eastAsia="宋体"/>
          <w:b/>
          <w:sz w:val="24"/>
          <w:szCs w:val="24"/>
        </w:rPr>
        <w:t>三、权利担保</w:t>
      </w:r>
    </w:p>
    <w:p>
      <w:pPr>
        <w:pStyle w:val="34"/>
        <w:snapToGrid w:val="0"/>
        <w:spacing w:line="400" w:lineRule="atLeast"/>
        <w:ind w:firstLine="410" w:firstLineChars="171"/>
        <w:rPr>
          <w:rFonts w:hAnsi="宋体" w:eastAsia="宋体"/>
          <w:sz w:val="24"/>
          <w:szCs w:val="24"/>
        </w:rPr>
      </w:pPr>
      <w:r>
        <w:rPr>
          <w:rFonts w:hAnsi="宋体" w:eastAsia="宋体"/>
          <w:sz w:val="24"/>
          <w:szCs w:val="24"/>
        </w:rPr>
        <w:t>1、乙方应保证所提供的货物或其任何一部分均不会侵犯任何第三方的知识产权。</w:t>
      </w:r>
    </w:p>
    <w:p>
      <w:pPr>
        <w:pStyle w:val="34"/>
        <w:snapToGrid w:val="0"/>
        <w:spacing w:line="400" w:lineRule="atLeast"/>
        <w:ind w:firstLine="410" w:firstLineChars="171"/>
        <w:rPr>
          <w:rFonts w:hAnsi="宋体" w:eastAsia="宋体"/>
          <w:sz w:val="24"/>
          <w:szCs w:val="24"/>
        </w:rPr>
      </w:pPr>
      <w:r>
        <w:rPr>
          <w:rFonts w:hAnsi="宋体" w:eastAsia="宋体"/>
          <w:sz w:val="24"/>
          <w:szCs w:val="24"/>
        </w:rPr>
        <w:t>2、乙方保证所交付的货物的所有权完全属于乙方且无任何抵押、查封等产权瑕疵。</w:t>
      </w:r>
    </w:p>
    <w:p>
      <w:pPr>
        <w:pStyle w:val="34"/>
        <w:snapToGrid w:val="0"/>
        <w:spacing w:line="400" w:lineRule="atLeast"/>
        <w:ind w:left="408" w:hanging="410" w:hangingChars="170"/>
        <w:rPr>
          <w:rFonts w:hAnsi="宋体" w:eastAsia="宋体"/>
          <w:b/>
          <w:sz w:val="24"/>
          <w:szCs w:val="24"/>
        </w:rPr>
      </w:pPr>
      <w:r>
        <w:rPr>
          <w:rFonts w:hAnsi="宋体" w:eastAsia="宋体"/>
          <w:b/>
          <w:sz w:val="24"/>
          <w:szCs w:val="24"/>
        </w:rPr>
        <w:t>四、履约保证金</w:t>
      </w:r>
    </w:p>
    <w:p>
      <w:pPr>
        <w:pStyle w:val="34"/>
        <w:snapToGrid w:val="0"/>
        <w:spacing w:line="400" w:lineRule="atLeast"/>
        <w:ind w:firstLine="410" w:firstLineChars="171"/>
        <w:rPr>
          <w:rFonts w:hAnsi="宋体" w:eastAsia="宋体"/>
          <w:sz w:val="24"/>
          <w:szCs w:val="24"/>
        </w:rPr>
      </w:pPr>
      <w:r>
        <w:rPr>
          <w:rFonts w:hAnsi="宋体" w:eastAsia="宋体"/>
          <w:sz w:val="24"/>
          <w:szCs w:val="24"/>
        </w:rPr>
        <w:t>乙方支付中标总额</w:t>
      </w:r>
      <w:r>
        <w:rPr>
          <w:rFonts w:hint="eastAsia" w:hAnsi="宋体"/>
          <w:sz w:val="24"/>
          <w:szCs w:val="24"/>
          <w:lang w:val="en-US" w:eastAsia="zh-CN"/>
        </w:rPr>
        <w:t>1%</w:t>
      </w:r>
      <w:r>
        <w:rPr>
          <w:rFonts w:hAnsi="宋体" w:eastAsia="宋体"/>
          <w:sz w:val="24"/>
          <w:szCs w:val="24"/>
        </w:rPr>
        <w:t>的履约保证金。</w:t>
      </w:r>
    </w:p>
    <w:p>
      <w:pPr>
        <w:pStyle w:val="34"/>
        <w:snapToGrid w:val="0"/>
        <w:spacing w:line="400" w:lineRule="atLeast"/>
        <w:ind w:left="408" w:hanging="410" w:hangingChars="170"/>
        <w:rPr>
          <w:rFonts w:hAnsi="宋体" w:eastAsia="宋体"/>
          <w:b/>
          <w:sz w:val="24"/>
          <w:szCs w:val="24"/>
        </w:rPr>
      </w:pPr>
      <w:r>
        <w:rPr>
          <w:rFonts w:hAnsi="宋体" w:eastAsia="宋体"/>
          <w:b/>
          <w:sz w:val="24"/>
          <w:szCs w:val="24"/>
        </w:rPr>
        <w:t>五、转包或分包</w:t>
      </w:r>
    </w:p>
    <w:p>
      <w:pPr>
        <w:pStyle w:val="34"/>
        <w:snapToGrid w:val="0"/>
        <w:spacing w:line="400" w:lineRule="atLeast"/>
        <w:ind w:firstLine="410" w:firstLineChars="171"/>
        <w:rPr>
          <w:rFonts w:hAnsi="宋体" w:eastAsia="宋体"/>
          <w:sz w:val="24"/>
          <w:szCs w:val="24"/>
        </w:rPr>
      </w:pPr>
      <w:r>
        <w:rPr>
          <w:rFonts w:hAnsi="宋体" w:eastAsia="宋体"/>
          <w:sz w:val="24"/>
          <w:szCs w:val="24"/>
        </w:rPr>
        <w:t>1、本合同范围的货物，应由乙方直接供应，不得转让他人供应；</w:t>
      </w:r>
    </w:p>
    <w:p>
      <w:pPr>
        <w:pStyle w:val="34"/>
        <w:snapToGrid w:val="0"/>
        <w:spacing w:line="400" w:lineRule="atLeast"/>
        <w:ind w:firstLine="410" w:firstLineChars="171"/>
        <w:rPr>
          <w:rFonts w:hAnsi="宋体" w:eastAsia="宋体"/>
          <w:sz w:val="24"/>
          <w:szCs w:val="24"/>
        </w:rPr>
      </w:pPr>
      <w:r>
        <w:rPr>
          <w:rFonts w:hAnsi="宋体" w:eastAsia="宋体"/>
          <w:sz w:val="24"/>
          <w:szCs w:val="24"/>
        </w:rPr>
        <w:t>2、除非得到甲方的书面同意，乙方不得将本合同范围的货物全部或部分分包给他人供应；</w:t>
      </w:r>
    </w:p>
    <w:p>
      <w:pPr>
        <w:pStyle w:val="34"/>
        <w:snapToGrid w:val="0"/>
        <w:spacing w:line="400" w:lineRule="atLeast"/>
        <w:ind w:firstLine="410" w:firstLineChars="171"/>
        <w:rPr>
          <w:rFonts w:hAnsi="宋体" w:eastAsia="宋体"/>
          <w:sz w:val="24"/>
          <w:szCs w:val="24"/>
        </w:rPr>
      </w:pPr>
      <w:r>
        <w:rPr>
          <w:rFonts w:hAnsi="宋体" w:eastAsia="宋体"/>
          <w:sz w:val="24"/>
          <w:szCs w:val="24"/>
        </w:rPr>
        <w:t>3、如有转让和未经甲方同意的分包行为，甲方有权解除合同，没收履约保证金并追究乙方的违约责任。</w:t>
      </w:r>
    </w:p>
    <w:p>
      <w:pPr>
        <w:pStyle w:val="34"/>
        <w:snapToGrid w:val="0"/>
        <w:spacing w:line="400" w:lineRule="atLeast"/>
        <w:rPr>
          <w:rFonts w:hAnsi="宋体" w:eastAsia="宋体"/>
          <w:sz w:val="24"/>
          <w:szCs w:val="24"/>
        </w:rPr>
      </w:pPr>
      <w:r>
        <w:rPr>
          <w:rFonts w:hAnsi="宋体" w:eastAsia="宋体"/>
          <w:b/>
          <w:sz w:val="24"/>
          <w:szCs w:val="24"/>
        </w:rPr>
        <w:t>六、质保期</w:t>
      </w:r>
    </w:p>
    <w:p>
      <w:pPr>
        <w:pStyle w:val="34"/>
        <w:snapToGrid w:val="0"/>
        <w:spacing w:line="400" w:lineRule="atLeast"/>
        <w:ind w:firstLine="410" w:firstLineChars="171"/>
        <w:rPr>
          <w:rFonts w:hAnsi="宋体" w:eastAsia="宋体"/>
          <w:sz w:val="24"/>
          <w:szCs w:val="24"/>
        </w:rPr>
      </w:pPr>
      <w:r>
        <w:rPr>
          <w:rFonts w:hAnsi="宋体" w:eastAsia="宋体"/>
          <w:bCs/>
          <w:sz w:val="24"/>
          <w:szCs w:val="24"/>
          <w:lang w:val="en-US"/>
        </w:rPr>
        <w:t>质保期要求：</w:t>
      </w:r>
      <w:r>
        <w:rPr>
          <w:rFonts w:hint="eastAsia" w:hAnsi="宋体"/>
          <w:bCs/>
          <w:sz w:val="24"/>
          <w:szCs w:val="24"/>
          <w:lang w:val="en-US" w:eastAsia="zh-CN"/>
        </w:rPr>
        <w:t xml:space="preserve"> </w:t>
      </w:r>
      <w:r>
        <w:rPr>
          <w:rFonts w:hint="eastAsia" w:hAnsi="宋体" w:eastAsia="宋体"/>
          <w:bCs/>
          <w:sz w:val="24"/>
          <w:szCs w:val="24"/>
          <w:lang w:val="en-US"/>
        </w:rPr>
        <w:t>。所有</w:t>
      </w:r>
      <w:r>
        <w:rPr>
          <w:rFonts w:hint="eastAsia" w:hAnsi="宋体"/>
          <w:bCs/>
          <w:sz w:val="24"/>
          <w:szCs w:val="24"/>
          <w:lang w:val="en-US" w:eastAsia="zh-CN"/>
        </w:rPr>
        <w:t>物品</w:t>
      </w:r>
      <w:r>
        <w:rPr>
          <w:rFonts w:hint="eastAsia" w:hAnsi="宋体" w:eastAsia="宋体"/>
          <w:bCs/>
          <w:sz w:val="24"/>
          <w:szCs w:val="24"/>
          <w:lang w:val="en-US"/>
        </w:rPr>
        <w:t>在质保期内各类零件损坏，由乙方在48小时内负责维修或更换，不得</w:t>
      </w:r>
      <w:r>
        <w:rPr>
          <w:rFonts w:hint="eastAsia" w:hAnsi="宋体" w:eastAsia="宋体"/>
          <w:bCs/>
          <w:sz w:val="24"/>
          <w:szCs w:val="24"/>
        </w:rPr>
        <w:t>收取任何费用</w:t>
      </w:r>
      <w:r>
        <w:rPr>
          <w:rFonts w:hAnsi="宋体" w:eastAsia="宋体"/>
          <w:sz w:val="24"/>
          <w:szCs w:val="24"/>
        </w:rPr>
        <w:t>。</w:t>
      </w:r>
    </w:p>
    <w:p>
      <w:pPr>
        <w:pStyle w:val="34"/>
        <w:snapToGrid w:val="0"/>
        <w:spacing w:line="400" w:lineRule="atLeast"/>
        <w:rPr>
          <w:rFonts w:hAnsi="宋体" w:eastAsia="宋体"/>
          <w:b/>
          <w:sz w:val="24"/>
          <w:szCs w:val="24"/>
        </w:rPr>
      </w:pPr>
      <w:r>
        <w:rPr>
          <w:rFonts w:hAnsi="宋体" w:eastAsia="宋体"/>
          <w:b/>
          <w:sz w:val="24"/>
          <w:szCs w:val="24"/>
        </w:rPr>
        <w:t>七、交货期、交货方式及交货地点</w:t>
      </w:r>
    </w:p>
    <w:p>
      <w:pPr>
        <w:pStyle w:val="34"/>
        <w:snapToGrid w:val="0"/>
        <w:spacing w:line="400" w:lineRule="atLeast"/>
        <w:ind w:firstLine="410" w:firstLineChars="171"/>
        <w:rPr>
          <w:rFonts w:hAnsi="宋体" w:eastAsia="宋体"/>
          <w:sz w:val="24"/>
          <w:szCs w:val="24"/>
        </w:rPr>
      </w:pPr>
      <w:r>
        <w:rPr>
          <w:rFonts w:hAnsi="宋体" w:eastAsia="宋体"/>
          <w:sz w:val="24"/>
          <w:szCs w:val="24"/>
        </w:rPr>
        <w:t>1、交货期：</w:t>
      </w:r>
    </w:p>
    <w:p>
      <w:pPr>
        <w:pStyle w:val="34"/>
        <w:snapToGrid w:val="0"/>
        <w:spacing w:line="400" w:lineRule="atLeast"/>
        <w:ind w:firstLine="410" w:firstLineChars="171"/>
        <w:rPr>
          <w:rFonts w:hAnsi="宋体" w:eastAsia="宋体"/>
          <w:sz w:val="24"/>
          <w:szCs w:val="24"/>
        </w:rPr>
      </w:pPr>
      <w:r>
        <w:rPr>
          <w:rFonts w:hAnsi="宋体" w:eastAsia="宋体"/>
          <w:sz w:val="24"/>
          <w:szCs w:val="24"/>
        </w:rPr>
        <w:t>2、交货方式：</w:t>
      </w:r>
      <w:r>
        <w:rPr>
          <w:rFonts w:hint="eastAsia" w:hAnsi="宋体" w:eastAsia="宋体" w:cs="宋体"/>
          <w:bCs/>
          <w:sz w:val="24"/>
          <w:szCs w:val="24"/>
        </w:rPr>
        <w:t>由乙方负责运输至指定地点现场交货，并安装调试完毕。安装调试完毕交付甲方前发生的风险均由乙方负责。</w:t>
      </w:r>
      <w:r>
        <w:rPr>
          <w:rFonts w:hAnsi="宋体" w:eastAsia="宋体"/>
          <w:sz w:val="24"/>
          <w:szCs w:val="24"/>
        </w:rPr>
        <w:t xml:space="preserve"> </w:t>
      </w:r>
    </w:p>
    <w:p>
      <w:pPr>
        <w:pStyle w:val="34"/>
        <w:snapToGrid w:val="0"/>
        <w:spacing w:line="400" w:lineRule="atLeast"/>
        <w:ind w:firstLine="410" w:firstLineChars="171"/>
        <w:rPr>
          <w:rFonts w:hAnsi="宋体" w:eastAsia="宋体"/>
          <w:sz w:val="24"/>
          <w:szCs w:val="24"/>
        </w:rPr>
      </w:pPr>
      <w:r>
        <w:rPr>
          <w:rFonts w:hAnsi="宋体" w:eastAsia="宋体"/>
          <w:sz w:val="24"/>
          <w:szCs w:val="24"/>
        </w:rPr>
        <w:t>3、交货地点：</w:t>
      </w:r>
    </w:p>
    <w:p>
      <w:pPr>
        <w:pStyle w:val="34"/>
        <w:snapToGrid w:val="0"/>
        <w:spacing w:line="400" w:lineRule="atLeast"/>
        <w:rPr>
          <w:rFonts w:hAnsi="宋体" w:eastAsia="宋体"/>
          <w:b/>
          <w:sz w:val="24"/>
          <w:szCs w:val="24"/>
        </w:rPr>
      </w:pPr>
      <w:r>
        <w:rPr>
          <w:rFonts w:hAnsi="宋体" w:eastAsia="宋体"/>
          <w:b/>
          <w:sz w:val="24"/>
          <w:szCs w:val="24"/>
        </w:rPr>
        <w:t>八、货款支付</w:t>
      </w:r>
    </w:p>
    <w:p>
      <w:pPr>
        <w:pStyle w:val="34"/>
        <w:spacing w:line="400" w:lineRule="atLeast"/>
        <w:ind w:firstLine="360" w:firstLineChars="150"/>
        <w:rPr>
          <w:rFonts w:hint="eastAsia" w:hAnsi="宋体" w:eastAsia="宋体"/>
          <w:bCs/>
          <w:sz w:val="24"/>
          <w:szCs w:val="24"/>
        </w:rPr>
      </w:pPr>
      <w:r>
        <w:rPr>
          <w:rFonts w:hint="eastAsia" w:hAnsi="宋体" w:eastAsia="宋体"/>
          <w:bCs/>
          <w:sz w:val="24"/>
          <w:szCs w:val="24"/>
        </w:rPr>
        <w:t>1、合同签订生效后以及具备实施条件后15天内，采购人向中标方支付合同金额</w:t>
      </w:r>
      <w:r>
        <w:rPr>
          <w:rFonts w:hint="eastAsia" w:hAnsi="宋体"/>
          <w:bCs/>
          <w:sz w:val="24"/>
          <w:szCs w:val="24"/>
          <w:lang w:val="en-US" w:eastAsia="zh-CN"/>
        </w:rPr>
        <w:t>4</w:t>
      </w:r>
      <w:r>
        <w:rPr>
          <w:rFonts w:hint="eastAsia" w:hAnsi="宋体" w:eastAsia="宋体"/>
          <w:bCs/>
          <w:sz w:val="24"/>
          <w:szCs w:val="24"/>
        </w:rPr>
        <w:t xml:space="preserve">0％的预付款。乙方根据合同规定将货物交付、安装调试完毕，并经质检余杭分局监测中心最终验收合格后，甲方凭发票、确认单以及合同上报区财政，区财政审批下拨款到位后，支付合同价剩余货款。 </w:t>
      </w:r>
    </w:p>
    <w:p>
      <w:pPr>
        <w:pStyle w:val="34"/>
        <w:spacing w:line="400" w:lineRule="atLeast"/>
        <w:ind w:firstLine="360" w:firstLineChars="150"/>
        <w:rPr>
          <w:rFonts w:hint="eastAsia" w:hAnsi="宋体" w:eastAsia="宋体"/>
          <w:bCs/>
          <w:sz w:val="24"/>
          <w:szCs w:val="24"/>
        </w:rPr>
      </w:pPr>
      <w:r>
        <w:rPr>
          <w:rFonts w:hint="eastAsia" w:hAnsi="宋体" w:eastAsia="宋体"/>
          <w:bCs/>
          <w:sz w:val="24"/>
          <w:szCs w:val="24"/>
        </w:rPr>
        <w:t>2、甲方支付合同价剩余货款前，乙方必须提交符合要求的发票。</w:t>
      </w:r>
    </w:p>
    <w:p>
      <w:pPr>
        <w:snapToGrid w:val="0"/>
        <w:spacing w:line="400" w:lineRule="atLeast"/>
        <w:rPr>
          <w:rFonts w:ascii="宋体" w:hAnsi="宋体"/>
          <w:b/>
          <w:sz w:val="24"/>
          <w:szCs w:val="24"/>
        </w:rPr>
      </w:pPr>
      <w:r>
        <w:rPr>
          <w:rFonts w:ascii="宋体" w:hAnsi="宋体"/>
          <w:b/>
          <w:sz w:val="24"/>
          <w:szCs w:val="24"/>
        </w:rPr>
        <w:t>九、税费</w:t>
      </w:r>
    </w:p>
    <w:p>
      <w:pPr>
        <w:pStyle w:val="34"/>
        <w:snapToGrid w:val="0"/>
        <w:spacing w:line="400" w:lineRule="atLeast"/>
        <w:ind w:firstLine="410" w:firstLineChars="171"/>
        <w:rPr>
          <w:rFonts w:hAnsi="宋体" w:eastAsia="宋体"/>
          <w:sz w:val="24"/>
          <w:szCs w:val="24"/>
        </w:rPr>
      </w:pPr>
      <w:r>
        <w:rPr>
          <w:rFonts w:hAnsi="宋体" w:eastAsia="宋体"/>
          <w:sz w:val="24"/>
          <w:szCs w:val="24"/>
        </w:rPr>
        <w:t>本合同执行中相关的一切税费均由乙方负担。</w:t>
      </w:r>
    </w:p>
    <w:p>
      <w:pPr>
        <w:pStyle w:val="34"/>
        <w:snapToGrid w:val="0"/>
        <w:spacing w:line="400" w:lineRule="atLeast"/>
        <w:ind w:left="410" w:hanging="412" w:hangingChars="171"/>
        <w:rPr>
          <w:rFonts w:hAnsi="宋体" w:eastAsia="宋体"/>
          <w:sz w:val="24"/>
          <w:szCs w:val="24"/>
        </w:rPr>
      </w:pPr>
      <w:r>
        <w:rPr>
          <w:rFonts w:hAnsi="宋体" w:eastAsia="宋体"/>
          <w:b/>
          <w:sz w:val="24"/>
          <w:szCs w:val="24"/>
        </w:rPr>
        <w:t>十、质量保证及售后服务</w:t>
      </w:r>
    </w:p>
    <w:p>
      <w:pPr>
        <w:pStyle w:val="34"/>
        <w:snapToGrid w:val="0"/>
        <w:spacing w:line="400" w:lineRule="atLeast"/>
        <w:ind w:firstLine="410" w:firstLineChars="171"/>
        <w:rPr>
          <w:rFonts w:hAnsi="宋体" w:eastAsia="宋体"/>
          <w:sz w:val="24"/>
          <w:szCs w:val="24"/>
        </w:rPr>
      </w:pPr>
      <w:r>
        <w:rPr>
          <w:rFonts w:hAnsi="宋体" w:eastAsia="宋体"/>
          <w:sz w:val="24"/>
          <w:szCs w:val="24"/>
        </w:rPr>
        <w:t>1、乙方应按招标文件规定的货物性能、技术要求、质量标准向甲方提供未经使用的全新产品。</w:t>
      </w:r>
    </w:p>
    <w:p>
      <w:pPr>
        <w:pStyle w:val="34"/>
        <w:snapToGrid w:val="0"/>
        <w:spacing w:line="400" w:lineRule="atLeast"/>
        <w:ind w:firstLine="410" w:firstLineChars="171"/>
        <w:rPr>
          <w:rFonts w:hAnsi="宋体" w:eastAsia="宋体"/>
          <w:sz w:val="24"/>
          <w:szCs w:val="24"/>
        </w:rPr>
      </w:pPr>
      <w:r>
        <w:rPr>
          <w:rFonts w:hAnsi="宋体" w:eastAsia="宋体"/>
          <w:sz w:val="24"/>
          <w:szCs w:val="24"/>
        </w:rPr>
        <w:t>2、乙方提供的货物在质保期内因货物本身的质量问题发生故障，乙方应负责免费更换。对达不到技术要求者，根据实际情况，经双方协商，可按以下办法处理：</w:t>
      </w:r>
    </w:p>
    <w:p>
      <w:pPr>
        <w:pStyle w:val="34"/>
        <w:snapToGrid w:val="0"/>
        <w:spacing w:line="400" w:lineRule="atLeast"/>
        <w:ind w:firstLine="410" w:firstLineChars="171"/>
        <w:rPr>
          <w:rFonts w:hAnsi="宋体" w:eastAsia="宋体"/>
          <w:sz w:val="24"/>
          <w:szCs w:val="24"/>
        </w:rPr>
      </w:pPr>
      <w:r>
        <w:rPr>
          <w:rFonts w:hAnsi="宋体" w:eastAsia="宋体"/>
          <w:sz w:val="24"/>
          <w:szCs w:val="24"/>
        </w:rPr>
        <w:t>（1）、更换：由乙方承担所发生的全部费用。</w:t>
      </w:r>
    </w:p>
    <w:p>
      <w:pPr>
        <w:pStyle w:val="34"/>
        <w:snapToGrid w:val="0"/>
        <w:spacing w:line="400" w:lineRule="atLeast"/>
        <w:ind w:firstLine="410" w:firstLineChars="171"/>
        <w:rPr>
          <w:rFonts w:hAnsi="宋体" w:eastAsia="宋体"/>
          <w:sz w:val="24"/>
          <w:szCs w:val="24"/>
        </w:rPr>
      </w:pPr>
      <w:r>
        <w:rPr>
          <w:rFonts w:hAnsi="宋体" w:eastAsia="宋体"/>
          <w:sz w:val="24"/>
          <w:szCs w:val="24"/>
        </w:rPr>
        <w:t>（2）、贬值处理：由甲乙双方合议定价。</w:t>
      </w:r>
    </w:p>
    <w:p>
      <w:pPr>
        <w:pStyle w:val="34"/>
        <w:snapToGrid w:val="0"/>
        <w:spacing w:line="400" w:lineRule="atLeast"/>
        <w:ind w:firstLine="410" w:firstLineChars="171"/>
        <w:rPr>
          <w:rFonts w:hAnsi="宋体" w:eastAsia="宋体"/>
          <w:sz w:val="24"/>
          <w:szCs w:val="24"/>
        </w:rPr>
      </w:pPr>
      <w:r>
        <w:rPr>
          <w:rFonts w:hAnsi="宋体" w:eastAsia="宋体"/>
          <w:sz w:val="24"/>
          <w:szCs w:val="24"/>
        </w:rPr>
        <w:t>（3）、退货处理：乙方应退还甲方支付的合同款，同时应承担该货物的直接费用（运输、保险、检验、货款利息及银行手续费等）。</w:t>
      </w:r>
    </w:p>
    <w:p>
      <w:pPr>
        <w:pStyle w:val="34"/>
        <w:snapToGrid w:val="0"/>
        <w:spacing w:line="400" w:lineRule="atLeast"/>
        <w:ind w:firstLine="410" w:firstLineChars="171"/>
        <w:rPr>
          <w:rFonts w:hAnsi="宋体" w:eastAsia="宋体"/>
          <w:sz w:val="24"/>
          <w:szCs w:val="24"/>
        </w:rPr>
      </w:pPr>
      <w:r>
        <w:rPr>
          <w:rFonts w:hAnsi="宋体" w:eastAsia="宋体"/>
          <w:sz w:val="24"/>
          <w:szCs w:val="24"/>
        </w:rPr>
        <w:t>3、如在使用过程中发生质量问题，乙方在接到甲方通知后在（）小时内到达甲方现场。</w:t>
      </w:r>
    </w:p>
    <w:p>
      <w:pPr>
        <w:pStyle w:val="34"/>
        <w:snapToGrid w:val="0"/>
        <w:spacing w:line="400" w:lineRule="atLeast"/>
        <w:ind w:firstLine="410" w:firstLineChars="171"/>
        <w:rPr>
          <w:rFonts w:hAnsi="宋体" w:eastAsia="宋体"/>
          <w:sz w:val="24"/>
          <w:szCs w:val="24"/>
        </w:rPr>
      </w:pPr>
      <w:r>
        <w:rPr>
          <w:rFonts w:hAnsi="宋体" w:eastAsia="宋体"/>
          <w:sz w:val="24"/>
          <w:szCs w:val="24"/>
        </w:rPr>
        <w:t>4、在质保期内，乙方应对货物出现的质量及安全问题负责处理解决并承担一切费用。</w:t>
      </w:r>
    </w:p>
    <w:p>
      <w:pPr>
        <w:pStyle w:val="34"/>
        <w:snapToGrid w:val="0"/>
        <w:spacing w:line="400" w:lineRule="atLeast"/>
        <w:rPr>
          <w:rFonts w:hAnsi="宋体" w:eastAsia="宋体"/>
          <w:b/>
          <w:sz w:val="24"/>
          <w:szCs w:val="24"/>
        </w:rPr>
      </w:pPr>
      <w:r>
        <w:rPr>
          <w:rFonts w:hAnsi="宋体" w:eastAsia="宋体"/>
          <w:b/>
          <w:sz w:val="24"/>
          <w:szCs w:val="24"/>
        </w:rPr>
        <w:t>十一、货物包装、发运及运输</w:t>
      </w:r>
    </w:p>
    <w:p>
      <w:pPr>
        <w:pStyle w:val="34"/>
        <w:snapToGrid w:val="0"/>
        <w:spacing w:line="400" w:lineRule="atLeast"/>
        <w:ind w:firstLine="410" w:firstLineChars="171"/>
        <w:rPr>
          <w:rFonts w:hAnsi="宋体" w:eastAsia="宋体"/>
          <w:sz w:val="24"/>
          <w:szCs w:val="24"/>
        </w:rPr>
      </w:pPr>
      <w:r>
        <w:rPr>
          <w:rFonts w:hAnsi="宋体" w:eastAsia="宋体"/>
          <w:sz w:val="24"/>
          <w:szCs w:val="24"/>
        </w:rPr>
        <w:t>1、乙方应在货物发运前对其进行满足运输距离、防潮、防震、防锈和防破损装卸等要求包装，以保证货物安全运达甲方指定地点。</w:t>
      </w:r>
    </w:p>
    <w:p>
      <w:pPr>
        <w:pStyle w:val="34"/>
        <w:snapToGrid w:val="0"/>
        <w:spacing w:line="400" w:lineRule="atLeast"/>
        <w:ind w:firstLine="410" w:firstLineChars="171"/>
        <w:rPr>
          <w:rFonts w:hAnsi="宋体" w:eastAsia="宋体"/>
          <w:sz w:val="24"/>
          <w:szCs w:val="24"/>
        </w:rPr>
      </w:pPr>
      <w:r>
        <w:rPr>
          <w:rFonts w:hAnsi="宋体" w:eastAsia="宋体"/>
          <w:sz w:val="24"/>
          <w:szCs w:val="24"/>
        </w:rPr>
        <w:t>2、使用说明书、质量检验证明书、随配附件和工具以及清单一并附于货物内。</w:t>
      </w:r>
    </w:p>
    <w:p>
      <w:pPr>
        <w:pStyle w:val="34"/>
        <w:snapToGrid w:val="0"/>
        <w:spacing w:line="400" w:lineRule="atLeast"/>
        <w:ind w:firstLine="410" w:firstLineChars="171"/>
        <w:rPr>
          <w:rFonts w:hAnsi="宋体" w:eastAsia="宋体"/>
          <w:sz w:val="24"/>
          <w:szCs w:val="24"/>
        </w:rPr>
      </w:pPr>
      <w:r>
        <w:rPr>
          <w:rFonts w:hAnsi="宋体" w:eastAsia="宋体"/>
          <w:sz w:val="24"/>
          <w:szCs w:val="24"/>
        </w:rPr>
        <w:t>3、乙方在货物发运手续办理完毕后24小时内或货到甲方48小时前通知甲方，以准备接货。</w:t>
      </w:r>
    </w:p>
    <w:p>
      <w:pPr>
        <w:pStyle w:val="34"/>
        <w:snapToGrid w:val="0"/>
        <w:spacing w:line="400" w:lineRule="atLeast"/>
        <w:ind w:firstLine="410" w:firstLineChars="171"/>
        <w:rPr>
          <w:rFonts w:hAnsi="宋体" w:eastAsia="宋体"/>
          <w:sz w:val="24"/>
          <w:szCs w:val="24"/>
        </w:rPr>
      </w:pPr>
      <w:r>
        <w:rPr>
          <w:rFonts w:hAnsi="宋体" w:eastAsia="宋体"/>
          <w:sz w:val="24"/>
          <w:szCs w:val="24"/>
        </w:rPr>
        <w:t>4、货物在交付甲方前发生的风险均由乙方负责。</w:t>
      </w:r>
    </w:p>
    <w:p>
      <w:pPr>
        <w:pStyle w:val="34"/>
        <w:snapToGrid w:val="0"/>
        <w:spacing w:line="400" w:lineRule="atLeast"/>
        <w:ind w:firstLine="410" w:firstLineChars="171"/>
        <w:rPr>
          <w:rFonts w:hAnsi="宋体" w:eastAsia="宋体"/>
          <w:sz w:val="24"/>
          <w:szCs w:val="24"/>
        </w:rPr>
      </w:pPr>
      <w:r>
        <w:rPr>
          <w:rFonts w:hAnsi="宋体" w:eastAsia="宋体"/>
          <w:sz w:val="24"/>
          <w:szCs w:val="24"/>
        </w:rPr>
        <w:t>5、货物在规定的交付期限内由乙方送达甲方指定的地点视为交付，乙方同时需</w:t>
      </w:r>
    </w:p>
    <w:p>
      <w:pPr>
        <w:pStyle w:val="34"/>
        <w:snapToGrid w:val="0"/>
        <w:spacing w:line="400" w:lineRule="atLeast"/>
        <w:ind w:firstLine="410" w:firstLineChars="171"/>
        <w:rPr>
          <w:rFonts w:hAnsi="宋体" w:eastAsia="宋体"/>
          <w:sz w:val="24"/>
          <w:szCs w:val="24"/>
        </w:rPr>
      </w:pPr>
      <w:r>
        <w:rPr>
          <w:rFonts w:hAnsi="宋体" w:eastAsia="宋体"/>
          <w:sz w:val="24"/>
          <w:szCs w:val="24"/>
        </w:rPr>
        <w:t>通知甲方货物已送达。</w:t>
      </w:r>
    </w:p>
    <w:p>
      <w:pPr>
        <w:adjustRightInd w:val="0"/>
        <w:snapToGrid w:val="0"/>
        <w:spacing w:line="400" w:lineRule="atLeast"/>
        <w:rPr>
          <w:rFonts w:ascii="宋体" w:hAnsi="宋体"/>
          <w:b/>
          <w:sz w:val="24"/>
          <w:szCs w:val="24"/>
        </w:rPr>
      </w:pPr>
      <w:r>
        <w:rPr>
          <w:rFonts w:ascii="宋体" w:hAnsi="宋体"/>
          <w:b/>
          <w:sz w:val="24"/>
          <w:szCs w:val="24"/>
        </w:rPr>
        <w:t>十二、调试和验收</w:t>
      </w:r>
    </w:p>
    <w:p>
      <w:pPr>
        <w:pStyle w:val="34"/>
        <w:snapToGrid w:val="0"/>
        <w:spacing w:line="400" w:lineRule="atLeast"/>
        <w:ind w:firstLine="410"/>
        <w:rPr>
          <w:rFonts w:hint="eastAsia" w:hAnsi="宋体" w:eastAsia="宋体"/>
          <w:sz w:val="24"/>
          <w:szCs w:val="24"/>
        </w:rPr>
      </w:pPr>
      <w:r>
        <w:rPr>
          <w:rFonts w:hint="eastAsia" w:hAnsi="宋体" w:eastAsia="宋体"/>
          <w:sz w:val="24"/>
          <w:szCs w:val="24"/>
        </w:rPr>
        <w:t> </w:t>
      </w:r>
      <w:r>
        <w:rPr>
          <w:rFonts w:hint="eastAsia" w:hAnsi="宋体" w:eastAsia="宋体"/>
          <w:b/>
          <w:bCs/>
          <w:sz w:val="24"/>
          <w:szCs w:val="24"/>
        </w:rPr>
        <w:t>A、甲方初步验收</w:t>
      </w:r>
      <w:r>
        <w:rPr>
          <w:rFonts w:hint="eastAsia" w:hAnsi="宋体" w:eastAsia="宋体"/>
          <w:sz w:val="24"/>
          <w:szCs w:val="24"/>
        </w:rPr>
        <w:t>：</w:t>
      </w:r>
    </w:p>
    <w:p>
      <w:pPr>
        <w:pStyle w:val="34"/>
        <w:snapToGrid w:val="0"/>
        <w:spacing w:line="400" w:lineRule="atLeast"/>
        <w:ind w:firstLine="410"/>
        <w:rPr>
          <w:rFonts w:hint="eastAsia" w:hAnsi="宋体" w:eastAsia="宋体"/>
          <w:sz w:val="24"/>
          <w:szCs w:val="24"/>
        </w:rPr>
      </w:pPr>
      <w:r>
        <w:rPr>
          <w:rFonts w:hint="eastAsia" w:hAnsi="宋体" w:eastAsia="宋体"/>
          <w:sz w:val="24"/>
          <w:szCs w:val="24"/>
        </w:rPr>
        <w:t>1、甲方对乙方提交的货物依据招标文件、投标文件及其补充变更文件上的技术规格要求和国家有关质量标准进行现场初步验收，外观、说明书符合要求的，给予签收，初步验收不合格的不予签收。</w:t>
      </w:r>
    </w:p>
    <w:p>
      <w:pPr>
        <w:pStyle w:val="34"/>
        <w:snapToGrid w:val="0"/>
        <w:spacing w:line="400" w:lineRule="atLeast"/>
        <w:ind w:firstLine="410"/>
        <w:rPr>
          <w:rFonts w:hint="eastAsia" w:hAnsi="宋体" w:eastAsia="宋体"/>
          <w:sz w:val="24"/>
          <w:szCs w:val="24"/>
        </w:rPr>
      </w:pPr>
      <w:r>
        <w:rPr>
          <w:rFonts w:hint="eastAsia" w:hAnsi="宋体" w:eastAsia="宋体"/>
          <w:sz w:val="24"/>
          <w:szCs w:val="24"/>
        </w:rPr>
        <w:t>2、乙方交货前应对产品作出全面检查和对验收文件进行整理，并列出清单，作为甲方收货验收和使用的技术条件依据，检验的结果应随货物交甲方。</w:t>
      </w:r>
    </w:p>
    <w:p>
      <w:pPr>
        <w:pStyle w:val="34"/>
        <w:snapToGrid w:val="0"/>
        <w:spacing w:line="400" w:lineRule="atLeast"/>
        <w:ind w:firstLine="410"/>
        <w:rPr>
          <w:rFonts w:hint="eastAsia" w:hAnsi="宋体" w:eastAsia="宋体"/>
          <w:sz w:val="24"/>
          <w:szCs w:val="24"/>
        </w:rPr>
      </w:pPr>
      <w:r>
        <w:rPr>
          <w:rFonts w:hint="eastAsia" w:hAnsi="宋体" w:eastAsia="宋体"/>
          <w:sz w:val="24"/>
          <w:szCs w:val="24"/>
        </w:rPr>
        <w:t>3、甲方对乙方提供的货物在使用前进行调试时，乙方需负责安装并培训甲方的使用操作人员，并协助甲方一起调试，直到符合技术要求，甲方才做最终验收。</w:t>
      </w:r>
    </w:p>
    <w:p>
      <w:pPr>
        <w:pStyle w:val="34"/>
        <w:snapToGrid w:val="0"/>
        <w:spacing w:line="400" w:lineRule="atLeast"/>
        <w:ind w:firstLine="410"/>
        <w:rPr>
          <w:rFonts w:hint="eastAsia" w:hAnsi="宋体" w:eastAsia="宋体"/>
          <w:sz w:val="24"/>
          <w:szCs w:val="24"/>
        </w:rPr>
      </w:pPr>
      <w:r>
        <w:rPr>
          <w:rFonts w:hint="eastAsia" w:hAnsi="宋体" w:eastAsia="宋体"/>
          <w:sz w:val="24"/>
          <w:szCs w:val="24"/>
        </w:rPr>
        <w:t>4、对技术复杂的货物，甲方应请国家认可的专业检测机构参与初步验收及最终验收，并由其出具质量检测报告。验收时乙方必须在现场，验收完毕后作出验收结果报告；验收费用由乙方承担。</w:t>
      </w:r>
    </w:p>
    <w:p>
      <w:pPr>
        <w:pStyle w:val="34"/>
        <w:snapToGrid w:val="0"/>
        <w:spacing w:line="400" w:lineRule="atLeast"/>
        <w:ind w:firstLine="410"/>
        <w:rPr>
          <w:rFonts w:hint="eastAsia" w:hAnsi="宋体" w:eastAsia="宋体"/>
          <w:b/>
          <w:bCs/>
          <w:sz w:val="24"/>
          <w:szCs w:val="24"/>
        </w:rPr>
      </w:pPr>
      <w:r>
        <w:rPr>
          <w:rFonts w:hint="eastAsia" w:hAnsi="宋体" w:eastAsia="宋体"/>
          <w:b/>
          <w:bCs/>
          <w:sz w:val="24"/>
          <w:szCs w:val="24"/>
        </w:rPr>
        <w:t>B、甲方最终验收：</w:t>
      </w:r>
    </w:p>
    <w:p>
      <w:pPr>
        <w:pStyle w:val="34"/>
        <w:snapToGrid w:val="0"/>
        <w:spacing w:line="400" w:lineRule="atLeast"/>
        <w:ind w:firstLine="410"/>
        <w:rPr>
          <w:rFonts w:hint="eastAsia" w:hAnsi="宋体" w:eastAsia="宋体"/>
          <w:sz w:val="24"/>
          <w:szCs w:val="24"/>
        </w:rPr>
      </w:pPr>
      <w:r>
        <w:rPr>
          <w:rFonts w:hint="eastAsia" w:hAnsi="宋体" w:eastAsia="宋体"/>
          <w:sz w:val="24"/>
          <w:szCs w:val="24"/>
        </w:rPr>
        <w:t> 1、根据余财采〔2020〕14号《关于转发《杭州市政府采购履约验收暂行办法》的通知》执行。</w:t>
      </w:r>
    </w:p>
    <w:p>
      <w:pPr>
        <w:pStyle w:val="34"/>
        <w:snapToGrid w:val="0"/>
        <w:spacing w:line="400" w:lineRule="atLeast"/>
        <w:ind w:firstLine="410"/>
        <w:rPr>
          <w:rFonts w:hint="eastAsia" w:hAnsi="宋体" w:eastAsia="宋体"/>
          <w:sz w:val="24"/>
          <w:szCs w:val="24"/>
        </w:rPr>
      </w:pPr>
      <w:r>
        <w:rPr>
          <w:rFonts w:hint="eastAsia" w:hAnsi="宋体" w:eastAsia="宋体"/>
          <w:sz w:val="24"/>
          <w:szCs w:val="24"/>
        </w:rPr>
        <w:t> 2、经验收不合格且无法整改的，不付款不退货，所产生的所有损失由乙方承担。</w:t>
      </w:r>
    </w:p>
    <w:p>
      <w:pPr>
        <w:pStyle w:val="34"/>
        <w:snapToGrid w:val="0"/>
        <w:spacing w:line="400" w:lineRule="atLeast"/>
        <w:ind w:firstLine="410"/>
        <w:rPr>
          <w:rFonts w:hint="eastAsia" w:hAnsi="宋体" w:eastAsia="宋体"/>
          <w:sz w:val="24"/>
          <w:szCs w:val="24"/>
        </w:rPr>
      </w:pPr>
      <w:r>
        <w:rPr>
          <w:rFonts w:hint="eastAsia" w:hAnsi="宋体" w:eastAsia="宋体"/>
          <w:sz w:val="24"/>
          <w:szCs w:val="24"/>
        </w:rPr>
        <w:t> 3、验收产生的费用，由乙方承担。</w:t>
      </w:r>
    </w:p>
    <w:p>
      <w:pPr>
        <w:pStyle w:val="34"/>
        <w:snapToGrid w:val="0"/>
        <w:spacing w:line="400" w:lineRule="atLeast"/>
        <w:ind w:firstLine="410"/>
        <w:rPr>
          <w:rFonts w:hint="eastAsia" w:hAnsi="宋体" w:eastAsia="宋体"/>
          <w:b/>
          <w:bCs/>
          <w:sz w:val="24"/>
          <w:szCs w:val="24"/>
        </w:rPr>
      </w:pPr>
      <w:r>
        <w:rPr>
          <w:rFonts w:hint="eastAsia" w:hAnsi="宋体" w:eastAsia="宋体"/>
          <w:b/>
          <w:bCs/>
          <w:sz w:val="24"/>
          <w:szCs w:val="24"/>
        </w:rPr>
        <w:t> C、国家规定应由专业机构强制检测或已聘请专业监理公司监理的采购项目，在强制检测或专业监理的基础上，采购人根据项目实际需要，组织进一步验收，验收费用由乙方承担。</w:t>
      </w:r>
    </w:p>
    <w:p>
      <w:pPr>
        <w:pStyle w:val="34"/>
        <w:snapToGrid w:val="0"/>
        <w:spacing w:line="400" w:lineRule="atLeast"/>
        <w:rPr>
          <w:rFonts w:hAnsi="宋体" w:eastAsia="宋体"/>
          <w:b/>
          <w:sz w:val="24"/>
          <w:szCs w:val="24"/>
        </w:rPr>
      </w:pPr>
      <w:r>
        <w:rPr>
          <w:rFonts w:hAnsi="宋体" w:eastAsia="宋体"/>
          <w:b/>
          <w:sz w:val="24"/>
          <w:szCs w:val="24"/>
        </w:rPr>
        <w:t>十三、违约责任</w:t>
      </w:r>
    </w:p>
    <w:p>
      <w:pPr>
        <w:pStyle w:val="34"/>
        <w:snapToGrid w:val="0"/>
        <w:spacing w:line="400" w:lineRule="atLeast"/>
        <w:ind w:firstLine="410" w:firstLineChars="171"/>
        <w:rPr>
          <w:rFonts w:hAnsi="宋体" w:eastAsia="宋体"/>
          <w:sz w:val="24"/>
          <w:szCs w:val="24"/>
        </w:rPr>
      </w:pPr>
      <w:r>
        <w:rPr>
          <w:rFonts w:hAnsi="宋体" w:eastAsia="宋体"/>
          <w:sz w:val="24"/>
          <w:szCs w:val="24"/>
        </w:rPr>
        <w:t>1、甲方无正当理由拒收货物的，甲方向乙方偿付拒收货款总值的()%违约金。</w:t>
      </w:r>
    </w:p>
    <w:p>
      <w:pPr>
        <w:pStyle w:val="34"/>
        <w:snapToGrid w:val="0"/>
        <w:spacing w:line="400" w:lineRule="atLeast"/>
        <w:ind w:firstLine="410" w:firstLineChars="171"/>
        <w:rPr>
          <w:rFonts w:hAnsi="宋体" w:eastAsia="宋体"/>
          <w:sz w:val="24"/>
          <w:szCs w:val="24"/>
        </w:rPr>
      </w:pPr>
      <w:r>
        <w:rPr>
          <w:rFonts w:hAnsi="宋体" w:eastAsia="宋体"/>
          <w:sz w:val="24"/>
          <w:szCs w:val="24"/>
        </w:rPr>
        <w:t>2、甲方无故逾期验收和办理货款支付手续的,甲方应按逾期付款总额每日千分之（）向乙方支付违约金。</w:t>
      </w:r>
    </w:p>
    <w:p>
      <w:pPr>
        <w:pStyle w:val="34"/>
        <w:snapToGrid w:val="0"/>
        <w:spacing w:line="400" w:lineRule="atLeast"/>
        <w:ind w:firstLine="410" w:firstLineChars="171"/>
        <w:rPr>
          <w:rFonts w:hAnsi="宋体" w:eastAsia="宋体"/>
          <w:sz w:val="24"/>
          <w:szCs w:val="24"/>
        </w:rPr>
      </w:pPr>
      <w:r>
        <w:rPr>
          <w:rFonts w:hAnsi="宋体" w:eastAsia="宋体"/>
          <w:sz w:val="24"/>
          <w:szCs w:val="24"/>
        </w:rPr>
        <w:t xml:space="preserve">3、乙方逾期交付货物的，乙方应按逾期交货总额每日千分之（）向甲方支付违约金，由甲方从待付货款中扣除。逾期超过约定日期10个工作日不能交货的，甲方可解除本合同。乙方因逾期交货或因其他违约行为导致甲方解除合同的，乙方应向甲方支付合同总值（）%的违约金，如造成甲方损失超过违约金的，超出部分由乙方继续承担赔偿责任。 </w:t>
      </w:r>
    </w:p>
    <w:p>
      <w:pPr>
        <w:pStyle w:val="34"/>
        <w:snapToGrid w:val="0"/>
        <w:spacing w:line="400" w:lineRule="atLeast"/>
        <w:ind w:firstLine="410" w:firstLineChars="171"/>
        <w:rPr>
          <w:rFonts w:hAnsi="宋体" w:eastAsia="宋体"/>
          <w:sz w:val="24"/>
          <w:szCs w:val="24"/>
        </w:rPr>
      </w:pPr>
      <w:r>
        <w:rPr>
          <w:rFonts w:hAnsi="宋体" w:eastAsia="宋体"/>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4"/>
        <w:snapToGrid w:val="0"/>
        <w:spacing w:line="400" w:lineRule="atLeast"/>
        <w:rPr>
          <w:rFonts w:hAnsi="宋体" w:eastAsia="宋体"/>
          <w:b/>
          <w:sz w:val="24"/>
          <w:szCs w:val="24"/>
        </w:rPr>
      </w:pPr>
      <w:r>
        <w:rPr>
          <w:rFonts w:hAnsi="宋体" w:eastAsia="宋体"/>
          <w:b/>
          <w:sz w:val="24"/>
          <w:szCs w:val="24"/>
        </w:rPr>
        <w:t>十四、不可抗力事件处理</w:t>
      </w:r>
    </w:p>
    <w:p>
      <w:pPr>
        <w:pStyle w:val="34"/>
        <w:snapToGrid w:val="0"/>
        <w:spacing w:line="400" w:lineRule="atLeast"/>
        <w:ind w:firstLine="410" w:firstLineChars="171"/>
        <w:rPr>
          <w:rFonts w:hAnsi="宋体" w:eastAsia="宋体"/>
          <w:sz w:val="24"/>
          <w:szCs w:val="24"/>
        </w:rPr>
      </w:pPr>
      <w:r>
        <w:rPr>
          <w:rFonts w:hAnsi="宋体" w:eastAsia="宋体"/>
          <w:sz w:val="24"/>
          <w:szCs w:val="24"/>
        </w:rPr>
        <w:t>1、在合同有效期内，任何一方因不可抗力事件导致不能履行合同，则合同履行期可延长，其延长期与不可抗力影响期相同。</w:t>
      </w:r>
    </w:p>
    <w:p>
      <w:pPr>
        <w:pStyle w:val="34"/>
        <w:snapToGrid w:val="0"/>
        <w:spacing w:line="400" w:lineRule="atLeast"/>
        <w:ind w:firstLine="410" w:firstLineChars="171"/>
        <w:rPr>
          <w:rFonts w:hAnsi="宋体" w:eastAsia="宋体"/>
          <w:sz w:val="24"/>
          <w:szCs w:val="24"/>
        </w:rPr>
      </w:pPr>
      <w:r>
        <w:rPr>
          <w:rFonts w:hAnsi="宋体" w:eastAsia="宋体"/>
          <w:sz w:val="24"/>
          <w:szCs w:val="24"/>
        </w:rPr>
        <w:t>2、不可抗力事件发生后，应立即通知对方，并寄送有关权威机构出具的证明。</w:t>
      </w:r>
    </w:p>
    <w:p>
      <w:pPr>
        <w:pStyle w:val="34"/>
        <w:snapToGrid w:val="0"/>
        <w:spacing w:line="400" w:lineRule="atLeast"/>
        <w:ind w:firstLine="410" w:firstLineChars="171"/>
        <w:rPr>
          <w:rFonts w:hAnsi="宋体" w:eastAsia="宋体"/>
          <w:sz w:val="24"/>
          <w:szCs w:val="24"/>
        </w:rPr>
      </w:pPr>
      <w:r>
        <w:rPr>
          <w:rFonts w:hAnsi="宋体" w:eastAsia="宋体"/>
          <w:sz w:val="24"/>
          <w:szCs w:val="24"/>
        </w:rPr>
        <w:t>3、不可抗力事件延续120天以上，双方应通过友好协商，确定是否继续履行合同。</w:t>
      </w:r>
    </w:p>
    <w:p>
      <w:pPr>
        <w:pStyle w:val="34"/>
        <w:snapToGrid w:val="0"/>
        <w:spacing w:line="400" w:lineRule="atLeast"/>
        <w:rPr>
          <w:rFonts w:hAnsi="宋体" w:eastAsia="宋体"/>
          <w:b/>
          <w:sz w:val="24"/>
          <w:szCs w:val="24"/>
        </w:rPr>
      </w:pPr>
      <w:r>
        <w:rPr>
          <w:rFonts w:hAnsi="宋体" w:eastAsia="宋体"/>
          <w:b/>
          <w:sz w:val="24"/>
          <w:szCs w:val="24"/>
        </w:rPr>
        <w:t>十五、诉讼</w:t>
      </w:r>
    </w:p>
    <w:p>
      <w:pPr>
        <w:pStyle w:val="34"/>
        <w:snapToGrid w:val="0"/>
        <w:spacing w:line="400" w:lineRule="atLeast"/>
        <w:ind w:firstLine="410" w:firstLineChars="171"/>
        <w:rPr>
          <w:rFonts w:hAnsi="宋体" w:eastAsia="宋体"/>
          <w:sz w:val="24"/>
          <w:szCs w:val="24"/>
        </w:rPr>
      </w:pPr>
      <w:r>
        <w:rPr>
          <w:rFonts w:hAnsi="宋体" w:eastAsia="宋体"/>
          <w:sz w:val="24"/>
          <w:szCs w:val="24"/>
        </w:rPr>
        <w:t xml:space="preserve"> 双方在执行合同中所发生的一切争议，应通过协商解决。如协商不成，可向甲方所在地法院起诉。</w:t>
      </w:r>
    </w:p>
    <w:p>
      <w:pPr>
        <w:pStyle w:val="34"/>
        <w:snapToGrid w:val="0"/>
        <w:spacing w:line="400" w:lineRule="atLeast"/>
        <w:rPr>
          <w:rFonts w:hAnsi="宋体" w:eastAsia="宋体"/>
          <w:b/>
          <w:sz w:val="24"/>
          <w:szCs w:val="24"/>
        </w:rPr>
      </w:pPr>
      <w:r>
        <w:rPr>
          <w:rFonts w:hAnsi="宋体" w:eastAsia="宋体"/>
          <w:b/>
          <w:sz w:val="24"/>
          <w:szCs w:val="24"/>
        </w:rPr>
        <w:t>十六、合同生效及其它</w:t>
      </w:r>
    </w:p>
    <w:p>
      <w:pPr>
        <w:pStyle w:val="34"/>
        <w:snapToGrid w:val="0"/>
        <w:spacing w:line="400" w:lineRule="atLeast"/>
        <w:ind w:firstLine="410" w:firstLineChars="171"/>
        <w:rPr>
          <w:rFonts w:hAnsi="宋体" w:eastAsia="宋体"/>
          <w:sz w:val="24"/>
          <w:szCs w:val="24"/>
        </w:rPr>
      </w:pPr>
      <w:r>
        <w:rPr>
          <w:rFonts w:hAnsi="宋体" w:eastAsia="宋体"/>
          <w:sz w:val="24"/>
          <w:szCs w:val="24"/>
        </w:rPr>
        <w:t>1、招标文件、投标文件、更正公告、中标通知书、承诺函等均作为本合同组成部分，具有同等效力。</w:t>
      </w:r>
    </w:p>
    <w:p>
      <w:pPr>
        <w:pStyle w:val="34"/>
        <w:snapToGrid w:val="0"/>
        <w:spacing w:line="400" w:lineRule="atLeast"/>
        <w:ind w:firstLine="410" w:firstLineChars="171"/>
        <w:rPr>
          <w:rFonts w:hAnsi="宋体" w:eastAsia="宋体"/>
          <w:sz w:val="24"/>
          <w:szCs w:val="24"/>
        </w:rPr>
      </w:pPr>
      <w:r>
        <w:rPr>
          <w:rFonts w:hAnsi="宋体" w:eastAsia="宋体"/>
          <w:sz w:val="24"/>
          <w:szCs w:val="24"/>
        </w:rPr>
        <w:t>2、合同执行中涉及采购资金和采购内容修改或补充的，须经财政部门审批，并签书面补充协议报政府采购监督管理部门备案，作为主合同不可分割的一部分。</w:t>
      </w:r>
    </w:p>
    <w:p>
      <w:pPr>
        <w:pStyle w:val="34"/>
        <w:snapToGrid w:val="0"/>
        <w:spacing w:line="400" w:lineRule="atLeast"/>
        <w:ind w:firstLine="410" w:firstLineChars="171"/>
        <w:rPr>
          <w:rFonts w:hAnsi="宋体" w:eastAsia="宋体"/>
          <w:sz w:val="24"/>
          <w:szCs w:val="24"/>
        </w:rPr>
      </w:pPr>
      <w:r>
        <w:rPr>
          <w:rFonts w:hAnsi="宋体" w:eastAsia="宋体"/>
          <w:sz w:val="24"/>
          <w:szCs w:val="24"/>
        </w:rPr>
        <w:t>3、</w:t>
      </w:r>
      <w:r>
        <w:rPr>
          <w:rFonts w:hAnsi="宋体" w:eastAsia="宋体"/>
          <w:sz w:val="24"/>
          <w:szCs w:val="24"/>
          <w:lang w:val="zh-CN"/>
        </w:rPr>
        <w:t>本合同</w:t>
      </w:r>
      <w:r>
        <w:rPr>
          <w:rFonts w:hAnsi="宋体" w:eastAsia="宋体"/>
          <w:sz w:val="24"/>
          <w:szCs w:val="24"/>
        </w:rPr>
        <w:t>（□是  □</w:t>
      </w:r>
      <w:r>
        <w:rPr>
          <w:rFonts w:hAnsi="宋体" w:eastAsia="宋体"/>
          <w:sz w:val="24"/>
          <w:szCs w:val="24"/>
          <w:lang w:val="zh-CN"/>
        </w:rPr>
        <w:t>否</w:t>
      </w:r>
      <w:r>
        <w:rPr>
          <w:rFonts w:hAnsi="宋体" w:eastAsia="宋体"/>
          <w:sz w:val="24"/>
          <w:szCs w:val="24"/>
        </w:rPr>
        <w:t>）</w:t>
      </w:r>
      <w:r>
        <w:rPr>
          <w:rFonts w:hAnsi="宋体" w:eastAsia="宋体"/>
          <w:sz w:val="24"/>
          <w:szCs w:val="24"/>
          <w:lang w:val="zh-CN"/>
        </w:rPr>
        <w:t>为可融资合同</w:t>
      </w:r>
      <w:r>
        <w:rPr>
          <w:rFonts w:hAnsi="宋体" w:eastAsia="宋体"/>
          <w:sz w:val="24"/>
          <w:szCs w:val="24"/>
        </w:rPr>
        <w:t>，</w:t>
      </w:r>
      <w:r>
        <w:rPr>
          <w:rFonts w:hAnsi="宋体" w:eastAsia="宋体"/>
          <w:sz w:val="24"/>
          <w:szCs w:val="24"/>
          <w:lang w:val="zh-CN"/>
        </w:rPr>
        <w:t>关于中小企业信用融资事项</w:t>
      </w:r>
      <w:r>
        <w:rPr>
          <w:rFonts w:hAnsi="宋体" w:eastAsia="宋体"/>
          <w:sz w:val="24"/>
          <w:szCs w:val="24"/>
        </w:rPr>
        <w:t>可登陆余杭区公共资源交易网（http://www.yhggzy.com.cn/）“余杭区中小企业信用融资模块”进行查询。</w:t>
      </w:r>
    </w:p>
    <w:p>
      <w:pPr>
        <w:pStyle w:val="34"/>
        <w:snapToGrid w:val="0"/>
        <w:spacing w:line="400" w:lineRule="atLeast"/>
        <w:ind w:firstLine="410" w:firstLineChars="171"/>
        <w:rPr>
          <w:rFonts w:hAnsi="宋体" w:eastAsia="宋体"/>
          <w:sz w:val="24"/>
          <w:szCs w:val="24"/>
        </w:rPr>
      </w:pPr>
      <w:r>
        <w:rPr>
          <w:rFonts w:hAnsi="宋体" w:eastAsia="宋体"/>
          <w:sz w:val="24"/>
          <w:szCs w:val="24"/>
        </w:rPr>
        <w:t>4、本合同未尽事宜，遵照《合同法》有关条文执行。</w:t>
      </w:r>
    </w:p>
    <w:p>
      <w:pPr>
        <w:pStyle w:val="34"/>
        <w:snapToGrid w:val="0"/>
        <w:spacing w:line="400" w:lineRule="atLeast"/>
        <w:ind w:firstLine="410" w:firstLineChars="171"/>
        <w:rPr>
          <w:rFonts w:hAnsi="宋体" w:eastAsia="宋体"/>
          <w:sz w:val="24"/>
          <w:szCs w:val="24"/>
        </w:rPr>
      </w:pPr>
      <w:r>
        <w:rPr>
          <w:rFonts w:hAnsi="宋体" w:eastAsia="宋体"/>
          <w:sz w:val="24"/>
          <w:szCs w:val="24"/>
        </w:rPr>
        <w:t>5、本合同一式多份，具有同等法律效力，甲乙双方、鉴证方、区财政局采购监管科、验收单位，各执一份。</w:t>
      </w:r>
    </w:p>
    <w:p>
      <w:pPr>
        <w:spacing w:line="400" w:lineRule="atLeast"/>
        <w:rPr>
          <w:rFonts w:ascii="Times New Roman" w:hAnsi="Times New Roman"/>
          <w:sz w:val="24"/>
          <w:szCs w:val="24"/>
        </w:rPr>
      </w:pPr>
    </w:p>
    <w:p>
      <w:pPr>
        <w:spacing w:line="400" w:lineRule="atLeast"/>
        <w:ind w:firstLine="360" w:firstLineChars="150"/>
        <w:jc w:val="left"/>
        <w:rPr>
          <w:rFonts w:ascii="Times New Roman" w:hAnsi="Times New Roman"/>
          <w:sz w:val="24"/>
          <w:szCs w:val="24"/>
        </w:rPr>
      </w:pPr>
      <w:r>
        <w:rPr>
          <w:rFonts w:ascii="Times New Roman" w:hAnsi="Times New Roman"/>
          <w:sz w:val="24"/>
          <w:szCs w:val="24"/>
        </w:rPr>
        <w:t xml:space="preserve"> 甲方（盖章）：                          乙方（盖章）：                 </w:t>
      </w:r>
    </w:p>
    <w:p>
      <w:pPr>
        <w:spacing w:line="400" w:lineRule="atLeast"/>
        <w:ind w:firstLine="480" w:firstLineChars="200"/>
        <w:jc w:val="left"/>
        <w:rPr>
          <w:rFonts w:ascii="Times New Roman" w:hAnsi="Times New Roman"/>
          <w:sz w:val="24"/>
          <w:szCs w:val="24"/>
        </w:rPr>
      </w:pPr>
      <w:r>
        <w:rPr>
          <w:rFonts w:ascii="Times New Roman" w:hAnsi="Times New Roman"/>
          <w:sz w:val="24"/>
          <w:szCs w:val="24"/>
        </w:rPr>
        <w:t xml:space="preserve">法定代表人：                           法定代表人：                </w:t>
      </w:r>
    </w:p>
    <w:p>
      <w:pPr>
        <w:spacing w:line="400" w:lineRule="atLeast"/>
        <w:ind w:firstLine="480" w:firstLineChars="200"/>
        <w:jc w:val="left"/>
        <w:rPr>
          <w:rFonts w:ascii="Times New Roman" w:hAnsi="Times New Roman"/>
          <w:sz w:val="24"/>
          <w:szCs w:val="24"/>
        </w:rPr>
      </w:pPr>
      <w:r>
        <w:rPr>
          <w:rFonts w:ascii="Times New Roman" w:hAnsi="Times New Roman"/>
          <w:sz w:val="24"/>
          <w:szCs w:val="24"/>
        </w:rPr>
        <w:t xml:space="preserve">或授权代表（签字）：                    或授权代表（签字）：           </w:t>
      </w:r>
    </w:p>
    <w:p>
      <w:pPr>
        <w:spacing w:line="400" w:lineRule="atLeast"/>
        <w:ind w:firstLine="480" w:firstLineChars="200"/>
        <w:jc w:val="left"/>
        <w:rPr>
          <w:rFonts w:ascii="Times New Roman" w:hAnsi="Times New Roman"/>
          <w:sz w:val="24"/>
          <w:szCs w:val="24"/>
        </w:rPr>
      </w:pPr>
      <w:r>
        <w:rPr>
          <w:rFonts w:ascii="Times New Roman" w:hAnsi="Times New Roman"/>
          <w:sz w:val="24"/>
          <w:szCs w:val="24"/>
        </w:rPr>
        <w:t xml:space="preserve">地址：                                 地址：    </w:t>
      </w:r>
    </w:p>
    <w:p>
      <w:pPr>
        <w:spacing w:line="400" w:lineRule="atLeast"/>
        <w:ind w:firstLine="480" w:firstLineChars="200"/>
        <w:jc w:val="left"/>
        <w:rPr>
          <w:rFonts w:ascii="Times New Roman" w:hAnsi="Times New Roman"/>
          <w:sz w:val="24"/>
          <w:szCs w:val="24"/>
        </w:rPr>
      </w:pPr>
      <w:r>
        <w:rPr>
          <w:rFonts w:ascii="Times New Roman" w:hAnsi="Times New Roman"/>
          <w:sz w:val="24"/>
          <w:szCs w:val="24"/>
        </w:rPr>
        <w:t xml:space="preserve">邮编：                                 邮编：                     </w:t>
      </w:r>
    </w:p>
    <w:p>
      <w:pPr>
        <w:spacing w:line="400" w:lineRule="atLeast"/>
        <w:ind w:firstLine="480" w:firstLineChars="200"/>
        <w:jc w:val="left"/>
        <w:rPr>
          <w:rFonts w:ascii="Times New Roman" w:hAnsi="Times New Roman"/>
          <w:sz w:val="24"/>
          <w:szCs w:val="24"/>
        </w:rPr>
      </w:pPr>
      <w:r>
        <w:rPr>
          <w:rFonts w:ascii="Times New Roman" w:hAnsi="Times New Roman"/>
          <w:sz w:val="24"/>
          <w:szCs w:val="24"/>
        </w:rPr>
        <w:t xml:space="preserve">电话：                                 电话：             </w:t>
      </w:r>
    </w:p>
    <w:p>
      <w:pPr>
        <w:spacing w:line="400" w:lineRule="atLeast"/>
        <w:ind w:firstLine="480" w:firstLineChars="200"/>
        <w:jc w:val="left"/>
        <w:rPr>
          <w:rFonts w:ascii="Times New Roman" w:hAnsi="Times New Roman"/>
          <w:sz w:val="24"/>
          <w:szCs w:val="24"/>
        </w:rPr>
      </w:pPr>
      <w:r>
        <w:rPr>
          <w:rFonts w:ascii="Times New Roman" w:hAnsi="Times New Roman"/>
          <w:sz w:val="24"/>
          <w:szCs w:val="24"/>
        </w:rPr>
        <w:t xml:space="preserve">传真：                                 传真：         </w:t>
      </w:r>
    </w:p>
    <w:p>
      <w:pPr>
        <w:spacing w:line="400" w:lineRule="atLeast"/>
        <w:ind w:firstLine="480" w:firstLineChars="200"/>
        <w:jc w:val="left"/>
        <w:rPr>
          <w:rFonts w:ascii="Times New Roman" w:hAnsi="Times New Roman"/>
          <w:sz w:val="24"/>
          <w:szCs w:val="24"/>
        </w:rPr>
      </w:pPr>
      <w:r>
        <w:rPr>
          <w:rFonts w:ascii="Times New Roman" w:hAnsi="Times New Roman"/>
          <w:sz w:val="24"/>
          <w:szCs w:val="24"/>
        </w:rPr>
        <w:t xml:space="preserve">开户银行：                             开户银行：    </w:t>
      </w:r>
    </w:p>
    <w:p>
      <w:pPr>
        <w:spacing w:line="400" w:lineRule="atLeast"/>
        <w:ind w:firstLine="480" w:firstLineChars="200"/>
        <w:jc w:val="left"/>
        <w:rPr>
          <w:rFonts w:ascii="Times New Roman" w:hAnsi="Times New Roman"/>
          <w:sz w:val="24"/>
          <w:szCs w:val="24"/>
        </w:rPr>
      </w:pPr>
      <w:r>
        <w:rPr>
          <w:rFonts w:ascii="Times New Roman" w:hAnsi="Times New Roman"/>
          <w:sz w:val="24"/>
          <w:szCs w:val="24"/>
        </w:rPr>
        <w:t xml:space="preserve">帐号：                                 帐号：     </w:t>
      </w:r>
    </w:p>
    <w:p>
      <w:pPr>
        <w:spacing w:line="400" w:lineRule="atLeast"/>
        <w:ind w:right="120"/>
        <w:jc w:val="both"/>
        <w:rPr>
          <w:rFonts w:ascii="Times New Roman" w:hAnsi="Times New Roman"/>
          <w:sz w:val="24"/>
          <w:szCs w:val="24"/>
        </w:rPr>
      </w:pPr>
      <w:r>
        <w:rPr>
          <w:rFonts w:ascii="Times New Roman" w:hAnsi="Times New Roman"/>
          <w:sz w:val="24"/>
          <w:szCs w:val="24"/>
        </w:rPr>
        <w:t>签约时间：      年    月   日</w:t>
      </w:r>
    </w:p>
    <w:p>
      <w:pPr>
        <w:spacing w:line="400" w:lineRule="atLeast"/>
        <w:jc w:val="center"/>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签约地点：     </w:t>
      </w:r>
    </w:p>
    <w:p>
      <w:pPr>
        <w:spacing w:line="400" w:lineRule="atLeast"/>
        <w:jc w:val="center"/>
        <w:rPr>
          <w:rFonts w:ascii="Times New Roman" w:hAnsi="Times New Roman" w:eastAsia="宋体"/>
          <w:sz w:val="24"/>
          <w:szCs w:val="24"/>
        </w:rPr>
      </w:pPr>
      <w:r>
        <w:rPr>
          <w:rFonts w:ascii="Times New Roman" w:hAnsi="Times New Roman"/>
          <w:sz w:val="24"/>
          <w:szCs w:val="24"/>
        </w:rPr>
        <w:t xml:space="preserve">          </w:t>
      </w:r>
      <w:bookmarkStart w:id="394" w:name="_Toc339872468"/>
      <w:bookmarkStart w:id="395" w:name="_Toc326765771"/>
      <w:bookmarkStart w:id="396" w:name="_Toc349721554"/>
      <w:bookmarkStart w:id="397" w:name="_Toc328381300"/>
      <w:bookmarkStart w:id="398" w:name="_Toc350327365"/>
      <w:r>
        <w:rPr>
          <w:rFonts w:hint="eastAsia" w:ascii="宋体" w:hAnsi="宋体" w:eastAsia="宋体" w:cs="宋体"/>
          <w:sz w:val="24"/>
          <w:szCs w:val="24"/>
        </w:rPr>
        <w:t>★</w:t>
      </w:r>
      <w:r>
        <w:rPr>
          <w:rFonts w:ascii="Times New Roman" w:hAnsi="Times New Roman" w:eastAsia="宋体"/>
          <w:sz w:val="24"/>
          <w:szCs w:val="24"/>
        </w:rPr>
        <w:t xml:space="preserve"> 此仅为合同书样本，中标单位需根据实际情况和采购人签订相应的合同！</w:t>
      </w:r>
      <w:bookmarkEnd w:id="394"/>
      <w:bookmarkEnd w:id="395"/>
      <w:bookmarkEnd w:id="396"/>
      <w:bookmarkEnd w:id="397"/>
      <w:bookmarkEnd w:id="398"/>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5"/>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88"/>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color="auto"/>
        </w:rPr>
        <w:t xml:space="preserve">  </w:t>
      </w:r>
      <w:r>
        <w:rPr>
          <w:rFonts w:hint="eastAsia" w:ascii="仿宋_GB2312" w:hAnsi="仿宋" w:eastAsia="仿宋_GB2312" w:cs="仿宋_GB2312"/>
          <w:kern w:val="0"/>
          <w:sz w:val="24"/>
          <w:u w:val="single" w:color="auto"/>
          <w:lang w:val="zh-CN"/>
        </w:rPr>
        <w:t xml:space="preserve"> XX工作内容  </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hint="eastAsia" w:ascii="仿宋_GB2312" w:hAnsi="仿宋" w:eastAsia="仿宋_GB2312"/>
                <w:sz w:val="24"/>
              </w:rPr>
            </w:pPr>
            <w:r>
              <w:rPr>
                <w:rFonts w:hint="eastAsia" w:ascii="仿宋_GB2312" w:hAnsi="仿宋" w:eastAsia="仿宋_GB2312"/>
                <w:sz w:val="24"/>
              </w:rPr>
              <w:t>投标文件按照招标文件要求签署、盖章。</w:t>
            </w:r>
          </w:p>
        </w:tc>
        <w:tc>
          <w:tcPr>
            <w:tcW w:w="2551"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需要使用电子签名或者签字盖章的投标文件的组成部分</w:t>
            </w:r>
          </w:p>
        </w:tc>
        <w:tc>
          <w:tcPr>
            <w:tcW w:w="1418" w:type="dxa"/>
            <w:vAlign w:val="top"/>
          </w:tcPr>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r>
              <w:rPr>
                <w:rFonts w:hint="eastAsia" w:ascii="仿宋_GB2312" w:hAnsi="仿宋" w:eastAsia="仿宋_GB2312"/>
                <w:sz w:val="24"/>
              </w:rPr>
              <w:t>见投标文件</w:t>
            </w:r>
          </w:p>
          <w:p>
            <w:pPr>
              <w:spacing w:line="360" w:lineRule="auto"/>
              <w:rPr>
                <w:rFonts w:hint="eastAsia" w:ascii="仿宋_GB2312" w:hAnsi="仿宋" w:eastAsia="仿宋_GB2312"/>
                <w:sz w:val="24"/>
              </w:rPr>
            </w:pPr>
            <w:r>
              <w:rPr>
                <w:rFonts w:hint="eastAsia" w:ascii="仿宋_GB2312" w:hAnsi="仿宋" w:eastAsia="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vAlign w:val="top"/>
          </w:tcPr>
          <w:p>
            <w:pPr>
              <w:spacing w:line="360" w:lineRule="auto"/>
              <w:rPr>
                <w:rFonts w:hint="eastAsia"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c>
          <w:tcPr>
            <w:tcW w:w="1418" w:type="dxa"/>
            <w:vAlign w:val="top"/>
          </w:tcPr>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r>
              <w:rPr>
                <w:rFonts w:hint="eastAsia" w:ascii="仿宋_GB2312" w:hAnsi="仿宋" w:eastAsia="仿宋_GB2312"/>
                <w:sz w:val="24"/>
              </w:rPr>
              <w:t>见投标文件</w:t>
            </w:r>
          </w:p>
          <w:p>
            <w:pPr>
              <w:spacing w:line="360" w:lineRule="auto"/>
              <w:rPr>
                <w:rFonts w:hint="eastAsia" w:ascii="仿宋_GB2312" w:hAnsi="仿宋" w:eastAsia="仿宋_GB2312"/>
                <w:sz w:val="24"/>
                <w:lang w:val="en-US"/>
              </w:rPr>
            </w:pPr>
            <w:r>
              <w:rPr>
                <w:rFonts w:hint="eastAsia" w:ascii="仿宋_GB2312" w:hAnsi="仿宋" w:eastAsia="仿宋_GB2312"/>
                <w:sz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hint="eastAsia"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投标函</w:t>
            </w:r>
          </w:p>
        </w:tc>
        <w:tc>
          <w:tcPr>
            <w:tcW w:w="1418" w:type="dxa"/>
            <w:vAlign w:val="top"/>
          </w:tcPr>
          <w:p>
            <w:pPr>
              <w:spacing w:line="360" w:lineRule="auto"/>
              <w:rPr>
                <w:rFonts w:hint="eastAsia" w:ascii="仿宋_GB2312" w:hAnsi="仿宋" w:eastAsia="仿宋_GB2312"/>
                <w:sz w:val="24"/>
              </w:rPr>
            </w:pPr>
            <w:r>
              <w:rPr>
                <w:rFonts w:hint="eastAsia" w:ascii="仿宋_GB2312" w:hAnsi="仿宋" w:eastAsia="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hint="eastAsia"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招标文件其它实质性要求相应的材料（“▲”系指实质性要求条款，招标文件无其它实质性要求的，无需提供）</w:t>
            </w:r>
          </w:p>
        </w:tc>
        <w:tc>
          <w:tcPr>
            <w:tcW w:w="1418" w:type="dxa"/>
            <w:vAlign w:val="top"/>
          </w:tcPr>
          <w:p>
            <w:pPr>
              <w:spacing w:line="360" w:lineRule="auto"/>
              <w:rPr>
                <w:rFonts w:hint="eastAsia" w:ascii="仿宋_GB2312" w:hAnsi="仿宋" w:eastAsia="仿宋_GB2312"/>
                <w:sz w:val="24"/>
              </w:rPr>
            </w:pPr>
            <w:r>
              <w:rPr>
                <w:rFonts w:hint="eastAsia" w:ascii="仿宋_GB2312" w:hAnsi="仿宋" w:eastAsia="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7"/>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w:t>
      </w:r>
      <w:r>
        <w:rPr>
          <w:rFonts w:hint="eastAsia" w:ascii="仿宋_GB2312" w:hAnsi="仿宋" w:eastAsia="仿宋_GB2312" w:cs="仿宋_GB2312"/>
          <w:b/>
          <w:kern w:val="0"/>
          <w:sz w:val="24"/>
          <w:lang w:val="en-US" w:eastAsia="zh-CN"/>
        </w:rPr>
        <w:t>单价</w:t>
      </w:r>
      <w:r>
        <w:rPr>
          <w:rFonts w:hint="eastAsia" w:ascii="仿宋_GB2312" w:hAnsi="仿宋" w:eastAsia="仿宋_GB2312" w:cs="仿宋_GB2312"/>
          <w:b/>
          <w:kern w:val="0"/>
          <w:sz w:val="24"/>
          <w:lang w:val="zh-CN"/>
        </w:rPr>
        <w:t>报价表）</w:t>
      </w:r>
      <w:r>
        <w:rPr>
          <w:rFonts w:ascii="仿宋_GB2312" w:hAnsi="仿宋" w:eastAsia="仿宋_GB2312" w:cs="仿宋_GB2312"/>
          <w:b/>
          <w:kern w:val="0"/>
          <w:sz w:val="24"/>
          <w:lang w:val="zh-CN"/>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w:t>
            </w:r>
            <w:r>
              <w:rPr>
                <w:rFonts w:hint="eastAsia" w:ascii="仿宋_GB2312" w:hAnsi="仿宋" w:eastAsia="仿宋_GB2312" w:cs="仿宋_GB2312"/>
                <w:b/>
                <w:sz w:val="24"/>
                <w:lang w:val="en-US" w:eastAsia="zh-CN"/>
              </w:rPr>
              <w:t>单价</w:t>
            </w:r>
            <w:r>
              <w:rPr>
                <w:rFonts w:hint="eastAsia" w:ascii="仿宋_GB2312" w:hAnsi="仿宋" w:eastAsia="仿宋_GB2312" w:cs="仿宋_GB2312"/>
                <w:b/>
                <w:sz w:val="24"/>
              </w:rPr>
              <w:t>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w:t>
            </w:r>
            <w:r>
              <w:rPr>
                <w:rFonts w:hint="eastAsia" w:ascii="仿宋_GB2312" w:hAnsi="仿宋" w:eastAsia="仿宋_GB2312" w:cs="仿宋_GB2312"/>
                <w:b/>
                <w:sz w:val="24"/>
                <w:lang w:val="en-US" w:eastAsia="zh-CN"/>
              </w:rPr>
              <w:t>单价</w:t>
            </w:r>
            <w:r>
              <w:rPr>
                <w:rFonts w:hint="eastAsia" w:ascii="仿宋_GB2312" w:hAnsi="仿宋" w:eastAsia="仿宋_GB2312" w:cs="仿宋_GB2312"/>
                <w:b/>
                <w:sz w:val="24"/>
              </w:rPr>
              <w:t>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77"/>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399" w:name="_Toc465665161"/>
      <w:r>
        <w:rPr>
          <w:rFonts w:hint="eastAsia" w:ascii="仿宋_GB2312" w:hAnsi="仿宋" w:eastAsia="仿宋_GB2312"/>
        </w:rPr>
        <w:t>附件</w:t>
      </w:r>
      <w:bookmarkEnd w:id="399"/>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0" w:name="OLE_LINK14"/>
      <w:bookmarkStart w:id="401" w:name="OLE_LINK13"/>
      <w:r>
        <w:rPr>
          <w:rFonts w:hint="eastAsia" w:ascii="仿宋_GB2312" w:hAnsi="仿宋" w:eastAsia="仿宋_GB2312"/>
          <w:b/>
          <w:spacing w:val="6"/>
          <w:sz w:val="32"/>
          <w:szCs w:val="32"/>
        </w:rPr>
        <w:t>残疾人福利性单位声明函</w:t>
      </w:r>
    </w:p>
    <w:bookmarkEnd w:id="400"/>
    <w:bookmarkEnd w:id="401"/>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left"/>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left"/>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pStyle w:val="3"/>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619"/>
        <w:spacing w:line="500" w:lineRule="exact"/>
        <w:rPr>
          <w:rFonts w:ascii="华文仿宋" w:hAnsi="华文仿宋" w:eastAsia="华文仿宋" w:cs="宋体"/>
          <w:b/>
          <w:sz w:val="28"/>
          <w:szCs w:val="28"/>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spacing w:line="500" w:lineRule="exact"/>
        <w:jc w:val="center"/>
        <w:rPr>
          <w:rFonts w:ascii="华文仿宋" w:hAnsi="华文仿宋" w:eastAsia="华文仿宋" w:cs="宋体"/>
          <w:b/>
          <w:sz w:val="28"/>
          <w:szCs w:val="28"/>
        </w:rPr>
      </w:pPr>
    </w:p>
    <w:p>
      <w:pPr>
        <w:pStyle w:val="619"/>
        <w:spacing w:line="500" w:lineRule="exact"/>
        <w:jc w:val="center"/>
        <w:rPr>
          <w:rFonts w:ascii="华文仿宋" w:hAnsi="华文仿宋" w:eastAsia="华文仿宋" w:cs="宋体"/>
          <w:b/>
          <w:sz w:val="28"/>
          <w:szCs w:val="28"/>
        </w:rPr>
      </w:pPr>
      <w:r>
        <w:rPr>
          <w:rFonts w:hint="eastAsia" w:ascii="华文仿宋" w:hAnsi="华文仿宋" w:eastAsia="华文仿宋" w:cs="宋体"/>
          <w:b/>
          <w:sz w:val="28"/>
          <w:szCs w:val="28"/>
        </w:rPr>
        <w:t>中小企业划型标准规定</w:t>
      </w:r>
    </w:p>
    <w:p>
      <w:pPr>
        <w:pStyle w:val="619"/>
        <w:adjustRightInd w:val="0"/>
        <w:spacing w:line="360" w:lineRule="auto"/>
        <w:ind w:firstLine="444" w:firstLineChars="200"/>
        <w:jc w:val="both"/>
        <w:rPr>
          <w:rFonts w:ascii="华文仿宋" w:hAnsi="华文仿宋" w:eastAsia="华文仿宋" w:cs="宋体"/>
          <w:spacing w:val="6"/>
          <w:szCs w:val="21"/>
        </w:rPr>
      </w:pP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hint="eastAsia" w:ascii="华文仿宋" w:hAnsi="华文仿宋" w:eastAsia="华文仿宋" w:cs="宋体"/>
          <w:spacing w:val="6"/>
          <w:szCs w:val="21"/>
          <w:lang w:eastAsia="zh-CN"/>
        </w:rPr>
      </w:pPr>
      <w:r>
        <w:rPr>
          <w:rFonts w:hint="eastAsia" w:ascii="华文仿宋" w:hAnsi="华文仿宋" w:eastAsia="华文仿宋" w:cs="宋体"/>
          <w:spacing w:val="6"/>
          <w:szCs w:val="21"/>
        </w:rPr>
        <w:t>四、各行业划型标准为：</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
        <w:rPr>
          <w:rFonts w:ascii="华文仿宋" w:hAnsi="华文仿宋" w:eastAsia="华文仿宋" w:cs="宋体"/>
          <w:b/>
          <w:szCs w:val="21"/>
        </w:rPr>
      </w:pPr>
      <w:r>
        <w:rPr>
          <w:rFonts w:hint="eastAsia" w:ascii="华文仿宋" w:hAnsi="华文仿宋" w:eastAsia="华文仿宋"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02" w:name="_Toc131845147"/>
    <w:bookmarkStart w:id="403" w:name="_Toc36110187"/>
    <w:bookmarkStart w:id="404" w:name="_Toc164085800"/>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00172A27"/>
    <w:rsid w:val="00000451"/>
    <w:rsid w:val="000006A7"/>
    <w:rsid w:val="0000108B"/>
    <w:rsid w:val="0000133D"/>
    <w:rsid w:val="00001509"/>
    <w:rsid w:val="000032B2"/>
    <w:rsid w:val="0000363B"/>
    <w:rsid w:val="000058BD"/>
    <w:rsid w:val="00006109"/>
    <w:rsid w:val="00006150"/>
    <w:rsid w:val="000063E8"/>
    <w:rsid w:val="00006725"/>
    <w:rsid w:val="0000675E"/>
    <w:rsid w:val="000076C2"/>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625"/>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52A"/>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B8D"/>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D37"/>
    <w:rsid w:val="00240F55"/>
    <w:rsid w:val="00240F67"/>
    <w:rsid w:val="00241144"/>
    <w:rsid w:val="00242510"/>
    <w:rsid w:val="00242F79"/>
    <w:rsid w:val="0024415B"/>
    <w:rsid w:val="00245565"/>
    <w:rsid w:val="002458C1"/>
    <w:rsid w:val="00245E62"/>
    <w:rsid w:val="002460D0"/>
    <w:rsid w:val="00246357"/>
    <w:rsid w:val="00247422"/>
    <w:rsid w:val="00247740"/>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BF7"/>
    <w:rsid w:val="00281C76"/>
    <w:rsid w:val="0028316D"/>
    <w:rsid w:val="00283296"/>
    <w:rsid w:val="0028583E"/>
    <w:rsid w:val="00285853"/>
    <w:rsid w:val="00285B1A"/>
    <w:rsid w:val="00285FF3"/>
    <w:rsid w:val="002866EC"/>
    <w:rsid w:val="002867DE"/>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8BD"/>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14B"/>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2F6"/>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D53"/>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A3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E42"/>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1D57"/>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4FD"/>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6DA"/>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411"/>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5A6"/>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EB8"/>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139"/>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AE0"/>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8CB"/>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015"/>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8D6"/>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A9B"/>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3F8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B3D"/>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A5D"/>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C63"/>
    <w:rsid w:val="00F14B08"/>
    <w:rsid w:val="00F14B4B"/>
    <w:rsid w:val="00F14CD1"/>
    <w:rsid w:val="00F14FAE"/>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D4D"/>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321C1"/>
    <w:rsid w:val="019F7441"/>
    <w:rsid w:val="01B37585"/>
    <w:rsid w:val="01D55165"/>
    <w:rsid w:val="01DF6BF8"/>
    <w:rsid w:val="01EC2C57"/>
    <w:rsid w:val="02386285"/>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C63BC"/>
    <w:rsid w:val="049F330E"/>
    <w:rsid w:val="04AA775C"/>
    <w:rsid w:val="04AF1889"/>
    <w:rsid w:val="04D035F5"/>
    <w:rsid w:val="04DA26C6"/>
    <w:rsid w:val="04F66F48"/>
    <w:rsid w:val="0510745B"/>
    <w:rsid w:val="05251E14"/>
    <w:rsid w:val="05914B2D"/>
    <w:rsid w:val="05A16594"/>
    <w:rsid w:val="05A7762D"/>
    <w:rsid w:val="060E5941"/>
    <w:rsid w:val="06110FAF"/>
    <w:rsid w:val="06493CA7"/>
    <w:rsid w:val="065A6178"/>
    <w:rsid w:val="066F1CF3"/>
    <w:rsid w:val="06930BB8"/>
    <w:rsid w:val="06C86E08"/>
    <w:rsid w:val="07245D42"/>
    <w:rsid w:val="07264C62"/>
    <w:rsid w:val="0779354C"/>
    <w:rsid w:val="08061376"/>
    <w:rsid w:val="08452D77"/>
    <w:rsid w:val="086401F8"/>
    <w:rsid w:val="08751CAA"/>
    <w:rsid w:val="087E4C40"/>
    <w:rsid w:val="088A1A59"/>
    <w:rsid w:val="08D66AD6"/>
    <w:rsid w:val="08DA33A3"/>
    <w:rsid w:val="08E80F13"/>
    <w:rsid w:val="09092C22"/>
    <w:rsid w:val="09335624"/>
    <w:rsid w:val="0944690F"/>
    <w:rsid w:val="094E524A"/>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21946"/>
    <w:rsid w:val="0B631A88"/>
    <w:rsid w:val="0B683D45"/>
    <w:rsid w:val="0B7F3F11"/>
    <w:rsid w:val="0B884417"/>
    <w:rsid w:val="0BF6188C"/>
    <w:rsid w:val="0BF73C91"/>
    <w:rsid w:val="0C170175"/>
    <w:rsid w:val="0C223A88"/>
    <w:rsid w:val="0C571A41"/>
    <w:rsid w:val="0C5C1171"/>
    <w:rsid w:val="0C5E1CBC"/>
    <w:rsid w:val="0C615B50"/>
    <w:rsid w:val="0C8445DA"/>
    <w:rsid w:val="0C87121B"/>
    <w:rsid w:val="0C994349"/>
    <w:rsid w:val="0CBD0903"/>
    <w:rsid w:val="0CC007F7"/>
    <w:rsid w:val="0CFE707A"/>
    <w:rsid w:val="0D063BDA"/>
    <w:rsid w:val="0D08375F"/>
    <w:rsid w:val="0D184CFB"/>
    <w:rsid w:val="0D4A7419"/>
    <w:rsid w:val="0D782A7C"/>
    <w:rsid w:val="0D827401"/>
    <w:rsid w:val="0D84094E"/>
    <w:rsid w:val="0D8A00E9"/>
    <w:rsid w:val="0D8D589E"/>
    <w:rsid w:val="0DA01C73"/>
    <w:rsid w:val="0DD63300"/>
    <w:rsid w:val="0DF50604"/>
    <w:rsid w:val="0DF702FE"/>
    <w:rsid w:val="0E060E51"/>
    <w:rsid w:val="0E5604B2"/>
    <w:rsid w:val="0E6D5D79"/>
    <w:rsid w:val="0E9D0089"/>
    <w:rsid w:val="0EB739B1"/>
    <w:rsid w:val="0EB803EE"/>
    <w:rsid w:val="0EF94D4B"/>
    <w:rsid w:val="0F13346A"/>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45E1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0749"/>
    <w:rsid w:val="129E45B4"/>
    <w:rsid w:val="12CF6A2F"/>
    <w:rsid w:val="12D81596"/>
    <w:rsid w:val="13072A44"/>
    <w:rsid w:val="13533D6F"/>
    <w:rsid w:val="135F4BE2"/>
    <w:rsid w:val="139B1A0A"/>
    <w:rsid w:val="139D25C7"/>
    <w:rsid w:val="13BF3CE4"/>
    <w:rsid w:val="141008D8"/>
    <w:rsid w:val="14125FE6"/>
    <w:rsid w:val="146D271E"/>
    <w:rsid w:val="14956609"/>
    <w:rsid w:val="14982588"/>
    <w:rsid w:val="149A5AD9"/>
    <w:rsid w:val="14A7619D"/>
    <w:rsid w:val="14FE51B1"/>
    <w:rsid w:val="150536C3"/>
    <w:rsid w:val="150C1963"/>
    <w:rsid w:val="151447A0"/>
    <w:rsid w:val="154A6454"/>
    <w:rsid w:val="15762120"/>
    <w:rsid w:val="157F52EF"/>
    <w:rsid w:val="16A8729C"/>
    <w:rsid w:val="16B33777"/>
    <w:rsid w:val="16BC70A7"/>
    <w:rsid w:val="16C6339E"/>
    <w:rsid w:val="172F2D79"/>
    <w:rsid w:val="17557BEF"/>
    <w:rsid w:val="17D349C1"/>
    <w:rsid w:val="18003D99"/>
    <w:rsid w:val="1830729E"/>
    <w:rsid w:val="1870062C"/>
    <w:rsid w:val="18817102"/>
    <w:rsid w:val="18830A15"/>
    <w:rsid w:val="18852B28"/>
    <w:rsid w:val="188B5321"/>
    <w:rsid w:val="190E20BE"/>
    <w:rsid w:val="19932372"/>
    <w:rsid w:val="19A20DD5"/>
    <w:rsid w:val="19AE03F1"/>
    <w:rsid w:val="1A071A03"/>
    <w:rsid w:val="1A1F16AE"/>
    <w:rsid w:val="1A3B5C77"/>
    <w:rsid w:val="1A481DFD"/>
    <w:rsid w:val="1A984BAD"/>
    <w:rsid w:val="1AB8220E"/>
    <w:rsid w:val="1AE4166C"/>
    <w:rsid w:val="1AF06CFB"/>
    <w:rsid w:val="1AF11B8D"/>
    <w:rsid w:val="1B11359C"/>
    <w:rsid w:val="1B1D58CA"/>
    <w:rsid w:val="1B2A271F"/>
    <w:rsid w:val="1B530544"/>
    <w:rsid w:val="1B713184"/>
    <w:rsid w:val="1BA209CF"/>
    <w:rsid w:val="1BB4777D"/>
    <w:rsid w:val="1BD75AB8"/>
    <w:rsid w:val="1BE0016A"/>
    <w:rsid w:val="1BF9122C"/>
    <w:rsid w:val="1C0459C2"/>
    <w:rsid w:val="1C1B3B4A"/>
    <w:rsid w:val="1C88086E"/>
    <w:rsid w:val="1D201224"/>
    <w:rsid w:val="1D266CE1"/>
    <w:rsid w:val="1D3963AF"/>
    <w:rsid w:val="1D494DE1"/>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717EE8"/>
    <w:rsid w:val="22BE6801"/>
    <w:rsid w:val="233500BF"/>
    <w:rsid w:val="23377FF7"/>
    <w:rsid w:val="235748CD"/>
    <w:rsid w:val="235A6641"/>
    <w:rsid w:val="236B425F"/>
    <w:rsid w:val="23836192"/>
    <w:rsid w:val="23901F29"/>
    <w:rsid w:val="239C0061"/>
    <w:rsid w:val="23B908A4"/>
    <w:rsid w:val="23C25A54"/>
    <w:rsid w:val="23E95BEF"/>
    <w:rsid w:val="23FD0064"/>
    <w:rsid w:val="2449510D"/>
    <w:rsid w:val="245375B0"/>
    <w:rsid w:val="24642C0A"/>
    <w:rsid w:val="24693C31"/>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C82E0F"/>
    <w:rsid w:val="28333E1D"/>
    <w:rsid w:val="283A50A6"/>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87D5C"/>
    <w:rsid w:val="2A6D6092"/>
    <w:rsid w:val="2A7D76B4"/>
    <w:rsid w:val="2AF21C68"/>
    <w:rsid w:val="2B437463"/>
    <w:rsid w:val="2B7807EE"/>
    <w:rsid w:val="2BBF00EC"/>
    <w:rsid w:val="2BC37CFD"/>
    <w:rsid w:val="2BD5237F"/>
    <w:rsid w:val="2BE536CE"/>
    <w:rsid w:val="2BE758D9"/>
    <w:rsid w:val="2C09049E"/>
    <w:rsid w:val="2C0A653C"/>
    <w:rsid w:val="2C191F85"/>
    <w:rsid w:val="2C2220D9"/>
    <w:rsid w:val="2CE82D6F"/>
    <w:rsid w:val="2CED0939"/>
    <w:rsid w:val="2D343236"/>
    <w:rsid w:val="2D393B7E"/>
    <w:rsid w:val="2DD15014"/>
    <w:rsid w:val="2DF72DE4"/>
    <w:rsid w:val="2E0220AF"/>
    <w:rsid w:val="2E4B082A"/>
    <w:rsid w:val="2E5D4E86"/>
    <w:rsid w:val="2E5D790B"/>
    <w:rsid w:val="2E9A3C18"/>
    <w:rsid w:val="2EBB0FEE"/>
    <w:rsid w:val="2EC63002"/>
    <w:rsid w:val="2F0A6B38"/>
    <w:rsid w:val="2F1E37B2"/>
    <w:rsid w:val="2F946CCB"/>
    <w:rsid w:val="2FD25781"/>
    <w:rsid w:val="2FFD7934"/>
    <w:rsid w:val="30522AB7"/>
    <w:rsid w:val="30733ACD"/>
    <w:rsid w:val="307750E9"/>
    <w:rsid w:val="308C3862"/>
    <w:rsid w:val="309379D8"/>
    <w:rsid w:val="30A270F7"/>
    <w:rsid w:val="30DF1478"/>
    <w:rsid w:val="30EC586F"/>
    <w:rsid w:val="3103697D"/>
    <w:rsid w:val="319C6071"/>
    <w:rsid w:val="31AC537E"/>
    <w:rsid w:val="31DF3CF4"/>
    <w:rsid w:val="31E3679B"/>
    <w:rsid w:val="31E732FD"/>
    <w:rsid w:val="32517576"/>
    <w:rsid w:val="32BE5C2C"/>
    <w:rsid w:val="32FB6478"/>
    <w:rsid w:val="33263B3F"/>
    <w:rsid w:val="333A23FE"/>
    <w:rsid w:val="336963EB"/>
    <w:rsid w:val="33816EEB"/>
    <w:rsid w:val="338D69D1"/>
    <w:rsid w:val="33EB55CD"/>
    <w:rsid w:val="33EC4C02"/>
    <w:rsid w:val="340622E0"/>
    <w:rsid w:val="340D2360"/>
    <w:rsid w:val="3410665D"/>
    <w:rsid w:val="34211214"/>
    <w:rsid w:val="342E63AB"/>
    <w:rsid w:val="3492152C"/>
    <w:rsid w:val="34950E68"/>
    <w:rsid w:val="34986E94"/>
    <w:rsid w:val="34AF62C9"/>
    <w:rsid w:val="34B86E6F"/>
    <w:rsid w:val="34CB4388"/>
    <w:rsid w:val="34EC597A"/>
    <w:rsid w:val="34FA6E12"/>
    <w:rsid w:val="358D5588"/>
    <w:rsid w:val="363A3B40"/>
    <w:rsid w:val="365302AE"/>
    <w:rsid w:val="36595234"/>
    <w:rsid w:val="36607A0A"/>
    <w:rsid w:val="366E227C"/>
    <w:rsid w:val="366F2E0D"/>
    <w:rsid w:val="367B6A5C"/>
    <w:rsid w:val="36A74ADA"/>
    <w:rsid w:val="36AD60D5"/>
    <w:rsid w:val="36B224F9"/>
    <w:rsid w:val="36C4095C"/>
    <w:rsid w:val="36EC0CC9"/>
    <w:rsid w:val="373F410B"/>
    <w:rsid w:val="37EE7094"/>
    <w:rsid w:val="3814146F"/>
    <w:rsid w:val="38296C89"/>
    <w:rsid w:val="383002EB"/>
    <w:rsid w:val="38586797"/>
    <w:rsid w:val="38BC0149"/>
    <w:rsid w:val="38D87D1C"/>
    <w:rsid w:val="39636459"/>
    <w:rsid w:val="396B7F6C"/>
    <w:rsid w:val="39B417A9"/>
    <w:rsid w:val="39FC5695"/>
    <w:rsid w:val="3A006D8E"/>
    <w:rsid w:val="3A326A3C"/>
    <w:rsid w:val="3A3651E5"/>
    <w:rsid w:val="3A744481"/>
    <w:rsid w:val="3A8C7BEF"/>
    <w:rsid w:val="3A906246"/>
    <w:rsid w:val="3AAD0684"/>
    <w:rsid w:val="3B2349B7"/>
    <w:rsid w:val="3B271E41"/>
    <w:rsid w:val="3B616CFF"/>
    <w:rsid w:val="3B6259F6"/>
    <w:rsid w:val="3B976654"/>
    <w:rsid w:val="3BC01EFC"/>
    <w:rsid w:val="3BC35686"/>
    <w:rsid w:val="3BCA786A"/>
    <w:rsid w:val="3BD31E2F"/>
    <w:rsid w:val="3BF15831"/>
    <w:rsid w:val="3C105946"/>
    <w:rsid w:val="3C471448"/>
    <w:rsid w:val="3C5F759A"/>
    <w:rsid w:val="3C664263"/>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C5957"/>
    <w:rsid w:val="40FF545D"/>
    <w:rsid w:val="410067C8"/>
    <w:rsid w:val="411F0144"/>
    <w:rsid w:val="418F0D2A"/>
    <w:rsid w:val="41D01505"/>
    <w:rsid w:val="41D36BA8"/>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85162"/>
    <w:rsid w:val="43C77C27"/>
    <w:rsid w:val="43DE09EE"/>
    <w:rsid w:val="43FC1460"/>
    <w:rsid w:val="44002FAD"/>
    <w:rsid w:val="449101DD"/>
    <w:rsid w:val="44DE1391"/>
    <w:rsid w:val="451B225C"/>
    <w:rsid w:val="452410C9"/>
    <w:rsid w:val="45317DFB"/>
    <w:rsid w:val="45474474"/>
    <w:rsid w:val="456D3CE4"/>
    <w:rsid w:val="4579042C"/>
    <w:rsid w:val="457F0571"/>
    <w:rsid w:val="45851176"/>
    <w:rsid w:val="45B67695"/>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97E23"/>
    <w:rsid w:val="49F6167F"/>
    <w:rsid w:val="4A064FA0"/>
    <w:rsid w:val="4A16615C"/>
    <w:rsid w:val="4A4424D7"/>
    <w:rsid w:val="4AB82D0F"/>
    <w:rsid w:val="4AEB7664"/>
    <w:rsid w:val="4AFD7C19"/>
    <w:rsid w:val="4B0567D1"/>
    <w:rsid w:val="4B236AAE"/>
    <w:rsid w:val="4B410375"/>
    <w:rsid w:val="4B707271"/>
    <w:rsid w:val="4B9739F7"/>
    <w:rsid w:val="4BEE2503"/>
    <w:rsid w:val="4C245A30"/>
    <w:rsid w:val="4CB6685F"/>
    <w:rsid w:val="4CC0471F"/>
    <w:rsid w:val="4CC367FE"/>
    <w:rsid w:val="4D077F3C"/>
    <w:rsid w:val="4D123355"/>
    <w:rsid w:val="4D2A3B31"/>
    <w:rsid w:val="4D312C52"/>
    <w:rsid w:val="4D905305"/>
    <w:rsid w:val="4D964A72"/>
    <w:rsid w:val="4D9C1254"/>
    <w:rsid w:val="4E793892"/>
    <w:rsid w:val="4E7E2F2A"/>
    <w:rsid w:val="4E800872"/>
    <w:rsid w:val="4EC569ED"/>
    <w:rsid w:val="4ED50EA1"/>
    <w:rsid w:val="4EEC050C"/>
    <w:rsid w:val="4F104EC3"/>
    <w:rsid w:val="4F47354A"/>
    <w:rsid w:val="4F781E08"/>
    <w:rsid w:val="4F911C54"/>
    <w:rsid w:val="4FE625E0"/>
    <w:rsid w:val="5021480F"/>
    <w:rsid w:val="503E2640"/>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596730"/>
    <w:rsid w:val="54605E1E"/>
    <w:rsid w:val="54B3506A"/>
    <w:rsid w:val="54CA0D16"/>
    <w:rsid w:val="54DD4057"/>
    <w:rsid w:val="54E7490F"/>
    <w:rsid w:val="550764A4"/>
    <w:rsid w:val="550B2BF6"/>
    <w:rsid w:val="55214EB5"/>
    <w:rsid w:val="5524182C"/>
    <w:rsid w:val="55364EFD"/>
    <w:rsid w:val="555D4828"/>
    <w:rsid w:val="557A4C8B"/>
    <w:rsid w:val="558931E1"/>
    <w:rsid w:val="55923347"/>
    <w:rsid w:val="55925180"/>
    <w:rsid w:val="55983B1B"/>
    <w:rsid w:val="55A8376B"/>
    <w:rsid w:val="55DC29B6"/>
    <w:rsid w:val="55DD4241"/>
    <w:rsid w:val="561F5783"/>
    <w:rsid w:val="5640122A"/>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E5435"/>
    <w:rsid w:val="57CD20C2"/>
    <w:rsid w:val="57D675AB"/>
    <w:rsid w:val="57D95FDD"/>
    <w:rsid w:val="57E9058D"/>
    <w:rsid w:val="58917D2F"/>
    <w:rsid w:val="5894085C"/>
    <w:rsid w:val="58AE4F0C"/>
    <w:rsid w:val="58B85899"/>
    <w:rsid w:val="58E363A9"/>
    <w:rsid w:val="59480B21"/>
    <w:rsid w:val="595E1678"/>
    <w:rsid w:val="596D5BD4"/>
    <w:rsid w:val="597E3DD8"/>
    <w:rsid w:val="59F80043"/>
    <w:rsid w:val="5A09252F"/>
    <w:rsid w:val="5A0B2778"/>
    <w:rsid w:val="5A2A7C7B"/>
    <w:rsid w:val="5A3E2560"/>
    <w:rsid w:val="5A5D3B6E"/>
    <w:rsid w:val="5A637A76"/>
    <w:rsid w:val="5A6D33BA"/>
    <w:rsid w:val="5A792B1F"/>
    <w:rsid w:val="5A874767"/>
    <w:rsid w:val="5A8A105E"/>
    <w:rsid w:val="5AAD6F28"/>
    <w:rsid w:val="5ACF1C3B"/>
    <w:rsid w:val="5AD63A24"/>
    <w:rsid w:val="5AE9424C"/>
    <w:rsid w:val="5B2E1A1D"/>
    <w:rsid w:val="5B843A1C"/>
    <w:rsid w:val="5B873E3F"/>
    <w:rsid w:val="5C02690E"/>
    <w:rsid w:val="5C196DA7"/>
    <w:rsid w:val="5C2A048C"/>
    <w:rsid w:val="5C66463C"/>
    <w:rsid w:val="5C80234E"/>
    <w:rsid w:val="5C8A680C"/>
    <w:rsid w:val="5C902BB2"/>
    <w:rsid w:val="5D0C4701"/>
    <w:rsid w:val="5D0F0395"/>
    <w:rsid w:val="5D221076"/>
    <w:rsid w:val="5D397964"/>
    <w:rsid w:val="5D5A391C"/>
    <w:rsid w:val="5D5F10C0"/>
    <w:rsid w:val="5D891B7B"/>
    <w:rsid w:val="5DAD38EE"/>
    <w:rsid w:val="5E006862"/>
    <w:rsid w:val="5E0207B9"/>
    <w:rsid w:val="5E025838"/>
    <w:rsid w:val="5E1834A1"/>
    <w:rsid w:val="5E261785"/>
    <w:rsid w:val="5E4A7017"/>
    <w:rsid w:val="5E552BBA"/>
    <w:rsid w:val="5E611C10"/>
    <w:rsid w:val="5EFC7377"/>
    <w:rsid w:val="5F06174D"/>
    <w:rsid w:val="5F32396F"/>
    <w:rsid w:val="5F3A3602"/>
    <w:rsid w:val="5F6277C6"/>
    <w:rsid w:val="5F6D0B1D"/>
    <w:rsid w:val="5F8D0B82"/>
    <w:rsid w:val="5FCC5339"/>
    <w:rsid w:val="5FE0788F"/>
    <w:rsid w:val="5FE34A5B"/>
    <w:rsid w:val="5FFE1E36"/>
    <w:rsid w:val="60232584"/>
    <w:rsid w:val="605F4FF1"/>
    <w:rsid w:val="607330CE"/>
    <w:rsid w:val="60825176"/>
    <w:rsid w:val="609F2AC4"/>
    <w:rsid w:val="60CD7C9A"/>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B50F9E"/>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087B4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35C12"/>
    <w:rsid w:val="693E15D3"/>
    <w:rsid w:val="69627681"/>
    <w:rsid w:val="6977531D"/>
    <w:rsid w:val="69CC2BFF"/>
    <w:rsid w:val="69FD55B8"/>
    <w:rsid w:val="6A0B1C62"/>
    <w:rsid w:val="6A2406C8"/>
    <w:rsid w:val="6A62756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A1325"/>
    <w:rsid w:val="6E8335BD"/>
    <w:rsid w:val="6E8E12EF"/>
    <w:rsid w:val="6E972936"/>
    <w:rsid w:val="6E9D1A95"/>
    <w:rsid w:val="6ED446C5"/>
    <w:rsid w:val="6EFA2466"/>
    <w:rsid w:val="6F1102AB"/>
    <w:rsid w:val="6F2A7D94"/>
    <w:rsid w:val="6F8331F1"/>
    <w:rsid w:val="6FAE1A09"/>
    <w:rsid w:val="6FD75BF8"/>
    <w:rsid w:val="706A53C9"/>
    <w:rsid w:val="707723D0"/>
    <w:rsid w:val="70F5661B"/>
    <w:rsid w:val="71360107"/>
    <w:rsid w:val="713B688E"/>
    <w:rsid w:val="71D43752"/>
    <w:rsid w:val="71F1796A"/>
    <w:rsid w:val="720F238E"/>
    <w:rsid w:val="72154626"/>
    <w:rsid w:val="72262B5D"/>
    <w:rsid w:val="722672AB"/>
    <w:rsid w:val="72283FF7"/>
    <w:rsid w:val="722E7212"/>
    <w:rsid w:val="723A0474"/>
    <w:rsid w:val="725923E4"/>
    <w:rsid w:val="72864BF7"/>
    <w:rsid w:val="729023FC"/>
    <w:rsid w:val="732C1107"/>
    <w:rsid w:val="73C0646E"/>
    <w:rsid w:val="742222F5"/>
    <w:rsid w:val="74476126"/>
    <w:rsid w:val="74706664"/>
    <w:rsid w:val="747F3682"/>
    <w:rsid w:val="749C4185"/>
    <w:rsid w:val="74FC0363"/>
    <w:rsid w:val="750227F3"/>
    <w:rsid w:val="75067759"/>
    <w:rsid w:val="752E6DCD"/>
    <w:rsid w:val="7551380D"/>
    <w:rsid w:val="755E1F6B"/>
    <w:rsid w:val="75600BE5"/>
    <w:rsid w:val="7564475C"/>
    <w:rsid w:val="7583797F"/>
    <w:rsid w:val="75D20F1D"/>
    <w:rsid w:val="75DA2C18"/>
    <w:rsid w:val="75F54412"/>
    <w:rsid w:val="761D08E0"/>
    <w:rsid w:val="764E3F42"/>
    <w:rsid w:val="765D347C"/>
    <w:rsid w:val="76826699"/>
    <w:rsid w:val="76B24594"/>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33C8C"/>
    <w:rsid w:val="79662DE4"/>
    <w:rsid w:val="797E66A9"/>
    <w:rsid w:val="799F0668"/>
    <w:rsid w:val="79A97383"/>
    <w:rsid w:val="79E27E8B"/>
    <w:rsid w:val="79F76942"/>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B51FA"/>
    <w:rsid w:val="7B7468F8"/>
    <w:rsid w:val="7BC87DFF"/>
    <w:rsid w:val="7BEE0103"/>
    <w:rsid w:val="7C0A0FE4"/>
    <w:rsid w:val="7C254906"/>
    <w:rsid w:val="7C3C22FB"/>
    <w:rsid w:val="7C590818"/>
    <w:rsid w:val="7C7C10F6"/>
    <w:rsid w:val="7C853BEA"/>
    <w:rsid w:val="7C881368"/>
    <w:rsid w:val="7CD92274"/>
    <w:rsid w:val="7CE27788"/>
    <w:rsid w:val="7D0C32F1"/>
    <w:rsid w:val="7D0F408D"/>
    <w:rsid w:val="7D491C6C"/>
    <w:rsid w:val="7D5429C0"/>
    <w:rsid w:val="7D6E6D43"/>
    <w:rsid w:val="7DB57A34"/>
    <w:rsid w:val="7DE60973"/>
    <w:rsid w:val="7DEF0916"/>
    <w:rsid w:val="7E074902"/>
    <w:rsid w:val="7E1E5218"/>
    <w:rsid w:val="7E723F37"/>
    <w:rsid w:val="7E9A4E1F"/>
    <w:rsid w:val="7EA7723A"/>
    <w:rsid w:val="7ED76320"/>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835"/>
    <w:qFormat/>
    <w:uiPriority w:val="0"/>
    <w:pPr>
      <w:ind w:firstLine="420"/>
    </w:pPr>
    <w:rPr>
      <w:rFonts w:hAnsi="Calibri" w:cs="Times New Roman"/>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8"/>
    <w:qFormat/>
    <w:uiPriority w:val="0"/>
    <w:pPr>
      <w:shd w:val="clear" w:color="auto" w:fill="000080"/>
    </w:pPr>
  </w:style>
  <w:style w:type="paragraph" w:styleId="21">
    <w:name w:val="annotation text"/>
    <w:basedOn w:val="1"/>
    <w:link w:val="856"/>
    <w:qFormat/>
    <w:uiPriority w:val="0"/>
    <w:pPr>
      <w:jc w:val="left"/>
    </w:pPr>
  </w:style>
  <w:style w:type="paragraph" w:styleId="22">
    <w:name w:val="Salutation"/>
    <w:basedOn w:val="1"/>
    <w:next w:val="1"/>
    <w:link w:val="816"/>
    <w:qFormat/>
    <w:uiPriority w:val="0"/>
    <w:rPr>
      <w:rFonts w:ascii="仿宋_GB2312" w:eastAsia="仿宋_GB2312"/>
      <w:sz w:val="28"/>
      <w:szCs w:val="20"/>
    </w:rPr>
  </w:style>
  <w:style w:type="paragraph" w:styleId="23">
    <w:name w:val="Body Text 3"/>
    <w:basedOn w:val="1"/>
    <w:link w:val="84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826"/>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0"/>
    <w:qFormat/>
    <w:uiPriority w:val="0"/>
    <w:pPr>
      <w:spacing w:after="120" w:line="480" w:lineRule="auto"/>
    </w:pPr>
  </w:style>
  <w:style w:type="paragraph" w:styleId="59">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33"/>
    <w:qFormat/>
    <w:uiPriority w:val="0"/>
    <w:rPr>
      <w:b/>
      <w:bCs/>
    </w:rPr>
  </w:style>
  <w:style w:type="paragraph" w:styleId="63">
    <w:name w:val="Body Text First Indent 2"/>
    <w:basedOn w:val="25"/>
    <w:link w:val="65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basedOn w:val="71"/>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0"/>
    <w:rPr>
      <w:sz w:val="21"/>
      <w:szCs w:val="21"/>
    </w:rPr>
  </w:style>
  <w:style w:type="paragraph" w:customStyle="1" w:styleId="81">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5"/>
    <w:qFormat/>
    <w:uiPriority w:val="0"/>
    <w:pPr>
      <w:spacing w:before="156" w:line="360" w:lineRule="auto"/>
      <w:ind w:firstLine="510" w:firstLineChars="200"/>
    </w:pPr>
    <w:rPr>
      <w:sz w:val="24"/>
      <w:szCs w:val="20"/>
    </w:rPr>
  </w:style>
  <w:style w:type="paragraph" w:customStyle="1" w:styleId="87">
    <w:name w:val="无间隔1"/>
    <w:link w:val="673"/>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1"/>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6"/>
    <w:qFormat/>
    <w:uiPriority w:val="0"/>
    <w:pPr>
      <w:ind w:left="0" w:right="466" w:firstLine="288"/>
    </w:pPr>
    <w:rPr>
      <w:rFonts w:hAnsi="宋体"/>
    </w:rPr>
  </w:style>
  <w:style w:type="paragraph" w:customStyle="1" w:styleId="9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7"/>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8"/>
    <w:qFormat/>
    <w:uiPriority w:val="0"/>
    <w:pPr>
      <w:adjustRightInd/>
      <w:spacing w:line="360" w:lineRule="auto"/>
      <w:ind w:firstLine="480" w:firstLineChars="200"/>
    </w:pPr>
    <w:rPr>
      <w:kern w:val="0"/>
      <w:sz w:val="24"/>
    </w:rPr>
  </w:style>
  <w:style w:type="paragraph" w:customStyle="1" w:styleId="99">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0"/>
    <w:pPr>
      <w:spacing w:line="360" w:lineRule="auto"/>
      <w:ind w:firstLine="200" w:firstLineChars="200"/>
    </w:pPr>
    <w:rPr>
      <w:rFonts w:eastAsia="楷体_GB2312" w:cs="Lucida Sans"/>
      <w:sz w:val="24"/>
    </w:rPr>
  </w:style>
  <w:style w:type="paragraph" w:customStyle="1" w:styleId="102">
    <w:name w:val="此正文"/>
    <w:basedOn w:val="1"/>
    <w:link w:val="799"/>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1"/>
    <w:qFormat/>
    <w:uiPriority w:val="0"/>
    <w:pPr>
      <w:tabs>
        <w:tab w:val="left" w:pos="2356"/>
      </w:tabs>
    </w:pPr>
  </w:style>
  <w:style w:type="paragraph" w:customStyle="1" w:styleId="104">
    <w:name w:val="样式 标题 4h4H4Fab-4T5Ref Heading 1rh1Heading sqlsect 1.2.3...."/>
    <w:basedOn w:val="7"/>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4"/>
    <w:qFormat/>
    <w:uiPriority w:val="0"/>
    <w:pPr>
      <w:adjustRightInd/>
    </w:pPr>
    <w:rPr>
      <w:rFonts w:ascii="宋体" w:hAnsi="Courier New"/>
      <w:kern w:val="0"/>
      <w:sz w:val="20"/>
      <w:szCs w:val="20"/>
    </w:rPr>
  </w:style>
  <w:style w:type="paragraph" w:customStyle="1" w:styleId="107">
    <w:name w:val="正文说明"/>
    <w:basedOn w:val="1"/>
    <w:link w:val="846"/>
    <w:qFormat/>
    <w:uiPriority w:val="0"/>
    <w:pPr>
      <w:adjustRightInd/>
      <w:spacing w:line="360" w:lineRule="auto"/>
    </w:pPr>
    <w:rPr>
      <w:kern w:val="0"/>
      <w:sz w:val="24"/>
    </w:rPr>
  </w:style>
  <w:style w:type="paragraph" w:customStyle="1" w:styleId="108">
    <w:name w:val="Table Text"/>
    <w:basedOn w:val="1"/>
    <w:link w:val="852"/>
    <w:qFormat/>
    <w:uiPriority w:val="0"/>
    <w:pPr>
      <w:widowControl/>
      <w:spacing w:before="60" w:after="60"/>
      <w:jc w:val="left"/>
    </w:pPr>
    <w:rPr>
      <w:kern w:val="0"/>
      <w:sz w:val="24"/>
    </w:rPr>
  </w:style>
  <w:style w:type="paragraph" w:customStyle="1" w:styleId="109">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4"/>
    <w:qFormat/>
    <w:uiPriority w:val="0"/>
    <w:pPr>
      <w:widowControl/>
      <w:snapToGrid w:val="0"/>
      <w:spacing w:afterLines="50"/>
      <w:ind w:firstLine="200" w:firstLineChars="200"/>
    </w:pPr>
    <w:rPr>
      <w:kern w:val="0"/>
      <w:sz w:val="24"/>
      <w:szCs w:val="20"/>
    </w:rPr>
  </w:style>
  <w:style w:type="paragraph" w:customStyle="1" w:styleId="114">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17"/>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7"/>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2"/>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6"/>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8"/>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8"/>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4"/>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6"/>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0"/>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qFormat/>
    <w:uiPriority w:val="0"/>
    <w:pPr>
      <w:tabs>
        <w:tab w:val="left" w:pos="1080"/>
        <w:tab w:val="clear" w:pos="1008"/>
      </w:tabs>
      <w:ind w:left="1080" w:hanging="1080"/>
    </w:pPr>
  </w:style>
  <w:style w:type="paragraph" w:customStyle="1" w:styleId="581">
    <w:name w:val="数字标题1"/>
    <w:basedOn w:val="4"/>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paragraph" w:customStyle="1" w:styleId="62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21">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character" w:customStyle="1" w:styleId="622">
    <w:name w:val="表格非标题文字 Char"/>
    <w:link w:val="81"/>
    <w:qFormat/>
    <w:uiPriority w:val="0"/>
    <w:rPr>
      <w:rFonts w:ascii="Futura Bk" w:hAnsi="Futura Bk"/>
      <w:kern w:val="2"/>
      <w:sz w:val="18"/>
      <w:szCs w:val="21"/>
      <w:lang w:val="en-US" w:eastAsia="zh-CN" w:bidi="ar-SA"/>
    </w:rPr>
  </w:style>
  <w:style w:type="character" w:customStyle="1" w:styleId="623">
    <w:name w:val="*正文 Char"/>
    <w:link w:val="82"/>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3"/>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2"/>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4"/>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5"/>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3"/>
    <w:qFormat/>
    <w:uiPriority w:val="0"/>
    <w:rPr>
      <w:rFonts w:ascii="宋体" w:hAnsi="宋体"/>
      <w:kern w:val="2"/>
      <w:sz w:val="21"/>
      <w:szCs w:val="24"/>
    </w:rPr>
  </w:style>
  <w:style w:type="character" w:customStyle="1" w:styleId="657">
    <w:name w:val="font11"/>
    <w:basedOn w:val="7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1"/>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6"/>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9"/>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7"/>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9"/>
    <w:qFormat/>
    <w:uiPriority w:val="0"/>
    <w:rPr>
      <w:rFonts w:ascii="Arial" w:hAnsi="Arial" w:eastAsia="黑体"/>
      <w:b/>
      <w:bCs/>
      <w:kern w:val="2"/>
      <w:sz w:val="24"/>
      <w:szCs w:val="24"/>
    </w:rPr>
  </w:style>
  <w:style w:type="character" w:customStyle="1" w:styleId="681">
    <w:name w:val="纯文本 Char_0"/>
    <w:link w:val="88"/>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0"/>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1"/>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2"/>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0"/>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2"/>
    <w:qFormat/>
    <w:locked/>
    <w:uiPriority w:val="0"/>
    <w:rPr>
      <w:rFonts w:ascii="Tahoma" w:hAnsi="Tahoma"/>
      <w:sz w:val="24"/>
      <w:szCs w:val="24"/>
    </w:rPr>
  </w:style>
  <w:style w:type="character" w:customStyle="1" w:styleId="721">
    <w:name w:val="正文缩进 Char2"/>
    <w:link w:val="17"/>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3"/>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0"/>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1"/>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5"/>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6"/>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8"/>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7"/>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8"/>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9"/>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0"/>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basedOn w:val="7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2"/>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4"/>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1"/>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8"/>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2"/>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9"/>
    <w:qFormat/>
    <w:uiPriority w:val="0"/>
    <w:rPr>
      <w:rFonts w:ascii="黑体" w:hAnsi="Courier New" w:eastAsia="黑体"/>
    </w:rPr>
  </w:style>
  <w:style w:type="character" w:customStyle="1" w:styleId="820">
    <w:name w:val="正文文本 2 Char1"/>
    <w:link w:val="58"/>
    <w:qFormat/>
    <w:uiPriority w:val="0"/>
    <w:rPr>
      <w:kern w:val="2"/>
      <w:sz w:val="21"/>
      <w:szCs w:val="24"/>
    </w:rPr>
  </w:style>
  <w:style w:type="character" w:customStyle="1" w:styleId="821">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0"/>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2"/>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5"/>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6"/>
    <w:qFormat/>
    <w:uiPriority w:val="0"/>
    <w:rPr>
      <w:rFonts w:ascii="宋体" w:hAnsi="Courier New"/>
    </w:rPr>
  </w:style>
  <w:style w:type="character" w:customStyle="1" w:styleId="835">
    <w:name w:val="正文首行缩进 Char"/>
    <w:link w:val="3"/>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7"/>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3"/>
    <w:qFormat/>
    <w:uiPriority w:val="0"/>
    <w:rPr>
      <w:kern w:val="2"/>
      <w:sz w:val="21"/>
    </w:rPr>
  </w:style>
  <w:style w:type="character" w:customStyle="1" w:styleId="845">
    <w:name w:val="font31"/>
    <w:basedOn w:val="71"/>
    <w:qFormat/>
    <w:uiPriority w:val="0"/>
    <w:rPr>
      <w:rFonts w:hint="eastAsia" w:ascii="仿宋" w:hAnsi="仿宋" w:eastAsia="仿宋" w:cs="仿宋"/>
      <w:color w:val="000000"/>
      <w:sz w:val="20"/>
      <w:szCs w:val="20"/>
      <w:u w:val="none"/>
    </w:rPr>
  </w:style>
  <w:style w:type="character" w:customStyle="1" w:styleId="846">
    <w:name w:val="正文说明 Char"/>
    <w:link w:val="107"/>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8"/>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1"/>
    <w:qFormat/>
    <w:uiPriority w:val="0"/>
    <w:rPr>
      <w:kern w:val="2"/>
      <w:sz w:val="21"/>
      <w:szCs w:val="24"/>
    </w:rPr>
  </w:style>
  <w:style w:type="character" w:customStyle="1" w:styleId="857">
    <w:name w:val="签名 Char"/>
    <w:link w:val="44"/>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9"/>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0"/>
    <w:qFormat/>
    <w:uiPriority w:val="0"/>
    <w:rPr>
      <w:rFonts w:ascii="宋体"/>
    </w:rPr>
  </w:style>
  <w:style w:type="character" w:customStyle="1" w:styleId="868">
    <w:name w:val="标题 8 Char"/>
    <w:link w:val="11"/>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5"/>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1"/>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2"/>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3"/>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3"/>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4"/>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5"/>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6"/>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1"/>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7"/>
    <w:qFormat/>
    <w:uiPriority w:val="0"/>
    <w:rPr>
      <w:rFonts w:cs="宋体"/>
      <w:kern w:val="2"/>
      <w:sz w:val="24"/>
    </w:rPr>
  </w:style>
  <w:style w:type="character" w:customStyle="1" w:styleId="93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4">
    <w:name w:val="gray6"/>
    <w:basedOn w:val="71"/>
    <w:qFormat/>
    <w:uiPriority w:val="0"/>
    <w:rPr>
      <w:rFonts w:ascii="Arial" w:hAnsi="Arial" w:eastAsia="黑体" w:cs="Arial"/>
      <w:snapToGrid w:val="0"/>
      <w:kern w:val="0"/>
      <w:szCs w:val="21"/>
    </w:rPr>
  </w:style>
  <w:style w:type="character" w:customStyle="1" w:styleId="935">
    <w:name w:val="hui"/>
    <w:basedOn w:val="71"/>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7"/>
    <w:qFormat/>
    <w:uiPriority w:val="99"/>
    <w:rPr>
      <w:kern w:val="2"/>
      <w:sz w:val="21"/>
      <w:szCs w:val="22"/>
    </w:rPr>
  </w:style>
  <w:style w:type="character" w:customStyle="1" w:styleId="943">
    <w:name w:val="标准文本 Char Char"/>
    <w:link w:val="606"/>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1"/>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character" w:customStyle="1" w:styleId="960">
    <w:name w:val="NormalCharacter"/>
    <w:qFormat/>
    <w:uiPriority w:val="99"/>
  </w:style>
  <w:style w:type="table" w:customStyle="1" w:styleId="96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34904</Words>
  <Characters>37311</Characters>
  <Lines>56</Lines>
  <Paragraphs>100</Paragraphs>
  <TotalTime>8</TotalTime>
  <ScaleCrop>false</ScaleCrop>
  <LinksUpToDate>false</LinksUpToDate>
  <CharactersWithSpaces>38923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清水无影</cp:lastModifiedBy>
  <cp:lastPrinted>2021-12-27T03:06:00Z</cp:lastPrinted>
  <dcterms:modified xsi:type="dcterms:W3CDTF">2022-11-11T07:28:33Z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77CFEE991EA04FDB86793FFA342CCBEB</vt:lpwstr>
  </property>
</Properties>
</file>