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lang w:val="en-US" w:eastAsia="zh-CN"/>
        </w:rPr>
        <w:t>五常综合楼</w:t>
      </w:r>
      <w:r>
        <w:rPr>
          <w:rFonts w:hint="eastAsia" w:ascii="仿宋" w:hAnsi="仿宋" w:eastAsia="仿宋" w:cs="仿宋_GB2312"/>
          <w:b/>
          <w:sz w:val="48"/>
          <w:szCs w:val="48"/>
        </w:rPr>
        <w:t>食堂外包服务采购项目</w:t>
      </w:r>
    </w:p>
    <w:p>
      <w:pPr>
        <w:adjustRightInd/>
        <w:spacing w:line="360" w:lineRule="auto"/>
        <w:jc w:val="center"/>
        <w:rPr>
          <w:rFonts w:ascii="仿宋" w:hAnsi="仿宋" w:eastAsia="仿宋" w:cs="仿宋_GB2312"/>
          <w:sz w:val="28"/>
          <w:szCs w:val="20"/>
        </w:rPr>
      </w:pPr>
    </w:p>
    <w:p>
      <w:pPr>
        <w:spacing w:line="360" w:lineRule="auto"/>
        <w:jc w:val="center"/>
        <w:rPr>
          <w:rFonts w:ascii="仿宋" w:hAnsi="仿宋" w:eastAsia="仿宋" w:cs="仿宋_GB2312"/>
          <w:sz w:val="24"/>
        </w:rPr>
      </w:pPr>
    </w:p>
    <w:p>
      <w:pPr>
        <w:adjustRightInd/>
        <w:spacing w:line="360" w:lineRule="auto"/>
        <w:jc w:val="both"/>
        <w:rPr>
          <w:rFonts w:ascii="仿宋" w:hAnsi="仿宋" w:eastAsia="仿宋" w:cs="仿宋_GB2312"/>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tabs>
          <w:tab w:val="left" w:pos="2099"/>
          <w:tab w:val="center" w:pos="4594"/>
        </w:tabs>
        <w:adjustRightInd/>
        <w:spacing w:line="360" w:lineRule="auto"/>
        <w:jc w:val="left"/>
        <w:rPr>
          <w:rFonts w:ascii="仿宋" w:hAnsi="仿宋" w:eastAsia="仿宋" w:cs="仿宋_GB2312"/>
          <w:b/>
          <w:color w:val="auto"/>
          <w:sz w:val="44"/>
          <w:szCs w:val="44"/>
          <w:highlight w:val="none"/>
        </w:rPr>
      </w:pPr>
      <w:r>
        <w:rPr>
          <w:rFonts w:hint="eastAsia" w:ascii="仿宋" w:hAnsi="仿宋" w:eastAsia="仿宋" w:cs="仿宋_GB2312"/>
          <w:b/>
          <w:color w:val="auto"/>
          <w:sz w:val="44"/>
          <w:szCs w:val="44"/>
          <w:highlight w:val="none"/>
          <w:lang w:eastAsia="zh-CN"/>
        </w:rPr>
        <w:tab/>
      </w:r>
      <w:r>
        <w:rPr>
          <w:rFonts w:hint="eastAsia" w:ascii="仿宋" w:hAnsi="仿宋" w:eastAsia="仿宋" w:cs="仿宋_GB2312"/>
          <w:b/>
          <w:color w:val="auto"/>
          <w:sz w:val="44"/>
          <w:szCs w:val="44"/>
          <w:highlight w:val="none"/>
          <w:lang w:eastAsia="zh-CN"/>
        </w:rPr>
        <w:tab/>
      </w:r>
      <w:r>
        <w:rPr>
          <w:rFonts w:ascii="仿宋" w:hAnsi="仿宋" w:eastAsia="仿宋" w:cs="仿宋_GB2312"/>
          <w:b/>
          <w:color w:val="auto"/>
          <w:sz w:val="44"/>
          <w:szCs w:val="44"/>
          <w:highlight w:val="none"/>
        </w:rPr>
        <w:t xml:space="preserve"> （电子招投标）</w:t>
      </w:r>
    </w:p>
    <w:p>
      <w:pPr>
        <w:adjustRightInd/>
        <w:spacing w:line="360" w:lineRule="auto"/>
        <w:jc w:val="center"/>
        <w:rPr>
          <w:rFonts w:hint="default" w:ascii="仿宋" w:hAnsi="仿宋" w:eastAsia="仿宋" w:cs="仿宋_GB2312"/>
          <w:color w:val="auto"/>
          <w:sz w:val="30"/>
          <w:szCs w:val="30"/>
          <w:highlight w:val="none"/>
          <w:lang w:val="en-US"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HCJS2022-018</w:t>
      </w:r>
      <w:r>
        <w:rPr>
          <w:rFonts w:hint="eastAsia" w:ascii="仿宋" w:hAnsi="仿宋" w:eastAsia="仿宋" w:cs="仿宋_GB2312"/>
          <w:color w:val="auto"/>
          <w:sz w:val="30"/>
          <w:szCs w:val="30"/>
          <w:highlight w:val="none"/>
          <w:lang w:val="en-US" w:eastAsia="zh-CN"/>
        </w:rPr>
        <w:t xml:space="preserve">   </w:t>
      </w:r>
    </w:p>
    <w:p>
      <w:pPr>
        <w:snapToGrid w:val="0"/>
        <w:spacing w:line="360" w:lineRule="auto"/>
        <w:jc w:val="center"/>
        <w:rPr>
          <w:rFonts w:hint="eastAsia"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rPr>
      </w:pPr>
    </w:p>
    <w:p>
      <w:pPr>
        <w:pStyle w:val="23"/>
        <w:rPr>
          <w:rFonts w:hint="eastAsia" w:ascii="仿宋" w:hAnsi="仿宋" w:eastAsia="仿宋" w:cs="仿宋_GB2312"/>
          <w:sz w:val="32"/>
          <w:szCs w:val="32"/>
        </w:rPr>
      </w:pPr>
    </w:p>
    <w:p>
      <w:pPr>
        <w:pStyle w:val="24"/>
        <w:rPr>
          <w:rFonts w:hint="eastAsia" w:ascii="仿宋" w:hAnsi="仿宋" w:eastAsia="仿宋" w:cs="仿宋_GB2312"/>
          <w:sz w:val="32"/>
          <w:szCs w:val="32"/>
        </w:rPr>
      </w:pPr>
    </w:p>
    <w:p>
      <w:pPr>
        <w:rPr>
          <w:rFonts w:hint="eastAsia" w:ascii="仿宋" w:hAnsi="仿宋" w:eastAsia="仿宋" w:cs="仿宋_GB2312"/>
          <w:sz w:val="32"/>
          <w:szCs w:val="32"/>
        </w:rPr>
      </w:pPr>
    </w:p>
    <w:p>
      <w:pPr>
        <w:pStyle w:val="23"/>
        <w:rPr>
          <w:rFonts w:hint="eastAsia" w:ascii="仿宋" w:hAnsi="仿宋" w:eastAsia="仿宋" w:cs="仿宋_GB2312"/>
          <w:sz w:val="32"/>
          <w:szCs w:val="32"/>
        </w:rPr>
      </w:pPr>
    </w:p>
    <w:p>
      <w:pPr>
        <w:pStyle w:val="24"/>
        <w:rPr>
          <w:rFonts w:hint="eastAsia"/>
        </w:rPr>
      </w:pPr>
    </w:p>
    <w:p>
      <w:pPr>
        <w:snapToGrid w:val="0"/>
        <w:spacing w:line="360" w:lineRule="auto"/>
        <w:jc w:val="center"/>
        <w:rPr>
          <w:rFonts w:hint="eastAsia"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rPr>
      </w:pPr>
      <w:r>
        <w:rPr>
          <w:rFonts w:hint="eastAsia" w:ascii="仿宋" w:hAnsi="仿宋" w:eastAsia="仿宋" w:cs="仿宋_GB2312"/>
          <w:sz w:val="32"/>
          <w:szCs w:val="32"/>
        </w:rPr>
        <w:t xml:space="preserve">采购人：杭州市余杭区机关事务服务中心 </w:t>
      </w:r>
    </w:p>
    <w:p>
      <w:pP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采购代理机构</w:t>
      </w:r>
      <w:r>
        <w:rPr>
          <w:rFonts w:hint="eastAsia" w:ascii="仿宋" w:hAnsi="仿宋" w:eastAsia="仿宋" w:cs="仿宋_GB2312"/>
          <w:color w:val="auto"/>
          <w:sz w:val="32"/>
          <w:szCs w:val="32"/>
          <w:highlight w:val="none"/>
          <w:lang w:eastAsia="zh-CN"/>
        </w:rPr>
        <w:t>：杭州恒创建设工程咨询有限公司</w:t>
      </w:r>
    </w:p>
    <w:p>
      <w:pPr>
        <w:snapToGrid w:val="0"/>
        <w:spacing w:line="360" w:lineRule="auto"/>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w:t>
      </w:r>
      <w:r>
        <w:rPr>
          <w:rFonts w:hint="eastAsia" w:ascii="宋体" w:hAnsi="宋体" w:cs="宋体"/>
          <w:b w:val="0"/>
          <w:bCs w:val="0"/>
          <w:color w:val="auto"/>
          <w:sz w:val="32"/>
          <w:szCs w:val="32"/>
          <w:highlight w:val="none"/>
        </w:rPr>
        <w:t>〇</w:t>
      </w:r>
      <w:r>
        <w:rPr>
          <w:rFonts w:hint="eastAsia" w:ascii="仿宋_GB2312" w:hAnsi="仿宋_GB2312" w:eastAsia="仿宋_GB2312" w:cs="仿宋_GB2312"/>
          <w:b w:val="0"/>
          <w:bCs w:val="0"/>
          <w:color w:val="auto"/>
          <w:sz w:val="32"/>
          <w:szCs w:val="32"/>
          <w:highlight w:val="none"/>
        </w:rPr>
        <w:t>二</w:t>
      </w:r>
      <w:r>
        <w:rPr>
          <w:rFonts w:hint="eastAsia" w:ascii="宋体" w:hAnsi="宋体" w:eastAsia="仿宋_GB2312" w:cs="宋体"/>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十二</w:t>
      </w:r>
      <w:r>
        <w:rPr>
          <w:rFonts w:hint="eastAsia" w:ascii="仿宋_GB2312" w:hAnsi="仿宋_GB2312" w:eastAsia="仿宋_GB2312" w:cs="仿宋_GB2312"/>
          <w:b w:val="0"/>
          <w:bCs w:val="0"/>
          <w:color w:val="auto"/>
          <w:sz w:val="32"/>
          <w:szCs w:val="32"/>
          <w:highlight w:val="none"/>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val="en-US" w:eastAsia="zh-CN"/>
        </w:rPr>
        <w:t>五常综合楼</w:t>
      </w:r>
      <w:r>
        <w:rPr>
          <w:rFonts w:hint="eastAsia" w:ascii="仿宋_GB2312" w:hAnsi="仿宋" w:eastAsia="仿宋_GB2312" w:cs="仿宋_GB2312"/>
          <w:sz w:val="24"/>
          <w:u w:val="single"/>
        </w:rPr>
        <w:t>食堂外包服务采购项目</w:t>
      </w:r>
      <w:r>
        <w:rPr>
          <w:rFonts w:hint="eastAsia" w:ascii="仿宋_GB2312" w:hAnsi="仿宋" w:eastAsia="仿宋_GB2312"/>
          <w:sz w:val="24"/>
        </w:rPr>
        <w:t>招标项目的潜在投标人应在政采云平台（</w:t>
      </w:r>
      <w:r>
        <w:fldChar w:fldCharType="begin"/>
      </w:r>
      <w:r>
        <w:instrText xml:space="preserve">HYPERLINK "https://www.zcygov.cn/）获取（下载）招标文件，并于2021年" </w:instrText>
      </w:r>
      <w:r>
        <w:fldChar w:fldCharType="separate"/>
      </w:r>
      <w:r>
        <w:rPr>
          <w:rStyle w:val="76"/>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00秒</w:t>
      </w:r>
      <w: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5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00" w:lineRule="atLeast"/>
        <w:ind w:left="0" w:right="0"/>
        <w:jc w:val="left"/>
        <w:textAlignment w:val="auto"/>
        <w:rPr>
          <w:rFonts w:ascii="黑体" w:hAnsi="宋体" w:eastAsia="黑体" w:cs="黑体"/>
          <w:sz w:val="27"/>
          <w:szCs w:val="27"/>
        </w:rPr>
      </w:pPr>
      <w:r>
        <w:rPr>
          <w:rFonts w:hint="eastAsia" w:ascii="黑体" w:hAnsi="宋体" w:eastAsia="黑体" w:cs="黑体"/>
          <w:i w:val="0"/>
          <w:iCs w:val="0"/>
          <w:caps w:val="0"/>
          <w:color w:val="000000"/>
          <w:spacing w:val="0"/>
          <w:sz w:val="27"/>
          <w:szCs w:val="27"/>
          <w:lang w:eastAsia="zh-CN"/>
        </w:rPr>
        <w:t>一、基本情况</w:t>
      </w:r>
      <w:bookmarkStart w:id="401" w:name="_GoBack"/>
      <w:bookmarkEnd w:id="401"/>
      <w:r>
        <w:rPr>
          <w:rFonts w:ascii="黑体" w:hAnsi="宋体" w:eastAsia="黑体" w:cs="黑体"/>
          <w:i w:val="0"/>
          <w:iCs w:val="0"/>
          <w:caps w:val="0"/>
          <w:color w:val="000000"/>
          <w:spacing w:val="0"/>
          <w:sz w:val="27"/>
          <w:szCs w:val="27"/>
        </w:rPr>
        <w:t xml:space="preserve">                                        </w:t>
      </w:r>
    </w:p>
    <w:p>
      <w:pPr>
        <w:pStyle w:val="58"/>
        <w:keepNext w:val="0"/>
        <w:keepLines w:val="0"/>
        <w:widowControl/>
        <w:suppressLineNumbers w:val="0"/>
        <w:spacing w:before="75" w:beforeAutospacing="0" w:after="75" w:afterAutospacing="0" w:line="300" w:lineRule="atLeast"/>
        <w:ind w:left="0" w:right="0"/>
      </w:pPr>
      <w:r>
        <w:rPr>
          <w:rFonts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rPr>
        <w:t>HCJS2022-018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项目名称：五常综合楼食堂外包服务采购项目</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预算金额（元）：5400000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最高限价（元）：5400000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标项名称: 杭州市余杭区机关事务服务中心服务期限为3年。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数量: 不限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预算金额（元）: 5400000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简要规格描述或项目基本概况介绍、用途：五常综合楼食堂外包服务采购项目主要内容：详见招标文件第三部分采购需求。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备注：</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1，自合同签订生效之日起36个月</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本项目（否）接受联合体投标。</w:t>
      </w:r>
    </w:p>
    <w:p>
      <w:pPr>
        <w:pStyle w:val="58"/>
        <w:keepNext w:val="0"/>
        <w:keepLines w:val="0"/>
        <w:widowControl/>
        <w:suppressLineNumbers w:val="0"/>
        <w:spacing w:before="225" w:beforeAutospacing="0" w:after="225" w:afterAutospacing="0" w:line="300" w:lineRule="atLeast"/>
        <w:ind w:left="0" w:right="0"/>
      </w:pPr>
      <w:r>
        <w:rPr>
          <w:rStyle w:val="70"/>
          <w:rFonts w:ascii="黑体" w:hAnsi="宋体" w:eastAsia="黑体" w:cs="黑体"/>
          <w:i w:val="0"/>
          <w:iCs w:val="0"/>
          <w:caps w:val="0"/>
          <w:color w:val="000000"/>
          <w:spacing w:val="0"/>
          <w:sz w:val="27"/>
          <w:szCs w:val="27"/>
        </w:rPr>
        <w:t>二、申请人的资格要求：</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2.落实政府采购政策需满足的资格要求：标项1：供应商为中小企业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时间：/至2022年12月22日 ，每天上午00:00至12:00 ，下午12:00至23:59（北京时间，线上获取法定节假日均可，线下获取文件法定节假日除外）</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地点（网址）：政采云平台（http://zfcg.czt.zj.gov.cn）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i w:val="0"/>
          <w:iCs w:val="0"/>
          <w:caps w:val="0"/>
          <w:color w:val="000000"/>
          <w:spacing w:val="0"/>
          <w:sz w:val="27"/>
          <w:szCs w:val="27"/>
        </w:rPr>
        <w:t>四、提交投标文件截止时间、开标时间和地点</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提交投标文件截止时间：2022年12月22日 09:00（北京时间）</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投标地点（网址）：政采云平台（https://www.zcygov.cn/）</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开标时间：2022年12月22日 09:00</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开标地点（网址）：杭州市余杭区瓶窑镇瓶仓大道966号2号楼3层315-A室</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0"/>
          <w:rFonts w:ascii="黑体" w:hAnsi="宋体" w:eastAsia="黑体" w:cs="黑体"/>
          <w:i w:val="0"/>
          <w:iCs w:val="0"/>
          <w:caps w:val="0"/>
          <w:color w:val="000000"/>
          <w:spacing w:val="0"/>
          <w:sz w:val="27"/>
          <w:szCs w:val="27"/>
        </w:rPr>
        <w:t>五、采购意向公开链接</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i w:val="0"/>
          <w:iCs w:val="0"/>
          <w:caps w:val="0"/>
          <w:color w:val="000000"/>
          <w:spacing w:val="0"/>
          <w:sz w:val="31"/>
          <w:szCs w:val="31"/>
        </w:rPr>
        <w:t>   </w:t>
      </w:r>
      <w:r>
        <w:rPr>
          <w:rStyle w:val="79"/>
          <w:rFonts w:hint="eastAsia" w:ascii="仿宋" w:hAnsi="仿宋" w:eastAsia="仿宋" w:cs="仿宋"/>
          <w:i w:val="0"/>
          <w:iCs w:val="0"/>
          <w:caps w:val="0"/>
          <w:color w:val="000000"/>
          <w:spacing w:val="0"/>
          <w:sz w:val="27"/>
          <w:szCs w:val="27"/>
        </w:rPr>
        <w:t>https://middle.zcygov.cn/announcement-front/#/dynamic/detail?formPageCode=publicNoticeOfPurchaseIntention&amp;annId=14171190&amp;districtId=330110&amp;annBigType=1</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0"/>
          <w:rFonts w:ascii="黑体" w:hAnsi="宋体" w:eastAsia="黑体" w:cs="黑体"/>
          <w:i w:val="0"/>
          <w:iCs w:val="0"/>
          <w:caps w:val="0"/>
          <w:color w:val="000000"/>
          <w:spacing w:val="0"/>
          <w:sz w:val="27"/>
          <w:szCs w:val="27"/>
        </w:rPr>
        <w:t>六、公告期限</w:t>
      </w:r>
      <w:r>
        <w:rPr>
          <w:rFonts w:ascii="黑体" w:hAnsi="宋体" w:eastAsia="黑体" w:cs="黑体"/>
          <w:i w:val="0"/>
          <w:iCs w:val="0"/>
          <w:caps w:val="0"/>
          <w:color w:val="000000"/>
          <w:spacing w:val="0"/>
          <w:sz w:val="31"/>
          <w:szCs w:val="31"/>
        </w:rPr>
        <w:t> </w:t>
      </w:r>
    </w:p>
    <w:p>
      <w:pPr>
        <w:pStyle w:val="58"/>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58"/>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i w:val="0"/>
          <w:iCs w:val="0"/>
          <w:caps w:val="0"/>
          <w:color w:val="000000"/>
          <w:spacing w:val="0"/>
          <w:sz w:val="27"/>
          <w:szCs w:val="27"/>
        </w:rPr>
        <w:t>七、其他补充事宜</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4.其他事项：/  </w:t>
      </w:r>
    </w:p>
    <w:p>
      <w:pPr>
        <w:pStyle w:val="58"/>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0"/>
          <w:rFonts w:ascii="黑体" w:hAnsi="宋体" w:eastAsia="黑体" w:cs="黑体"/>
          <w:i w:val="0"/>
          <w:iCs w:val="0"/>
          <w:caps w:val="0"/>
          <w:color w:val="000000"/>
          <w:spacing w:val="0"/>
          <w:sz w:val="27"/>
          <w:szCs w:val="27"/>
        </w:rPr>
        <w:t>八、对本次采购提出询问、质疑、投诉，请按以下方式联系</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称：杭州市余杭区机关事务服务中心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址：仓前街道文一西路1500号9号楼4楼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项目联系人（询问）：陈世平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项目联系方式（询问）：0571-89516720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质疑联系人：童晓琦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质疑联系方式：13958028148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称：杭州恒创建设工程咨询有限公司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址：杭州市余杭区瓶窑镇瓶仓大道966号2号楼3层315-A室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项目联系人（询问）：姚俊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项目联系方式（询问）：13777562793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质疑联系人：刘宇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质疑联系方式：17300918760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3.同级政府采购监督管理部门</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称：杭州市余杭区财政局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址：杭州市余杭区仓前街道文一西路1500号8号楼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联系人 ：杜国强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监督投诉电话：0571-88728858 </w:t>
      </w:r>
      <w:r>
        <w:rPr>
          <w:rFonts w:hint="eastAsia" w:ascii="仿宋" w:hAnsi="仿宋" w:eastAsia="仿宋" w:cs="仿宋"/>
          <w:i w:val="0"/>
          <w:iCs w:val="0"/>
          <w:caps w:val="0"/>
          <w:color w:val="000000"/>
          <w:spacing w:val="0"/>
          <w:sz w:val="24"/>
          <w:szCs w:val="24"/>
        </w:rPr>
        <w:t>          </w:t>
      </w:r>
      <w:r>
        <w:rPr>
          <w:rFonts w:hint="eastAsia" w:ascii="仿宋" w:hAnsi="仿宋" w:eastAsia="仿宋" w:cs="仿宋"/>
          <w:i w:val="0"/>
          <w:iCs w:val="0"/>
          <w:caps w:val="0"/>
          <w:color w:val="000000"/>
          <w:spacing w:val="0"/>
          <w:sz w:val="24"/>
          <w:szCs w:val="24"/>
        </w:rPr>
        <w:br w:type="textWrapping"/>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p>
      <w:pPr>
        <w:spacing w:line="360" w:lineRule="auto"/>
        <w:ind w:firstLine="480" w:firstLineChars="200"/>
        <w:rPr>
          <w:rFonts w:ascii="仿宋_GB2312" w:hAnsi="仿宋" w:eastAsia="仿宋_GB2312"/>
          <w:sz w:val="24"/>
        </w:rPr>
      </w:pPr>
    </w:p>
    <w:p>
      <w:pPr>
        <w:pStyle w:val="33"/>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rPr>
              <w:t>,地点：</w:t>
            </w:r>
            <w:r>
              <w:rPr>
                <w:rFonts w:hint="eastAsia" w:ascii="仿宋_GB2312" w:hAnsi="仿宋" w:eastAsia="仿宋_GB2312"/>
                <w:sz w:val="24"/>
              </w:rPr>
              <w:t>，联系人：，联系方式：</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kern w:val="0"/>
                <w:sz w:val="24"/>
              </w:rPr>
              <w:t>；地点：；联系人</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采购标的：食堂外包服务；所属行业：餐饮业。</w:t>
            </w:r>
          </w:p>
          <w:p>
            <w:pPr>
              <w:pStyle w:val="4"/>
              <w:rPr>
                <w:lang w:val="en-US"/>
              </w:rPr>
            </w:pPr>
            <w:r>
              <w:rPr>
                <w:rFonts w:hint="eastAsia" w:cs="Arial"/>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备份投标文件送达地点：</w:t>
            </w:r>
          </w:p>
          <w:p>
            <w:pPr>
              <w:pStyle w:val="33"/>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备份投标文件签收人员联系电话：</w:t>
            </w:r>
          </w:p>
          <w:p>
            <w:pPr>
              <w:pStyle w:val="33"/>
              <w:spacing w:line="360" w:lineRule="auto"/>
              <w:rPr>
                <w:rFonts w:ascii="仿宋_GB2312" w:hAnsi="仿宋" w:eastAsia="仿宋_GB2312"/>
                <w:kern w:val="28"/>
                <w:sz w:val="24"/>
              </w:rPr>
            </w:pP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cs="Times New Roman"/>
                <w:snapToGrid w:val="0"/>
                <w:color w:val="auto"/>
                <w:kern w:val="28"/>
                <w:sz w:val="24"/>
                <w:szCs w:val="24"/>
                <w:lang w:val="en-US" w:eastAsia="zh-CN" w:bidi="ar-SA"/>
              </w:rPr>
              <w:t>本次招标代理服务费由中标人支付，招标代理服务费按照国家</w:t>
            </w:r>
            <w:r>
              <w:rPr>
                <w:rFonts w:hint="eastAsia" w:ascii="仿宋_GB2312" w:hAnsi="仿宋" w:eastAsia="仿宋_GB2312" w:cs="Times New Roman"/>
                <w:snapToGrid w:val="0"/>
                <w:color w:val="auto"/>
                <w:kern w:val="28"/>
                <w:sz w:val="24"/>
                <w:szCs w:val="24"/>
                <w:highlight w:val="none"/>
                <w:lang w:val="en-US" w:eastAsia="zh-CN" w:bidi="ar-SA"/>
              </w:rPr>
              <w:t>计委印发的《招标代理服务收费管理暂行办法》计价格[2002]1980号、发改办价格[2003]857号规定收费。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snapToGrid w:val="0"/>
                <w:kern w:val="28"/>
                <w:sz w:val="24"/>
              </w:rPr>
            </w:pPr>
            <w:r>
              <w:rPr>
                <w:rFonts w:hint="eastAsia" w:ascii="仿宋_GB2312" w:hAnsi="仿宋" w:eastAsia="仿宋_GB2312"/>
                <w:snapToGrid w:val="0"/>
                <w:kern w:val="28"/>
                <w:sz w:val="24"/>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供应商以联合体形式投标的：按采购文件要求提供联合协议，联合体投标的联合体各方承担连带责任，联合体成员（含牵头人）不超过3个。</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p>
            <w:pPr>
              <w:spacing w:line="360" w:lineRule="auto"/>
              <w:rPr>
                <w:rFonts w:ascii="仿宋_GB2312" w:hAnsi="仿宋" w:eastAsia="仿宋_GB2312"/>
                <w:snapToGrid w:val="0"/>
                <w:kern w:val="28"/>
                <w:sz w:val="24"/>
              </w:rPr>
            </w:pPr>
            <w:r>
              <w:rPr>
                <w:rFonts w:hint="eastAsia" w:ascii="华文仿宋" w:hAnsi="华文仿宋" w:eastAsia="华文仿宋"/>
                <w:sz w:val="24"/>
              </w:rPr>
              <w:t>采用联合体投标，除“联合协议”和“授权委托书”需联合体各方电子签名或公章外，其余由联合体牵头人在投标文件相应位置电子签名即可。</w:t>
            </w:r>
          </w:p>
        </w:tc>
      </w:tr>
    </w:tbl>
    <w:p>
      <w:pPr>
        <w:snapToGrid w:val="0"/>
        <w:spacing w:line="360" w:lineRule="auto"/>
        <w:jc w:val="center"/>
        <w:rPr>
          <w:rFonts w:ascii="仿宋" w:hAnsi="仿宋" w:eastAsia="仿宋" w:cs="仿宋_GB2312"/>
          <w:b/>
          <w:sz w:val="32"/>
          <w:szCs w:val="20"/>
        </w:rPr>
      </w:pPr>
    </w:p>
    <w:p>
      <w:pPr>
        <w:pStyle w:val="2"/>
        <w:rPr>
          <w:rFonts w:ascii="仿宋" w:hAnsi="仿宋" w:eastAsia="仿宋" w:cs="仿宋_GB2312"/>
          <w:b/>
          <w:sz w:val="32"/>
          <w:szCs w:val="20"/>
        </w:rPr>
      </w:pPr>
    </w:p>
    <w:p>
      <w:pPr>
        <w:rPr>
          <w:rFonts w:ascii="仿宋" w:hAnsi="仿宋" w:eastAsia="仿宋" w:cs="仿宋_GB2312"/>
          <w:b/>
          <w:sz w:val="32"/>
          <w:szCs w:val="20"/>
        </w:rPr>
      </w:pPr>
    </w:p>
    <w:p>
      <w:pPr>
        <w:pStyle w:val="2"/>
        <w:rPr>
          <w:rFonts w:ascii="仿宋" w:hAnsi="仿宋" w:eastAsia="仿宋" w:cs="仿宋_GB2312"/>
          <w:b/>
          <w:sz w:val="32"/>
          <w:szCs w:val="20"/>
        </w:rPr>
      </w:pPr>
    </w:p>
    <w:p>
      <w:pPr>
        <w:rPr>
          <w:rFonts w:ascii="仿宋" w:hAnsi="仿宋" w:eastAsia="仿宋" w:cs="仿宋_GB2312"/>
          <w:b/>
          <w:sz w:val="32"/>
          <w:szCs w:val="20"/>
        </w:rPr>
      </w:pPr>
    </w:p>
    <w:p>
      <w:pPr>
        <w:pStyle w:val="2"/>
        <w:rPr>
          <w:rFonts w:ascii="仿宋" w:hAnsi="仿宋" w:eastAsia="仿宋" w:cs="仿宋_GB2312"/>
          <w:b/>
          <w:sz w:val="32"/>
          <w:szCs w:val="20"/>
        </w:rPr>
      </w:pPr>
    </w:p>
    <w:p>
      <w:pPr>
        <w:rPr>
          <w:rFonts w:ascii="仿宋" w:hAnsi="仿宋" w:eastAsia="仿宋" w:cs="仿宋_GB2312"/>
          <w:b/>
          <w:sz w:val="32"/>
          <w:szCs w:val="20"/>
        </w:rPr>
      </w:pPr>
    </w:p>
    <w:p>
      <w:pPr>
        <w:pStyle w:val="2"/>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FF"/>
          <w:sz w:val="24"/>
        </w:rPr>
      </w:pPr>
      <w:r>
        <w:rPr>
          <w:rFonts w:ascii="仿宋_GB2312" w:hAnsi="仿宋" w:eastAsia="仿宋_GB2312"/>
          <w:sz w:val="24"/>
        </w:rPr>
        <w:t>3.3.3</w:t>
      </w:r>
      <w:r>
        <w:rPr>
          <w:rFonts w:hint="eastAsia" w:ascii="仿宋_GB2312" w:hAnsi="仿宋" w:eastAsia="仿宋_GB2312"/>
          <w:color w:val="0000FF"/>
          <w:sz w:val="24"/>
          <w:lang w:eastAsia="zh-CN"/>
        </w:rPr>
        <w:t>对</w:t>
      </w:r>
      <w:r>
        <w:rPr>
          <w:rFonts w:hint="eastAsia" w:ascii="仿宋_GB2312" w:hAnsi="仿宋" w:eastAsia="仿宋_GB2312"/>
          <w:color w:val="0000FF"/>
          <w:sz w:val="24"/>
        </w:rPr>
        <w:t>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0000FF"/>
          <w:sz w:val="24"/>
          <w:lang w:val="en-US" w:eastAsia="zh-CN"/>
        </w:rPr>
        <w:t>2</w:t>
      </w:r>
      <w:r>
        <w:rPr>
          <w:rFonts w:ascii="仿宋_GB2312" w:hAnsi="仿宋" w:eastAsia="仿宋_GB2312"/>
          <w:color w:val="0000FF"/>
          <w:sz w:val="24"/>
        </w:rPr>
        <w:t>0%的扣除，用扣除后的价格参与评审。接受大中型企业与小微企业组成联合体或者允许大中型企业向一家或者多家小微企业分包的</w:t>
      </w:r>
      <w:r>
        <w:rPr>
          <w:rFonts w:hint="eastAsia" w:ascii="仿宋_GB2312" w:hAnsi="仿宋" w:eastAsia="仿宋_GB2312"/>
          <w:color w:val="0000FF"/>
          <w:sz w:val="24"/>
        </w:rPr>
        <w:t>政府</w:t>
      </w:r>
      <w:r>
        <w:rPr>
          <w:rFonts w:ascii="仿宋_GB2312" w:hAnsi="仿宋" w:eastAsia="仿宋_GB2312"/>
          <w:color w:val="0000FF"/>
          <w:sz w:val="24"/>
        </w:rPr>
        <w:t>采购</w:t>
      </w:r>
      <w:r>
        <w:rPr>
          <w:rFonts w:hint="eastAsia" w:ascii="仿宋_GB2312" w:hAnsi="仿宋" w:eastAsia="仿宋_GB2312"/>
          <w:color w:val="0000FF"/>
          <w:sz w:val="24"/>
        </w:rPr>
        <w:t>货物或服务</w:t>
      </w:r>
      <w:r>
        <w:rPr>
          <w:rFonts w:ascii="仿宋_GB2312" w:hAnsi="仿宋" w:eastAsia="仿宋_GB2312"/>
          <w:color w:val="0000FF"/>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0000FF"/>
          <w:sz w:val="24"/>
          <w:lang w:val="en-US" w:eastAsia="zh-CN"/>
        </w:rPr>
        <w:t>6</w:t>
      </w:r>
      <w:r>
        <w:rPr>
          <w:rFonts w:ascii="仿宋_GB2312" w:hAnsi="仿宋" w:eastAsia="仿宋_GB2312"/>
          <w:color w:val="0000FF"/>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5"/>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5"/>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11.1.4</w:t>
      </w:r>
      <w:r>
        <w:rPr>
          <w:rFonts w:ascii="仿宋_GB2312" w:hAnsi="仿宋" w:eastAsia="仿宋_GB2312" w:cs="仿宋_GB2312"/>
          <w:sz w:val="24"/>
        </w:rPr>
        <w:t>联合协议（如采用联合体投标）</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11.2.3联合协议；（如采用联合体投标）</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11.2.4分包意向协议；（如有）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5"/>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5"/>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5"/>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5"/>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DVD光盘或</w:t>
      </w:r>
      <w:r>
        <w:rPr>
          <w:rFonts w:hint="eastAsia" w:ascii="仿宋_GB2312" w:hAnsi="仿宋" w:eastAsia="仿宋_GB2312"/>
          <w:sz w:val="24"/>
        </w:rPr>
        <w:t>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w:t>
      </w:r>
      <w:r>
        <w:rPr>
          <w:rFonts w:hint="eastAsia" w:ascii="仿宋_GB2312" w:hAnsi="仿宋" w:eastAsia="仿宋_GB2312" w:cs="仿宋_GB2312"/>
          <w:sz w:val="24"/>
          <w:szCs w:val="24"/>
        </w:rPr>
        <w:t>第二部分投标人须知前附表规定的备份投标文件送达地点</w:t>
      </w:r>
      <w:r>
        <w:rPr>
          <w:rFonts w:ascii="仿宋_GB2312" w:hAnsi="仿宋" w:eastAsia="仿宋_GB2312" w:cs="仿宋_GB2312"/>
          <w:sz w:val="24"/>
          <w:szCs w:val="24"/>
        </w:rPr>
        <w:t>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5"/>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5"/>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sz w:val="32"/>
        </w:rPr>
      </w:pPr>
    </w:p>
    <w:p>
      <w:pPr>
        <w:pStyle w:val="85"/>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5"/>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5"/>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5"/>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5"/>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 xml:space="preserve">1 </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hint="eastAsia" w:ascii="仿宋_GB2312" w:hAnsi="仿宋" w:eastAsia="仿宋_GB2312" w:cs="仿宋_GB2312"/>
          <w:sz w:val="24"/>
          <w:szCs w:val="20"/>
        </w:rPr>
      </w:pPr>
      <w:r>
        <w:rPr>
          <w:rFonts w:hint="eastAsia" w:ascii="仿宋_GB2312" w:hAnsi="仿宋" w:eastAsia="仿宋_GB2312" w:cs="仿宋_GB2312"/>
          <w:color w:val="0000FF"/>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0000FF"/>
          <w:sz w:val="24"/>
          <w:szCs w:val="20"/>
          <w:lang w:val="en-US" w:eastAsia="zh-CN"/>
        </w:rPr>
        <w:t>0.5</w:t>
      </w:r>
      <w:r>
        <w:rPr>
          <w:rFonts w:hint="eastAsia" w:ascii="仿宋_GB2312" w:hAnsi="仿宋" w:eastAsia="仿宋_GB2312" w:cs="仿宋_GB2312"/>
          <w:color w:val="0000FF"/>
          <w:sz w:val="24"/>
          <w:szCs w:val="20"/>
        </w:rPr>
        <w:t>%；评价总分在90分以下或者暂无评分的，收取履约保证金不得高于合同金额</w:t>
      </w:r>
      <w:r>
        <w:rPr>
          <w:rFonts w:hint="eastAsia" w:ascii="仿宋_GB2312" w:hAnsi="仿宋" w:eastAsia="仿宋_GB2312" w:cs="仿宋_GB2312"/>
          <w:color w:val="0000FF"/>
          <w:sz w:val="24"/>
          <w:szCs w:val="20"/>
          <w:lang w:val="en-US" w:eastAsia="zh-CN"/>
        </w:rPr>
        <w:t>1.0</w:t>
      </w:r>
      <w:r>
        <w:rPr>
          <w:rFonts w:hint="eastAsia" w:ascii="仿宋_GB2312" w:hAnsi="仿宋" w:eastAsia="仿宋_GB2312" w:cs="仿宋_GB2312"/>
          <w:color w:val="0000FF"/>
          <w:sz w:val="24"/>
          <w:szCs w:val="20"/>
        </w:rPr>
        <w:t>%。</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68073093"/>
      <w:bookmarkEnd w:id="15"/>
      <w:bookmarkStart w:id="16" w:name="_Hlt68403820"/>
      <w:bookmarkEnd w:id="16"/>
      <w:bookmarkStart w:id="17" w:name="_Hlt75236290"/>
      <w:bookmarkEnd w:id="17"/>
      <w:bookmarkStart w:id="18" w:name="_Hlt75236101"/>
      <w:bookmarkEnd w:id="18"/>
      <w:bookmarkStart w:id="19" w:name="_Hlt74707468"/>
      <w:bookmarkEnd w:id="19"/>
      <w:bookmarkStart w:id="20" w:name="_Hlt74729768"/>
      <w:bookmarkEnd w:id="20"/>
      <w:bookmarkStart w:id="21" w:name="_Hlt75236011"/>
      <w:bookmarkEnd w:id="21"/>
      <w:bookmarkStart w:id="22" w:name="_Hlt68072998"/>
      <w:bookmarkEnd w:id="22"/>
      <w:bookmarkStart w:id="23" w:name="_Hlt74730295"/>
      <w:bookmarkEnd w:id="23"/>
      <w:bookmarkStart w:id="24" w:name="_Hlt68072990"/>
      <w:bookmarkEnd w:id="24"/>
      <w:bookmarkStart w:id="25" w:name="_Hlt74714665"/>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snapToGrid w:val="0"/>
        <w:spacing w:line="520" w:lineRule="exact"/>
        <w:ind w:left="105"/>
        <w:outlineLvl w:val="1"/>
        <w:rPr>
          <w:rFonts w:ascii="仿宋_GB2312" w:hAnsi="仿宋" w:eastAsia="仿宋_GB2312" w:cs="Helvetica"/>
          <w:b/>
          <w:kern w:val="0"/>
          <w:sz w:val="24"/>
        </w:rPr>
      </w:pPr>
      <w:r>
        <w:rPr>
          <w:rFonts w:hint="eastAsia" w:ascii="仿宋_GB2312" w:hAnsi="仿宋" w:eastAsia="仿宋_GB2312" w:cs="Helvetica"/>
          <w:b/>
          <w:kern w:val="0"/>
          <w:sz w:val="24"/>
        </w:rPr>
        <w:t>一、服务面积及功能区块</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highlight w:val="none"/>
        </w:rPr>
        <w:t>食堂基本情况：</w:t>
      </w:r>
      <w:r>
        <w:rPr>
          <w:rFonts w:hint="eastAsia" w:ascii="仿宋_GB2312" w:hAnsi="仿宋" w:eastAsia="仿宋_GB2312" w:cs="Helvetica"/>
          <w:kern w:val="0"/>
          <w:sz w:val="24"/>
          <w:highlight w:val="none"/>
          <w:lang w:val="en-US" w:eastAsia="zh-CN"/>
        </w:rPr>
        <w:t>五常综合楼</w:t>
      </w:r>
      <w:r>
        <w:rPr>
          <w:rFonts w:hint="eastAsia" w:ascii="仿宋_GB2312" w:hAnsi="仿宋" w:eastAsia="仿宋_GB2312" w:cs="Helvetica"/>
          <w:kern w:val="0"/>
          <w:sz w:val="24"/>
          <w:highlight w:val="none"/>
        </w:rPr>
        <w:t>食堂建筑面积</w:t>
      </w:r>
      <w:r>
        <w:rPr>
          <w:rFonts w:hint="eastAsia" w:ascii="仿宋_GB2312" w:hAnsi="仿宋" w:eastAsia="仿宋_GB2312" w:cs="Helvetica"/>
          <w:kern w:val="0"/>
          <w:sz w:val="24"/>
          <w:highlight w:val="none"/>
          <w:lang w:val="en-US" w:eastAsia="zh-CN"/>
        </w:rPr>
        <w:t>432</w:t>
      </w:r>
      <w:r>
        <w:rPr>
          <w:rFonts w:hint="eastAsia" w:ascii="仿宋_GB2312" w:hAnsi="仿宋" w:eastAsia="仿宋_GB2312" w:cs="Helvetica"/>
          <w:kern w:val="0"/>
          <w:sz w:val="24"/>
          <w:highlight w:val="none"/>
        </w:rPr>
        <w:t>平方，主要为厨房操作间、仓库、售餐区、就餐大厅（</w:t>
      </w:r>
      <w:r>
        <w:rPr>
          <w:rFonts w:hint="eastAsia" w:ascii="仿宋_GB2312" w:hAnsi="仿宋" w:eastAsia="仿宋_GB2312" w:cs="Helvetica"/>
          <w:kern w:val="0"/>
          <w:sz w:val="24"/>
          <w:highlight w:val="none"/>
          <w:lang w:val="en-US" w:eastAsia="zh-CN"/>
        </w:rPr>
        <w:t>164</w:t>
      </w:r>
      <w:r>
        <w:rPr>
          <w:rFonts w:hint="eastAsia" w:ascii="仿宋_GB2312" w:hAnsi="仿宋" w:eastAsia="仿宋_GB2312" w:cs="Helvetica"/>
          <w:kern w:val="0"/>
          <w:sz w:val="24"/>
          <w:highlight w:val="none"/>
        </w:rPr>
        <w:t>个餐位）和</w:t>
      </w:r>
      <w:r>
        <w:rPr>
          <w:rFonts w:hint="eastAsia" w:ascii="仿宋_GB2312" w:hAnsi="仿宋" w:eastAsia="仿宋_GB2312" w:cs="Helvetica"/>
          <w:kern w:val="0"/>
          <w:sz w:val="24"/>
          <w:highlight w:val="none"/>
          <w:lang w:val="en-US" w:eastAsia="zh-CN"/>
        </w:rPr>
        <w:t>3</w:t>
      </w:r>
      <w:r>
        <w:rPr>
          <w:rFonts w:hint="eastAsia" w:ascii="仿宋_GB2312" w:hAnsi="仿宋" w:eastAsia="仿宋_GB2312" w:cs="Helvetica"/>
          <w:kern w:val="0"/>
          <w:sz w:val="24"/>
          <w:highlight w:val="none"/>
        </w:rPr>
        <w:t>个包厢，操作间设施设备其全（含粗加工间、烹饪间、蒸煮间、面点间、冷菜间、洗消间等）。</w:t>
      </w:r>
    </w:p>
    <w:p>
      <w:pPr>
        <w:spacing w:line="520" w:lineRule="exact"/>
        <w:rPr>
          <w:rFonts w:ascii="仿宋_GB2312" w:hAnsi="仿宋" w:eastAsia="仿宋_GB2312" w:cs="Helvetica"/>
          <w:b/>
          <w:kern w:val="0"/>
          <w:sz w:val="24"/>
        </w:rPr>
      </w:pPr>
      <w:r>
        <w:rPr>
          <w:rFonts w:hint="eastAsia" w:ascii="仿宋_GB2312" w:hAnsi="仿宋" w:eastAsia="仿宋_GB2312" w:cs="Helvetica"/>
          <w:b/>
          <w:kern w:val="0"/>
          <w:sz w:val="24"/>
        </w:rPr>
        <w:t>二、现列入本次采购的食堂运行服务基本要求为：</w:t>
      </w:r>
    </w:p>
    <w:p>
      <w:pPr>
        <w:snapToGrid w:val="0"/>
        <w:spacing w:line="520" w:lineRule="exact"/>
        <w:ind w:firstLine="480" w:firstLineChars="200"/>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1、食堂运行服务项目：面向</w:t>
      </w:r>
      <w:r>
        <w:rPr>
          <w:rFonts w:hint="eastAsia" w:ascii="仿宋_GB2312" w:hAnsi="仿宋" w:eastAsia="仿宋_GB2312" w:cs="Helvetica"/>
          <w:kern w:val="0"/>
          <w:sz w:val="24"/>
          <w:highlight w:val="none"/>
          <w:lang w:val="en-US" w:eastAsia="zh-CN"/>
        </w:rPr>
        <w:t>区总工会、区妇联、区文联</w:t>
      </w:r>
      <w:r>
        <w:rPr>
          <w:rFonts w:hint="eastAsia" w:ascii="仿宋_GB2312" w:hAnsi="仿宋" w:eastAsia="仿宋_GB2312" w:cs="Helvetica"/>
          <w:kern w:val="0"/>
          <w:sz w:val="24"/>
          <w:highlight w:val="none"/>
        </w:rPr>
        <w:t>等1</w:t>
      </w:r>
      <w:r>
        <w:rPr>
          <w:rFonts w:hint="eastAsia" w:ascii="仿宋_GB2312" w:hAnsi="仿宋" w:eastAsia="仿宋_GB2312" w:cs="Helvetica"/>
          <w:kern w:val="0"/>
          <w:sz w:val="24"/>
          <w:highlight w:val="none"/>
          <w:lang w:val="en-US" w:eastAsia="zh-CN"/>
        </w:rPr>
        <w:t>2</w:t>
      </w:r>
      <w:r>
        <w:rPr>
          <w:rFonts w:hint="eastAsia" w:ascii="仿宋_GB2312" w:hAnsi="仿宋" w:eastAsia="仿宋_GB2312" w:cs="Helvetica"/>
          <w:kern w:val="0"/>
          <w:sz w:val="24"/>
          <w:highlight w:val="none"/>
        </w:rPr>
        <w:t>家单位工作人员近</w:t>
      </w:r>
      <w:r>
        <w:rPr>
          <w:rFonts w:hint="eastAsia" w:ascii="仿宋_GB2312" w:hAnsi="仿宋" w:eastAsia="仿宋_GB2312" w:cs="Helvetica"/>
          <w:kern w:val="0"/>
          <w:sz w:val="24"/>
          <w:highlight w:val="none"/>
          <w:lang w:val="en-US" w:eastAsia="zh-CN"/>
        </w:rPr>
        <w:t>300</w:t>
      </w:r>
      <w:r>
        <w:rPr>
          <w:rFonts w:hint="eastAsia" w:ascii="仿宋_GB2312" w:hAnsi="仿宋" w:eastAsia="仿宋_GB2312" w:cs="Helvetica"/>
          <w:kern w:val="0"/>
          <w:sz w:val="24"/>
          <w:highlight w:val="none"/>
        </w:rPr>
        <w:t>人左右，提供一日三餐、特色餐饮，每周不少于两次的打包外卖服务，承担各个单位组织培训、会议、接待时提供包厢用餐、自助餐厅。</w:t>
      </w:r>
    </w:p>
    <w:p>
      <w:pPr>
        <w:snapToGrid w:val="0"/>
        <w:spacing w:line="520" w:lineRule="exact"/>
        <w:ind w:firstLine="480" w:firstLineChars="200"/>
        <w:rPr>
          <w:rFonts w:ascii="仿宋_GB2312" w:hAnsi="仿宋" w:eastAsia="仿宋_GB2312" w:cs="Helvetica"/>
          <w:b/>
          <w:bCs/>
          <w:kern w:val="0"/>
          <w:sz w:val="24"/>
          <w:highlight w:val="yellow"/>
        </w:rPr>
      </w:pPr>
      <w:r>
        <w:rPr>
          <w:rFonts w:hint="eastAsia" w:ascii="仿宋_GB2312" w:hAnsi="仿宋" w:eastAsia="仿宋_GB2312" w:cs="Helvetica"/>
          <w:kern w:val="0"/>
          <w:sz w:val="24"/>
          <w:highlight w:val="none"/>
        </w:rPr>
        <w:t>2、食堂运行服务要求及工作人员要求：食堂经理1名、厨师长1名、大灶厨师</w:t>
      </w:r>
      <w:r>
        <w:rPr>
          <w:rFonts w:hint="eastAsia" w:ascii="仿宋_GB2312" w:hAnsi="仿宋" w:eastAsia="仿宋_GB2312" w:cs="Helvetica"/>
          <w:kern w:val="0"/>
          <w:sz w:val="24"/>
          <w:highlight w:val="none"/>
          <w:lang w:val="en-US" w:eastAsia="zh-CN"/>
        </w:rPr>
        <w:t>3</w:t>
      </w:r>
      <w:r>
        <w:rPr>
          <w:rFonts w:hint="eastAsia" w:ascii="仿宋_GB2312" w:hAnsi="仿宋" w:eastAsia="仿宋_GB2312" w:cs="Helvetica"/>
          <w:kern w:val="0"/>
          <w:sz w:val="24"/>
          <w:highlight w:val="none"/>
        </w:rPr>
        <w:t>名、小灶厨师</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名、切配打荷</w:t>
      </w:r>
      <w:r>
        <w:rPr>
          <w:rFonts w:hint="eastAsia" w:ascii="仿宋_GB2312" w:hAnsi="仿宋" w:eastAsia="仿宋_GB2312" w:cs="Helvetica"/>
          <w:kern w:val="0"/>
          <w:sz w:val="24"/>
          <w:highlight w:val="none"/>
          <w:lang w:val="en-US" w:eastAsia="zh-CN"/>
        </w:rPr>
        <w:t>2</w:t>
      </w:r>
      <w:r>
        <w:rPr>
          <w:rFonts w:hint="eastAsia" w:ascii="仿宋_GB2312" w:hAnsi="仿宋" w:eastAsia="仿宋_GB2312" w:cs="Helvetica"/>
          <w:kern w:val="0"/>
          <w:sz w:val="24"/>
          <w:highlight w:val="none"/>
        </w:rPr>
        <w:t>名、明档（面馆）</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名、中点师</w:t>
      </w:r>
      <w:r>
        <w:rPr>
          <w:rFonts w:hint="eastAsia" w:ascii="仿宋_GB2312" w:hAnsi="仿宋" w:eastAsia="仿宋_GB2312" w:cs="Helvetica"/>
          <w:kern w:val="0"/>
          <w:sz w:val="24"/>
          <w:highlight w:val="none"/>
          <w:lang w:val="en-US" w:eastAsia="zh-CN"/>
        </w:rPr>
        <w:t>2</w:t>
      </w:r>
      <w:r>
        <w:rPr>
          <w:rFonts w:hint="eastAsia" w:ascii="仿宋_GB2312" w:hAnsi="仿宋" w:eastAsia="仿宋_GB2312" w:cs="Helvetica"/>
          <w:kern w:val="0"/>
          <w:sz w:val="24"/>
          <w:highlight w:val="none"/>
        </w:rPr>
        <w:t>名、西点师</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名、粗加工清洗人员</w:t>
      </w:r>
      <w:r>
        <w:rPr>
          <w:rFonts w:hint="eastAsia" w:ascii="仿宋_GB2312" w:hAnsi="仿宋" w:eastAsia="仿宋_GB2312" w:cs="Helvetica"/>
          <w:kern w:val="0"/>
          <w:sz w:val="24"/>
          <w:highlight w:val="none"/>
          <w:lang w:val="en-US" w:eastAsia="zh-CN"/>
        </w:rPr>
        <w:t>6</w:t>
      </w:r>
      <w:r>
        <w:rPr>
          <w:rFonts w:hint="eastAsia" w:ascii="仿宋_GB2312" w:hAnsi="仿宋" w:eastAsia="仿宋_GB2312" w:cs="Helvetica"/>
          <w:kern w:val="0"/>
          <w:sz w:val="24"/>
          <w:highlight w:val="none"/>
        </w:rPr>
        <w:t>名、服务员</w:t>
      </w:r>
      <w:r>
        <w:rPr>
          <w:rFonts w:hint="eastAsia" w:ascii="仿宋_GB2312" w:hAnsi="仿宋" w:eastAsia="仿宋_GB2312" w:cs="Helvetica"/>
          <w:kern w:val="0"/>
          <w:sz w:val="24"/>
          <w:highlight w:val="none"/>
          <w:lang w:val="en-US" w:eastAsia="zh-CN"/>
        </w:rPr>
        <w:t>2</w:t>
      </w:r>
      <w:r>
        <w:rPr>
          <w:rFonts w:hint="eastAsia" w:ascii="仿宋_GB2312" w:hAnsi="仿宋" w:eastAsia="仿宋_GB2312" w:cs="Helvetica"/>
          <w:kern w:val="0"/>
          <w:sz w:val="24"/>
          <w:highlight w:val="none"/>
        </w:rPr>
        <w:t>名、收银员</w:t>
      </w:r>
      <w:r>
        <w:rPr>
          <w:rFonts w:hint="eastAsia" w:ascii="仿宋_GB2312" w:hAnsi="仿宋" w:eastAsia="仿宋_GB2312" w:cs="Helvetica"/>
          <w:kern w:val="0"/>
          <w:sz w:val="24"/>
          <w:highlight w:val="none"/>
          <w:lang w:val="en-US" w:eastAsia="zh-CN"/>
        </w:rPr>
        <w:t>2</w:t>
      </w:r>
      <w:r>
        <w:rPr>
          <w:rFonts w:hint="eastAsia" w:ascii="仿宋_GB2312" w:hAnsi="仿宋" w:eastAsia="仿宋_GB2312" w:cs="Helvetica"/>
          <w:kern w:val="0"/>
          <w:sz w:val="24"/>
          <w:highlight w:val="none"/>
        </w:rPr>
        <w:t>名、财务1名、库管1名、跑菜</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名，计</w:t>
      </w:r>
      <w:r>
        <w:rPr>
          <w:rFonts w:hint="eastAsia" w:ascii="仿宋_GB2312" w:hAnsi="仿宋" w:eastAsia="仿宋_GB2312" w:cs="Helvetica"/>
          <w:kern w:val="0"/>
          <w:sz w:val="24"/>
          <w:highlight w:val="none"/>
          <w:lang w:val="en-US" w:eastAsia="zh-CN"/>
        </w:rPr>
        <w:t>25</w:t>
      </w:r>
      <w:r>
        <w:rPr>
          <w:rFonts w:hint="eastAsia" w:ascii="仿宋_GB2312" w:hAnsi="仿宋" w:eastAsia="仿宋_GB2312" w:cs="Helvetica"/>
          <w:kern w:val="0"/>
          <w:sz w:val="24"/>
          <w:highlight w:val="none"/>
        </w:rPr>
        <w:t>名工作人员。以上共需</w:t>
      </w:r>
      <w:r>
        <w:rPr>
          <w:rFonts w:hint="eastAsia" w:ascii="仿宋_GB2312" w:hAnsi="仿宋" w:eastAsia="仿宋_GB2312" w:cs="Helvetica"/>
          <w:kern w:val="0"/>
          <w:sz w:val="24"/>
          <w:highlight w:val="none"/>
          <w:lang w:val="en-US" w:eastAsia="zh-CN"/>
        </w:rPr>
        <w:t>25</w:t>
      </w:r>
      <w:r>
        <w:rPr>
          <w:rFonts w:hint="eastAsia" w:ascii="仿宋_GB2312" w:hAnsi="仿宋" w:eastAsia="仿宋_GB2312" w:cs="Helvetica"/>
          <w:kern w:val="0"/>
          <w:sz w:val="24"/>
          <w:highlight w:val="none"/>
        </w:rPr>
        <w:t>名工作人员。要求有丰富操作经验，持健康证上岗，厨师必须有厨师等级证书。工作人员年龄要求：必须符合劳动法范围。其中要求至少1-2名服务人员掌握熟练英语口语。实际用工人员投入不得少于</w:t>
      </w:r>
      <w:r>
        <w:rPr>
          <w:rFonts w:hint="eastAsia" w:ascii="仿宋_GB2312" w:hAnsi="仿宋" w:eastAsia="仿宋_GB2312" w:cs="Helvetica"/>
          <w:kern w:val="0"/>
          <w:sz w:val="24"/>
          <w:highlight w:val="none"/>
          <w:lang w:val="en-US" w:eastAsia="zh-CN"/>
        </w:rPr>
        <w:t>25</w:t>
      </w:r>
      <w:r>
        <w:rPr>
          <w:rFonts w:hint="eastAsia" w:ascii="仿宋_GB2312" w:hAnsi="仿宋" w:eastAsia="仿宋_GB2312" w:cs="Helvetica"/>
          <w:kern w:val="0"/>
          <w:sz w:val="24"/>
          <w:highlight w:val="none"/>
        </w:rPr>
        <w:t>人，投标单位可根据实地踏看工作量增加工作人员，临时有大任务的需临时增加用工人员（含报价中）。用工人员年龄：男性在55周岁以下，女性在45周岁以下，其中包厢服务员年龄要求35周岁以下，身高1.6米以上，形象气质佳。用工人员工资不得低于杭州市政府公布的最低工资水平，按规定缴纳社保，并确保工作团队的稳定性。</w:t>
      </w:r>
      <w:r>
        <w:rPr>
          <w:rFonts w:hint="eastAsia" w:ascii="仿宋_GB2312" w:hAnsi="仿宋" w:eastAsia="仿宋_GB2312" w:cs="Helvetica"/>
          <w:b/>
          <w:bCs/>
          <w:kern w:val="0"/>
          <w:sz w:val="24"/>
          <w:highlight w:val="none"/>
        </w:rPr>
        <w:t>垃圾桶、垃圾袋、扫把、拖把等保洁物资，口罩、消毒水、免洗手液、创可贴等防疫卫生物资，电脑、打印机、纸、笔等办公物品，所有外出保障费用，加班费用等均包含报价中。</w:t>
      </w:r>
    </w:p>
    <w:p>
      <w:pPr>
        <w:spacing w:line="520" w:lineRule="exact"/>
        <w:rPr>
          <w:rFonts w:ascii="仿宋_GB2312" w:hAnsi="仿宋" w:eastAsia="仿宋_GB2312" w:cs="Helvetica"/>
          <w:b/>
          <w:kern w:val="0"/>
          <w:sz w:val="24"/>
        </w:rPr>
      </w:pPr>
      <w:r>
        <w:rPr>
          <w:rFonts w:hint="eastAsia" w:ascii="仿宋_GB2312" w:hAnsi="仿宋" w:eastAsia="仿宋_GB2312" w:cs="Helvetica"/>
          <w:b/>
          <w:kern w:val="0"/>
          <w:sz w:val="24"/>
        </w:rPr>
        <w:t>三、服务期限</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自合同签订生效之日起36个月。本项目预算金额为三年服务期的预算价，3年预算总额为</w:t>
      </w:r>
      <w:r>
        <w:rPr>
          <w:rFonts w:hint="eastAsia" w:ascii="仿宋_GB2312" w:hAnsi="仿宋" w:eastAsia="仿宋_GB2312" w:cs="Helvetica"/>
          <w:kern w:val="0"/>
          <w:sz w:val="24"/>
          <w:lang w:val="en-US" w:eastAsia="zh-CN"/>
        </w:rPr>
        <w:t>540</w:t>
      </w:r>
      <w:r>
        <w:rPr>
          <w:rFonts w:hint="eastAsia" w:ascii="仿宋_GB2312" w:hAnsi="仿宋" w:eastAsia="仿宋_GB2312" w:cs="Helvetica"/>
          <w:kern w:val="0"/>
          <w:sz w:val="24"/>
        </w:rPr>
        <w:t>万元，年度预算金额为</w:t>
      </w:r>
      <w:r>
        <w:rPr>
          <w:rFonts w:hint="eastAsia" w:ascii="仿宋_GB2312" w:hAnsi="仿宋" w:eastAsia="仿宋_GB2312" w:cs="Helvetica"/>
          <w:kern w:val="0"/>
          <w:sz w:val="24"/>
          <w:lang w:val="en-US" w:eastAsia="zh-CN"/>
        </w:rPr>
        <w:t>180</w:t>
      </w:r>
      <w:r>
        <w:rPr>
          <w:rFonts w:hint="eastAsia" w:ascii="仿宋_GB2312" w:hAnsi="仿宋" w:eastAsia="仿宋_GB2312" w:cs="Helvetica"/>
          <w:kern w:val="0"/>
          <w:sz w:val="24"/>
        </w:rPr>
        <w:t>万元。</w:t>
      </w:r>
      <w:r>
        <w:rPr>
          <w:rFonts w:hint="eastAsia" w:ascii="仿宋_GB2312" w:hAnsi="仿宋" w:eastAsia="仿宋_GB2312" w:cs="Helvetica"/>
          <w:kern w:val="0"/>
          <w:sz w:val="24"/>
          <w:highlight w:val="none"/>
        </w:rPr>
        <w:t>一年服务期结束经考核合格的可续签合同，合同一年一签，最长不超过三年。</w:t>
      </w:r>
    </w:p>
    <w:p>
      <w:pPr>
        <w:spacing w:line="360" w:lineRule="auto"/>
        <w:rPr>
          <w:rFonts w:ascii="仿宋_GB2312" w:hAnsi="仿宋" w:eastAsia="仿宋_GB2312" w:cs="Helvetica"/>
          <w:b/>
          <w:kern w:val="0"/>
          <w:sz w:val="24"/>
        </w:rPr>
      </w:pPr>
      <w:r>
        <w:rPr>
          <w:rFonts w:hint="eastAsia" w:ascii="仿宋_GB2312" w:hAnsi="仿宋" w:eastAsia="仿宋_GB2312" w:cs="Helvetica"/>
          <w:b/>
          <w:kern w:val="0"/>
          <w:sz w:val="24"/>
        </w:rPr>
        <w:t>四、管理服务费用及财务管理要求</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1、食堂外包服务费用以签订的合同价为准（合同期内如遇工作人员的最低工资调整等其他因素，产生的费用由中标单位承担）。</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2、中标单位必须配置相关办公设备独立放置于采购单位提供的办公区域内，且不能与区域外单位、部门或团体共用，其办公设备所需耗材应由中标单位自行承担。</w:t>
      </w:r>
    </w:p>
    <w:p>
      <w:pPr>
        <w:spacing w:line="360" w:lineRule="auto"/>
        <w:rPr>
          <w:rFonts w:ascii="仿宋_GB2312" w:hAnsi="仿宋" w:eastAsia="仿宋_GB2312" w:cs="Helvetica"/>
          <w:b/>
          <w:kern w:val="0"/>
          <w:sz w:val="24"/>
        </w:rPr>
      </w:pPr>
      <w:r>
        <w:rPr>
          <w:rFonts w:hint="eastAsia" w:ascii="仿宋_GB2312" w:hAnsi="仿宋" w:eastAsia="仿宋_GB2312" w:cs="Helvetica"/>
          <w:b/>
          <w:kern w:val="0"/>
          <w:sz w:val="24"/>
        </w:rPr>
        <w:t>五、费用结算方式</w:t>
      </w:r>
    </w:p>
    <w:p>
      <w:pPr>
        <w:spacing w:line="360" w:lineRule="auto"/>
        <w:ind w:firstLine="480" w:firstLineChars="200"/>
        <w:rPr>
          <w:rFonts w:ascii="仿宋_GB2312" w:hAnsi="仿宋" w:eastAsia="仿宋_GB2312" w:cs="Helvetica"/>
          <w:kern w:val="0"/>
          <w:sz w:val="24"/>
          <w:highlight w:val="yellow"/>
        </w:rPr>
      </w:pPr>
      <w:r>
        <w:rPr>
          <w:rFonts w:hint="eastAsia" w:ascii="仿宋_GB2312" w:hAnsi="仿宋" w:eastAsia="仿宋_GB2312" w:cs="Helvetica"/>
          <w:kern w:val="0"/>
          <w:sz w:val="24"/>
        </w:rPr>
        <w:t>（1）</w:t>
      </w:r>
      <w:r>
        <w:rPr>
          <w:rFonts w:hint="eastAsia" w:ascii="仿宋_GB2312" w:hAnsi="仿宋" w:eastAsia="仿宋_GB2312" w:cs="Helvetica"/>
          <w:kern w:val="0"/>
          <w:sz w:val="24"/>
          <w:highlight w:val="none"/>
        </w:rPr>
        <w:t>采购人按季付款，自合同签订后支付年合同价的25%预付款，其他3个季度经考核合格每季度支付年合同价的25%。</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中标单位</w:t>
      </w:r>
      <w:r>
        <w:rPr>
          <w:rFonts w:ascii="仿宋_GB2312" w:hAnsi="仿宋" w:eastAsia="仿宋_GB2312" w:cs="Helvetica"/>
          <w:kern w:val="0"/>
          <w:sz w:val="24"/>
        </w:rPr>
        <w:t>因工作失误</w:t>
      </w:r>
      <w:r>
        <w:rPr>
          <w:rFonts w:hint="eastAsia" w:ascii="仿宋_GB2312" w:hAnsi="仿宋" w:eastAsia="仿宋_GB2312" w:cs="Helvetica"/>
          <w:kern w:val="0"/>
          <w:sz w:val="24"/>
        </w:rPr>
        <w:t>及</w:t>
      </w:r>
      <w:r>
        <w:rPr>
          <w:rFonts w:ascii="仿宋_GB2312" w:hAnsi="仿宋" w:eastAsia="仿宋_GB2312" w:cs="Helvetica"/>
          <w:kern w:val="0"/>
          <w:sz w:val="24"/>
        </w:rPr>
        <w:t>按招标文件中的服务要求</w:t>
      </w:r>
      <w:r>
        <w:rPr>
          <w:rFonts w:hint="eastAsia" w:ascii="仿宋_GB2312" w:hAnsi="仿宋" w:eastAsia="仿宋_GB2312" w:cs="Helvetica"/>
          <w:kern w:val="0"/>
          <w:sz w:val="24"/>
        </w:rPr>
        <w:t>、</w:t>
      </w:r>
      <w:r>
        <w:rPr>
          <w:rFonts w:ascii="仿宋_GB2312" w:hAnsi="仿宋" w:eastAsia="仿宋_GB2312" w:cs="Helvetica"/>
          <w:kern w:val="0"/>
          <w:sz w:val="24"/>
        </w:rPr>
        <w:t>考核要求造成的扣款则在季付款的同时相应扣除。</w:t>
      </w:r>
      <w:r>
        <w:rPr>
          <w:rFonts w:hint="eastAsia" w:ascii="仿宋_GB2312" w:hAnsi="仿宋" w:eastAsia="仿宋_GB2312" w:cs="Helvetica"/>
          <w:kern w:val="0"/>
          <w:sz w:val="24"/>
        </w:rPr>
        <w:t>最终支付金额根据实际入驻情况进行结算。</w:t>
      </w:r>
    </w:p>
    <w:p>
      <w:pPr>
        <w:spacing w:line="360" w:lineRule="auto"/>
        <w:ind w:firstLine="482" w:firstLineChars="200"/>
        <w:rPr>
          <w:rFonts w:ascii="仿宋_GB2312" w:hAnsi="仿宋" w:eastAsia="仿宋_GB2312" w:cs="Helvetica"/>
          <w:kern w:val="0"/>
          <w:sz w:val="24"/>
        </w:rPr>
      </w:pPr>
      <w:r>
        <w:rPr>
          <w:rFonts w:hint="eastAsia" w:ascii="仿宋_GB2312" w:hAnsi="仿宋" w:eastAsia="仿宋_GB2312" w:cs="Helvetica"/>
          <w:b/>
          <w:bCs/>
          <w:kern w:val="0"/>
          <w:sz w:val="24"/>
        </w:rPr>
        <w:t>第二年第三年款项支付同上。</w:t>
      </w:r>
    </w:p>
    <w:p>
      <w:pPr>
        <w:spacing w:line="520" w:lineRule="exact"/>
        <w:rPr>
          <w:rFonts w:ascii="仿宋_GB2312" w:hAnsi="仿宋" w:eastAsia="仿宋_GB2312" w:cs="Helvetica"/>
          <w:b/>
          <w:kern w:val="0"/>
          <w:sz w:val="24"/>
        </w:rPr>
      </w:pPr>
      <w:r>
        <w:rPr>
          <w:rFonts w:hint="eastAsia" w:ascii="仿宋_GB2312" w:hAnsi="仿宋" w:eastAsia="仿宋_GB2312" w:cs="Helvetica"/>
          <w:b/>
          <w:kern w:val="0"/>
          <w:sz w:val="24"/>
        </w:rPr>
        <w:t>六、其他说明及要求：</w:t>
      </w:r>
    </w:p>
    <w:p>
      <w:pPr>
        <w:snapToGrid w:val="0"/>
        <w:spacing w:line="520" w:lineRule="exact"/>
        <w:rPr>
          <w:rFonts w:ascii="仿宋_GB2312" w:hAnsi="仿宋" w:eastAsia="仿宋_GB2312" w:cs="Helvetica"/>
          <w:kern w:val="0"/>
          <w:sz w:val="24"/>
        </w:rPr>
      </w:pPr>
      <w:r>
        <w:rPr>
          <w:rFonts w:hint="eastAsia" w:ascii="仿宋_GB2312" w:hAnsi="仿宋" w:eastAsia="仿宋_GB2312" w:cs="Helvetica"/>
          <w:kern w:val="0"/>
          <w:sz w:val="24"/>
        </w:rPr>
        <w:t xml:space="preserve">    1、采购人水、电、气等配套设施齐全，提供食堂所有的设备设施及更衣室。</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2、各种食材与易耗品由中标方提需求，采购方采购，质量由中标方确认。采购方有相应的智慧平台，中标方必须配合使用。</w:t>
      </w:r>
    </w:p>
    <w:p>
      <w:pPr>
        <w:snapToGrid w:val="0"/>
        <w:spacing w:line="520" w:lineRule="exact"/>
        <w:rPr>
          <w:rFonts w:ascii="仿宋_GB2312" w:hAnsi="仿宋" w:eastAsia="仿宋_GB2312" w:cs="Helvetica"/>
          <w:kern w:val="0"/>
          <w:sz w:val="24"/>
        </w:rPr>
      </w:pPr>
      <w:r>
        <w:rPr>
          <w:rFonts w:hint="eastAsia" w:ascii="仿宋_GB2312" w:hAnsi="仿宋" w:eastAsia="仿宋_GB2312" w:cs="Helvetica"/>
          <w:kern w:val="0"/>
          <w:sz w:val="24"/>
        </w:rPr>
        <w:t xml:space="preserve">    3、食堂的卫生防疫、就餐环境必须达到国家规定的食堂卫生标准。</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4、食堂内水、电、气费和日常设备、设施维修费用等使用费用由采购方负责，但食堂运行服务方应积极维护好厨房设施、餐具用具，恶意破坏或管理不善导致破损较多的，折价赔偿。</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5、食堂运行服务方根据人体营养需求，合理安排一周菜单，并报采购方确认同意。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6、工作人员要遵守法规及工作纪律，要有良好的服务态度并自觉接受监督，不与就餐人员发生争吵或冲突，如有违规者，采购方追究食堂运行服务方的责任。</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7、食品质量要求：</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7.1冷菜酱制食品不含过多汤汁。</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7.2 冷菜切配的食品刀口细腻及均匀并搭配合理。</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7.3 冷菜凉拌食品汤汁适度并即时拌制。</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7.4  熟制后食品完整不碎及不松散。</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7.5  热菜供餐时保持温热。</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7.6 热菜食品表面无风干及水浸现象。</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7.7  素食食品即时烹炒并控干过多汤汁和水分。</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7.8  所供食品保证质量。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7.9  菜肴花色更新及时，一周内不出现2次以上完全相同品种菜肴；根据季节调整，保证每月推出3款时令菜；每月末报下月菜单安排计划给采购方接口人员。</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7.10  控制油及其他调味品用量；菜肴品种齐全，营养搭配合理。</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7.11  根据餐厅就餐情况，及时更新添加菜肴，合理控制上菜节奏，杜绝浪费。</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8、饭菜出品时间和要求</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8.1 按规定准时开餐，每餐所供食品在开餐前15分钟布置完毕，如变更或其他情况，不能准时开餐，承包方应提前通知雇主，并留有充分时间做出补救。</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8.2  合理安排用餐人数，做好用餐人员分流工作，保持供餐器皿内食品在一半以上，不可出现用餐人员等候拥挤混乱现象。</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8.3  分餐服务人员及时准确进行分餐，保证菜量。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8.4  当雇主增加或减少餐费标准时，经营方应在雇主指定的时间内对饭菜做出调整，调整前必须提前制定出方案，经雇主审核、确认、批准后方可实施。</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8.5  食堂运行服务人员及服务时间必须服从采购方管理，采购方有权要求更换不合格的服务人员。</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9、环境卫生管理</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厨房作业区</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（1）环境卫生</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1）厨房作业区分区明确，标注明晰，物品归类有序。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2）生食物和熟食物的盛用容器、刀具等严格区分，不得混用。</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3）厨房每餐后台面地面要及时擦扫干净，刀具、机械用具、盛用器皿等用后热水洗净，擦干保存。</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4）厨房排水保持畅通，污水及时倒入污水池，不积存脏水污物，厨房地面、墙壁无污物。</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（2）人员卫生</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1）工作人员进入厨房作业区必须着工作服戴工作帽，工作服饰保持整洁干净，禁止穿工作服离开厨房、食堂或做与制作饭菜无关的工作。</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2）工作人员做好个人卫生，不留长指甲，工作前或工作中接触脏物后必须洗手，不得对着食物咳嗽、打喷嚏，不能用工作服擦鼻涕、擦汗、擦手或厨具等，不能随地吐痰。</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就餐区</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（1）餐厅环境</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1）餐厅餐桌椅摆放整齐、桌上物品摆放有序。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2）餐厅地面、墙壁无污物，有充足的光线。</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3）餐具整洁干净，摆放有序，每餐洗净后及时进行消毒。</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（2）工作人员</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1）工作人员着工作服戴工作帽，工作服饰保持整洁干净。</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2）工作人员搬送菜肴和餐具前必须洗手。</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10、服务质量 </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（1）餐厅设领班或服务员，并保持有岗有人有服务，服务规范，程序完善。</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（2）服务细则</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规范服务</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1）服务人员仪容仪表要端庄大方。上班着干净整洁工作服，女员工头发梳理整洁大方，忌浓妆艳抹或涂指甲油；男员工不留长发、不蓄胡子。</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2）服务人员语言要规范。使用普通话，服务态度亲切和蔼，讲话音量适中，做到主动打招呼，有问有答，文明礼貌，不粗言粗语和高声叫喊。</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3）服务人员在工作中要维护好食堂就餐秩序。</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4）服务人员在每餐开餐前把菜价公布上墙。</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热情服务</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1）服务人员要精神饱满、礼貌待客，做到微笑服务，不得与就餐人员发生口角。</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2）服务要积极主动，热情周到，细致入微。客人就餐过程中，坚持三勤服务，即“嘴勤、手勤、眼勤”，及时提供各项服务。</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3、坚守岗位</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1）工作期间要坚守岗位，按照分工做好本职工作，上岗期间不干私活，不玩手机，不乱串岗位，不私自外出。</w:t>
      </w:r>
    </w:p>
    <w:p>
      <w:pPr>
        <w:snapToGrid w:val="0"/>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2）就餐期间服务人员要做好巡查，及时发现各个角落的问题，及时打扫餐桌，补充桌上调料、牙签、餐巾纸等，不在工作期间闲聊。</w:t>
      </w:r>
    </w:p>
    <w:p>
      <w:pPr>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11、食堂运行服务费用报价要求</w:t>
      </w:r>
    </w:p>
    <w:p>
      <w:pPr>
        <w:shd w:val="clear" w:color="auto" w:fill="FFFFFF"/>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（1）投标人应考虑企业自身实力、经验及项目实施过程中的各种因素，根据采购要求，详细说明所能提供的各项具体服务内容，自主确定报价，实行总价包干，并提供报价组成与成本分析。</w:t>
      </w:r>
    </w:p>
    <w:p>
      <w:pPr>
        <w:spacing w:line="520" w:lineRule="exact"/>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投标人的报价应包括为完成本项目服务可能发生的全部费用及投标人的利润和应交纳的税金等（包括人员工资、各种社会保险、福利费、通讯费、办公费、工作服等）。投标人对合同内容的费用、质量、安全、文明服务等实行全面承包。</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（3）中标人作为劳动用工的主体，负责劳动用工的所有事宜，劳动用工的所有责任和风险（如劳资纠纷等）由中标人负责。</w:t>
      </w:r>
    </w:p>
    <w:p>
      <w:pPr>
        <w:spacing w:line="360" w:lineRule="auto"/>
        <w:rPr>
          <w:rFonts w:ascii="仿宋_GB2312" w:hAnsi="仿宋" w:eastAsia="仿宋_GB2312" w:cs="Helvetica"/>
          <w:b/>
          <w:kern w:val="0"/>
          <w:sz w:val="24"/>
        </w:rPr>
      </w:pPr>
      <w:r>
        <w:rPr>
          <w:rFonts w:hint="eastAsia" w:ascii="仿宋_GB2312" w:hAnsi="仿宋" w:eastAsia="仿宋_GB2312" w:cs="Helvetica"/>
          <w:b/>
          <w:kern w:val="0"/>
          <w:sz w:val="24"/>
        </w:rPr>
        <w:t>七、检查与考核</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采购单位定期和不定期地对供应商管理服务进行检查和抽查，检查记录和整改时限反馈供应商，并将每季考核结果进行反馈。中标单位达不到采购单位要求及各项服务承诺，采购单位有权要求其整改，直至扣款或终止合同。</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采购人将根据工作需要和招标文件规定，设定食堂管理考核要求，具体内容如下：</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（一）、考核时间及评定方法：</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食堂考核采用百分制，每年考核四次，每季度考核一次，并按以下原则评定考核等级：</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1.考核分高于90分(含)视为优秀，全额拨付当期管理服务费用。</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2.考核分高于80分(含)但低于90分(不含)视为良好，扣除当期管理服务费用的2%。</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3.考核分高于70分(含)但低于80分(不含)视为合格，扣除当期管理服务费用的5%。</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4.考核分低于70分(不含)视为不合格，扣除当期管理服务费用的10%,并根据《余杭区机关事务服务中心食堂管理考核评分细则》相关条款进行处理。（提前解除合同）。</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（二）、考核方式</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1、检查形式</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平时巡查考核、点长考核及季度考核三方面考核相结合。平时巡查考核由巡查人员平时巡查时发现的问题为依据进行考核，点长考核由点长管理过程中发现的问题为依据进行考核，季度考核由中心组织相关人员每季度现场检查中发现的问题为依据进行考核，平时巡查考核、点长考核、季度考核比例分别占30%、40%、30%。着重对考核对象的食堂服务工作情况进行检查，对工作台帐进行抽查，对热点难点解决情况进行督察，对上级主要工作、重大活动安排及有关创建评比活动有针对性地开展检查，对发现的问题以《食堂巡查情况通知单》的形式告知中标单位落实整改，并根据相关考核细则进行评分。</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2、成绩计算方式</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 xml:space="preserve"> 按照考核标准、评分细则，实行分级分类考核，各项检查考核基准分为100分，通过平时巡查、综合考评组每季度评分及各点负责人考核评分按3:3:4比例计算得出综合评分。</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（三）、考核结果的运用</w:t>
      </w:r>
    </w:p>
    <w:p>
      <w:pPr>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考核成绩将作为每季度对食堂外包合同进行付款，及每年表彰的重要依据。</w:t>
      </w:r>
    </w:p>
    <w:p>
      <w:pPr>
        <w:rPr>
          <w:rFonts w:ascii="仿宋_GB2312" w:hAnsi="仿宋" w:eastAsia="仿宋_GB2312" w:cs="Helvetica"/>
          <w:b/>
          <w:kern w:val="0"/>
          <w:sz w:val="24"/>
        </w:rPr>
      </w:pPr>
      <w:r>
        <w:rPr>
          <w:rFonts w:hint="eastAsia" w:ascii="仿宋_GB2312" w:hAnsi="仿宋" w:eastAsia="仿宋_GB2312" w:cs="Helvetica"/>
          <w:b/>
          <w:kern w:val="0"/>
          <w:sz w:val="24"/>
        </w:rPr>
        <w:t>附件</w:t>
      </w:r>
    </w:p>
    <w:p>
      <w:pPr>
        <w:jc w:val="center"/>
        <w:rPr>
          <w:rFonts w:ascii="仿宋_GB2312" w:hAnsi="仿宋" w:eastAsia="仿宋_GB2312" w:cs="Helvetica"/>
          <w:b/>
          <w:kern w:val="0"/>
          <w:sz w:val="24"/>
        </w:rPr>
      </w:pPr>
      <w:r>
        <w:rPr>
          <w:rFonts w:hint="eastAsia" w:ascii="仿宋_GB2312" w:hAnsi="仿宋" w:eastAsia="仿宋_GB2312" w:cs="Helvetica"/>
          <w:b/>
          <w:kern w:val="0"/>
          <w:sz w:val="24"/>
        </w:rPr>
        <w:t>余杭区机关事务服务中心食堂管理考核评分细则</w:t>
      </w:r>
    </w:p>
    <w:p>
      <w:pPr>
        <w:spacing w:line="360" w:lineRule="auto"/>
        <w:ind w:firstLine="480" w:firstLineChars="200"/>
        <w:jc w:val="left"/>
        <w:rPr>
          <w:rFonts w:ascii="仿宋_GB2312" w:hAnsi="仿宋" w:eastAsia="仿宋_GB2312" w:cs="Helvetica"/>
          <w:kern w:val="0"/>
          <w:sz w:val="24"/>
        </w:rPr>
      </w:pP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1.定期做好新菜品的研发及推出，确保每月2道新菜，1个新面点，做好记录和照片并报给委托方。</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2.确保食物出品检验合格，无石子，叶菜无菜虫，无头发丝、铁丝、烟头、创可贴等异物，无苍蝇、蟑螂等其它虫类。</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3.合理制定原辅料的采购计划，杜绝不符合采购要求的原材料入库，杜绝过期变质产品。明确厨师长物料领用管理责任，出入库均应有相应责任人的签字确认。</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4.厨房内原材料、成品、半成品、回收利用菜品等按相应要求存放，每餐菜品按要求进行留样，贴标签并记录好台帐，每样重量不少于100g，留样时间不少于48小时。</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5.做好餐厅、后厨等的清洁卫生工作，及时清理，不留卫生死角，做好垃圾分类工作，并按要求清运。</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6.加强安全管理及增加消防安全意识，制定相应应急预案，每年组织演练及专题培训。危及人身安全的区域要设置明显标志，并有防范措施。灭火器灭火毯要定点摆放，灭火器定期检查过期或失效情况。</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7.节约用电、用水、用气，所有设备设施按节能要求使用，适时开启关闭。大厅的餐具、纸巾、牙签、调料等物品的按需补充。</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8.物料仓库、易耗品仓库等的物品按要求分类摆放，明确仓库中物料的入库和使用期限，先进先出，严禁过期使用。库管验收必须有厨师长在场，按要求做好验货工作。</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9.厨房用具用完即时清理并按五常法规定，指定位置摆放有序，以供分类使用。食品添加剂的保存和使用需符合规定，添加剂需上锁保存。</w:t>
      </w:r>
    </w:p>
    <w:p>
      <w:pPr>
        <w:spacing w:line="360" w:lineRule="auto"/>
        <w:ind w:firstLine="480" w:firstLineChars="200"/>
        <w:jc w:val="left"/>
        <w:rPr>
          <w:rFonts w:ascii="仿宋_GB2312" w:hAnsi="仿宋" w:eastAsia="仿宋_GB2312" w:cs="Helvetica"/>
          <w:kern w:val="0"/>
          <w:sz w:val="24"/>
        </w:rPr>
      </w:pPr>
      <w:r>
        <w:rPr>
          <w:rFonts w:hint="eastAsia" w:ascii="仿宋_GB2312" w:hAnsi="仿宋" w:eastAsia="仿宋_GB2312" w:cs="Helvetica"/>
          <w:kern w:val="0"/>
          <w:sz w:val="24"/>
        </w:rPr>
        <w:t>工作人员健康证齐全，按要求统一工作服、工作帽、围裙及袖套，并佩戴口罩、手套、工号牌等。不得披散头发、不留长指甲，不涂指甲油，不戴首饰。工作中面带微笑的提供有声服务。</w:t>
      </w: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27" w:name="_Toc184313256"/>
      <w:bookmarkEnd w:id="27"/>
      <w:bookmarkStart w:id="28" w:name="_Toc184310289"/>
      <w:bookmarkEnd w:id="28"/>
      <w:bookmarkStart w:id="29" w:name="_Toc184308058"/>
      <w:bookmarkEnd w:id="29"/>
      <w:bookmarkStart w:id="30" w:name="_Toc184314462"/>
      <w:bookmarkEnd w:id="30"/>
      <w:bookmarkStart w:id="31" w:name="_Toc184313274"/>
      <w:bookmarkEnd w:id="31"/>
      <w:bookmarkStart w:id="32" w:name="_Toc184313245"/>
      <w:bookmarkEnd w:id="32"/>
      <w:bookmarkStart w:id="33" w:name="_Toc184312099"/>
      <w:bookmarkEnd w:id="33"/>
      <w:bookmarkStart w:id="34" w:name="_Toc184313248"/>
      <w:bookmarkEnd w:id="34"/>
      <w:bookmarkStart w:id="35" w:name="_Toc184308096"/>
      <w:bookmarkEnd w:id="35"/>
      <w:bookmarkStart w:id="36" w:name="_Toc184314430"/>
      <w:bookmarkEnd w:id="36"/>
      <w:bookmarkStart w:id="37" w:name="_Toc184313254"/>
      <w:bookmarkEnd w:id="37"/>
      <w:bookmarkStart w:id="38" w:name="_Toc184308051"/>
      <w:bookmarkEnd w:id="38"/>
      <w:bookmarkStart w:id="39" w:name="_Toc184312090"/>
      <w:bookmarkEnd w:id="39"/>
      <w:bookmarkStart w:id="40" w:name="_Toc184308068"/>
      <w:bookmarkEnd w:id="40"/>
      <w:bookmarkStart w:id="41" w:name="_Toc184314424"/>
      <w:bookmarkEnd w:id="41"/>
      <w:bookmarkStart w:id="42" w:name="_Toc184310326"/>
      <w:bookmarkEnd w:id="42"/>
      <w:bookmarkStart w:id="43" w:name="_Toc184313241"/>
      <w:bookmarkEnd w:id="43"/>
      <w:bookmarkStart w:id="44" w:name="_Toc184312121"/>
      <w:bookmarkEnd w:id="44"/>
      <w:bookmarkStart w:id="45" w:name="_Toc184313296"/>
      <w:bookmarkEnd w:id="45"/>
      <w:bookmarkStart w:id="46" w:name="_Toc184308095"/>
      <w:bookmarkEnd w:id="46"/>
      <w:bookmarkStart w:id="47" w:name="_Toc184312110"/>
      <w:bookmarkEnd w:id="47"/>
      <w:bookmarkStart w:id="48" w:name="_Toc184313303"/>
      <w:bookmarkEnd w:id="48"/>
      <w:bookmarkStart w:id="49" w:name="_Toc184314473"/>
      <w:bookmarkEnd w:id="49"/>
      <w:bookmarkStart w:id="50" w:name="_Toc184308064"/>
      <w:bookmarkEnd w:id="50"/>
      <w:bookmarkStart w:id="51" w:name="_Toc184310317"/>
      <w:bookmarkEnd w:id="51"/>
      <w:bookmarkStart w:id="52" w:name="_Toc184308055"/>
      <w:bookmarkEnd w:id="52"/>
      <w:bookmarkStart w:id="53" w:name="_Toc184308081"/>
      <w:bookmarkEnd w:id="53"/>
      <w:bookmarkStart w:id="54" w:name="_Toc184314481"/>
      <w:bookmarkEnd w:id="54"/>
      <w:bookmarkStart w:id="55" w:name="_Toc184308053"/>
      <w:bookmarkEnd w:id="55"/>
      <w:bookmarkStart w:id="56" w:name="_Toc184312135"/>
      <w:bookmarkEnd w:id="56"/>
      <w:bookmarkStart w:id="57" w:name="_Toc184308091"/>
      <w:bookmarkEnd w:id="57"/>
      <w:bookmarkStart w:id="58" w:name="_Toc184312098"/>
      <w:bookmarkEnd w:id="58"/>
      <w:bookmarkStart w:id="59" w:name="_Toc184312123"/>
      <w:bookmarkEnd w:id="59"/>
      <w:bookmarkStart w:id="60" w:name="_Toc184310325"/>
      <w:bookmarkEnd w:id="60"/>
      <w:bookmarkStart w:id="61" w:name="_Toc184312114"/>
      <w:bookmarkEnd w:id="61"/>
      <w:bookmarkStart w:id="62" w:name="_Toc184314423"/>
      <w:bookmarkEnd w:id="62"/>
      <w:bookmarkStart w:id="63" w:name="_Toc184314448"/>
      <w:bookmarkEnd w:id="63"/>
      <w:bookmarkStart w:id="64" w:name="_Toc184312109"/>
      <w:bookmarkEnd w:id="64"/>
      <w:bookmarkStart w:id="65" w:name="_Toc184313269"/>
      <w:bookmarkEnd w:id="65"/>
      <w:bookmarkStart w:id="66" w:name="_Toc184310298"/>
      <w:bookmarkEnd w:id="66"/>
      <w:bookmarkStart w:id="67" w:name="_Toc184313280"/>
      <w:bookmarkEnd w:id="67"/>
      <w:bookmarkStart w:id="68" w:name="_Toc184314475"/>
      <w:bookmarkEnd w:id="68"/>
      <w:bookmarkStart w:id="69" w:name="_Toc184313262"/>
      <w:bookmarkEnd w:id="69"/>
      <w:bookmarkStart w:id="70" w:name="_Toc184313300"/>
      <w:bookmarkEnd w:id="70"/>
      <w:bookmarkStart w:id="71" w:name="_Toc184310275"/>
      <w:bookmarkEnd w:id="71"/>
      <w:bookmarkStart w:id="72" w:name="_Toc184312085"/>
      <w:bookmarkEnd w:id="72"/>
      <w:bookmarkStart w:id="73" w:name="_Toc184313293"/>
      <w:bookmarkEnd w:id="73"/>
      <w:bookmarkStart w:id="74" w:name="_Toc184313284"/>
      <w:bookmarkEnd w:id="74"/>
      <w:bookmarkStart w:id="75" w:name="_Toc184314458"/>
      <w:bookmarkEnd w:id="75"/>
      <w:bookmarkStart w:id="76" w:name="_Toc184312104"/>
      <w:bookmarkEnd w:id="76"/>
      <w:bookmarkStart w:id="77" w:name="_Toc184308090"/>
      <w:bookmarkEnd w:id="77"/>
      <w:bookmarkStart w:id="78" w:name="_Toc184310307"/>
      <w:bookmarkEnd w:id="78"/>
      <w:bookmarkStart w:id="79" w:name="_Toc184314469"/>
      <w:bookmarkEnd w:id="79"/>
      <w:bookmarkStart w:id="80" w:name="_Toc184312094"/>
      <w:bookmarkEnd w:id="80"/>
      <w:bookmarkStart w:id="81" w:name="_Toc184314434"/>
      <w:bookmarkEnd w:id="81"/>
      <w:bookmarkStart w:id="82" w:name="_Toc184312124"/>
      <w:bookmarkEnd w:id="82"/>
      <w:bookmarkStart w:id="83" w:name="_Toc184312105"/>
      <w:bookmarkEnd w:id="83"/>
      <w:bookmarkStart w:id="84" w:name="_Toc184310341"/>
      <w:bookmarkEnd w:id="84"/>
      <w:bookmarkStart w:id="85" w:name="_Toc184312113"/>
      <w:bookmarkEnd w:id="85"/>
      <w:bookmarkStart w:id="86" w:name="_Toc184314427"/>
      <w:bookmarkEnd w:id="86"/>
      <w:bookmarkStart w:id="87" w:name="_Toc184312088"/>
      <w:bookmarkEnd w:id="87"/>
      <w:bookmarkStart w:id="88" w:name="_Toc184312080"/>
      <w:bookmarkEnd w:id="88"/>
      <w:bookmarkStart w:id="89" w:name="_Toc184312137"/>
      <w:bookmarkEnd w:id="89"/>
      <w:bookmarkStart w:id="90" w:name="_Toc184308045"/>
      <w:bookmarkEnd w:id="90"/>
      <w:bookmarkStart w:id="91" w:name="_Toc184310305"/>
      <w:bookmarkEnd w:id="91"/>
      <w:bookmarkStart w:id="92" w:name="_Toc184314468"/>
      <w:bookmarkEnd w:id="92"/>
      <w:bookmarkStart w:id="93" w:name="_Toc184313290"/>
      <w:bookmarkEnd w:id="93"/>
      <w:bookmarkStart w:id="94" w:name="_Toc184314431"/>
      <w:bookmarkEnd w:id="94"/>
      <w:bookmarkStart w:id="95" w:name="_Toc184313268"/>
      <w:bookmarkEnd w:id="95"/>
      <w:bookmarkStart w:id="96" w:name="_Toc184313310"/>
      <w:bookmarkEnd w:id="96"/>
      <w:bookmarkStart w:id="97" w:name="_Toc184310286"/>
      <w:bookmarkEnd w:id="97"/>
      <w:bookmarkStart w:id="98" w:name="_Toc184314457"/>
      <w:bookmarkEnd w:id="98"/>
      <w:bookmarkStart w:id="99" w:name="_Toc184313285"/>
      <w:bookmarkEnd w:id="99"/>
      <w:bookmarkStart w:id="100" w:name="_Toc184310340"/>
      <w:bookmarkEnd w:id="100"/>
      <w:bookmarkStart w:id="101" w:name="_Toc184312126"/>
      <w:bookmarkEnd w:id="101"/>
      <w:bookmarkStart w:id="102" w:name="_Toc184312069"/>
      <w:bookmarkEnd w:id="102"/>
      <w:bookmarkStart w:id="103" w:name="_Toc184308086"/>
      <w:bookmarkEnd w:id="103"/>
      <w:bookmarkStart w:id="104" w:name="_Toc184308061"/>
      <w:bookmarkEnd w:id="104"/>
      <w:bookmarkStart w:id="105" w:name="_Toc184312115"/>
      <w:bookmarkEnd w:id="105"/>
      <w:bookmarkStart w:id="106" w:name="_Toc184312089"/>
      <w:bookmarkEnd w:id="106"/>
      <w:bookmarkStart w:id="107" w:name="_Toc184312134"/>
      <w:bookmarkEnd w:id="107"/>
      <w:bookmarkStart w:id="108" w:name="_Toc184310304"/>
      <w:bookmarkEnd w:id="108"/>
      <w:bookmarkStart w:id="109" w:name="_Toc184314476"/>
      <w:bookmarkEnd w:id="109"/>
      <w:bookmarkStart w:id="110" w:name="_Toc184312067"/>
      <w:bookmarkEnd w:id="110"/>
      <w:bookmarkStart w:id="111" w:name="_Toc184314471"/>
      <w:bookmarkEnd w:id="111"/>
      <w:bookmarkStart w:id="112" w:name="_Toc184308092"/>
      <w:bookmarkEnd w:id="112"/>
      <w:bookmarkStart w:id="113" w:name="_Toc184308057"/>
      <w:bookmarkEnd w:id="113"/>
      <w:bookmarkStart w:id="114" w:name="_Toc184310320"/>
      <w:bookmarkEnd w:id="114"/>
      <w:bookmarkStart w:id="115" w:name="_Toc184308039"/>
      <w:bookmarkEnd w:id="115"/>
      <w:bookmarkStart w:id="116" w:name="_Toc184313263"/>
      <w:bookmarkEnd w:id="116"/>
      <w:bookmarkStart w:id="117" w:name="_Toc184310291"/>
      <w:bookmarkEnd w:id="117"/>
      <w:bookmarkStart w:id="118" w:name="_Toc184310321"/>
      <w:bookmarkEnd w:id="118"/>
      <w:bookmarkStart w:id="119" w:name="_Toc184310323"/>
      <w:bookmarkEnd w:id="119"/>
      <w:bookmarkStart w:id="120" w:name="_Toc184313278"/>
      <w:bookmarkEnd w:id="120"/>
      <w:bookmarkStart w:id="121" w:name="_Toc184308103"/>
      <w:bookmarkEnd w:id="121"/>
      <w:bookmarkStart w:id="122" w:name="_Toc184314451"/>
      <w:bookmarkEnd w:id="122"/>
      <w:bookmarkStart w:id="123" w:name="_Toc184308065"/>
      <w:bookmarkEnd w:id="123"/>
      <w:bookmarkStart w:id="124" w:name="_Toc184312133"/>
      <w:bookmarkEnd w:id="124"/>
      <w:bookmarkStart w:id="125" w:name="_Toc184310315"/>
      <w:bookmarkEnd w:id="125"/>
      <w:bookmarkStart w:id="126" w:name="_Toc184314464"/>
      <w:bookmarkEnd w:id="126"/>
      <w:bookmarkStart w:id="127" w:name="_Toc184308093"/>
      <w:bookmarkEnd w:id="127"/>
      <w:bookmarkStart w:id="128" w:name="_Toc184310328"/>
      <w:bookmarkEnd w:id="128"/>
      <w:bookmarkStart w:id="129" w:name="_Toc184312091"/>
      <w:bookmarkEnd w:id="129"/>
      <w:bookmarkStart w:id="130" w:name="_Toc184308046"/>
      <w:bookmarkEnd w:id="130"/>
      <w:bookmarkStart w:id="131" w:name="_Toc184310314"/>
      <w:bookmarkEnd w:id="131"/>
      <w:bookmarkStart w:id="132" w:name="_Toc184312108"/>
      <w:bookmarkEnd w:id="132"/>
      <w:bookmarkStart w:id="133" w:name="_Toc184313282"/>
      <w:bookmarkEnd w:id="133"/>
      <w:bookmarkStart w:id="134" w:name="_Toc184314438"/>
      <w:bookmarkEnd w:id="134"/>
      <w:bookmarkStart w:id="135" w:name="_Toc184313251"/>
      <w:bookmarkEnd w:id="135"/>
      <w:bookmarkStart w:id="136" w:name="_Toc184314460"/>
      <w:bookmarkEnd w:id="136"/>
      <w:bookmarkStart w:id="137" w:name="_Toc184308067"/>
      <w:bookmarkEnd w:id="137"/>
      <w:bookmarkStart w:id="138" w:name="_Toc184308107"/>
      <w:bookmarkEnd w:id="138"/>
      <w:bookmarkStart w:id="139" w:name="_Toc184308050"/>
      <w:bookmarkEnd w:id="139"/>
      <w:bookmarkStart w:id="140" w:name="_Toc184310300"/>
      <w:bookmarkEnd w:id="140"/>
      <w:bookmarkStart w:id="141" w:name="_Toc184313294"/>
      <w:bookmarkEnd w:id="141"/>
      <w:bookmarkStart w:id="142" w:name="_Toc184310294"/>
      <w:bookmarkEnd w:id="142"/>
      <w:bookmarkStart w:id="143" w:name="_Toc184314446"/>
      <w:bookmarkEnd w:id="143"/>
      <w:bookmarkStart w:id="144" w:name="_Toc184314447"/>
      <w:bookmarkEnd w:id="144"/>
      <w:bookmarkStart w:id="145" w:name="_Toc184314455"/>
      <w:bookmarkEnd w:id="145"/>
      <w:bookmarkStart w:id="146" w:name="_Toc184312112"/>
      <w:bookmarkEnd w:id="146"/>
      <w:bookmarkStart w:id="147" w:name="_Toc184313253"/>
      <w:bookmarkEnd w:id="147"/>
      <w:bookmarkStart w:id="148" w:name="_Toc184313275"/>
      <w:bookmarkEnd w:id="148"/>
      <w:bookmarkStart w:id="149" w:name="_Toc184308080"/>
      <w:bookmarkEnd w:id="149"/>
      <w:bookmarkStart w:id="150" w:name="_Toc184312084"/>
      <w:bookmarkEnd w:id="150"/>
      <w:bookmarkStart w:id="151" w:name="_Toc184312128"/>
      <w:bookmarkEnd w:id="151"/>
      <w:bookmarkStart w:id="152" w:name="_Toc184312120"/>
      <w:bookmarkEnd w:id="152"/>
      <w:bookmarkStart w:id="153" w:name="_Toc184312097"/>
      <w:bookmarkEnd w:id="153"/>
      <w:bookmarkStart w:id="154" w:name="_Toc184313273"/>
      <w:bookmarkEnd w:id="154"/>
      <w:bookmarkStart w:id="155" w:name="_Toc184312127"/>
      <w:bookmarkEnd w:id="155"/>
      <w:bookmarkStart w:id="156" w:name="_Toc184310296"/>
      <w:bookmarkEnd w:id="156"/>
      <w:bookmarkStart w:id="157" w:name="_Toc184313240"/>
      <w:bookmarkEnd w:id="157"/>
      <w:bookmarkStart w:id="158" w:name="_Toc184308085"/>
      <w:bookmarkEnd w:id="158"/>
      <w:bookmarkStart w:id="159" w:name="_Toc184313306"/>
      <w:bookmarkEnd w:id="159"/>
      <w:bookmarkStart w:id="160" w:name="_Toc184314449"/>
      <w:bookmarkEnd w:id="160"/>
      <w:bookmarkStart w:id="161" w:name="_Toc184310333"/>
      <w:bookmarkEnd w:id="161"/>
      <w:bookmarkStart w:id="162" w:name="_Toc184313266"/>
      <w:bookmarkEnd w:id="162"/>
      <w:bookmarkStart w:id="163" w:name="_Toc184312117"/>
      <w:bookmarkEnd w:id="163"/>
      <w:bookmarkStart w:id="164" w:name="_Toc184312132"/>
      <w:bookmarkEnd w:id="164"/>
      <w:bookmarkStart w:id="165" w:name="_Toc184308073"/>
      <w:bookmarkEnd w:id="165"/>
      <w:bookmarkStart w:id="166" w:name="_Toc184314450"/>
      <w:bookmarkEnd w:id="166"/>
      <w:bookmarkStart w:id="167" w:name="_Toc184312107"/>
      <w:bookmarkEnd w:id="167"/>
      <w:bookmarkStart w:id="168" w:name="_Toc184313255"/>
      <w:bookmarkEnd w:id="168"/>
      <w:bookmarkStart w:id="169" w:name="_Toc184314470"/>
      <w:bookmarkEnd w:id="169"/>
      <w:bookmarkStart w:id="170" w:name="_Toc184312130"/>
      <w:bookmarkEnd w:id="170"/>
      <w:bookmarkStart w:id="171" w:name="_Toc184310292"/>
      <w:bookmarkEnd w:id="171"/>
      <w:bookmarkStart w:id="172" w:name="_Toc184314456"/>
      <w:bookmarkEnd w:id="172"/>
      <w:bookmarkStart w:id="173" w:name="_Toc184314428"/>
      <w:bookmarkEnd w:id="173"/>
      <w:bookmarkStart w:id="174" w:name="_Toc184312138"/>
      <w:bookmarkEnd w:id="174"/>
      <w:bookmarkStart w:id="175" w:name="_Toc184314443"/>
      <w:bookmarkEnd w:id="175"/>
      <w:bookmarkStart w:id="176" w:name="_Toc184312136"/>
      <w:bookmarkEnd w:id="176"/>
      <w:bookmarkStart w:id="177" w:name="_Toc184314435"/>
      <w:bookmarkEnd w:id="177"/>
      <w:bookmarkStart w:id="178" w:name="_Toc184310288"/>
      <w:bookmarkEnd w:id="178"/>
      <w:bookmarkStart w:id="179" w:name="_Toc184310319"/>
      <w:bookmarkEnd w:id="179"/>
      <w:bookmarkStart w:id="180" w:name="_Toc184308102"/>
      <w:bookmarkEnd w:id="180"/>
      <w:bookmarkStart w:id="181" w:name="_Toc184313295"/>
      <w:bookmarkEnd w:id="181"/>
      <w:bookmarkStart w:id="182" w:name="_Toc184308072"/>
      <w:bookmarkEnd w:id="182"/>
      <w:bookmarkStart w:id="183" w:name="_Toc184312125"/>
      <w:bookmarkEnd w:id="183"/>
      <w:bookmarkStart w:id="184" w:name="_Toc184310278"/>
      <w:bookmarkEnd w:id="184"/>
      <w:bookmarkStart w:id="185" w:name="_Toc184308097"/>
      <w:bookmarkEnd w:id="185"/>
      <w:bookmarkStart w:id="186" w:name="_Toc184308054"/>
      <w:bookmarkEnd w:id="186"/>
      <w:bookmarkStart w:id="187" w:name="_Toc184313243"/>
      <w:bookmarkEnd w:id="187"/>
      <w:bookmarkStart w:id="188" w:name="_Toc184308056"/>
      <w:bookmarkEnd w:id="188"/>
      <w:bookmarkStart w:id="189" w:name="_Toc184312106"/>
      <w:bookmarkEnd w:id="189"/>
      <w:bookmarkStart w:id="190" w:name="_Toc184314433"/>
      <w:bookmarkEnd w:id="190"/>
      <w:bookmarkStart w:id="191" w:name="_Toc184310273"/>
      <w:bookmarkEnd w:id="191"/>
      <w:bookmarkStart w:id="192" w:name="_Toc184314436"/>
      <w:bookmarkEnd w:id="192"/>
      <w:bookmarkStart w:id="193" w:name="_Toc184313302"/>
      <w:bookmarkEnd w:id="193"/>
      <w:bookmarkStart w:id="194" w:name="_Toc184308036"/>
      <w:bookmarkEnd w:id="194"/>
      <w:bookmarkStart w:id="195" w:name="_Toc184312116"/>
      <w:bookmarkEnd w:id="195"/>
      <w:bookmarkStart w:id="196" w:name="_Toc184314467"/>
      <w:bookmarkEnd w:id="196"/>
      <w:bookmarkStart w:id="197" w:name="_Toc184314466"/>
      <w:bookmarkEnd w:id="197"/>
      <w:bookmarkStart w:id="198" w:name="_Toc184310301"/>
      <w:bookmarkEnd w:id="198"/>
      <w:bookmarkStart w:id="199" w:name="_Toc184313289"/>
      <w:bookmarkEnd w:id="199"/>
      <w:bookmarkStart w:id="200" w:name="_Toc184308049"/>
      <w:bookmarkEnd w:id="200"/>
      <w:bookmarkStart w:id="201" w:name="_Toc184308089"/>
      <w:bookmarkEnd w:id="201"/>
      <w:bookmarkStart w:id="202" w:name="_Toc184312129"/>
      <w:bookmarkEnd w:id="202"/>
      <w:bookmarkStart w:id="203" w:name="_Toc184313298"/>
      <w:bookmarkEnd w:id="203"/>
      <w:bookmarkStart w:id="204" w:name="_Toc184312070"/>
      <w:bookmarkEnd w:id="204"/>
      <w:bookmarkStart w:id="205" w:name="_Toc184312068"/>
      <w:bookmarkEnd w:id="205"/>
      <w:bookmarkStart w:id="206" w:name="_Toc184313305"/>
      <w:bookmarkEnd w:id="206"/>
      <w:bookmarkStart w:id="207" w:name="_Toc184312095"/>
      <w:bookmarkEnd w:id="207"/>
      <w:bookmarkStart w:id="208" w:name="_Toc184314437"/>
      <w:bookmarkEnd w:id="208"/>
      <w:bookmarkStart w:id="209" w:name="_Toc184314452"/>
      <w:bookmarkEnd w:id="209"/>
      <w:bookmarkStart w:id="210" w:name="_Toc184310281"/>
      <w:bookmarkEnd w:id="210"/>
      <w:bookmarkStart w:id="211" w:name="_Toc184313265"/>
      <w:bookmarkEnd w:id="211"/>
      <w:bookmarkStart w:id="212" w:name="_Toc184314412"/>
      <w:bookmarkEnd w:id="212"/>
      <w:bookmarkStart w:id="213" w:name="_Toc184313259"/>
      <w:bookmarkEnd w:id="213"/>
      <w:bookmarkStart w:id="214" w:name="_Toc184312083"/>
      <w:bookmarkEnd w:id="214"/>
      <w:bookmarkStart w:id="215" w:name="_Toc184310309"/>
      <w:bookmarkEnd w:id="215"/>
      <w:bookmarkStart w:id="216" w:name="_Toc184308066"/>
      <w:bookmarkEnd w:id="216"/>
      <w:bookmarkStart w:id="217" w:name="_Toc184313277"/>
      <w:bookmarkEnd w:id="217"/>
      <w:bookmarkStart w:id="218" w:name="_Toc184314432"/>
      <w:bookmarkEnd w:id="218"/>
      <w:bookmarkStart w:id="219" w:name="_Toc184308088"/>
      <w:bookmarkEnd w:id="219"/>
      <w:bookmarkStart w:id="220" w:name="_Toc184310313"/>
      <w:bookmarkEnd w:id="220"/>
      <w:bookmarkStart w:id="221" w:name="_Toc184308074"/>
      <w:bookmarkEnd w:id="221"/>
      <w:bookmarkStart w:id="222" w:name="_Toc184308098"/>
      <w:bookmarkEnd w:id="222"/>
      <w:bookmarkStart w:id="223" w:name="_Toc184313304"/>
      <w:bookmarkEnd w:id="223"/>
      <w:bookmarkStart w:id="224" w:name="_Toc184314444"/>
      <w:bookmarkEnd w:id="224"/>
      <w:bookmarkStart w:id="225" w:name="_Toc184312103"/>
      <w:bookmarkEnd w:id="225"/>
      <w:bookmarkStart w:id="226" w:name="_Toc184310299"/>
      <w:bookmarkEnd w:id="226"/>
      <w:bookmarkStart w:id="227" w:name="_Toc184308040"/>
      <w:bookmarkEnd w:id="227"/>
      <w:bookmarkStart w:id="228" w:name="_Toc184314421"/>
      <w:bookmarkEnd w:id="228"/>
      <w:bookmarkStart w:id="229" w:name="_Toc184313299"/>
      <w:bookmarkEnd w:id="229"/>
      <w:bookmarkStart w:id="230" w:name="_Toc184310330"/>
      <w:bookmarkEnd w:id="230"/>
      <w:bookmarkStart w:id="231" w:name="_Toc184312087"/>
      <w:bookmarkEnd w:id="231"/>
      <w:bookmarkStart w:id="232" w:name="_Toc184312092"/>
      <w:bookmarkEnd w:id="232"/>
      <w:bookmarkStart w:id="233" w:name="_Toc184308076"/>
      <w:bookmarkEnd w:id="233"/>
      <w:bookmarkStart w:id="234" w:name="_Toc184313309"/>
      <w:bookmarkEnd w:id="234"/>
      <w:bookmarkStart w:id="235" w:name="_Toc184314463"/>
      <w:bookmarkEnd w:id="235"/>
      <w:bookmarkStart w:id="236" w:name="_Toc184310277"/>
      <w:bookmarkEnd w:id="236"/>
      <w:bookmarkStart w:id="237" w:name="_Toc184312118"/>
      <w:bookmarkEnd w:id="237"/>
      <w:bookmarkStart w:id="238" w:name="_Toc184314418"/>
      <w:bookmarkEnd w:id="238"/>
      <w:bookmarkStart w:id="239" w:name="_Toc184312078"/>
      <w:bookmarkEnd w:id="239"/>
      <w:bookmarkStart w:id="240" w:name="_Toc184310293"/>
      <w:bookmarkEnd w:id="240"/>
      <w:bookmarkStart w:id="241" w:name="_Toc184312119"/>
      <w:bookmarkEnd w:id="241"/>
      <w:bookmarkStart w:id="242" w:name="_Toc184314429"/>
      <w:bookmarkEnd w:id="242"/>
      <w:bookmarkStart w:id="243" w:name="_Toc184313272"/>
      <w:bookmarkEnd w:id="243"/>
      <w:bookmarkStart w:id="244" w:name="_Toc184310285"/>
      <w:bookmarkEnd w:id="244"/>
      <w:bookmarkStart w:id="245" w:name="_Toc184310302"/>
      <w:bookmarkEnd w:id="245"/>
      <w:bookmarkStart w:id="246" w:name="_Toc184310336"/>
      <w:bookmarkEnd w:id="246"/>
      <w:bookmarkStart w:id="247" w:name="_Toc184308083"/>
      <w:bookmarkEnd w:id="247"/>
      <w:bookmarkStart w:id="248" w:name="_Toc184310338"/>
      <w:bookmarkEnd w:id="248"/>
      <w:bookmarkStart w:id="249" w:name="_Toc184308101"/>
      <w:bookmarkEnd w:id="249"/>
      <w:bookmarkStart w:id="250" w:name="_Toc184313301"/>
      <w:bookmarkEnd w:id="250"/>
      <w:bookmarkStart w:id="251" w:name="_Toc184310344"/>
      <w:bookmarkEnd w:id="251"/>
      <w:bookmarkStart w:id="252" w:name="_Toc184313252"/>
      <w:bookmarkEnd w:id="252"/>
      <w:bookmarkStart w:id="253" w:name="_Toc184313283"/>
      <w:bookmarkEnd w:id="253"/>
      <w:bookmarkStart w:id="254" w:name="_Toc184310308"/>
      <w:bookmarkEnd w:id="254"/>
      <w:bookmarkStart w:id="255" w:name="_Toc184313260"/>
      <w:bookmarkEnd w:id="255"/>
      <w:bookmarkStart w:id="256" w:name="_Toc184310279"/>
      <w:bookmarkEnd w:id="256"/>
      <w:bookmarkStart w:id="257" w:name="_Toc184313239"/>
      <w:bookmarkEnd w:id="257"/>
      <w:bookmarkStart w:id="258" w:name="_Toc184308104"/>
      <w:bookmarkEnd w:id="258"/>
      <w:bookmarkStart w:id="259" w:name="_Toc184308069"/>
      <w:bookmarkEnd w:id="259"/>
      <w:bookmarkStart w:id="260" w:name="_Toc184313261"/>
      <w:bookmarkEnd w:id="260"/>
      <w:bookmarkStart w:id="261" w:name="_Toc184313271"/>
      <w:bookmarkEnd w:id="261"/>
      <w:bookmarkStart w:id="262" w:name="_Toc184314478"/>
      <w:bookmarkEnd w:id="262"/>
      <w:bookmarkStart w:id="263" w:name="_Toc184313276"/>
      <w:bookmarkEnd w:id="263"/>
      <w:bookmarkStart w:id="264" w:name="_Toc184313247"/>
      <w:bookmarkEnd w:id="264"/>
      <w:bookmarkStart w:id="265" w:name="_Toc184308044"/>
      <w:bookmarkEnd w:id="265"/>
      <w:bookmarkStart w:id="266" w:name="_Toc184313308"/>
      <w:bookmarkEnd w:id="266"/>
      <w:bookmarkStart w:id="267" w:name="_Toc184310335"/>
      <w:bookmarkEnd w:id="267"/>
      <w:bookmarkStart w:id="268" w:name="_Toc184310331"/>
      <w:bookmarkEnd w:id="268"/>
      <w:bookmarkStart w:id="269" w:name="_Toc184310334"/>
      <w:bookmarkEnd w:id="269"/>
      <w:bookmarkStart w:id="270" w:name="_Toc184310316"/>
      <w:bookmarkEnd w:id="270"/>
      <w:bookmarkStart w:id="271" w:name="_Toc184313291"/>
      <w:bookmarkEnd w:id="271"/>
      <w:bookmarkStart w:id="272" w:name="_Toc184308062"/>
      <w:bookmarkEnd w:id="272"/>
      <w:bookmarkStart w:id="273" w:name="_Toc184308106"/>
      <w:bookmarkEnd w:id="273"/>
      <w:bookmarkStart w:id="274" w:name="_Toc184308108"/>
      <w:bookmarkEnd w:id="274"/>
      <w:bookmarkStart w:id="275" w:name="_Toc184310295"/>
      <w:bookmarkEnd w:id="275"/>
      <w:bookmarkStart w:id="276" w:name="_Toc184308084"/>
      <w:bookmarkEnd w:id="276"/>
      <w:bookmarkStart w:id="277" w:name="_Toc184310329"/>
      <w:bookmarkEnd w:id="277"/>
      <w:bookmarkStart w:id="278" w:name="_Toc184312101"/>
      <w:bookmarkEnd w:id="278"/>
      <w:bookmarkStart w:id="279" w:name="_Toc184314482"/>
      <w:bookmarkEnd w:id="279"/>
      <w:bookmarkStart w:id="280" w:name="_Toc184314411"/>
      <w:bookmarkEnd w:id="280"/>
      <w:bookmarkStart w:id="281" w:name="_Toc184314413"/>
      <w:bookmarkEnd w:id="281"/>
      <w:bookmarkStart w:id="282" w:name="_Toc184314422"/>
      <w:bookmarkEnd w:id="282"/>
      <w:bookmarkStart w:id="283" w:name="_Toc184308037"/>
      <w:bookmarkEnd w:id="283"/>
      <w:bookmarkStart w:id="284" w:name="_Toc184310342"/>
      <w:bookmarkEnd w:id="284"/>
      <w:bookmarkStart w:id="285" w:name="_Toc184310312"/>
      <w:bookmarkEnd w:id="285"/>
      <w:bookmarkStart w:id="286" w:name="_Toc184313270"/>
      <w:bookmarkEnd w:id="286"/>
      <w:bookmarkStart w:id="287" w:name="_Toc184313267"/>
      <w:bookmarkEnd w:id="287"/>
      <w:bookmarkStart w:id="288" w:name="_Toc184308075"/>
      <w:bookmarkEnd w:id="288"/>
      <w:bookmarkStart w:id="289" w:name="_Toc184310318"/>
      <w:bookmarkEnd w:id="289"/>
      <w:bookmarkStart w:id="290" w:name="_Toc184313297"/>
      <w:bookmarkEnd w:id="290"/>
      <w:bookmarkStart w:id="291" w:name="_Toc184314425"/>
      <w:bookmarkEnd w:id="291"/>
      <w:bookmarkStart w:id="292" w:name="_Toc184313281"/>
      <w:bookmarkEnd w:id="292"/>
      <w:bookmarkStart w:id="293" w:name="_Toc184310337"/>
      <w:bookmarkEnd w:id="293"/>
      <w:bookmarkStart w:id="294" w:name="_Toc184308043"/>
      <w:bookmarkEnd w:id="294"/>
      <w:bookmarkStart w:id="295" w:name="_Toc184314479"/>
      <w:bookmarkEnd w:id="295"/>
      <w:bookmarkStart w:id="296" w:name="_Toc184308059"/>
      <w:bookmarkEnd w:id="296"/>
      <w:bookmarkStart w:id="297" w:name="_Toc184313250"/>
      <w:bookmarkEnd w:id="297"/>
      <w:bookmarkStart w:id="298" w:name="_Toc184308105"/>
      <w:bookmarkEnd w:id="298"/>
      <w:bookmarkStart w:id="299" w:name="_Toc184314453"/>
      <w:bookmarkEnd w:id="299"/>
      <w:bookmarkStart w:id="300" w:name="_Toc184312096"/>
      <w:bookmarkEnd w:id="300"/>
      <w:bookmarkStart w:id="301" w:name="_Toc184310322"/>
      <w:bookmarkEnd w:id="301"/>
      <w:bookmarkStart w:id="302" w:name="_Toc184314454"/>
      <w:bookmarkEnd w:id="302"/>
      <w:bookmarkStart w:id="303" w:name="_Toc184308071"/>
      <w:bookmarkEnd w:id="303"/>
      <w:bookmarkStart w:id="304" w:name="_Toc184308079"/>
      <w:bookmarkEnd w:id="304"/>
      <w:bookmarkStart w:id="305" w:name="_Toc184312079"/>
      <w:bookmarkEnd w:id="305"/>
      <w:bookmarkStart w:id="306" w:name="_Toc184312093"/>
      <w:bookmarkEnd w:id="306"/>
      <w:bookmarkStart w:id="307" w:name="_Toc184308052"/>
      <w:bookmarkEnd w:id="307"/>
      <w:bookmarkStart w:id="308" w:name="_Toc184310276"/>
      <w:bookmarkEnd w:id="308"/>
      <w:bookmarkStart w:id="309" w:name="_Toc184314426"/>
      <w:bookmarkEnd w:id="309"/>
      <w:bookmarkStart w:id="310" w:name="_Toc184312111"/>
      <w:bookmarkEnd w:id="310"/>
      <w:bookmarkStart w:id="311" w:name="_Toc184314480"/>
      <w:bookmarkEnd w:id="311"/>
      <w:bookmarkStart w:id="312" w:name="_Toc184313257"/>
      <w:bookmarkEnd w:id="312"/>
      <w:bookmarkStart w:id="313" w:name="_Toc184313258"/>
      <w:bookmarkEnd w:id="313"/>
      <w:bookmarkStart w:id="314" w:name="_Toc184313244"/>
      <w:bookmarkEnd w:id="314"/>
      <w:bookmarkStart w:id="315" w:name="_Toc184313288"/>
      <w:bookmarkEnd w:id="315"/>
      <w:bookmarkStart w:id="316" w:name="_Toc184312077"/>
      <w:bookmarkEnd w:id="316"/>
      <w:bookmarkStart w:id="317" w:name="_Toc184312071"/>
      <w:bookmarkEnd w:id="317"/>
      <w:bookmarkStart w:id="318" w:name="_Toc184312073"/>
      <w:bookmarkEnd w:id="318"/>
      <w:bookmarkStart w:id="319" w:name="_Toc184308087"/>
      <w:bookmarkEnd w:id="319"/>
      <w:bookmarkStart w:id="320" w:name="_Toc184312131"/>
      <w:bookmarkEnd w:id="320"/>
      <w:bookmarkStart w:id="321" w:name="_Toc184310283"/>
      <w:bookmarkEnd w:id="321"/>
      <w:bookmarkStart w:id="322" w:name="_Toc184308094"/>
      <w:bookmarkEnd w:id="322"/>
      <w:bookmarkStart w:id="323" w:name="_Toc184314474"/>
      <w:bookmarkEnd w:id="323"/>
      <w:bookmarkStart w:id="324" w:name="_Toc184310287"/>
      <w:bookmarkEnd w:id="324"/>
      <w:bookmarkStart w:id="325" w:name="_Toc184308100"/>
      <w:bookmarkEnd w:id="325"/>
      <w:bookmarkStart w:id="326" w:name="_Toc184314416"/>
      <w:bookmarkEnd w:id="326"/>
      <w:bookmarkStart w:id="327" w:name="_Toc184310272"/>
      <w:bookmarkEnd w:id="327"/>
      <w:bookmarkStart w:id="328" w:name="_Toc184308078"/>
      <w:bookmarkEnd w:id="328"/>
      <w:bookmarkStart w:id="329" w:name="_Toc184314414"/>
      <w:bookmarkEnd w:id="329"/>
      <w:bookmarkStart w:id="330" w:name="_Toc184308063"/>
      <w:bookmarkEnd w:id="330"/>
      <w:bookmarkStart w:id="331" w:name="_Toc184310311"/>
      <w:bookmarkEnd w:id="331"/>
      <w:bookmarkStart w:id="332" w:name="_Toc184314439"/>
      <w:bookmarkEnd w:id="332"/>
      <w:bookmarkStart w:id="333" w:name="_Toc184314477"/>
      <w:bookmarkEnd w:id="333"/>
      <w:bookmarkStart w:id="334" w:name="_Toc184312100"/>
      <w:bookmarkEnd w:id="334"/>
      <w:bookmarkStart w:id="335" w:name="_Toc184314417"/>
      <w:bookmarkEnd w:id="335"/>
      <w:bookmarkStart w:id="336" w:name="_Toc184310343"/>
      <w:bookmarkEnd w:id="336"/>
      <w:bookmarkStart w:id="337" w:name="_Toc184313238"/>
      <w:bookmarkEnd w:id="337"/>
      <w:bookmarkStart w:id="338" w:name="_Toc184314410"/>
      <w:bookmarkEnd w:id="338"/>
      <w:bookmarkStart w:id="339" w:name="_Toc184308077"/>
      <w:bookmarkEnd w:id="339"/>
      <w:bookmarkStart w:id="340" w:name="_Toc184310282"/>
      <w:bookmarkEnd w:id="340"/>
      <w:bookmarkStart w:id="341" w:name="_Toc184313287"/>
      <w:bookmarkEnd w:id="341"/>
      <w:bookmarkStart w:id="342" w:name="_Toc184308070"/>
      <w:bookmarkEnd w:id="342"/>
      <w:bookmarkStart w:id="343" w:name="_Toc184312076"/>
      <w:bookmarkEnd w:id="343"/>
      <w:bookmarkStart w:id="344" w:name="_Toc184313242"/>
      <w:bookmarkEnd w:id="344"/>
      <w:bookmarkStart w:id="345" w:name="_Toc184313292"/>
      <w:bookmarkEnd w:id="345"/>
      <w:bookmarkStart w:id="346" w:name="_Toc184308082"/>
      <w:bookmarkEnd w:id="346"/>
      <w:bookmarkStart w:id="347" w:name="_Toc184313249"/>
      <w:bookmarkEnd w:id="347"/>
      <w:bookmarkStart w:id="348" w:name="_Toc184308042"/>
      <w:bookmarkEnd w:id="348"/>
      <w:bookmarkStart w:id="349" w:name="_Toc184308038"/>
      <w:bookmarkEnd w:id="349"/>
      <w:bookmarkStart w:id="350" w:name="_Toc184312074"/>
      <w:bookmarkEnd w:id="350"/>
      <w:bookmarkStart w:id="351" w:name="_Toc184310324"/>
      <w:bookmarkEnd w:id="351"/>
      <w:bookmarkStart w:id="352" w:name="_Toc184314465"/>
      <w:bookmarkEnd w:id="352"/>
      <w:bookmarkStart w:id="353" w:name="_Toc184314442"/>
      <w:bookmarkEnd w:id="353"/>
      <w:bookmarkStart w:id="354" w:name="_Toc184308099"/>
      <w:bookmarkEnd w:id="354"/>
      <w:bookmarkStart w:id="355" w:name="_Toc184310327"/>
      <w:bookmarkEnd w:id="355"/>
      <w:bookmarkStart w:id="356" w:name="_Toc184314441"/>
      <w:bookmarkEnd w:id="356"/>
      <w:bookmarkStart w:id="357" w:name="_Toc184314461"/>
      <w:bookmarkEnd w:id="357"/>
      <w:bookmarkStart w:id="358" w:name="_Toc184310297"/>
      <w:bookmarkEnd w:id="358"/>
      <w:bookmarkStart w:id="359" w:name="_Toc184313246"/>
      <w:bookmarkEnd w:id="359"/>
      <w:bookmarkStart w:id="360" w:name="_Toc184310284"/>
      <w:bookmarkEnd w:id="360"/>
      <w:bookmarkStart w:id="361" w:name="_Toc184314415"/>
      <w:bookmarkEnd w:id="361"/>
      <w:bookmarkStart w:id="362" w:name="_Toc184312122"/>
      <w:bookmarkEnd w:id="362"/>
      <w:bookmarkStart w:id="363" w:name="_Toc184308048"/>
      <w:bookmarkEnd w:id="363"/>
      <w:bookmarkStart w:id="364" w:name="_Toc184310332"/>
      <w:bookmarkEnd w:id="364"/>
      <w:bookmarkStart w:id="365" w:name="_Toc184310306"/>
      <w:bookmarkEnd w:id="365"/>
      <w:bookmarkStart w:id="366" w:name="_Toc184308047"/>
      <w:bookmarkEnd w:id="366"/>
      <w:bookmarkStart w:id="367" w:name="_Toc184312082"/>
      <w:bookmarkEnd w:id="367"/>
      <w:bookmarkStart w:id="368" w:name="_Toc184310274"/>
      <w:bookmarkEnd w:id="368"/>
      <w:bookmarkStart w:id="369" w:name="_Toc184312086"/>
      <w:bookmarkEnd w:id="369"/>
      <w:bookmarkStart w:id="370" w:name="_Toc184310290"/>
      <w:bookmarkEnd w:id="370"/>
      <w:bookmarkStart w:id="371" w:name="_Toc184312102"/>
      <w:bookmarkEnd w:id="371"/>
      <w:bookmarkStart w:id="372" w:name="_Toc184314419"/>
      <w:bookmarkEnd w:id="372"/>
      <w:bookmarkStart w:id="373" w:name="_Toc184314420"/>
      <w:bookmarkEnd w:id="373"/>
      <w:bookmarkStart w:id="374" w:name="_Toc184312075"/>
      <w:bookmarkEnd w:id="374"/>
      <w:bookmarkStart w:id="375" w:name="_Toc184313279"/>
      <w:bookmarkEnd w:id="375"/>
      <w:bookmarkStart w:id="376" w:name="_Toc184313307"/>
      <w:bookmarkEnd w:id="376"/>
      <w:bookmarkStart w:id="377" w:name="_Toc184310303"/>
      <w:bookmarkEnd w:id="377"/>
      <w:bookmarkStart w:id="378" w:name="_Toc184313286"/>
      <w:bookmarkEnd w:id="378"/>
      <w:bookmarkStart w:id="379" w:name="_Toc184312072"/>
      <w:bookmarkEnd w:id="379"/>
      <w:bookmarkStart w:id="380" w:name="_Toc184314459"/>
      <w:bookmarkEnd w:id="380"/>
      <w:bookmarkStart w:id="381" w:name="_Toc184310280"/>
      <w:bookmarkEnd w:id="381"/>
      <w:bookmarkStart w:id="382" w:name="_Toc184310310"/>
      <w:bookmarkEnd w:id="382"/>
      <w:bookmarkStart w:id="383" w:name="_Toc184314472"/>
      <w:bookmarkEnd w:id="383"/>
      <w:bookmarkStart w:id="384" w:name="_Toc184312139"/>
      <w:bookmarkEnd w:id="384"/>
      <w:bookmarkStart w:id="385" w:name="_Toc184308041"/>
      <w:bookmarkEnd w:id="385"/>
      <w:bookmarkStart w:id="386" w:name="_Toc184313264"/>
      <w:bookmarkEnd w:id="386"/>
      <w:bookmarkStart w:id="387" w:name="_Toc184308060"/>
      <w:bookmarkEnd w:id="387"/>
      <w:bookmarkStart w:id="388" w:name="_Toc184314445"/>
      <w:bookmarkEnd w:id="388"/>
      <w:bookmarkStart w:id="389" w:name="_Toc184312081"/>
      <w:bookmarkEnd w:id="389"/>
      <w:bookmarkStart w:id="390" w:name="_Toc184314440"/>
      <w:bookmarkEnd w:id="390"/>
      <w:bookmarkStart w:id="391" w:name="_Toc184310339"/>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6786"/>
        <w:gridCol w:w="71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6786"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714"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权重</w:t>
            </w:r>
          </w:p>
        </w:tc>
        <w:tc>
          <w:tcPr>
            <w:tcW w:w="1554"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bCs/>
                <w:sz w:val="24"/>
                <w:highlight w:val="none"/>
              </w:rPr>
              <w:t>供应商针对本项目提供的：①食堂管理方案，②食堂管理制度，根据提供的方案、制度内容进行评分，科学、可靠且贴合实际的，每一项得2分，每项内容有所欠缺需完善的得1分，未提供或不可行的不得分，最高得4分。</w:t>
            </w:r>
          </w:p>
        </w:tc>
        <w:tc>
          <w:tcPr>
            <w:tcW w:w="714" w:type="dxa"/>
            <w:vAlign w:val="top"/>
          </w:tcPr>
          <w:p>
            <w:pPr>
              <w:jc w:val="center"/>
              <w:rPr>
                <w:highlight w:val="none"/>
              </w:rPr>
            </w:pPr>
            <w:r>
              <w:rPr>
                <w:highlight w:val="none"/>
              </w:rPr>
              <w:t>4</w:t>
            </w:r>
          </w:p>
        </w:tc>
        <w:tc>
          <w:tcPr>
            <w:tcW w:w="1554"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bCs/>
                <w:sz w:val="24"/>
                <w:highlight w:val="none"/>
              </w:rPr>
              <w:t>事故处理应急预案：①临时性保障任务预案，②临时停水停电停气预案，③出现食物中毒预案，④恶劣天气预案，根据提供的预案内容进行评分，科学、可靠且贴合实际的，每一项得1分，每项内容有所欠缺需完善的得0.5分，未提供或不可行的不得分，最高得4分。</w:t>
            </w:r>
          </w:p>
        </w:tc>
        <w:tc>
          <w:tcPr>
            <w:tcW w:w="714" w:type="dxa"/>
            <w:vAlign w:val="top"/>
          </w:tcPr>
          <w:p>
            <w:pPr>
              <w:spacing w:line="360" w:lineRule="auto"/>
              <w:jc w:val="center"/>
              <w:outlineLvl w:val="0"/>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bCs/>
                <w:sz w:val="24"/>
                <w:highlight w:val="none"/>
              </w:rPr>
              <w:t>食品安全保障措施：①严格的食品安全管理制度，②完善的食品原料管理方案，③食品加工操作、菜品制作与保存的详细措施。根据提供的方案、措施进行评分，每项方案合理、可行的得2分，每项方案有所欠缺需完善的得1分，不合理或偏差较大的不得分，最高得6分。</w:t>
            </w:r>
          </w:p>
        </w:tc>
        <w:tc>
          <w:tcPr>
            <w:tcW w:w="714" w:type="dxa"/>
            <w:vAlign w:val="top"/>
          </w:tcPr>
          <w:p>
            <w:pPr>
              <w:spacing w:line="360" w:lineRule="auto"/>
              <w:jc w:val="center"/>
              <w:outlineLvl w:val="0"/>
              <w:rPr>
                <w:highlight w:val="none"/>
              </w:rPr>
            </w:pPr>
            <w:r>
              <w:rPr>
                <w:highlight w:val="none"/>
              </w:rPr>
              <w:t>6</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服务质量控制方案：①用餐服务的流程，②用餐保障服务措施。根据提供的方案内容进行评分，方案科学、可靠且贴合实际的，每一项得2分，每项内容有所欠缺需完善的得1分，未提供或不可行的不得分，最高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卫生管理：①食品卫生管理，②从业人员个人卫生管理，③环境卫生管理。根据提供的措施内容进行评分，每一项内容完整、措施有效的得2分，每项内容有所欠缺需完善的得1分，不提供或不合理的不得分，最高得6分。</w:t>
            </w:r>
          </w:p>
        </w:tc>
        <w:tc>
          <w:tcPr>
            <w:tcW w:w="714" w:type="dxa"/>
            <w:vAlign w:val="top"/>
          </w:tcPr>
          <w:p>
            <w:pPr>
              <w:jc w:val="center"/>
              <w:rPr>
                <w:highlight w:val="none"/>
              </w:rPr>
            </w:pPr>
            <w:r>
              <w:rPr>
                <w:highlight w:val="none"/>
              </w:rPr>
              <w:t>6</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消毒与垃圾处理：①餐饮具清洗消毒保洁管理，②厨余垃圾处置管理，根据提供的措施内容进行评分，每一项内容完整、措施有效的得2分，每项内容有所欠缺需完善的得1分，不提供或不合理的不得分，最高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原材料方案：①原材料使用管理方案，②食品保存管理方案，根据提供的方案内容进行评分，每一项内容完整、措施有效的得2分，每项内容有所欠缺需完善的得1分，不提供或不合理的不得分，最高得4分。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人员岗位安排：①分配情况（包括人员数量配备等），②各岗位的配置和劳动力的投入情况，③大灶、小灶、点心、服务员等人员配备情况，根据提供的方案内容进行评分，每一项配备合理充分满足各岗位和工作量的需要的得2分，每项配备有所欠缺需完善的得1分；不提供或不合理的不得分，最高得6分。</w:t>
            </w:r>
          </w:p>
        </w:tc>
        <w:tc>
          <w:tcPr>
            <w:tcW w:w="714" w:type="dxa"/>
            <w:vAlign w:val="top"/>
          </w:tcPr>
          <w:p>
            <w:pPr>
              <w:jc w:val="center"/>
              <w:rPr>
                <w:highlight w:val="none"/>
              </w:rPr>
            </w:pPr>
            <w:r>
              <w:rPr>
                <w:highlight w:val="none"/>
              </w:rPr>
              <w:t>6</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针对本项目的培训方案：供应商对于服务人员的岗位培训计划的完整性，培训的内容包括法律法规、操作流程、服务标准、岗位技能等，方案合理、可行得4分；方案较合理、较可行得3分；方案一般、可行性一般得2分；方案欠佳、可行性欠佳得1分；不合理或偏差较大的不得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针对本项目的其他服务：①投标人针对本项目实施过程中提供的“便民”服务方案，②投标人针对本项目实施过程中提供的特色服务方案，方案合理，有实际操作型，充分考虑就餐人员的舒适性、实用性、体验感，充分考虑实际情况的每项得2分，方案一般、其他服务一般的每项得1分，不提供或不合理的不得分，最多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服务保障及优惠承诺：①供应商用工管理制度，②供应商提高服务满意度方案；根据提供的制度、方案内容进行评分，每一项内容完整、有效的得2分，每项内容有所欠缺需完善的得1分，不提供或不合理的不得分，最高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节能管理保障包括：①水、电、气的节能管理；根据提供的内容进行评分，方案合理、可行得4分；方案较合理、较可行得3分；方案一般、可行性一般得2分；方案欠佳、可行性欠佳得1分；不合理或偏差较大的不得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本地化服务：①本地化服务方案，③本地化服务网点；根据提供的内容进行评分，科学、合理、可行且贴合实际的，每项得2分，基本合理，但有所偏差的，每项得1分，不合理或偏差较大的，不得分，最高得4分。</w:t>
            </w:r>
          </w:p>
        </w:tc>
        <w:tc>
          <w:tcPr>
            <w:tcW w:w="714" w:type="dxa"/>
            <w:vAlign w:val="top"/>
          </w:tcPr>
          <w:p>
            <w:pPr>
              <w:jc w:val="center"/>
              <w:rPr>
                <w:highlight w:val="none"/>
              </w:rPr>
            </w:pPr>
            <w:r>
              <w:rPr>
                <w:highlight w:val="none"/>
              </w:rPr>
              <w:t>4</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体系认证：投标人具有质量管理体系认证证书的得1分；具有环境管理体系认证证书的得1分；具有职业健康安全管理体系认证证书的得1分；</w:t>
            </w:r>
          </w:p>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投标文件中提供有效期内的证书复制件，否则不得分。</w:t>
            </w:r>
          </w:p>
        </w:tc>
        <w:tc>
          <w:tcPr>
            <w:tcW w:w="714" w:type="dxa"/>
            <w:vAlign w:val="top"/>
          </w:tcPr>
          <w:p>
            <w:pPr>
              <w:jc w:val="center"/>
              <w:rPr>
                <w:highlight w:val="none"/>
              </w:rPr>
            </w:pPr>
            <w:r>
              <w:rPr>
                <w:highlight w:val="none"/>
              </w:rPr>
              <w:t>3</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荣誉:投标人自2021年1月1日以来获得过政府部门颁发的区级（含县级）及以上食堂类或后勤保障类相关表彰的每个得2分，本项最多得2分。投标文件中提供证书或表彰文件复制件，否则不得分。</w:t>
            </w:r>
          </w:p>
        </w:tc>
        <w:tc>
          <w:tcPr>
            <w:tcW w:w="714" w:type="dxa"/>
            <w:vAlign w:val="top"/>
          </w:tcPr>
          <w:p>
            <w:pPr>
              <w:jc w:val="center"/>
              <w:rPr>
                <w:highlight w:val="none"/>
              </w:rPr>
            </w:pPr>
            <w:r>
              <w:rPr>
                <w:highlight w:val="none"/>
              </w:rPr>
              <w:t>2</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投标人自2016年1月1日（含）以来（以合同签订时间为准）承担过类似[政府机关单位或事业单位（含学校、医院等）]类似食堂餐饮服务项目成功案例的，需提供合同复印件和中标通知书两者缺一不可，每个得0.2分，本项最高得1分，</w:t>
            </w:r>
          </w:p>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投标文件中需提供清晰的合同和中标通知书复制件，否则不得分。</w:t>
            </w:r>
          </w:p>
        </w:tc>
        <w:tc>
          <w:tcPr>
            <w:tcW w:w="714" w:type="dxa"/>
            <w:vAlign w:val="top"/>
          </w:tcPr>
          <w:p>
            <w:pPr>
              <w:jc w:val="center"/>
              <w:rPr>
                <w:highlight w:val="none"/>
              </w:rPr>
            </w:pPr>
            <w:r>
              <w:rPr>
                <w:highlight w:val="none"/>
              </w:rPr>
              <w:t>1</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个人荣誉：拟派项目组成员中,在食堂类或后勤保障类工作中具有获得区级（含县级）及以上个人荣誉的，每个人得2分，最多得8分。</w:t>
            </w:r>
          </w:p>
          <w:p>
            <w:pPr>
              <w:spacing w:line="360" w:lineRule="auto"/>
              <w:jc w:val="left"/>
              <w:rPr>
                <w:rFonts w:hint="eastAsia" w:ascii="仿宋" w:hAnsi="仿宋" w:eastAsia="仿宋" w:cs="仿宋_GB2312"/>
                <w:bCs/>
                <w:sz w:val="24"/>
                <w:highlight w:val="none"/>
                <w:lang w:eastAsia="zh-CN"/>
              </w:rPr>
            </w:pPr>
            <w:r>
              <w:rPr>
                <w:rFonts w:hint="eastAsia" w:ascii="仿宋" w:hAnsi="仿宋" w:eastAsia="仿宋" w:cs="仿宋_GB2312"/>
                <w:bCs/>
                <w:sz w:val="24"/>
                <w:highlight w:val="none"/>
              </w:rPr>
              <w:t>投标文件中需提供人员在</w:t>
            </w:r>
            <w:r>
              <w:rPr>
                <w:rFonts w:hint="eastAsia" w:ascii="仿宋" w:hAnsi="仿宋" w:eastAsia="仿宋" w:cs="仿宋_GB2312"/>
                <w:bCs/>
                <w:sz w:val="24"/>
                <w:highlight w:val="yellow"/>
              </w:rPr>
              <w:t>本单位</w:t>
            </w:r>
            <w:r>
              <w:rPr>
                <w:rFonts w:hint="eastAsia" w:ascii="仿宋" w:hAnsi="仿宋" w:eastAsia="仿宋" w:cs="仿宋_GB2312"/>
                <w:bCs/>
                <w:sz w:val="24"/>
                <w:highlight w:val="yellow"/>
                <w:lang w:eastAsia="zh-CN"/>
              </w:rPr>
              <w:t>近三个月内任意一个月的社保缴纳证明（近一个月新成立的公司提供说明）</w:t>
            </w:r>
            <w:r>
              <w:rPr>
                <w:rFonts w:hint="eastAsia" w:ascii="仿宋" w:hAnsi="仿宋" w:eastAsia="仿宋" w:cs="仿宋_GB2312"/>
                <w:bCs/>
                <w:sz w:val="24"/>
                <w:highlight w:val="yellow"/>
              </w:rPr>
              <w:t>及荣誉相关证明复制件</w:t>
            </w:r>
            <w:r>
              <w:rPr>
                <w:rFonts w:hint="eastAsia" w:ascii="仿宋" w:hAnsi="仿宋" w:eastAsia="仿宋" w:cs="仿宋_GB2312"/>
                <w:bCs/>
                <w:sz w:val="24"/>
                <w:highlight w:val="none"/>
              </w:rPr>
              <w:t>，否则不得分</w:t>
            </w:r>
            <w:r>
              <w:rPr>
                <w:rFonts w:hint="eastAsia" w:ascii="仿宋" w:hAnsi="仿宋" w:eastAsia="仿宋" w:cs="仿宋_GB2312"/>
                <w:bCs/>
                <w:sz w:val="24"/>
                <w:highlight w:val="none"/>
                <w:lang w:eastAsia="zh-CN"/>
              </w:rPr>
              <w:t>。</w:t>
            </w:r>
          </w:p>
        </w:tc>
        <w:tc>
          <w:tcPr>
            <w:tcW w:w="714" w:type="dxa"/>
            <w:vAlign w:val="top"/>
          </w:tcPr>
          <w:p>
            <w:pPr>
              <w:jc w:val="center"/>
              <w:rPr>
                <w:highlight w:val="none"/>
              </w:rPr>
            </w:pPr>
            <w:r>
              <w:rPr>
                <w:highlight w:val="none"/>
              </w:rPr>
              <w:t>8</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投标人自有人员：拟派人员都具有健康证且健康证在有效期内的得5分，少 1 本或其中有失效的不得分。</w:t>
            </w:r>
          </w:p>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注：投标文件中提供健康证及</w:t>
            </w:r>
            <w:r>
              <w:rPr>
                <w:rFonts w:hint="eastAsia" w:ascii="仿宋" w:hAnsi="仿宋" w:eastAsia="仿宋" w:cs="仿宋_GB2312"/>
                <w:bCs/>
                <w:sz w:val="24"/>
                <w:highlight w:val="yellow"/>
              </w:rPr>
              <w:t>本单位</w:t>
            </w:r>
            <w:r>
              <w:rPr>
                <w:rFonts w:hint="eastAsia" w:ascii="仿宋" w:hAnsi="仿宋" w:eastAsia="仿宋" w:cs="仿宋_GB2312"/>
                <w:bCs/>
                <w:sz w:val="24"/>
                <w:highlight w:val="yellow"/>
                <w:lang w:eastAsia="zh-CN"/>
              </w:rPr>
              <w:t>近三个月内任意一个月的社保缴纳证明（近一个月新成立的公司提供说明）</w:t>
            </w:r>
            <w:r>
              <w:rPr>
                <w:rFonts w:hint="eastAsia" w:ascii="仿宋" w:hAnsi="仿宋" w:eastAsia="仿宋" w:cs="仿宋_GB2312"/>
                <w:bCs/>
                <w:sz w:val="24"/>
                <w:highlight w:val="none"/>
              </w:rPr>
              <w:t>，否则不得分。</w:t>
            </w:r>
          </w:p>
        </w:tc>
        <w:tc>
          <w:tcPr>
            <w:tcW w:w="714" w:type="dxa"/>
            <w:vAlign w:val="top"/>
          </w:tcPr>
          <w:p>
            <w:pPr>
              <w:jc w:val="center"/>
              <w:rPr>
                <w:highlight w:val="none"/>
              </w:rPr>
            </w:pPr>
            <w:r>
              <w:rPr>
                <w:highlight w:val="none"/>
              </w:rPr>
              <w:t>5</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拟派项目负责人具有中式烹调等级为高级及以上的得3分，高级以下得1分；项目负责人具有3年及以上类似食堂管理相关经验的得2分，不足3年得1分。本项共计5分。</w:t>
            </w:r>
          </w:p>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备注：投标文件中需提供相关证书及</w:t>
            </w:r>
            <w:r>
              <w:rPr>
                <w:rFonts w:hint="eastAsia" w:ascii="仿宋" w:hAnsi="仿宋" w:eastAsia="仿宋" w:cs="仿宋_GB2312"/>
                <w:bCs/>
                <w:sz w:val="24"/>
                <w:highlight w:val="yellow"/>
              </w:rPr>
              <w:t>本单位</w:t>
            </w:r>
            <w:r>
              <w:rPr>
                <w:rFonts w:hint="eastAsia" w:ascii="仿宋" w:hAnsi="仿宋" w:eastAsia="仿宋" w:cs="仿宋_GB2312"/>
                <w:bCs/>
                <w:sz w:val="24"/>
                <w:highlight w:val="yellow"/>
                <w:lang w:eastAsia="zh-CN"/>
              </w:rPr>
              <w:t>近三个月内任意一个月的社保缴纳证明（近一个月新成立的公司提供说明）</w:t>
            </w:r>
            <w:r>
              <w:rPr>
                <w:rFonts w:hint="eastAsia" w:ascii="仿宋" w:hAnsi="仿宋" w:eastAsia="仿宋" w:cs="仿宋_GB2312"/>
                <w:bCs/>
                <w:sz w:val="24"/>
                <w:highlight w:val="none"/>
              </w:rPr>
              <w:t>，不提供者不得分。食堂管理相关经验提供业主单位盖章的相关证明材料，否则不认可。</w:t>
            </w:r>
          </w:p>
        </w:tc>
        <w:tc>
          <w:tcPr>
            <w:tcW w:w="714" w:type="dxa"/>
            <w:vAlign w:val="top"/>
          </w:tcPr>
          <w:p>
            <w:pPr>
              <w:jc w:val="center"/>
              <w:rPr>
                <w:highlight w:val="none"/>
              </w:rPr>
            </w:pPr>
            <w:r>
              <w:rPr>
                <w:highlight w:val="none"/>
              </w:rPr>
              <w:t>5</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numPr>
                <w:ilvl w:val="0"/>
                <w:numId w:val="1"/>
              </w:numPr>
              <w:ind w:left="420" w:leftChars="0" w:hanging="420" w:firstLineChars="0"/>
              <w:rPr>
                <w:highlight w:val="none"/>
              </w:rPr>
            </w:pPr>
          </w:p>
        </w:tc>
        <w:tc>
          <w:tcPr>
            <w:tcW w:w="6786" w:type="dxa"/>
            <w:vAlign w:val="center"/>
          </w:tcPr>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餐饮服务人员：</w:t>
            </w:r>
          </w:p>
          <w:p>
            <w:pPr>
              <w:spacing w:line="360" w:lineRule="auto"/>
              <w:ind w:firstLine="480" w:firstLineChars="200"/>
              <w:jc w:val="left"/>
              <w:rPr>
                <w:rFonts w:ascii="仿宋" w:hAnsi="仿宋" w:eastAsia="仿宋" w:cs="仿宋_GB2312"/>
                <w:bCs/>
                <w:sz w:val="24"/>
                <w:highlight w:val="none"/>
              </w:rPr>
            </w:pPr>
            <w:r>
              <w:rPr>
                <w:rFonts w:hint="eastAsia" w:ascii="仿宋" w:hAnsi="仿宋" w:eastAsia="仿宋" w:cs="仿宋_GB2312"/>
                <w:bCs/>
                <w:sz w:val="24"/>
                <w:highlight w:val="none"/>
              </w:rPr>
              <w:t>①、中式烹调等级为初级及以上的得0.5分/人（最高得2分）；</w:t>
            </w:r>
          </w:p>
          <w:p>
            <w:pPr>
              <w:spacing w:line="360" w:lineRule="auto"/>
              <w:ind w:firstLine="480" w:firstLineChars="200"/>
              <w:jc w:val="left"/>
              <w:rPr>
                <w:rFonts w:ascii="仿宋" w:hAnsi="仿宋" w:eastAsia="仿宋" w:cs="仿宋_GB2312"/>
                <w:bCs/>
                <w:sz w:val="24"/>
                <w:highlight w:val="none"/>
              </w:rPr>
            </w:pPr>
            <w:r>
              <w:rPr>
                <w:rFonts w:hint="eastAsia" w:ascii="仿宋" w:hAnsi="仿宋" w:eastAsia="仿宋" w:cs="仿宋_GB2312"/>
                <w:bCs/>
                <w:sz w:val="24"/>
                <w:highlight w:val="none"/>
              </w:rPr>
              <w:t>②、拟派人员具有中式面点师等级为高级及以上证书的得</w:t>
            </w:r>
            <w:r>
              <w:rPr>
                <w:rFonts w:ascii="仿宋" w:hAnsi="仿宋" w:eastAsia="仿宋" w:cs="仿宋_GB2312"/>
                <w:bCs/>
                <w:sz w:val="24"/>
                <w:highlight w:val="none"/>
              </w:rPr>
              <w:t>1</w:t>
            </w:r>
            <w:r>
              <w:rPr>
                <w:rFonts w:hint="eastAsia" w:ascii="仿宋" w:hAnsi="仿宋" w:eastAsia="仿宋" w:cs="仿宋_GB2312"/>
                <w:bCs/>
                <w:sz w:val="24"/>
                <w:highlight w:val="none"/>
              </w:rPr>
              <w:t>分/人，具有西式面点师等级为高级及以上证书的得</w:t>
            </w:r>
            <w:r>
              <w:rPr>
                <w:rFonts w:ascii="仿宋" w:hAnsi="仿宋" w:eastAsia="仿宋" w:cs="仿宋_GB2312"/>
                <w:bCs/>
                <w:sz w:val="24"/>
                <w:highlight w:val="none"/>
              </w:rPr>
              <w:t>1</w:t>
            </w:r>
            <w:r>
              <w:rPr>
                <w:rFonts w:hint="eastAsia" w:ascii="仿宋" w:hAnsi="仿宋" w:eastAsia="仿宋" w:cs="仿宋_GB2312"/>
                <w:bCs/>
                <w:sz w:val="24"/>
                <w:highlight w:val="none"/>
              </w:rPr>
              <w:t>分/人（最高得</w:t>
            </w:r>
            <w:r>
              <w:rPr>
                <w:rFonts w:ascii="仿宋" w:hAnsi="仿宋" w:eastAsia="仿宋" w:cs="仿宋_GB2312"/>
                <w:bCs/>
                <w:sz w:val="24"/>
                <w:highlight w:val="none"/>
              </w:rPr>
              <w:t>2</w:t>
            </w:r>
            <w:r>
              <w:rPr>
                <w:rFonts w:hint="eastAsia" w:ascii="仿宋" w:hAnsi="仿宋" w:eastAsia="仿宋" w:cs="仿宋_GB2312"/>
                <w:bCs/>
                <w:sz w:val="24"/>
                <w:highlight w:val="none"/>
              </w:rPr>
              <w:t>分）；</w:t>
            </w:r>
          </w:p>
          <w:p>
            <w:pPr>
              <w:spacing w:line="360" w:lineRule="auto"/>
              <w:ind w:firstLine="480" w:firstLineChars="200"/>
              <w:jc w:val="left"/>
              <w:rPr>
                <w:rFonts w:ascii="仿宋" w:hAnsi="仿宋" w:eastAsia="仿宋" w:cs="仿宋_GB2312"/>
                <w:bCs/>
                <w:sz w:val="24"/>
                <w:highlight w:val="none"/>
              </w:rPr>
            </w:pPr>
            <w:r>
              <w:rPr>
                <w:rFonts w:hint="eastAsia" w:ascii="仿宋" w:hAnsi="仿宋" w:eastAsia="仿宋" w:cs="仿宋_GB2312"/>
                <w:bCs/>
                <w:sz w:val="24"/>
                <w:highlight w:val="none"/>
              </w:rPr>
              <w:t>③拟派人员具有高级营养师证书，每提供一本得2分，最高得2分；</w:t>
            </w:r>
          </w:p>
          <w:p>
            <w:pPr>
              <w:spacing w:line="360" w:lineRule="auto"/>
              <w:ind w:left="479" w:leftChars="228"/>
              <w:jc w:val="left"/>
              <w:rPr>
                <w:rFonts w:ascii="仿宋" w:hAnsi="仿宋" w:eastAsia="仿宋" w:cs="仿宋_GB2312"/>
                <w:bCs/>
                <w:sz w:val="24"/>
                <w:highlight w:val="none"/>
              </w:rPr>
            </w:pPr>
            <w:r>
              <w:rPr>
                <w:rFonts w:hint="eastAsia" w:ascii="仿宋" w:hAnsi="仿宋" w:eastAsia="仿宋" w:cs="仿宋_GB2312"/>
                <w:bCs/>
                <w:sz w:val="24"/>
                <w:highlight w:val="none"/>
              </w:rPr>
              <w:t>④、拟派人员具有食品管理员证书的得2分；</w:t>
            </w:r>
          </w:p>
          <w:p>
            <w:pPr>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备注：投标文件中需提供相关人员证书及</w:t>
            </w:r>
            <w:r>
              <w:rPr>
                <w:rFonts w:hint="eastAsia" w:ascii="仿宋" w:hAnsi="仿宋" w:eastAsia="仿宋" w:cs="仿宋_GB2312"/>
                <w:bCs/>
                <w:sz w:val="24"/>
                <w:highlight w:val="yellow"/>
              </w:rPr>
              <w:t>本单位</w:t>
            </w:r>
            <w:r>
              <w:rPr>
                <w:rFonts w:hint="eastAsia" w:ascii="仿宋" w:hAnsi="仿宋" w:eastAsia="仿宋" w:cs="仿宋_GB2312"/>
                <w:bCs/>
                <w:sz w:val="24"/>
                <w:highlight w:val="yellow"/>
                <w:lang w:eastAsia="zh-CN"/>
              </w:rPr>
              <w:t>近三个月内任意一个月的社保缴纳证明（近一个月新成立的公司提供说明）</w:t>
            </w:r>
            <w:r>
              <w:rPr>
                <w:rFonts w:hint="eastAsia" w:ascii="仿宋" w:hAnsi="仿宋" w:eastAsia="仿宋" w:cs="仿宋_GB2312"/>
                <w:bCs/>
                <w:sz w:val="24"/>
                <w:highlight w:val="none"/>
              </w:rPr>
              <w:t>，不提供者不得分。</w:t>
            </w:r>
          </w:p>
        </w:tc>
        <w:tc>
          <w:tcPr>
            <w:tcW w:w="714" w:type="dxa"/>
            <w:vAlign w:val="top"/>
          </w:tcPr>
          <w:p>
            <w:pPr>
              <w:jc w:val="center"/>
              <w:rPr>
                <w:highlight w:val="none"/>
              </w:rPr>
            </w:pPr>
            <w:r>
              <w:rPr>
                <w:highlight w:val="none"/>
              </w:rPr>
              <w:t>8</w:t>
            </w:r>
          </w:p>
        </w:tc>
        <w:tc>
          <w:tcPr>
            <w:tcW w:w="1554"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835" w:type="dxa"/>
            <w:vAlign w:val="center"/>
          </w:tcPr>
          <w:p>
            <w:pPr>
              <w:numPr>
                <w:ilvl w:val="0"/>
                <w:numId w:val="1"/>
              </w:numPr>
              <w:ind w:left="420" w:leftChars="0" w:hanging="420" w:firstLineChars="0"/>
              <w:rPr>
                <w:highlight w:val="none"/>
              </w:rPr>
            </w:pPr>
          </w:p>
        </w:tc>
        <w:tc>
          <w:tcPr>
            <w:tcW w:w="6786" w:type="dxa"/>
            <w:vAlign w:val="top"/>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有效投标报价的最低价作为评标基准价，其最低报价为满分；按［投标报价得分=（评标基准价/投标报价）*10］的计算公式计算。</w:t>
            </w:r>
          </w:p>
          <w:p>
            <w:pPr>
              <w:widowControl/>
              <w:shd w:val="clear" w:color="auto" w:fill="FFFFFF"/>
              <w:spacing w:after="225" w:line="315" w:lineRule="atLeast"/>
              <w:ind w:firstLine="420"/>
              <w:jc w:val="left"/>
              <w:rPr>
                <w:rFonts w:ascii="仿宋" w:hAnsi="仿宋" w:eastAsia="仿宋" w:cs="仿宋_GB2312"/>
                <w:sz w:val="24"/>
                <w:highlight w:val="none"/>
              </w:rPr>
            </w:pPr>
            <w:r>
              <w:rPr>
                <w:rFonts w:hint="eastAsia" w:ascii="仿宋" w:hAnsi="仿宋" w:eastAsia="仿宋" w:cs="仿宋_GB2312"/>
                <w:sz w:val="24"/>
                <w:highlight w:val="none"/>
              </w:rPr>
              <w:t>评标过程中，不得去掉报价中的最高报价和最低报价。</w:t>
            </w:r>
          </w:p>
          <w:p>
            <w:pPr>
              <w:widowControl/>
              <w:shd w:val="clear" w:color="auto" w:fill="FFFFFF"/>
              <w:spacing w:after="225" w:line="315" w:lineRule="atLeast"/>
              <w:ind w:firstLine="420" w:firstLineChars="0"/>
              <w:jc w:val="left"/>
              <w:rPr>
                <w:rFonts w:ascii="仿宋" w:eastAsia="仿宋"/>
                <w:sz w:val="24"/>
                <w:highlight w:val="none"/>
              </w:rPr>
            </w:pPr>
            <w:r>
              <w:rPr>
                <w:rFonts w:hint="eastAsia" w:ascii="仿宋" w:hAnsi="仿宋" w:eastAsia="仿宋" w:cs="仿宋_GB2312"/>
                <w:sz w:val="24"/>
                <w:highlight w:val="none"/>
              </w:rPr>
              <w:t>因落实政府采购政策需要进行价格调整的，以调整后的价格计算评标基准价和投标报价。</w:t>
            </w:r>
          </w:p>
        </w:tc>
        <w:tc>
          <w:tcPr>
            <w:tcW w:w="714" w:type="dxa"/>
            <w:vAlign w:val="center"/>
          </w:tcPr>
          <w:p>
            <w:pPr>
              <w:spacing w:line="360" w:lineRule="auto"/>
              <w:ind w:firstLine="120" w:firstLineChars="50"/>
              <w:jc w:val="center"/>
              <w:outlineLvl w:val="0"/>
              <w:rPr>
                <w:rFonts w:ascii="仿宋" w:hAnsi="仿宋" w:eastAsia="仿宋" w:cs="仿宋_GB2312"/>
                <w:sz w:val="24"/>
                <w:highlight w:val="none"/>
              </w:rPr>
            </w:pPr>
            <w:r>
              <w:rPr>
                <w:rFonts w:hint="eastAsia" w:ascii="仿宋" w:hAnsi="仿宋" w:eastAsia="仿宋" w:cs="仿宋_GB2312"/>
                <w:sz w:val="24"/>
                <w:highlight w:val="none"/>
              </w:rPr>
              <w:t>10</w:t>
            </w:r>
          </w:p>
        </w:tc>
        <w:tc>
          <w:tcPr>
            <w:tcW w:w="1554"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spacing w:line="360" w:lineRule="auto"/>
        <w:ind w:firstLine="472" w:firstLineChars="196"/>
        <w:rPr>
          <w:rFonts w:ascii="仿宋_GB2312" w:hAnsi="仿宋" w:eastAsia="仿宋_GB2312" w:cs="Arial"/>
          <w:b/>
          <w:kern w:val="0"/>
          <w:sz w:val="24"/>
        </w:rPr>
      </w:pPr>
      <w:r>
        <w:rPr>
          <w:rFonts w:hint="eastAsia" w:ascii="仿宋_GB2312" w:hAnsi="仿宋" w:eastAsia="仿宋_GB2312" w:cs="Arial"/>
          <w:b/>
          <w:kern w:val="0"/>
          <w:sz w:val="24"/>
        </w:rPr>
        <w:t>电子交易平台客户端里开标一览表录入的投标报价信息与扫描上传的报价文件不一致的，以扫描上传的报价文件中的报价为准。</w:t>
      </w:r>
    </w:p>
    <w:p>
      <w:pPr>
        <w:pStyle w:val="85"/>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spacing w:line="360" w:lineRule="auto"/>
        <w:ind w:firstLine="420" w:firstLineChars="200"/>
        <w:rPr>
          <w:rFonts w:ascii="仿宋_GB2312" w:hAnsi="仿宋" w:eastAsia="仿宋_GB2312"/>
          <w:color w:val="0000FF"/>
          <w:sz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highlight w:val="yellow"/>
          <w:lang w:val="en-US" w:eastAsia="zh-CN"/>
        </w:rPr>
        <w:t>2</w:t>
      </w:r>
      <w:r>
        <w:rPr>
          <w:rFonts w:ascii="仿宋" w:hAnsi="仿宋" w:eastAsia="仿宋" w:cs="仿宋"/>
          <w:kern w:val="0"/>
          <w:szCs w:val="24"/>
          <w:highlight w:val="yellow"/>
        </w:rPr>
        <w:t>0%的扣除</w:t>
      </w:r>
      <w:r>
        <w:rPr>
          <w:rFonts w:ascii="仿宋" w:hAnsi="仿宋" w:eastAsia="仿宋" w:cs="仿宋"/>
          <w:kern w:val="0"/>
          <w:szCs w:val="24"/>
        </w:rPr>
        <w:t>，用扣除后的价格参与评审。接受大中型企业与小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olor w:val="0000FF"/>
          <w:sz w:val="24"/>
        </w:rPr>
        <w:t>30%以上的，对联合体或者大中型企业的报价给予</w:t>
      </w:r>
      <w:r>
        <w:rPr>
          <w:rFonts w:hint="eastAsia" w:ascii="仿宋_GB2312" w:hAnsi="仿宋" w:eastAsia="仿宋_GB2312"/>
          <w:color w:val="0000FF"/>
          <w:sz w:val="24"/>
          <w:lang w:val="en-US" w:eastAsia="zh-CN"/>
        </w:rPr>
        <w:t>6</w:t>
      </w:r>
      <w:r>
        <w:rPr>
          <w:rFonts w:ascii="仿宋_GB2312" w:hAnsi="仿宋" w:eastAsia="仿宋_GB2312"/>
          <w:color w:val="0000FF"/>
          <w:sz w:val="24"/>
        </w:rPr>
        <w:t>%的扣除，用扣除后的价格参加评审。组成联合体或者接受分包的小微企业与联合体内其他企业、分包企业之间存在直接控股、管理关系的，不享受价格扣除优惠政策。</w:t>
      </w:r>
    </w:p>
    <w:p>
      <w:pPr>
        <w:pStyle w:val="85"/>
        <w:spacing w:before="0"/>
        <w:ind w:firstLine="480"/>
        <w:rPr>
          <w:rFonts w:ascii="仿宋" w:hAnsi="仿宋" w:eastAsia="仿宋" w:cs="仿宋"/>
          <w:kern w:val="0"/>
          <w:szCs w:val="24"/>
        </w:rPr>
      </w:pPr>
      <w:r>
        <w:rPr>
          <w:rFonts w:ascii="仿宋" w:hAnsi="仿宋" w:eastAsia="仿宋" w:cs="仿宋"/>
          <w:kern w:val="0"/>
          <w:szCs w:val="24"/>
        </w:rPr>
        <w:t>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5"/>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hint="eastAsia"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rPr>
          <w:rFonts w:hint="eastAsia" w:ascii="仿宋_GB2312" w:hAnsi="仿宋" w:eastAsia="仿宋_GB2312" w:cs="仿宋_GB2312"/>
        </w:rPr>
      </w:pPr>
    </w:p>
    <w:p>
      <w:pPr>
        <w:pStyle w:val="25"/>
        <w:snapToGrid w:val="0"/>
        <w:spacing w:line="360" w:lineRule="auto"/>
        <w:rPr>
          <w:rFonts w:hint="eastAsia" w:ascii="仿宋_GB2312" w:hAnsi="仿宋" w:eastAsia="仿宋_GB2312" w:cs="仿宋_GB2312"/>
        </w:rPr>
      </w:pPr>
    </w:p>
    <w:p>
      <w:pPr>
        <w:pStyle w:val="25"/>
        <w:snapToGrid w:val="0"/>
        <w:spacing w:line="360" w:lineRule="auto"/>
        <w:rPr>
          <w:rFonts w:hint="eastAsia" w:ascii="仿宋_GB2312" w:hAnsi="仿宋" w:eastAsia="仿宋_GB2312" w:cs="仿宋_GB2312"/>
        </w:rPr>
      </w:pPr>
    </w:p>
    <w:bookmarkEnd w:id="26"/>
    <w:p>
      <w:pPr>
        <w:spacing w:line="360" w:lineRule="auto"/>
        <w:ind w:left="720" w:leftChars="343" w:firstLine="1084" w:firstLineChars="300"/>
        <w:outlineLvl w:val="0"/>
        <w:rPr>
          <w:rFonts w:hint="eastAsia" w:ascii="仿宋_GB2312" w:hAnsi="仿宋" w:eastAsia="仿宋_GB2312" w:cs="仿宋_GB2312"/>
          <w:b/>
          <w:sz w:val="36"/>
          <w:szCs w:val="36"/>
        </w:rPr>
      </w:pPr>
      <w:bookmarkStart w:id="392" w:name="第五部分"/>
      <w:bookmarkStart w:id="393" w:name="_Toc86217003"/>
    </w:p>
    <w:p>
      <w:pPr>
        <w:pStyle w:val="2"/>
        <w:rPr>
          <w:rFonts w:hint="eastAsia" w:ascii="仿宋_GB2312" w:hAnsi="仿宋" w:eastAsia="仿宋_GB2312" w:cs="仿宋_GB2312"/>
          <w:b/>
          <w:sz w:val="36"/>
          <w:szCs w:val="36"/>
        </w:rPr>
      </w:pPr>
    </w:p>
    <w:p>
      <w:pPr>
        <w:rPr>
          <w:rFonts w:hint="eastAsia" w:ascii="仿宋_GB2312" w:hAnsi="仿宋" w:eastAsia="仿宋_GB2312" w:cs="仿宋_GB2312"/>
          <w:b/>
          <w:sz w:val="36"/>
          <w:szCs w:val="36"/>
        </w:rPr>
      </w:pPr>
    </w:p>
    <w:p>
      <w:pPr>
        <w:pStyle w:val="2"/>
        <w:rPr>
          <w:rFonts w:hint="eastAsia" w:ascii="仿宋_GB2312" w:hAnsi="仿宋" w:eastAsia="仿宋_GB2312" w:cs="仿宋_GB2312"/>
          <w:b/>
          <w:sz w:val="36"/>
          <w:szCs w:val="36"/>
        </w:rPr>
      </w:pPr>
    </w:p>
    <w:p>
      <w:pPr>
        <w:rPr>
          <w:rFonts w:hint="eastAsia" w:ascii="仿宋_GB2312" w:hAnsi="仿宋" w:eastAsia="仿宋_GB2312" w:cs="仿宋_GB2312"/>
          <w:b/>
          <w:sz w:val="36"/>
          <w:szCs w:val="36"/>
        </w:rPr>
      </w:pPr>
    </w:p>
    <w:p>
      <w:pPr>
        <w:pStyle w:val="2"/>
        <w:rPr>
          <w:rFonts w:hint="eastAsia" w:ascii="仿宋_GB2312" w:hAnsi="仿宋" w:eastAsia="仿宋_GB2312" w:cs="仿宋_GB2312"/>
          <w:b/>
          <w:sz w:val="36"/>
          <w:szCs w:val="36"/>
        </w:rPr>
      </w:pPr>
    </w:p>
    <w:p>
      <w:pPr>
        <w:rPr>
          <w:rFonts w:hint="eastAsia" w:ascii="仿宋_GB2312" w:hAnsi="仿宋" w:eastAsia="仿宋_GB2312" w:cs="仿宋_GB2312"/>
          <w:b/>
          <w:sz w:val="36"/>
          <w:szCs w:val="36"/>
        </w:rPr>
      </w:pPr>
    </w:p>
    <w:p>
      <w:pPr>
        <w:pStyle w:val="2"/>
        <w:rPr>
          <w:rFonts w:hint="eastAsia" w:ascii="仿宋_GB2312" w:hAnsi="仿宋" w:eastAsia="仿宋_GB2312" w:cs="仿宋_GB2312"/>
          <w:b/>
          <w:sz w:val="36"/>
          <w:szCs w:val="36"/>
        </w:rPr>
      </w:pPr>
    </w:p>
    <w:p>
      <w:pPr>
        <w:rPr>
          <w:rFonts w:hint="eastAsia"/>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jc w:val="center"/>
        <w:rPr>
          <w:rFonts w:ascii="仿宋" w:hAnsi="仿宋" w:eastAsia="仿宋"/>
          <w:sz w:val="24"/>
        </w:rPr>
      </w:pPr>
      <w:r>
        <w:rPr>
          <w:rFonts w:hint="eastAsia" w:ascii="仿宋" w:hAnsi="仿宋" w:eastAsia="仿宋"/>
          <w:sz w:val="24"/>
        </w:rPr>
        <w:t>第一部分合同书</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项目名称：</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签订日期：年月日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年月日，（政府采购方式）  对  </w:t>
      </w:r>
      <w:r>
        <w:rPr>
          <w:rFonts w:hint="eastAsia" w:ascii="仿宋" w:hAnsi="仿宋" w:eastAsia="仿宋"/>
          <w:sz w:val="24"/>
          <w:u w:val="single"/>
        </w:rPr>
        <w:t xml:space="preserve"> （同前页项目名称）</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 xml:space="preserve"> 评定</w:t>
      </w:r>
      <w:r>
        <w:rPr>
          <w:rFonts w:hint="eastAsia" w:ascii="仿宋" w:hAnsi="仿宋" w:eastAsia="仿宋"/>
          <w:sz w:val="24"/>
          <w:u w:val="single"/>
        </w:rPr>
        <w:t>，   （中标供应商名称）</w:t>
      </w:r>
      <w:r>
        <w:rPr>
          <w:rFonts w:hint="eastAsia" w:ascii="仿宋" w:hAnsi="仿宋" w:eastAsia="仿宋"/>
          <w:sz w:val="24"/>
        </w:rPr>
        <w:t>为该项目中标供应商。现于中标通知书发出之日起个日内，按照招标文件确定的事项签订本合同。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根据《中华人民共和国民法典》、《中华人民共和国政府采购法》等相关法律法规之规定，按照平等、自愿、公平、诚实信用和绿色的原则，经(以下简称：甲方)和 </w:t>
      </w:r>
      <w:r>
        <w:rPr>
          <w:rFonts w:hint="eastAsia" w:ascii="仿宋" w:hAnsi="仿宋" w:eastAsia="仿宋"/>
          <w:sz w:val="24"/>
          <w:u w:val="single"/>
        </w:rPr>
        <w:t xml:space="preserve">  （中标供应商名称）  </w:t>
      </w:r>
      <w:r>
        <w:rPr>
          <w:rFonts w:hint="eastAsia" w:ascii="仿宋" w:hAnsi="仿宋" w:eastAsia="仿宋"/>
          <w:sz w:val="24"/>
        </w:rPr>
        <w:t xml:space="preserve"> (以下简称：乙方)协商一致，约定以下合同条款，以兹共同遵守、全面履行。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 合同组成部分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1.1.1 本合同及其补充合同、变更协议；</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1.1.2 中标通知书；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1.1.3 投标文件（含澄清或者说明文件）；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1.1.4 招标文件（含澄清或者修改文件）；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1.1.5 其他相关招标文件。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 标的</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1.2.1 标的名称：；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1.2.2 标的数量：；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1.2.3 标的质量：</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1.3 价款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本合同总价为：￥元（大写：元人民币）。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分项价格： </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仿宋" w:hAnsi="仿宋" w:eastAsia="仿宋"/>
                <w:kern w:val="2"/>
                <w:sz w:val="24"/>
                <w:szCs w:val="24"/>
              </w:rPr>
            </w:pPr>
            <w:r>
              <w:rPr>
                <w:rFonts w:hint="eastAsia" w:ascii="仿宋" w:hAnsi="仿宋" w:eastAsia="仿宋"/>
                <w:kern w:val="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仿宋" w:hAnsi="仿宋" w:eastAsia="仿宋"/>
                <w:kern w:val="2"/>
                <w:sz w:val="24"/>
                <w:szCs w:val="24"/>
              </w:rPr>
            </w:pPr>
            <w:r>
              <w:rPr>
                <w:rFonts w:hint="eastAsia" w:ascii="仿宋" w:hAnsi="仿宋" w:eastAsia="仿宋"/>
                <w:kern w:val="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仿宋" w:hAnsi="仿宋" w:eastAsia="仿宋"/>
                <w:kern w:val="2"/>
                <w:sz w:val="24"/>
                <w:szCs w:val="24"/>
              </w:rPr>
            </w:pPr>
            <w:r>
              <w:rPr>
                <w:rFonts w:hint="eastAsia" w:ascii="仿宋" w:hAnsi="仿宋" w:eastAsia="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r>
              <w:rPr>
                <w:rFonts w:hint="eastAsia" w:ascii="仿宋" w:hAnsi="仿宋" w:eastAsia="仿宋"/>
                <w:kern w:val="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 付款方式、时间和条件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1.4.4资金支付的方式、时间和条件详见合同专用条款。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 服务期限、地点和方式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1.5.1 服务期限：详见合同专用条款；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1.5.2 服务地点：合同专用条款；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1.5.3 服务方式：合同专用条款。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 违约责任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1.6.7违约责任合同专用条款另有约定的，从其约定。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 合同争议的解决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1.7.1 将争议提交合同专用条款仲裁委员会依申请仲裁时其现行有效的仲裁规则裁决；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1.7.2 向合同专用条款人民法院起诉。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1.8 合同生效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本合同自双方当事人盖章或者签字时生效。</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      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统一社会信用代码：统一社会信用代码或身份证号码：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住所：住所：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法定代表人或法定代表人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授权代表（签字）：                        或授权代表（签字）: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联系人：联系人：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约定送达地址：约定送达地址：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邮政编码：邮政编码：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电话:                                    电话: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传真:                                    传真:</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电子邮箱：电子邮箱：</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开户银行：                               开户银行：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开户名称：                               开户名称：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开户账号：开户账号：</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MS Mincho" w:hAnsi="MS Mincho" w:eastAsia="MS Mincho" w:cs="MS Mincho"/>
          <w:sz w:val="24"/>
        </w:rPr>
        <w:t> </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第二部分合同一般条款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 定义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 “现场”系指合同约定提供服务的地点。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2.2 技术规范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 知识产权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2.3.2具有知识产权的计算机软件等标的的知识产权归属，详见合同专用条款。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2.4履约检查和问题反馈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2.5技术资料和保密义务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2.5.2 乙方有义务妥善保管和保护由甲方提供的前款信息和资料等；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2.6质量保证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2.7延迟履行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2.8合同变更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2.9合同转让和分包</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2.9.2乙方采取分包方式履行合同的，甲方可直接向分包供应商支付款项。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2.10不可抗力</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2.10.2 因不可抗力致使不能实现合同目的的，当事人可以解除合同；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2.11税费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2.12乙方破产</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2.13合同中止、终止</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2.13.1 双方当事人不得擅自中止或者终止合同；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2.14检验和验收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2.14.3检验和验收标准、程序等具体内容以及前述验收书的效力详见合同专用条款。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2.15通知和送达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2.16合同使用的文字和适用的法律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2.16.1 合同使用汉语书就、变更和解释；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2.16.2 合同适用中华人民共和国法律。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2.17履约保证金</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2.17.1 招标文件要求乙方提交履约保证金的，乙方应按合同专用条款约定的方式，以支票、汇票、本票或者金融机构、</w:t>
      </w:r>
      <w:r>
        <w:rPr>
          <w:rFonts w:hint="eastAsia" w:ascii="仿宋" w:hAnsi="仿宋" w:eastAsia="仿宋"/>
          <w:color w:val="0000FF"/>
          <w:sz w:val="24"/>
        </w:rPr>
        <w:t>担保机构出具的保函等非现金形式，提交不超过合同金额</w:t>
      </w:r>
      <w:r>
        <w:rPr>
          <w:rFonts w:hint="eastAsia" w:ascii="仿宋" w:hAnsi="仿宋" w:eastAsia="仿宋"/>
          <w:color w:val="0000FF"/>
          <w:sz w:val="24"/>
          <w:lang w:val="en-US" w:eastAsia="zh-CN"/>
        </w:rPr>
        <w:t>1</w:t>
      </w:r>
      <w:r>
        <w:rPr>
          <w:rFonts w:hint="eastAsia" w:ascii="仿宋" w:hAnsi="仿宋" w:eastAsia="仿宋"/>
          <w:color w:val="0000FF"/>
          <w:sz w:val="24"/>
        </w:rPr>
        <w:t>%的履约保证金；鼓励和支持乙</w:t>
      </w:r>
      <w:r>
        <w:rPr>
          <w:rFonts w:hint="eastAsia" w:ascii="仿宋" w:hAnsi="仿宋" w:eastAsia="仿宋"/>
          <w:sz w:val="24"/>
        </w:rPr>
        <w:t>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hint="eastAsia" w:ascii="仿宋" w:hAnsi="仿宋" w:eastAsia="仿宋"/>
          <w:sz w:val="24"/>
        </w:rPr>
      </w:pPr>
      <w:r>
        <w:rPr>
          <w:rFonts w:hint="eastAsia" w:ascii="仿宋" w:hAnsi="仿宋" w:eastAsia="仿宋"/>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仿宋_GB2312" w:hAnsi="仿宋" w:eastAsia="仿宋_GB2312" w:cs="仿宋_GB2312"/>
          <w:color w:val="0000FF"/>
          <w:sz w:val="24"/>
          <w:szCs w:val="20"/>
        </w:rPr>
      </w:pPr>
      <w:r>
        <w:rPr>
          <w:rFonts w:hint="eastAsia" w:ascii="仿宋" w:hAnsi="仿宋" w:eastAsia="仿宋"/>
          <w:color w:val="0000FF"/>
          <w:sz w:val="24"/>
        </w:rPr>
        <w:t xml:space="preserve">2.17.4 </w:t>
      </w:r>
      <w:r>
        <w:rPr>
          <w:rFonts w:hint="eastAsia" w:ascii="仿宋_GB2312" w:hAnsi="仿宋" w:eastAsia="仿宋_GB2312" w:cs="仿宋_GB2312"/>
          <w:color w:val="0000FF"/>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0000FF"/>
          <w:sz w:val="24"/>
          <w:szCs w:val="20"/>
          <w:lang w:val="en-US" w:eastAsia="zh-CN"/>
        </w:rPr>
        <w:t>0.5</w:t>
      </w:r>
      <w:r>
        <w:rPr>
          <w:rFonts w:hint="eastAsia" w:ascii="仿宋_GB2312" w:hAnsi="仿宋" w:eastAsia="仿宋_GB2312" w:cs="仿宋_GB2312"/>
          <w:color w:val="0000FF"/>
          <w:sz w:val="24"/>
          <w:szCs w:val="20"/>
        </w:rPr>
        <w:t>%；评价总分在90分以下或者暂无评分的，收取履约保证金不得高于合同金额</w:t>
      </w:r>
      <w:r>
        <w:rPr>
          <w:rFonts w:hint="eastAsia" w:ascii="仿宋_GB2312" w:hAnsi="仿宋" w:eastAsia="仿宋_GB2312" w:cs="仿宋_GB2312"/>
          <w:color w:val="0000FF"/>
          <w:sz w:val="24"/>
          <w:szCs w:val="20"/>
          <w:lang w:val="en-US" w:eastAsia="zh-CN"/>
        </w:rPr>
        <w:t>1.0</w:t>
      </w:r>
      <w:r>
        <w:rPr>
          <w:rFonts w:hint="eastAsia" w:ascii="仿宋_GB2312" w:hAnsi="仿宋" w:eastAsia="仿宋_GB2312" w:cs="仿宋_GB2312"/>
          <w:color w:val="0000FF"/>
          <w:sz w:val="24"/>
          <w:szCs w:val="20"/>
        </w:rPr>
        <w:t>%。</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2.19合同份数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合同份数按合同专用条款规定，每份均具有同等法律效力。</w:t>
      </w:r>
    </w:p>
    <w:p>
      <w:pPr>
        <w:spacing w:line="360" w:lineRule="auto"/>
        <w:ind w:left="-420" w:leftChars="-200" w:right="-420" w:rightChars="-200" w:firstLine="480" w:firstLineChars="200"/>
        <w:rPr>
          <w:rFonts w:ascii="仿宋" w:hAnsi="仿宋" w:eastAsia="仿宋"/>
          <w:sz w:val="24"/>
        </w:rPr>
      </w:pPr>
    </w:p>
    <w:p>
      <w:pPr>
        <w:pStyle w:val="385"/>
        <w:spacing w:line="560" w:lineRule="exact"/>
        <w:ind w:firstLine="482"/>
        <w:jc w:val="center"/>
        <w:rPr>
          <w:rFonts w:ascii="仿宋" w:hAnsi="仿宋" w:eastAsia="仿宋"/>
          <w:b/>
          <w:szCs w:val="24"/>
        </w:rPr>
      </w:pPr>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sz w:val="24"/>
              </w:rPr>
            </w:pPr>
            <w:r>
              <w:rPr>
                <w:rFonts w:hint="eastAsia" w:ascii="仿宋" w:hAnsi="仿宋" w:eastAsia="仿宋"/>
                <w:sz w:val="24"/>
              </w:rPr>
              <w:t xml:space="preserve">2.8 </w:t>
            </w:r>
          </w:p>
        </w:tc>
        <w:tc>
          <w:tcPr>
            <w:tcW w:w="8275" w:type="dxa"/>
            <w:vAlign w:val="top"/>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sz w:val="24"/>
              </w:rPr>
            </w:pPr>
            <w:r>
              <w:rPr>
                <w:rFonts w:hint="eastAsia" w:ascii="仿宋" w:hAnsi="仿宋" w:eastAsia="仿宋"/>
                <w:sz w:val="24"/>
              </w:rPr>
              <w:t>2.20.1</w:t>
            </w:r>
          </w:p>
        </w:tc>
        <w:tc>
          <w:tcPr>
            <w:tcW w:w="8275" w:type="dxa"/>
            <w:vAlign w:val="top"/>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sz w:val="24"/>
        </w:rPr>
      </w:pPr>
    </w:p>
    <w:p>
      <w:pPr>
        <w:pStyle w:val="4"/>
        <w:rPr>
          <w:lang w:val="en-US"/>
        </w:rPr>
      </w:pPr>
    </w:p>
    <w:p>
      <w:pPr>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rPr>
          <w:lang w:val="en-US"/>
        </w:rPr>
      </w:pPr>
    </w:p>
    <w:p>
      <w:pPr>
        <w:pStyle w:val="2"/>
        <w:rPr>
          <w:lang w:val="en-US"/>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w:t>
      </w:r>
      <w:r>
        <w:rPr>
          <w:rFonts w:hint="eastAsia" w:ascii="仿宋_GB2312" w:hAnsi="仿宋" w:eastAsia="仿宋_GB2312" w:cs="仿宋_GB2312"/>
          <w:sz w:val="24"/>
        </w:rPr>
        <w:t>联合协议（单独投标无需提供）</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四、联合协议</w:t>
      </w: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ascii="华文仿宋" w:hAnsi="华文仿宋" w:eastAsia="华文仿宋"/>
          <w:sz w:val="24"/>
        </w:rPr>
        <w:t>%，小</w:t>
      </w:r>
      <w:r>
        <w:rPr>
          <w:rFonts w:hint="eastAsia" w:ascii="华文仿宋" w:hAnsi="华文仿宋" w:eastAsia="华文仿宋"/>
          <w:sz w:val="24"/>
        </w:rPr>
        <w:t>微企业合同金额达到</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2.1.4联合协议（如果有）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hint="eastAsia"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7"/>
        <w:spacing w:line="360" w:lineRule="auto"/>
        <w:rPr>
          <w:rFonts w:ascii="仿宋_GB2312" w:hAnsi="仿宋" w:eastAsia="仿宋_GB2312"/>
          <w:bCs/>
          <w:sz w:val="24"/>
        </w:rPr>
      </w:pPr>
      <w:r>
        <w:rPr>
          <w:rFonts w:hint="eastAsia" w:ascii="仿宋_GB2312" w:hAnsi="仿宋" w:eastAsia="仿宋_GB2312"/>
          <w:bCs/>
          <w:sz w:val="24"/>
        </w:rPr>
        <w:t>身份证件扫描件：（联合体投标的，提供联合体牵头人相关证明即可）</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8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kern w:val="0"/>
          <w:sz w:val="32"/>
          <w:szCs w:val="32"/>
          <w:lang w:val="zh-CN"/>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ascii="华文仿宋" w:hAnsi="华文仿宋" w:eastAsia="华文仿宋"/>
          <w:sz w:val="24"/>
        </w:rPr>
        <w:t>%，小</w:t>
      </w:r>
      <w:r>
        <w:rPr>
          <w:rFonts w:hint="eastAsia" w:ascii="华文仿宋" w:hAnsi="华文仿宋" w:eastAsia="华文仿宋"/>
          <w:sz w:val="24"/>
        </w:rPr>
        <w:t>微企业合同金额达到</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vAlign w:val="top"/>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报价保留至元</w:t>
      </w:r>
      <w:r>
        <w:rPr>
          <w:rFonts w:ascii="仿宋_GB2312" w:hAnsi="仿宋" w:eastAsia="仿宋_GB2312" w:cs="仿宋_GB2312"/>
          <w:b/>
          <w:kern w:val="0"/>
          <w:sz w:val="24"/>
          <w:lang w:val="zh-CN"/>
        </w:rPr>
        <w:t>)</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left="359" w:leftChars="171" w:firstLine="120" w:firstLineChars="5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食堂外包服务</w:t>
      </w:r>
      <w:r>
        <w:rPr>
          <w:rFonts w:hint="eastAsia" w:ascii="仿宋_GB2312" w:hAnsi="宋体" w:eastAsia="仿宋_GB2312"/>
          <w:sz w:val="24"/>
        </w:rPr>
        <w:t>，属于</w:t>
      </w:r>
      <w:r>
        <w:rPr>
          <w:rFonts w:hint="eastAsia" w:ascii="仿宋_GB2312" w:hAnsi="宋体" w:eastAsia="仿宋_GB2312"/>
          <w:sz w:val="24"/>
          <w:u w:val="single"/>
        </w:rPr>
        <w:t>餐饮业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w:t>
      </w:r>
    </w:p>
    <w:p>
      <w:pPr>
        <w:spacing w:line="360" w:lineRule="auto"/>
        <w:ind w:left="359" w:leftChars="171" w:firstLine="120" w:firstLineChars="50"/>
        <w:jc w:val="left"/>
        <w:rPr>
          <w:rFonts w:ascii="仿宋_GB2312" w:hAnsi="宋体" w:eastAsia="仿宋_GB2312"/>
          <w:sz w:val="24"/>
        </w:rPr>
      </w:pP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left="359" w:leftChars="171" w:firstLine="120" w:firstLineChars="5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 xml:space="preserve"> 食堂外包服务</w:t>
      </w:r>
      <w:r>
        <w:rPr>
          <w:rFonts w:hint="eastAsia" w:ascii="仿宋_GB2312" w:hAnsi="宋体" w:eastAsia="仿宋_GB2312"/>
          <w:sz w:val="24"/>
        </w:rPr>
        <w:t>，属于</w:t>
      </w:r>
      <w:r>
        <w:rPr>
          <w:rFonts w:hint="eastAsia" w:ascii="仿宋_GB2312" w:hAnsi="宋体" w:eastAsia="仿宋_GB2312"/>
          <w:sz w:val="24"/>
          <w:u w:val="single"/>
        </w:rPr>
        <w:t>餐饮业</w:t>
      </w:r>
      <w:r>
        <w:rPr>
          <w:rFonts w:ascii="仿宋_GB2312" w:hAnsi="宋体" w:eastAsia="仿宋_GB2312"/>
          <w:sz w:val="24"/>
        </w:rPr>
        <w:t xml:space="preserve">；承建（承接）企业为 </w:t>
      </w:r>
      <w:r>
        <w:rPr>
          <w:rFonts w:hint="eastAsia" w:ascii="仿宋_GB2312" w:hAnsi="宋体" w:eastAsia="仿宋_GB2312"/>
          <w:sz w:val="24"/>
          <w:u w:val="single"/>
        </w:rPr>
        <w:t>（企业名称）</w:t>
      </w:r>
      <w:r>
        <w:rPr>
          <w:rFonts w:ascii="仿宋_GB2312" w:hAnsi="宋体" w:eastAsia="仿宋_GB2312"/>
          <w:sz w:val="24"/>
        </w:rPr>
        <w:t xml:space="preserve"> ，</w:t>
      </w:r>
    </w:p>
    <w:p>
      <w:pPr>
        <w:spacing w:line="360" w:lineRule="auto"/>
        <w:ind w:left="359" w:leftChars="171" w:firstLine="120" w:firstLineChars="50"/>
        <w:jc w:val="left"/>
        <w:rPr>
          <w:rFonts w:ascii="仿宋_GB2312" w:hAnsi="宋体" w:eastAsia="仿宋_GB2312"/>
          <w:sz w:val="24"/>
        </w:rPr>
      </w:pPr>
      <w:r>
        <w:rPr>
          <w:rFonts w:ascii="仿宋_GB2312" w:hAnsi="宋体" w:eastAsia="仿宋_GB2312"/>
          <w:sz w:val="24"/>
        </w:rPr>
        <w:t>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pStyle w:val="24"/>
        <w:ind w:firstLine="0"/>
        <w:rPr>
          <w:rFonts w:ascii="华文仿宋" w:hAnsi="华文仿宋" w:eastAsia="华文仿宋" w:cs="宋体"/>
          <w:b/>
          <w:szCs w:val="21"/>
          <w:lang w:val="en-US"/>
        </w:rPr>
      </w:pPr>
      <w:r>
        <w:rPr>
          <w:rFonts w:hint="eastAsia" w:ascii="华文仿宋" w:hAnsi="华文仿宋" w:eastAsia="华文仿宋" w:cs="宋体"/>
          <w:b/>
          <w:szCs w:val="21"/>
        </w:rPr>
        <w:t>附件</w:t>
      </w:r>
      <w:r>
        <w:rPr>
          <w:rFonts w:hint="eastAsia" w:ascii="华文仿宋" w:hAnsi="华文仿宋" w:eastAsia="华文仿宋" w:cs="宋体"/>
          <w:b/>
          <w:szCs w:val="21"/>
          <w:lang w:val="en-US"/>
        </w:rPr>
        <w:t>：</w:t>
      </w:r>
      <w:r>
        <w:rPr>
          <w:rFonts w:hint="eastAsia" w:ascii="华文仿宋" w:hAnsi="华文仿宋" w:eastAsia="华文仿宋" w:cs="宋体"/>
          <w:b/>
          <w:szCs w:val="21"/>
        </w:rPr>
        <w:t>中小企业划</w:t>
      </w:r>
    </w:p>
    <w:p>
      <w:pPr>
        <w:pStyle w:val="618"/>
        <w:spacing w:line="500" w:lineRule="exact"/>
        <w:rPr>
          <w:rFonts w:ascii="华文仿宋" w:hAnsi="华文仿宋" w:eastAsia="华文仿宋" w:cs="宋体"/>
          <w:b/>
          <w:sz w:val="28"/>
          <w:szCs w:val="28"/>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ascii="华文仿宋" w:hAnsi="华文仿宋" w:eastAsia="华文仿宋" w:cs="宋体"/>
          <w:b/>
          <w:sz w:val="28"/>
          <w:szCs w:val="28"/>
        </w:rPr>
      </w:pPr>
    </w:p>
    <w:p>
      <w:pPr>
        <w:pStyle w:val="618"/>
        <w:spacing w:line="500" w:lineRule="exact"/>
        <w:jc w:val="center"/>
        <w:rPr>
          <w:rFonts w:ascii="华文仿宋" w:hAnsi="华文仿宋" w:eastAsia="华文仿宋" w:cs="宋体"/>
          <w:b/>
          <w:sz w:val="28"/>
          <w:szCs w:val="28"/>
        </w:rPr>
      </w:pPr>
      <w:r>
        <w:rPr>
          <w:rFonts w:hint="eastAsia" w:ascii="华文仿宋" w:hAnsi="华文仿宋" w:eastAsia="华文仿宋" w:cs="宋体"/>
          <w:b/>
          <w:sz w:val="28"/>
          <w:szCs w:val="28"/>
        </w:rPr>
        <w:t>中小企业划型标准规定</w:t>
      </w:r>
    </w:p>
    <w:p>
      <w:pPr>
        <w:pStyle w:val="618"/>
        <w:adjustRightInd w:val="0"/>
        <w:spacing w:line="360" w:lineRule="auto"/>
        <w:ind w:firstLine="444" w:firstLineChars="200"/>
        <w:jc w:val="both"/>
        <w:rPr>
          <w:rFonts w:ascii="华文仿宋" w:hAnsi="华文仿宋" w:eastAsia="华文仿宋" w:cs="宋体"/>
          <w:spacing w:val="6"/>
          <w:szCs w:val="21"/>
        </w:rPr>
      </w:pP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fldChar w:fldCharType="end"/>
      </w:r>
      <w:r>
        <w:rPr>
          <w:rFonts w:hint="eastAsia" w:ascii="华文仿宋" w:hAnsi="华文仿宋" w:eastAsia="华文仿宋" w:cs="宋体"/>
          <w:spacing w:val="6"/>
          <w:szCs w:val="21"/>
        </w:rPr>
        <w:t>》（</w:t>
      </w:r>
      <w:r>
        <w:fldChar w:fldCharType="begin"/>
      </w:r>
      <w:r>
        <w:instrText xml:space="preserve">HYPERLINK "https://www.shui5.cn/article/47/26142.html" </w:instrText>
      </w:r>
      <w:r>
        <w:fldChar w:fldCharType="separate"/>
      </w:r>
      <w:r>
        <w:rPr>
          <w:rFonts w:hint="eastAsia" w:ascii="华文仿宋" w:hAnsi="华文仿宋" w:eastAsia="华文仿宋" w:cs="宋体"/>
          <w:spacing w:val="6"/>
          <w:szCs w:val="21"/>
        </w:rPr>
        <w:t>国发〔2009〕36号</w:t>
      </w:r>
      <w:r>
        <w:fldChar w:fldCharType="end"/>
      </w:r>
      <w:r>
        <w:rPr>
          <w:rFonts w:hint="eastAsia" w:ascii="华文仿宋" w:hAnsi="华文仿宋" w:eastAsia="华文仿宋" w:cs="宋体"/>
          <w:spacing w:val="6"/>
          <w:szCs w:val="21"/>
        </w:rPr>
        <w:t>)，制定本规定。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四、各行业划型标准为：</w:t>
      </w:r>
      <w:r>
        <w:rPr>
          <w:rFonts w:hint="eastAsia" w:ascii="华文仿宋" w:hAnsi="华文仿宋" w:eastAsia="华文仿宋" w:cs="宋体"/>
          <w:spacing w:val="6"/>
          <w:szCs w:val="21"/>
        </w:rPr>
        <w:br w:type="textWrapping"/>
      </w: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ascii="华文仿宋" w:hAnsi="华文仿宋" w:eastAsia="华文仿宋" w:cs="宋体"/>
          <w:b/>
          <w:szCs w:val="21"/>
        </w:rPr>
      </w:pPr>
      <w:r>
        <w:rPr>
          <w:rFonts w:hint="eastAsia" w:ascii="华文仿宋" w:hAnsi="华文仿宋" w:eastAsia="华文仿宋" w:cs="宋体"/>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HYPERLINK "https://www.shui5.cn/article/df/24263.html" </w:instrText>
      </w:r>
      <w:r>
        <w:fldChar w:fldCharType="separate"/>
      </w:r>
      <w:r>
        <w:rPr>
          <w:rFonts w:hint="eastAsia" w:ascii="华文仿宋" w:hAnsi="华文仿宋" w:eastAsia="华文仿宋" w:cs="宋体"/>
          <w:spacing w:val="6"/>
          <w:szCs w:val="21"/>
        </w:rPr>
        <w:t>中小企业标准暂行规定</w:t>
      </w:r>
      <w:r>
        <w:fldChar w:fldCharType="end"/>
      </w:r>
      <w:r>
        <w:rPr>
          <w:rFonts w:hint="eastAsia" w:ascii="华文仿宋" w:hAnsi="华文仿宋" w:eastAsia="华文仿宋" w:cs="宋体"/>
          <w:spacing w:val="6"/>
          <w:szCs w:val="21"/>
        </w:rPr>
        <w:t>》</w:t>
      </w:r>
      <w:r>
        <w:fldChar w:fldCharType="begin"/>
      </w:r>
      <w:r>
        <w:instrText xml:space="preserve">HYPERLINK "https://www.shui5.cn/article/df/24263.html" </w:instrText>
      </w:r>
      <w:r>
        <w:fldChar w:fldCharType="separate"/>
      </w:r>
      <w:r>
        <w:rPr>
          <w:rFonts w:hint="eastAsia" w:ascii="华文仿宋" w:hAnsi="华文仿宋" w:eastAsia="华文仿宋" w:cs="宋体"/>
          <w:spacing w:val="6"/>
          <w:szCs w:val="21"/>
        </w:rPr>
        <w:t>国经贸中小企[2003]143号</w:t>
      </w:r>
      <w:r>
        <w:fldChar w:fldCharType="end"/>
      </w:r>
      <w:r>
        <w:rPr>
          <w:rFonts w:hint="eastAsia" w:ascii="华文仿宋" w:hAnsi="华文仿宋" w:eastAsia="华文仿宋" w:cs="宋体"/>
          <w:spacing w:val="6"/>
          <w:szCs w:val="21"/>
        </w:rPr>
        <w:t>同时废止。</w:t>
      </w: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bookmarkStart w:id="397" w:name="_Toc91899912"/>
    <w:bookmarkStart w:id="398" w:name="_Toc36110187"/>
    <w:bookmarkStart w:id="399" w:name="_Toc164085800"/>
    <w:bookmarkStart w:id="400" w:name="_Toc13184514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50FF3"/>
    <w:multiLevelType w:val="multilevel"/>
    <w:tmpl w:val="0A550F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M2U2YzAyOGRlOGE5YTdmY2NkOGU3MWVmNDIwOT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91F"/>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A28"/>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F18"/>
    <w:rsid w:val="0026119C"/>
    <w:rsid w:val="00261AFE"/>
    <w:rsid w:val="0026212A"/>
    <w:rsid w:val="002621D7"/>
    <w:rsid w:val="00262996"/>
    <w:rsid w:val="00263044"/>
    <w:rsid w:val="00263759"/>
    <w:rsid w:val="002638BD"/>
    <w:rsid w:val="0026470B"/>
    <w:rsid w:val="0026486D"/>
    <w:rsid w:val="00264C4B"/>
    <w:rsid w:val="00264ED0"/>
    <w:rsid w:val="00265346"/>
    <w:rsid w:val="00265A4C"/>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923"/>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39"/>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07E"/>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DF3"/>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E91"/>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4BB"/>
    <w:rsid w:val="00421762"/>
    <w:rsid w:val="00421AA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5AF"/>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06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DF2"/>
    <w:rsid w:val="0084357B"/>
    <w:rsid w:val="008465B4"/>
    <w:rsid w:val="00846D25"/>
    <w:rsid w:val="00850013"/>
    <w:rsid w:val="008500DD"/>
    <w:rsid w:val="00850A0A"/>
    <w:rsid w:val="00850A94"/>
    <w:rsid w:val="00851E96"/>
    <w:rsid w:val="00851F1C"/>
    <w:rsid w:val="00852FA5"/>
    <w:rsid w:val="00853F7D"/>
    <w:rsid w:val="008547A5"/>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8DC"/>
    <w:rsid w:val="008A1932"/>
    <w:rsid w:val="008A21D9"/>
    <w:rsid w:val="008A232D"/>
    <w:rsid w:val="008A3182"/>
    <w:rsid w:val="008A3C76"/>
    <w:rsid w:val="008A3D54"/>
    <w:rsid w:val="008A3E10"/>
    <w:rsid w:val="008A411C"/>
    <w:rsid w:val="008A4630"/>
    <w:rsid w:val="008A47CE"/>
    <w:rsid w:val="008A4DFA"/>
    <w:rsid w:val="008A5F2F"/>
    <w:rsid w:val="008A6BAE"/>
    <w:rsid w:val="008A6CE8"/>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4A7"/>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C52"/>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CA3"/>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81C"/>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91F"/>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A6C"/>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D8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04"/>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8C9"/>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BC"/>
    <w:rsid w:val="00D85FDE"/>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7B0"/>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629"/>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850"/>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DA2"/>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B6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5D6"/>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7434F"/>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3F6780E"/>
    <w:rsid w:val="04076900"/>
    <w:rsid w:val="041A5A3B"/>
    <w:rsid w:val="042311BA"/>
    <w:rsid w:val="042B157A"/>
    <w:rsid w:val="048F763B"/>
    <w:rsid w:val="049F330E"/>
    <w:rsid w:val="04AA775C"/>
    <w:rsid w:val="04AF1889"/>
    <w:rsid w:val="04F66F48"/>
    <w:rsid w:val="05251E14"/>
    <w:rsid w:val="059F190A"/>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06FD0"/>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639E7"/>
    <w:rsid w:val="0E5604B2"/>
    <w:rsid w:val="0E6D5D79"/>
    <w:rsid w:val="0E9D0089"/>
    <w:rsid w:val="0EB803EE"/>
    <w:rsid w:val="0EC3241C"/>
    <w:rsid w:val="0EF94D4B"/>
    <w:rsid w:val="0F2E3D3A"/>
    <w:rsid w:val="0F4958DC"/>
    <w:rsid w:val="0F515DF7"/>
    <w:rsid w:val="0F596BA8"/>
    <w:rsid w:val="0F6248D2"/>
    <w:rsid w:val="0F693536"/>
    <w:rsid w:val="0F7B0511"/>
    <w:rsid w:val="0F7B76D9"/>
    <w:rsid w:val="0F816ACD"/>
    <w:rsid w:val="0F9832DB"/>
    <w:rsid w:val="0FBF3FD2"/>
    <w:rsid w:val="0FBF7FF3"/>
    <w:rsid w:val="0FED59A3"/>
    <w:rsid w:val="10646583"/>
    <w:rsid w:val="107D4B15"/>
    <w:rsid w:val="108A3C80"/>
    <w:rsid w:val="10C26171"/>
    <w:rsid w:val="10F33360"/>
    <w:rsid w:val="10FC16EA"/>
    <w:rsid w:val="110F1D40"/>
    <w:rsid w:val="11266F33"/>
    <w:rsid w:val="112F78F5"/>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DC1FB6"/>
    <w:rsid w:val="141008D8"/>
    <w:rsid w:val="14125FE6"/>
    <w:rsid w:val="146D271E"/>
    <w:rsid w:val="14982588"/>
    <w:rsid w:val="149A5AD9"/>
    <w:rsid w:val="14A7619D"/>
    <w:rsid w:val="150536C3"/>
    <w:rsid w:val="150C1963"/>
    <w:rsid w:val="151447A0"/>
    <w:rsid w:val="154A6454"/>
    <w:rsid w:val="15762120"/>
    <w:rsid w:val="16396C68"/>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E59A7"/>
    <w:rsid w:val="1B713184"/>
    <w:rsid w:val="1BA209CF"/>
    <w:rsid w:val="1BB4777D"/>
    <w:rsid w:val="1BD75AB8"/>
    <w:rsid w:val="1C0459C2"/>
    <w:rsid w:val="1C1B3B4A"/>
    <w:rsid w:val="1C88086E"/>
    <w:rsid w:val="1D266CE1"/>
    <w:rsid w:val="1D3963AF"/>
    <w:rsid w:val="1D6A673C"/>
    <w:rsid w:val="1D9247AE"/>
    <w:rsid w:val="1DB567EC"/>
    <w:rsid w:val="1DF51A98"/>
    <w:rsid w:val="1DFC5767"/>
    <w:rsid w:val="1E3D060F"/>
    <w:rsid w:val="1E3F7D2E"/>
    <w:rsid w:val="1E4134E4"/>
    <w:rsid w:val="1E4924E9"/>
    <w:rsid w:val="1E5062B3"/>
    <w:rsid w:val="1E523514"/>
    <w:rsid w:val="1E714A66"/>
    <w:rsid w:val="1E802593"/>
    <w:rsid w:val="1EA703CC"/>
    <w:rsid w:val="1EB7330C"/>
    <w:rsid w:val="1F0A0FF3"/>
    <w:rsid w:val="1F491900"/>
    <w:rsid w:val="1F5771FF"/>
    <w:rsid w:val="1FE868A9"/>
    <w:rsid w:val="20034907"/>
    <w:rsid w:val="20173E4B"/>
    <w:rsid w:val="204E48BC"/>
    <w:rsid w:val="205B0707"/>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A0963"/>
    <w:rsid w:val="2B437463"/>
    <w:rsid w:val="2B7807EE"/>
    <w:rsid w:val="2BBF00EC"/>
    <w:rsid w:val="2BC37CFD"/>
    <w:rsid w:val="2BD5237F"/>
    <w:rsid w:val="2BE536CE"/>
    <w:rsid w:val="2BE758D9"/>
    <w:rsid w:val="2C09049E"/>
    <w:rsid w:val="2C0A653C"/>
    <w:rsid w:val="2C191F85"/>
    <w:rsid w:val="2C2E2107"/>
    <w:rsid w:val="2CE82D6F"/>
    <w:rsid w:val="2D343236"/>
    <w:rsid w:val="2DD15014"/>
    <w:rsid w:val="2DF72DE4"/>
    <w:rsid w:val="2E0220AF"/>
    <w:rsid w:val="2E4B082A"/>
    <w:rsid w:val="2E5D4E86"/>
    <w:rsid w:val="2E5D790B"/>
    <w:rsid w:val="2E9A3C18"/>
    <w:rsid w:val="2EBB0FEE"/>
    <w:rsid w:val="2EC63002"/>
    <w:rsid w:val="2ED41E6A"/>
    <w:rsid w:val="2F0A6B38"/>
    <w:rsid w:val="2F946CCB"/>
    <w:rsid w:val="2FD25781"/>
    <w:rsid w:val="2FD85036"/>
    <w:rsid w:val="2FFD7934"/>
    <w:rsid w:val="30733ACD"/>
    <w:rsid w:val="308C3862"/>
    <w:rsid w:val="309379D8"/>
    <w:rsid w:val="30A270F7"/>
    <w:rsid w:val="30DF1478"/>
    <w:rsid w:val="30EC586F"/>
    <w:rsid w:val="319C6071"/>
    <w:rsid w:val="31AC537E"/>
    <w:rsid w:val="31E3679B"/>
    <w:rsid w:val="31E732FD"/>
    <w:rsid w:val="32381966"/>
    <w:rsid w:val="32517576"/>
    <w:rsid w:val="32BE5C2C"/>
    <w:rsid w:val="32FB6478"/>
    <w:rsid w:val="33263B3F"/>
    <w:rsid w:val="336963EB"/>
    <w:rsid w:val="337203E9"/>
    <w:rsid w:val="33816EEB"/>
    <w:rsid w:val="33EB55CD"/>
    <w:rsid w:val="33EC4C02"/>
    <w:rsid w:val="340D2360"/>
    <w:rsid w:val="3410665D"/>
    <w:rsid w:val="34211214"/>
    <w:rsid w:val="342E63AB"/>
    <w:rsid w:val="34950E68"/>
    <w:rsid w:val="34986E94"/>
    <w:rsid w:val="34AF62C9"/>
    <w:rsid w:val="34B011C4"/>
    <w:rsid w:val="34C70256"/>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33064"/>
    <w:rsid w:val="37EE7094"/>
    <w:rsid w:val="38296C89"/>
    <w:rsid w:val="383002EB"/>
    <w:rsid w:val="38586797"/>
    <w:rsid w:val="38BC0149"/>
    <w:rsid w:val="38D87D1C"/>
    <w:rsid w:val="38E057F5"/>
    <w:rsid w:val="39636459"/>
    <w:rsid w:val="396B7F6C"/>
    <w:rsid w:val="39B417A9"/>
    <w:rsid w:val="39EB4452"/>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9183E"/>
    <w:rsid w:val="4019356B"/>
    <w:rsid w:val="40503261"/>
    <w:rsid w:val="40592157"/>
    <w:rsid w:val="406E1CAE"/>
    <w:rsid w:val="40A0133A"/>
    <w:rsid w:val="40C31A53"/>
    <w:rsid w:val="40FF545D"/>
    <w:rsid w:val="410067C8"/>
    <w:rsid w:val="418F0D2A"/>
    <w:rsid w:val="41C56E80"/>
    <w:rsid w:val="41D01505"/>
    <w:rsid w:val="42100EF9"/>
    <w:rsid w:val="42474939"/>
    <w:rsid w:val="424C3C57"/>
    <w:rsid w:val="42613FF3"/>
    <w:rsid w:val="42660D96"/>
    <w:rsid w:val="428667D2"/>
    <w:rsid w:val="42CD1CE0"/>
    <w:rsid w:val="42E1381E"/>
    <w:rsid w:val="42ED6459"/>
    <w:rsid w:val="42FE58DD"/>
    <w:rsid w:val="43174B3D"/>
    <w:rsid w:val="434B790E"/>
    <w:rsid w:val="43556011"/>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01BAC"/>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B70638"/>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94114"/>
    <w:rsid w:val="4F911C54"/>
    <w:rsid w:val="4FE625E0"/>
    <w:rsid w:val="5021480F"/>
    <w:rsid w:val="50962ECB"/>
    <w:rsid w:val="50A42E38"/>
    <w:rsid w:val="50A4577F"/>
    <w:rsid w:val="50B73D1F"/>
    <w:rsid w:val="50BD5BC9"/>
    <w:rsid w:val="50C11EEE"/>
    <w:rsid w:val="50E97CFC"/>
    <w:rsid w:val="50FA4028"/>
    <w:rsid w:val="50FB0FC7"/>
    <w:rsid w:val="510D65B7"/>
    <w:rsid w:val="511157AB"/>
    <w:rsid w:val="5142540C"/>
    <w:rsid w:val="518832C8"/>
    <w:rsid w:val="51A0432A"/>
    <w:rsid w:val="51A86090"/>
    <w:rsid w:val="51B7396D"/>
    <w:rsid w:val="51D75590"/>
    <w:rsid w:val="522E4CC3"/>
    <w:rsid w:val="5244713B"/>
    <w:rsid w:val="52615633"/>
    <w:rsid w:val="52977FD4"/>
    <w:rsid w:val="52A25790"/>
    <w:rsid w:val="52A96B6F"/>
    <w:rsid w:val="52B45975"/>
    <w:rsid w:val="52D94AA4"/>
    <w:rsid w:val="52EA3A62"/>
    <w:rsid w:val="52F50BB8"/>
    <w:rsid w:val="53097272"/>
    <w:rsid w:val="53544462"/>
    <w:rsid w:val="5397158E"/>
    <w:rsid w:val="54013861"/>
    <w:rsid w:val="542425E2"/>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7025B1"/>
    <w:rsid w:val="5B773940"/>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A171DD"/>
    <w:rsid w:val="5FCC5339"/>
    <w:rsid w:val="5FE34A5B"/>
    <w:rsid w:val="5FFE1E36"/>
    <w:rsid w:val="60232584"/>
    <w:rsid w:val="607330CE"/>
    <w:rsid w:val="60825176"/>
    <w:rsid w:val="609F2AC4"/>
    <w:rsid w:val="60FA2EE8"/>
    <w:rsid w:val="61054A27"/>
    <w:rsid w:val="610A52BC"/>
    <w:rsid w:val="611D2366"/>
    <w:rsid w:val="61421856"/>
    <w:rsid w:val="6146003C"/>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4F5459"/>
    <w:rsid w:val="648B6EEF"/>
    <w:rsid w:val="64C158BF"/>
    <w:rsid w:val="64CE2EAA"/>
    <w:rsid w:val="653C3090"/>
    <w:rsid w:val="65854376"/>
    <w:rsid w:val="658767BE"/>
    <w:rsid w:val="65892531"/>
    <w:rsid w:val="65CE5BC0"/>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6D2352"/>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C147B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0A4112"/>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387FCF"/>
    <w:rsid w:val="77472422"/>
    <w:rsid w:val="777F31F2"/>
    <w:rsid w:val="77D1700D"/>
    <w:rsid w:val="77EC04CC"/>
    <w:rsid w:val="78775729"/>
    <w:rsid w:val="78A42DB0"/>
    <w:rsid w:val="78A656AB"/>
    <w:rsid w:val="78B2245C"/>
    <w:rsid w:val="78D44C5A"/>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0188E"/>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6">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5"/>
    <w:qFormat/>
    <w:uiPriority w:val="0"/>
    <w:pPr>
      <w:shd w:val="clear" w:color="auto" w:fill="000080"/>
    </w:pPr>
  </w:style>
  <w:style w:type="paragraph" w:styleId="19">
    <w:name w:val="annotation text"/>
    <w:basedOn w:val="1"/>
    <w:link w:val="853"/>
    <w:qFormat/>
    <w:uiPriority w:val="99"/>
    <w:pPr>
      <w:jc w:val="left"/>
    </w:pPr>
  </w:style>
  <w:style w:type="paragraph" w:styleId="20">
    <w:name w:val="Salutation"/>
    <w:basedOn w:val="1"/>
    <w:next w:val="1"/>
    <w:link w:val="813"/>
    <w:qFormat/>
    <w:uiPriority w:val="0"/>
    <w:rPr>
      <w:rFonts w:ascii="仿宋_GB2312" w:eastAsia="仿宋_GB2312"/>
      <w:sz w:val="28"/>
      <w:szCs w:val="20"/>
    </w:rPr>
  </w:style>
  <w:style w:type="paragraph" w:styleId="21">
    <w:name w:val="Body Text 3"/>
    <w:basedOn w:val="1"/>
    <w:link w:val="84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2"/>
    <w:qFormat/>
    <w:uiPriority w:val="0"/>
    <w:pPr>
      <w:ind w:firstLine="420"/>
    </w:pPr>
    <w:rPr>
      <w:rFonts w:hAnsi="Calibri" w:cs="Times New Roman"/>
      <w:szCs w:val="20"/>
    </w:rPr>
  </w:style>
  <w:style w:type="paragraph" w:styleId="25">
    <w:name w:val="Body Text Indent"/>
    <w:basedOn w:val="1"/>
    <w:link w:val="781"/>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7"/>
    <w:qFormat/>
    <w:uiPriority w:val="0"/>
    <w:pPr>
      <w:ind w:left="100" w:leftChars="2500"/>
    </w:pPr>
    <w:rPr>
      <w:rFonts w:ascii="宋体"/>
      <w:sz w:val="24"/>
      <w:szCs w:val="21"/>
      <w:lang w:val="zh-CN"/>
    </w:rPr>
  </w:style>
  <w:style w:type="paragraph" w:styleId="37">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8">
    <w:name w:val="endnote text"/>
    <w:basedOn w:val="1"/>
    <w:link w:val="938"/>
    <w:qFormat/>
    <w:uiPriority w:val="0"/>
    <w:rPr>
      <w:lang w:val="zh-CN"/>
    </w:rPr>
  </w:style>
  <w:style w:type="paragraph" w:styleId="39">
    <w:name w:val="Balloon Text"/>
    <w:basedOn w:val="1"/>
    <w:link w:val="714"/>
    <w:qFormat/>
    <w:uiPriority w:val="0"/>
    <w:rPr>
      <w:sz w:val="18"/>
      <w:szCs w:val="18"/>
    </w:rPr>
  </w:style>
  <w:style w:type="paragraph" w:styleId="40">
    <w:name w:val="footer"/>
    <w:basedOn w:val="1"/>
    <w:link w:val="889"/>
    <w:qFormat/>
    <w:uiPriority w:val="99"/>
    <w:pPr>
      <w:tabs>
        <w:tab w:val="center" w:pos="4153"/>
        <w:tab w:val="right" w:pos="8306"/>
      </w:tabs>
      <w:snapToGrid w:val="0"/>
      <w:jc w:val="left"/>
    </w:pPr>
    <w:rPr>
      <w:sz w:val="18"/>
      <w:szCs w:val="18"/>
    </w:rPr>
  </w:style>
  <w:style w:type="paragraph" w:styleId="41">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823"/>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7"/>
    <w:qFormat/>
    <w:uiPriority w:val="0"/>
    <w:pPr>
      <w:spacing w:after="120" w:line="480" w:lineRule="auto"/>
    </w:pPr>
  </w:style>
  <w:style w:type="paragraph" w:styleId="57">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0"/>
    <w:qFormat/>
    <w:uiPriority w:val="0"/>
    <w:rPr>
      <w:b/>
      <w:bCs/>
    </w:rPr>
  </w:style>
  <w:style w:type="paragraph" w:styleId="61">
    <w:name w:val="Body Text First Indent 2"/>
    <w:basedOn w:val="25"/>
    <w:link w:val="65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uiPriority w:val="0"/>
    <w:rPr>
      <w:rFonts w:ascii="Courier New" w:hAnsi="Courier New"/>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2"/>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2"/>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99"/>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6"/>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2"/>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outlineLvl w:val="5"/>
    </w:pPr>
  </w:style>
  <w:style w:type="paragraph" w:customStyle="1" w:styleId="157">
    <w:name w:val="5级标题"/>
    <w:basedOn w:val="158"/>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5"/>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2"/>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6"/>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2"/>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2"/>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7"/>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0"/>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1"/>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7"/>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6"/>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39"/>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6"/>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8"/>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0"/>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6"/>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59"/>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0"/>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7"/>
    <w:qFormat/>
    <w:uiPriority w:val="0"/>
    <w:rPr>
      <w:rFonts w:ascii="黑体" w:hAnsi="Courier New" w:eastAsia="黑体"/>
    </w:rPr>
  </w:style>
  <w:style w:type="character" w:customStyle="1" w:styleId="817">
    <w:name w:val="正文文本 2 Char1"/>
    <w:link w:val="56"/>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7"/>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0"/>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99"/>
    <w:rPr>
      <w:rFonts w:ascii="宋体" w:hAnsi="Courier New"/>
    </w:rPr>
  </w:style>
  <w:style w:type="character" w:customStyle="1" w:styleId="832">
    <w:name w:val="正文首行缩进 Char"/>
    <w:link w:val="24"/>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2"/>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1"/>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qFormat/>
    <w:uiPriority w:val="0"/>
    <w:rPr>
      <w:kern w:val="2"/>
      <w:sz w:val="21"/>
      <w:szCs w:val="24"/>
    </w:rPr>
  </w:style>
  <w:style w:type="character" w:customStyle="1" w:styleId="854">
    <w:name w:val="签名 Char"/>
    <w:link w:val="42"/>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3"/>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0"/>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1"/>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8"/>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40877</Words>
  <Characters>43236</Characters>
  <Lines>328</Lines>
  <Paragraphs>92</Paragraphs>
  <TotalTime>3</TotalTime>
  <ScaleCrop>false</ScaleCrop>
  <LinksUpToDate>false</LinksUpToDate>
  <CharactersWithSpaces>44403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                   ^_^</cp:lastModifiedBy>
  <cp:lastPrinted>2021-12-27T03:06:00Z</cp:lastPrinted>
  <dcterms:modified xsi:type="dcterms:W3CDTF">2022-12-02T02:54:13Z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7A91D7D447074B8A919DE32D71DCA898</vt:lpwstr>
  </property>
</Properties>
</file>