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color w:val="auto"/>
          <w:sz w:val="48"/>
          <w:szCs w:val="48"/>
        </w:rPr>
      </w:pPr>
    </w:p>
    <w:p>
      <w:pPr>
        <w:adjustRightInd/>
        <w:spacing w:line="360" w:lineRule="auto"/>
        <w:jc w:val="center"/>
        <w:rPr>
          <w:rFonts w:hint="eastAsia" w:ascii="仿宋" w:hAnsi="仿宋" w:eastAsia="仿宋" w:cs="仿宋_GB2312"/>
          <w:b/>
          <w:bCs/>
          <w:color w:val="auto"/>
          <w:sz w:val="48"/>
          <w:szCs w:val="48"/>
          <w:lang w:eastAsia="zh-CN"/>
        </w:rPr>
      </w:pPr>
      <w:r>
        <w:rPr>
          <w:rFonts w:hint="eastAsia" w:ascii="仿宋" w:hAnsi="仿宋" w:eastAsia="仿宋" w:cs="仿宋_GB2312"/>
          <w:b/>
          <w:bCs/>
          <w:color w:val="auto"/>
          <w:sz w:val="48"/>
          <w:szCs w:val="48"/>
          <w:lang w:eastAsia="zh-CN"/>
        </w:rPr>
        <w:t>东湖街道垃圾分类督导项目</w:t>
      </w:r>
    </w:p>
    <w:p>
      <w:pPr>
        <w:adjustRightInd/>
        <w:spacing w:line="360" w:lineRule="auto"/>
        <w:jc w:val="center"/>
        <w:rPr>
          <w:rFonts w:ascii="仿宋" w:hAnsi="仿宋" w:eastAsia="仿宋" w:cs="仿宋_GB2312"/>
          <w:b/>
          <w:bCs/>
          <w:color w:val="auto"/>
          <w:sz w:val="48"/>
          <w:szCs w:val="48"/>
        </w:rPr>
      </w:pPr>
      <w:r>
        <w:rPr>
          <w:rFonts w:hint="eastAsia" w:ascii="仿宋" w:hAnsi="仿宋" w:eastAsia="仿宋" w:cs="仿宋_GB2312"/>
          <w:b/>
          <w:bCs/>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2"/>
          <w:szCs w:val="32"/>
        </w:rPr>
        <w:t>编号</w:t>
      </w:r>
      <w:r>
        <w:rPr>
          <w:rFonts w:ascii="仿宋" w:hAnsi="仿宋" w:eastAsia="仿宋" w:cs="仿宋_GB2312"/>
          <w:color w:val="auto"/>
          <w:sz w:val="32"/>
          <w:szCs w:val="32"/>
        </w:rPr>
        <w:t>:</w:t>
      </w:r>
      <w:r>
        <w:rPr>
          <w:rFonts w:hint="eastAsia" w:ascii="仿宋" w:hAnsi="仿宋" w:eastAsia="仿宋" w:cs="仿宋_GB2312"/>
          <w:color w:val="auto"/>
          <w:sz w:val="32"/>
          <w:szCs w:val="32"/>
          <w:lang w:val="en-US" w:eastAsia="zh-CN"/>
        </w:rPr>
        <w:t>ZDZFCG2022-001</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仿宋" w:hAnsi="仿宋" w:eastAsia="仿宋" w:cs="仿宋_GB2312"/>
          <w:color w:val="auto"/>
          <w:sz w:val="32"/>
          <w:szCs w:val="32"/>
          <w:lang w:eastAsia="zh-CN"/>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：杭州市临平区人民政府东湖街道办事处</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：杭州纵达工程咨询有限公司</w:t>
      </w:r>
    </w:p>
    <w:p>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十五</w:t>
      </w:r>
      <w:r>
        <w:rPr>
          <w:rFonts w:hint="eastAsia" w:ascii="仿宋_GB2312" w:hAnsi="仿宋_GB2312" w:eastAsia="仿宋_GB2312" w:cs="仿宋_GB2312"/>
          <w:b w:val="0"/>
          <w:bCs w:val="0"/>
          <w:color w:val="auto"/>
          <w:sz w:val="32"/>
          <w:szCs w:val="32"/>
        </w:rPr>
        <w:t>日</w:t>
      </w: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2" w:name="第一部分"/>
      <w:r>
        <w:rPr>
          <w:rFonts w:ascii="仿宋" w:hAnsi="仿宋" w:eastAsia="仿宋" w:cs="仿宋_GB2312"/>
          <w:b/>
          <w:color w:val="auto"/>
          <w:sz w:val="36"/>
          <w:szCs w:val="36"/>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lang w:val="en-US" w:eastAsia="zh-CN"/>
        </w:rPr>
        <w:t>东湖街道垃圾分类督导项目</w:t>
      </w:r>
      <w:r>
        <w:rPr>
          <w:rFonts w:hint="eastAsia" w:ascii="仿宋_GB2312" w:hAnsi="仿宋" w:eastAsia="仿宋_GB2312"/>
          <w:color w:val="auto"/>
          <w:sz w:val="24"/>
        </w:rPr>
        <w:t>的潜在投标人应在政采云平台（</w:t>
      </w:r>
      <w:r>
        <w:rPr>
          <w:color w:val="auto"/>
        </w:rPr>
        <w:fldChar w:fldCharType="begin"/>
      </w:r>
      <w:r>
        <w:rPr>
          <w:color w:val="auto"/>
        </w:rPr>
        <w:instrText xml:space="preserve">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color w:val="auto"/>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bookmarkStart w:id="523" w:name="_GoBack"/>
      <w:bookmarkEnd w:id="523"/>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b/>
          <w:color w:val="auto"/>
          <w:sz w:val="24"/>
          <w:lang w:eastAsia="zh-CN"/>
        </w:rPr>
        <w:t>Z</w:t>
      </w:r>
      <w:r>
        <w:rPr>
          <w:rFonts w:hint="eastAsia" w:ascii="仿宋_GB2312" w:hAnsi="仿宋" w:eastAsia="仿宋_GB2312"/>
          <w:b/>
          <w:color w:val="auto"/>
          <w:sz w:val="24"/>
          <w:lang w:val="en-US" w:eastAsia="zh-CN"/>
        </w:rPr>
        <w:t>D</w:t>
      </w:r>
      <w:r>
        <w:rPr>
          <w:rFonts w:hint="eastAsia" w:ascii="仿宋_GB2312" w:hAnsi="仿宋" w:eastAsia="仿宋_GB2312"/>
          <w:b/>
          <w:color w:val="auto"/>
          <w:sz w:val="24"/>
          <w:lang w:eastAsia="zh-CN"/>
        </w:rPr>
        <w:t>ZFCG2022-001</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项目名称：</w:t>
      </w:r>
      <w:r>
        <w:rPr>
          <w:rFonts w:hint="eastAsia" w:ascii="仿宋_GB2312" w:hAnsi="仿宋" w:eastAsia="仿宋_GB2312"/>
          <w:b/>
          <w:color w:val="auto"/>
          <w:sz w:val="24"/>
          <w:lang w:eastAsia="zh-CN"/>
        </w:rPr>
        <w:t>东湖街道垃圾分类督导项目</w:t>
      </w:r>
      <w:r>
        <w:rPr>
          <w:rFonts w:ascii="仿宋_GB2312" w:hAnsi="仿宋" w:eastAsia="仿宋_GB2312"/>
          <w:color w:val="auto"/>
          <w:sz w:val="24"/>
        </w:rPr>
        <w:t xml:space="preserve">   </w:t>
      </w:r>
      <w:r>
        <w:rPr>
          <w:rFonts w:ascii="仿宋_GB2312" w:hAnsi="仿宋" w:eastAsia="仿宋_GB2312"/>
          <w:b/>
          <w:color w:val="auto"/>
          <w:sz w:val="24"/>
        </w:rPr>
        <w:t xml:space="preserve"> 预算金额（元）：</w:t>
      </w:r>
      <w:r>
        <w:rPr>
          <w:rFonts w:hint="eastAsia" w:ascii="仿宋_GB2312" w:hAnsi="仿宋" w:eastAsia="仿宋_GB2312"/>
          <w:b/>
          <w:color w:val="auto"/>
          <w:sz w:val="24"/>
          <w:lang w:val="en-US" w:eastAsia="zh-CN"/>
        </w:rPr>
        <w:t>125</w:t>
      </w:r>
      <w:r>
        <w:rPr>
          <w:rFonts w:hint="eastAsia" w:ascii="仿宋_GB2312" w:hAnsi="仿宋" w:eastAsia="仿宋_GB2312"/>
          <w:b/>
          <w:color w:val="auto"/>
          <w:sz w:val="24"/>
          <w:lang w:eastAsia="zh-CN"/>
        </w:rPr>
        <w:t>0000</w:t>
      </w:r>
      <w:r>
        <w:rPr>
          <w:rFonts w:ascii="仿宋_GB2312" w:hAnsi="仿宋" w:eastAsia="仿宋_GB2312"/>
          <w:color w:val="auto"/>
          <w:sz w:val="24"/>
        </w:rPr>
        <w:t xml:space="preserve"> </w:t>
      </w:r>
      <w:r>
        <w:rPr>
          <w:rFonts w:hint="eastAsia" w:ascii="仿宋_GB2312" w:hAnsi="仿宋" w:eastAsia="仿宋_GB2312"/>
          <w:color w:val="auto"/>
          <w:sz w:val="24"/>
        </w:rPr>
        <w:t xml:space="preserve"> </w:t>
      </w:r>
    </w:p>
    <w:p>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125</w:t>
      </w:r>
      <w:r>
        <w:rPr>
          <w:rFonts w:hint="eastAsia" w:ascii="仿宋_GB2312" w:hAnsi="仿宋" w:eastAsia="仿宋_GB2312"/>
          <w:b/>
          <w:color w:val="auto"/>
          <w:sz w:val="24"/>
          <w:lang w:eastAsia="zh-CN"/>
        </w:rPr>
        <w:t>0000</w:t>
      </w:r>
      <w:r>
        <w:rPr>
          <w:rFonts w:ascii="仿宋_GB2312" w:hAnsi="仿宋" w:eastAsia="仿宋_GB2312"/>
          <w:color w:val="auto"/>
          <w:sz w:val="24"/>
        </w:rPr>
        <w:t xml:space="preserve"> </w:t>
      </w:r>
      <w:r>
        <w:rPr>
          <w:rFonts w:hint="eastAsia" w:ascii="仿宋_GB2312" w:hAnsi="仿宋" w:eastAsia="仿宋_GB2312"/>
          <w:color w:val="auto"/>
          <w:sz w:val="24"/>
        </w:rPr>
        <w:t xml:space="preserve"> </w:t>
      </w:r>
    </w:p>
    <w:p>
      <w:pPr>
        <w:spacing w:line="360" w:lineRule="auto"/>
        <w:ind w:firstLine="480"/>
        <w:rPr>
          <w:rFonts w:hint="eastAsia" w:ascii="仿宋" w:hAnsi="仿宋" w:eastAsia="仿宋" w:cs="仿宋"/>
          <w:b/>
          <w:bCs/>
          <w:color w:val="auto"/>
          <w:sz w:val="24"/>
        </w:rPr>
      </w:pPr>
      <w:r>
        <w:rPr>
          <w:rFonts w:hint="eastAsia" w:ascii="仿宋" w:hAnsi="仿宋" w:eastAsia="仿宋" w:cs="仿宋"/>
          <w:b/>
          <w:bCs/>
          <w:color w:val="auto"/>
          <w:sz w:val="24"/>
        </w:rPr>
        <w:t>标项一:</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 xml:space="preserve">标项名称: </w:t>
      </w:r>
      <w:r>
        <w:rPr>
          <w:rFonts w:hint="eastAsia" w:ascii="仿宋" w:hAnsi="仿宋" w:eastAsia="仿宋" w:cs="仿宋"/>
          <w:color w:val="auto"/>
          <w:sz w:val="24"/>
          <w:lang w:eastAsia="zh-CN"/>
        </w:rPr>
        <w:t>东湖街道垃圾分类督导项目</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数量: 1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125</w:t>
      </w:r>
      <w:r>
        <w:rPr>
          <w:rFonts w:hint="eastAsia" w:ascii="仿宋" w:hAnsi="仿宋" w:eastAsia="仿宋" w:cs="仿宋"/>
          <w:color w:val="auto"/>
          <w:sz w:val="24"/>
        </w:rPr>
        <w:t>0000</w:t>
      </w:r>
    </w:p>
    <w:p>
      <w:pPr>
        <w:pStyle w:val="20"/>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color w:val="auto"/>
          <w:sz w:val="24"/>
          <w:lang w:eastAsia="zh-CN"/>
        </w:rPr>
        <w:t>东湖街道垃圾分类督导项目，</w:t>
      </w:r>
      <w:r>
        <w:rPr>
          <w:rFonts w:hint="eastAsia" w:ascii="仿宋_GB2312" w:hAnsi="仿宋" w:eastAsia="仿宋_GB2312"/>
          <w:bCs/>
          <w:color w:val="auto"/>
          <w:kern w:val="2"/>
          <w:sz w:val="24"/>
          <w:szCs w:val="24"/>
        </w:rPr>
        <w:t>详见招标文件第三部分采购需求。</w:t>
      </w:r>
    </w:p>
    <w:p>
      <w:pPr>
        <w:pStyle w:val="85"/>
        <w:ind w:firstLine="482"/>
        <w:outlineLvl w:val="2"/>
        <w:rPr>
          <w:rFonts w:hint="eastAsia" w:ascii="仿宋_GB2312" w:hAnsi="仿宋" w:eastAsia="仿宋_GB2312"/>
          <w:color w:val="auto"/>
          <w:lang w:val="en-US" w:eastAsia="zh-CN"/>
        </w:rPr>
      </w:pPr>
      <w:r>
        <w:rPr>
          <w:rFonts w:hint="eastAsia" w:ascii="仿宋_GB2312" w:hAnsi="仿宋" w:eastAsia="仿宋_GB2312"/>
          <w:b/>
          <w:color w:val="auto"/>
        </w:rPr>
        <w:t>合同履约期限：</w:t>
      </w:r>
      <w:r>
        <w:rPr>
          <w:rFonts w:hint="eastAsia" w:ascii="仿宋_GB2312" w:hAnsi="仿宋" w:eastAsia="仿宋_GB2312"/>
          <w:b/>
          <w:color w:val="auto"/>
          <w:lang w:val="en-US" w:eastAsia="zh-CN"/>
        </w:rPr>
        <w:t>壹年</w:t>
      </w:r>
    </w:p>
    <w:p>
      <w:pPr>
        <w:pStyle w:val="20"/>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rPr>
        <w:t>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3</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14</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pStyle w:val="2"/>
        <w:ind w:left="0" w:leftChars="0" w:firstLine="480" w:firstLineChars="200"/>
        <w:rPr>
          <w:rFonts w:hint="eastAsia" w:eastAsia="仿宋_GB2312"/>
          <w:lang w:val="en-US" w:eastAsia="zh-CN"/>
        </w:rPr>
      </w:pPr>
      <w:r>
        <w:rPr>
          <w:rFonts w:hint="eastAsia" w:ascii="仿宋_GB2312" w:hAnsi="仿宋" w:eastAsia="仿宋_GB2312" w:cs="仿宋_GB2312"/>
          <w:color w:val="auto"/>
          <w:sz w:val="24"/>
          <w:lang w:val="en-US" w:eastAsia="zh-CN"/>
        </w:rPr>
        <w:t>3、本项目采购文件公告期限与采购公告期限一致。</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lang w:eastAsia="zh-CN"/>
        </w:rPr>
        <w:t>杭州市临平区人民政府东湖街道办事处</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区顺达路3号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hint="eastAsia" w:ascii="仿宋_GB2312" w:hAnsi="仿宋" w:eastAsia="仿宋"/>
          <w:color w:val="auto"/>
          <w:sz w:val="24"/>
          <w:lang w:eastAsia="zh-CN"/>
        </w:rPr>
      </w:pPr>
      <w:r>
        <w:rPr>
          <w:rFonts w:hint="eastAsia" w:ascii="仿宋_GB2312" w:hAnsi="仿宋" w:eastAsia="仿宋_GB2312"/>
          <w:color w:val="auto"/>
          <w:sz w:val="24"/>
        </w:rPr>
        <w:t>项目联系人（询问）：</w:t>
      </w:r>
      <w:r>
        <w:rPr>
          <w:rFonts w:hint="eastAsia" w:ascii="仿宋_GB2312" w:hAnsi="仿宋" w:eastAsia="仿宋_GB2312" w:cs="Times New Roman"/>
          <w:color w:val="auto"/>
          <w:sz w:val="24"/>
          <w:lang w:val="en-US" w:eastAsia="zh-CN"/>
        </w:rPr>
        <w:t>裘宇涛</w:t>
      </w:r>
      <w:r>
        <w:rPr>
          <w:rFonts w:hint="eastAsia" w:ascii="仿宋" w:hAnsi="仿宋" w:eastAsia="仿宋"/>
          <w:color w:val="auto"/>
          <w:sz w:val="24"/>
        </w:rPr>
        <w:t xml:space="preserve"> </w:t>
      </w:r>
    </w:p>
    <w:p>
      <w:pPr>
        <w:spacing w:line="360" w:lineRule="auto"/>
        <w:rPr>
          <w:rFonts w:hint="default" w:ascii="仿宋_GB2312" w:hAnsi="仿宋" w:eastAsia="仿宋_GB2312" w:cs="Times New Roman"/>
          <w:color w:val="auto"/>
          <w:sz w:val="24"/>
          <w:lang w:val="en-US"/>
        </w:rPr>
      </w:pPr>
      <w:r>
        <w:rPr>
          <w:rFonts w:ascii="仿宋_GB2312" w:hAnsi="仿宋" w:eastAsia="仿宋_GB2312"/>
          <w:color w:val="auto"/>
          <w:sz w:val="24"/>
        </w:rPr>
        <w:t xml:space="preserve">    项目联系方式（</w:t>
      </w:r>
      <w:r>
        <w:rPr>
          <w:rFonts w:ascii="仿宋_GB2312" w:hAnsi="仿宋" w:eastAsia="仿宋_GB2312" w:cs="Times New Roman"/>
          <w:color w:val="auto"/>
          <w:sz w:val="24"/>
        </w:rPr>
        <w:t>询问）：</w:t>
      </w:r>
      <w:r>
        <w:rPr>
          <w:rFonts w:hint="eastAsia" w:ascii="仿宋_GB2312" w:hAnsi="仿宋" w:eastAsia="仿宋_GB2312" w:cs="Times New Roman"/>
          <w:color w:val="auto"/>
          <w:sz w:val="24"/>
          <w:lang w:val="en-US" w:eastAsia="zh-CN"/>
        </w:rPr>
        <w:t>0571-89266761</w:t>
      </w:r>
    </w:p>
    <w:p>
      <w:pPr>
        <w:spacing w:line="360" w:lineRule="auto"/>
        <w:rPr>
          <w:rFonts w:hint="eastAsia" w:ascii="仿宋_GB2312" w:hAnsi="仿宋" w:eastAsia="仿宋_GB2312" w:cs="Times New Roman"/>
          <w:color w:val="auto"/>
          <w:sz w:val="24"/>
          <w:lang w:eastAsia="zh-CN"/>
        </w:rPr>
      </w:pPr>
      <w:r>
        <w:rPr>
          <w:rFonts w:ascii="仿宋_GB2312" w:hAnsi="仿宋" w:eastAsia="仿宋_GB2312" w:cs="Times New Roman"/>
          <w:color w:val="auto"/>
          <w:sz w:val="24"/>
        </w:rPr>
        <w:t xml:space="preserve">    质疑联系人：</w:t>
      </w:r>
      <w:r>
        <w:rPr>
          <w:rFonts w:hint="eastAsia" w:ascii="仿宋_GB2312" w:hAnsi="仿宋" w:eastAsia="仿宋_GB2312" w:cs="Times New Roman"/>
          <w:color w:val="auto"/>
          <w:sz w:val="24"/>
        </w:rPr>
        <w:t xml:space="preserve"> </w:t>
      </w:r>
      <w:r>
        <w:rPr>
          <w:rFonts w:hint="eastAsia" w:ascii="仿宋_GB2312" w:hAnsi="仿宋" w:eastAsia="仿宋_GB2312" w:cs="Times New Roman"/>
          <w:color w:val="auto"/>
          <w:sz w:val="24"/>
          <w:lang w:val="en-US" w:eastAsia="zh-CN"/>
        </w:rPr>
        <w:t>吴潇达</w:t>
      </w:r>
      <w:r>
        <w:rPr>
          <w:rFonts w:hint="eastAsia" w:ascii="仿宋_GB2312" w:hAnsi="仿宋" w:eastAsia="仿宋_GB2312" w:cs="Times New Roman"/>
          <w:color w:val="auto"/>
          <w:sz w:val="24"/>
        </w:rPr>
        <w:t xml:space="preserve">  </w:t>
      </w:r>
      <w:r>
        <w:rPr>
          <w:rFonts w:hint="eastAsia" w:ascii="仿宋_GB2312" w:hAnsi="仿宋" w:eastAsia="仿宋_GB2312" w:cs="Times New Roman"/>
          <w:color w:val="auto"/>
          <w:sz w:val="24"/>
          <w:lang w:val="en-US" w:eastAsia="zh-CN"/>
        </w:rPr>
        <w:t xml:space="preserve"> </w:t>
      </w:r>
    </w:p>
    <w:p>
      <w:pPr>
        <w:spacing w:line="360" w:lineRule="auto"/>
        <w:rPr>
          <w:rFonts w:hint="default" w:ascii="仿宋_GB2312" w:hAnsi="仿宋" w:eastAsia="仿宋_GB2312" w:cs="Times New Roman"/>
          <w:color w:val="auto"/>
          <w:sz w:val="24"/>
          <w:lang w:val="en-US" w:eastAsia="zh-CN"/>
        </w:rPr>
      </w:pPr>
      <w:r>
        <w:rPr>
          <w:rFonts w:ascii="仿宋_GB2312" w:hAnsi="仿宋" w:eastAsia="仿宋_GB2312" w:cs="Times New Roman"/>
          <w:color w:val="auto"/>
          <w:sz w:val="24"/>
        </w:rPr>
        <w:t xml:space="preserve">    质疑联系方式：</w:t>
      </w:r>
      <w:r>
        <w:rPr>
          <w:rFonts w:hint="eastAsia" w:ascii="仿宋_GB2312" w:hAnsi="仿宋" w:eastAsia="仿宋_GB2312" w:cs="Times New Roman"/>
          <w:color w:val="auto"/>
          <w:sz w:val="24"/>
        </w:rPr>
        <w:t xml:space="preserve"> </w:t>
      </w:r>
      <w:r>
        <w:rPr>
          <w:rFonts w:hint="eastAsia" w:ascii="仿宋_GB2312" w:hAnsi="仿宋" w:eastAsia="仿宋_GB2312" w:cs="Times New Roman"/>
          <w:color w:val="auto"/>
          <w:sz w:val="24"/>
          <w:lang w:val="en-US" w:eastAsia="zh-CN"/>
        </w:rPr>
        <w:t xml:space="preserve"> 0571-89255965</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hint="eastAsia" w:ascii="仿宋_GB2312" w:hAnsi="仿宋" w:eastAsia="仿宋_GB2312"/>
          <w:color w:val="auto"/>
          <w:sz w:val="24"/>
          <w:lang w:eastAsia="zh-CN"/>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_GB2312" w:hAnsi="仿宋" w:eastAsia="仿宋_GB2312"/>
          <w:b w:val="0"/>
          <w:bCs w:val="0"/>
          <w:color w:val="auto"/>
          <w:sz w:val="24"/>
          <w:lang w:eastAsia="zh-CN"/>
        </w:rPr>
        <w:t>杭州纵达工程咨询有限公</w:t>
      </w:r>
      <w:r>
        <w:rPr>
          <w:rFonts w:hint="eastAsia" w:ascii="仿宋_GB2312" w:hAnsi="仿宋" w:eastAsia="仿宋_GB2312"/>
          <w:color w:val="auto"/>
          <w:sz w:val="24"/>
          <w:lang w:eastAsia="zh-CN"/>
        </w:rPr>
        <w:t>司</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hint="eastAsia" w:ascii="仿宋_GB2312" w:hAnsi="仿宋" w:eastAsia="仿宋_GB2312" w:cs="Times New Roman"/>
          <w:color w:val="auto"/>
          <w:sz w:val="24"/>
          <w:lang w:val="en-US" w:eastAsia="zh-CN"/>
        </w:rPr>
        <w:t>杭州市临平区五洲路26号3号楼206</w:t>
      </w:r>
      <w:r>
        <w:rPr>
          <w:rFonts w:hint="eastAsia" w:ascii="仿宋_GB2312" w:hAnsi="仿宋" w:eastAsia="仿宋_GB2312" w:cs="Times New Roman"/>
          <w:color w:val="auto"/>
          <w:sz w:val="24"/>
          <w:lang w:eastAsia="zh-CN"/>
        </w:rPr>
        <w:t xml:space="preserve"> </w:t>
      </w:r>
    </w:p>
    <w:p>
      <w:pPr>
        <w:spacing w:line="360" w:lineRule="auto"/>
        <w:ind w:firstLine="480"/>
        <w:rPr>
          <w:rFonts w:hint="eastAsia" w:ascii="仿宋_GB2312" w:hAnsi="仿宋" w:eastAsia="仿宋_GB2312"/>
          <w:color w:val="auto"/>
          <w:sz w:val="24"/>
        </w:rPr>
      </w:pPr>
      <w:r>
        <w:rPr>
          <w:rFonts w:ascii="仿宋_GB2312" w:hAnsi="仿宋" w:eastAsia="仿宋_GB2312"/>
          <w:color w:val="auto"/>
          <w:sz w:val="24"/>
        </w:rPr>
        <w:t xml:space="preserve">传    真：/    </w:t>
      </w:r>
      <w:r>
        <w:rPr>
          <w:rFonts w:hint="eastAsia" w:ascii="仿宋_GB2312" w:hAnsi="仿宋" w:eastAsia="仿宋_GB2312"/>
          <w:color w:val="auto"/>
          <w:sz w:val="24"/>
        </w:rPr>
        <w:t xml:space="preserve">         </w:t>
      </w:r>
    </w:p>
    <w:p>
      <w:pPr>
        <w:spacing w:line="360" w:lineRule="auto"/>
        <w:ind w:firstLine="480"/>
        <w:rPr>
          <w:rFonts w:hint="eastAsia" w:ascii="仿宋_GB2312" w:hAnsi="仿宋" w:eastAsia="仿宋_GB2312"/>
          <w:b w:val="0"/>
          <w:bCs w:val="0"/>
          <w:color w:val="auto"/>
          <w:sz w:val="24"/>
          <w:lang w:eastAsia="zh-CN"/>
        </w:rPr>
      </w:pPr>
      <w:r>
        <w:rPr>
          <w:rFonts w:hint="eastAsia" w:ascii="仿宋_GB2312" w:hAnsi="仿宋" w:eastAsia="仿宋_GB2312"/>
          <w:color w:val="auto"/>
          <w:sz w:val="24"/>
        </w:rPr>
        <w:t xml:space="preserve">项目联系人（询问）：  </w:t>
      </w:r>
      <w:r>
        <w:rPr>
          <w:rFonts w:hint="eastAsia" w:ascii="仿宋_GB2312" w:hAnsi="仿宋" w:eastAsia="仿宋_GB2312"/>
          <w:b w:val="0"/>
          <w:bCs w:val="0"/>
          <w:color w:val="auto"/>
          <w:sz w:val="24"/>
          <w:lang w:val="en-US" w:eastAsia="zh-CN"/>
        </w:rPr>
        <w:t>周仓足</w:t>
      </w:r>
      <w:r>
        <w:rPr>
          <w:rFonts w:hint="eastAsia" w:ascii="仿宋_GB2312" w:hAnsi="仿宋" w:eastAsia="仿宋_GB2312"/>
          <w:b w:val="0"/>
          <w:bCs w:val="0"/>
          <w:color w:val="auto"/>
          <w:sz w:val="24"/>
          <w:lang w:eastAsia="zh-CN"/>
        </w:rPr>
        <w:t xml:space="preserve">     </w:t>
      </w:r>
    </w:p>
    <w:p>
      <w:pPr>
        <w:spacing w:line="360" w:lineRule="auto"/>
        <w:ind w:firstLine="480"/>
        <w:rPr>
          <w:rFonts w:hint="default" w:ascii="仿宋_GB2312" w:hAnsi="仿宋" w:eastAsia="仿宋_GB2312"/>
          <w:b w:val="0"/>
          <w:bCs w:val="0"/>
          <w:color w:val="auto"/>
          <w:sz w:val="24"/>
          <w:lang w:val="en-US" w:eastAsia="zh-CN"/>
        </w:rPr>
      </w:pPr>
      <w:r>
        <w:rPr>
          <w:rFonts w:hint="eastAsia" w:ascii="仿宋_GB2312" w:hAnsi="仿宋" w:eastAsia="仿宋_GB2312"/>
          <w:b w:val="0"/>
          <w:bCs w:val="0"/>
          <w:color w:val="auto"/>
          <w:sz w:val="24"/>
          <w:lang w:eastAsia="zh-CN"/>
        </w:rPr>
        <w:t>项目联系方式（询问）：</w:t>
      </w:r>
      <w:r>
        <w:rPr>
          <w:rFonts w:hint="eastAsia" w:ascii="仿宋_GB2312" w:hAnsi="仿宋" w:eastAsia="仿宋_GB2312"/>
          <w:b w:val="0"/>
          <w:bCs w:val="0"/>
          <w:color w:val="auto"/>
          <w:sz w:val="24"/>
          <w:lang w:val="en-US" w:eastAsia="zh-CN"/>
        </w:rPr>
        <w:t>15558133583</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val="en-US" w:eastAsia="zh-CN"/>
        </w:rPr>
        <w:t>张红鹃</w:t>
      </w:r>
      <w:r>
        <w:rPr>
          <w:rFonts w:hint="eastAsia" w:ascii="仿宋_GB2312" w:hAnsi="仿宋" w:eastAsia="仿宋_GB2312"/>
          <w:color w:val="auto"/>
          <w:sz w:val="24"/>
        </w:rPr>
        <w:t xml:space="preserve">  </w:t>
      </w:r>
      <w:r>
        <w:rPr>
          <w:rFonts w:ascii="仿宋_GB2312" w:hAnsi="仿宋" w:eastAsia="仿宋_GB2312"/>
          <w:color w:val="auto"/>
          <w:sz w:val="24"/>
        </w:rPr>
        <w:t xml:space="preserve">          </w:t>
      </w:r>
    </w:p>
    <w:p>
      <w:pPr>
        <w:spacing w:line="360" w:lineRule="auto"/>
        <w:rPr>
          <w:rFonts w:hint="default" w:ascii="仿宋" w:hAnsi="仿宋" w:eastAsia="仿宋_GB2312"/>
          <w:color w:val="auto"/>
          <w:sz w:val="24"/>
          <w:lang w:val="en-US"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lang w:val="en-US" w:eastAsia="zh-CN"/>
        </w:rPr>
        <w:t>19975292810</w:t>
      </w:r>
    </w:p>
    <w:p>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杭州市临平区财政局 </w:t>
      </w:r>
    </w:p>
    <w:p>
      <w:pPr>
        <w:spacing w:line="360" w:lineRule="auto"/>
        <w:ind w:firstLine="240" w:firstLineChars="100"/>
        <w:rPr>
          <w:rFonts w:hint="eastAsia"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杭州市临平区临平东湖中路236号财税大楼</w:t>
      </w:r>
    </w:p>
    <w:p>
      <w:pPr>
        <w:spacing w:line="360" w:lineRule="auto"/>
        <w:ind w:firstLine="240" w:firstLineChars="100"/>
        <w:rPr>
          <w:rFonts w:hint="eastAsia" w:ascii="仿宋_GB2312" w:hAnsi="仿宋" w:eastAsia="仿宋_GB2312"/>
          <w:color w:val="auto"/>
          <w:sz w:val="24"/>
          <w:lang w:val="en-US" w:eastAsia="zh-CN"/>
        </w:rPr>
      </w:pPr>
      <w:r>
        <w:rPr>
          <w:rFonts w:ascii="仿宋_GB2312" w:hAnsi="仿宋" w:eastAsia="仿宋_GB2312"/>
          <w:color w:val="auto"/>
          <w:sz w:val="24"/>
        </w:rPr>
        <w:t xml:space="preserve">  传    真：</w:t>
      </w:r>
      <w:r>
        <w:rPr>
          <w:rFonts w:hint="eastAsia" w:ascii="仿宋_GB2312" w:hAnsi="仿宋" w:eastAsia="仿宋_GB2312"/>
          <w:color w:val="auto"/>
          <w:sz w:val="24"/>
        </w:rPr>
        <w:t xml:space="preserve"> </w:t>
      </w:r>
      <w:r>
        <w:rPr>
          <w:rFonts w:hint="eastAsia" w:ascii="仿宋_GB2312" w:hAnsi="仿宋" w:eastAsia="仿宋_GB2312"/>
          <w:color w:val="auto"/>
          <w:sz w:val="24"/>
          <w:lang w:val="en-US" w:eastAsia="zh-CN"/>
        </w:rPr>
        <w:t>/</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联系人 ：</w:t>
      </w:r>
      <w:r>
        <w:rPr>
          <w:rFonts w:hint="eastAsia" w:ascii="仿宋" w:hAnsi="仿宋" w:eastAsia="仿宋" w:cs="仿宋"/>
          <w:sz w:val="24"/>
        </w:rPr>
        <w:t>俞征</w:t>
      </w:r>
      <w:r>
        <w:rPr>
          <w:rFonts w:hint="eastAsia" w:ascii="仿宋_GB2312" w:hAnsi="仿宋" w:eastAsia="仿宋_GB2312"/>
          <w:color w:val="auto"/>
          <w:sz w:val="24"/>
        </w:rPr>
        <w:t> </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监督投诉电话：</w:t>
      </w:r>
      <w:r>
        <w:rPr>
          <w:rFonts w:hint="eastAsia" w:ascii="仿宋_GB2312" w:hAnsi="仿宋" w:eastAsia="仿宋_GB2312"/>
          <w:color w:val="auto"/>
          <w:sz w:val="24"/>
        </w:rPr>
        <w:t>0571-89185312 </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5"/>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7"/>
      <w:r>
        <w:rPr>
          <w:rFonts w:ascii="仿宋" w:hAnsi="仿宋" w:eastAsia="仿宋" w:cs="仿宋_GB2312"/>
          <w:b/>
          <w:color w:val="auto"/>
          <w:sz w:val="36"/>
          <w:szCs w:val="20"/>
        </w:rPr>
        <w:t xml:space="preserve"> 投标人须知</w:t>
      </w:r>
      <w:bookmarkEnd w:id="8"/>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sym w:font="Wingdings" w:char="00A8"/>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MS Gothic" w:hAnsi="MS Gothic" w:eastAsia="仿宋_GB2312" w:cs="Arial"/>
                <w:color w:val="auto"/>
                <w:kern w:val="0"/>
                <w:sz w:val="24"/>
              </w:rPr>
              <w:t>☐</w:t>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0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lang w:val="en-US"/>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lang w:val="en-US" w:eastAsia="zh-CN"/>
              </w:rPr>
              <w:t>其他服务</w:t>
            </w:r>
            <w:r>
              <w:rPr>
                <w:rFonts w:hint="eastAsia" w:ascii="仿宋_GB2312" w:hAnsi="仿宋" w:eastAsia="仿宋_GB2312" w:cs="Arial"/>
                <w:color w:val="auto"/>
                <w:kern w:val="0"/>
                <w:sz w:val="24"/>
              </w:rPr>
              <w:t>，属于其他未列明行业；</w:t>
            </w:r>
            <w:r>
              <w:rPr>
                <w:rFonts w:hint="eastAsia" w:ascii="仿宋" w:hAnsi="仿宋" w:eastAsia="仿宋" w:cs="仿宋"/>
                <w:color w:val="auto"/>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s="Times New Roman"/>
                <w:color w:val="auto"/>
                <w:kern w:val="28"/>
                <w:sz w:val="24"/>
                <w:szCs w:val="24"/>
                <w:lang w:val="en-US" w:eastAsia="zh-CN"/>
              </w:rPr>
              <w:t>杭州市临平区五洲路26号3号楼206室</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lang w:val="en-US" w:eastAsia="zh-CN"/>
              </w:rPr>
              <w:t>13868180403</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本次代理服务费由中标单位支付，代理费用付款按《招标代理服务收费管理暂行办法》的通知（计价格[2002]1980号）文件直接支付给分散采购招标代理单位，投标人在报价时应综合考虑该笔费用</w:t>
            </w:r>
            <w:r>
              <w:rPr>
                <w:rFonts w:hint="eastAsia" w:ascii="仿宋" w:hAnsi="仿宋" w:eastAsia="仿宋" w:cs="仿宋"/>
                <w:snapToGrid w:val="0"/>
                <w:kern w:val="28"/>
                <w:sz w:val="24"/>
                <w:lang w:eastAsia="zh-CN"/>
              </w:rPr>
              <w:t>，但不单列进投标总价</w:t>
            </w:r>
            <w:r>
              <w:rPr>
                <w:rFonts w:hint="eastAsia" w:ascii="仿宋" w:hAnsi="仿宋" w:eastAsia="仿宋" w:cs="仿宋"/>
                <w:snapToGrid w:val="0"/>
                <w:kern w:val="28"/>
                <w:sz w:val="24"/>
              </w:rPr>
              <w:t>。</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招标代理服务费：</w:t>
            </w:r>
            <w:r>
              <w:rPr>
                <w:rFonts w:hint="eastAsia" w:ascii="仿宋" w:hAnsi="仿宋" w:eastAsia="仿宋" w:cs="仿宋"/>
                <w:snapToGrid w:val="0"/>
                <w:kern w:val="28"/>
                <w:sz w:val="24"/>
                <w:lang w:val="en-US" w:eastAsia="zh-CN"/>
              </w:rPr>
              <w:t>20500</w:t>
            </w:r>
            <w:r>
              <w:rPr>
                <w:rFonts w:hint="eastAsia" w:ascii="仿宋" w:hAnsi="仿宋" w:eastAsia="仿宋" w:cs="仿宋"/>
                <w:snapToGrid w:val="0"/>
                <w:kern w:val="28"/>
                <w:sz w:val="24"/>
              </w:rPr>
              <w:t>元。</w:t>
            </w:r>
          </w:p>
          <w:p>
            <w:pPr>
              <w:spacing w:line="360" w:lineRule="auto"/>
              <w:rPr>
                <w:rFonts w:ascii="仿宋_GB2312" w:hAnsi="仿宋" w:eastAsia="仿宋_GB2312"/>
                <w:snapToGrid w:val="0"/>
                <w:color w:val="auto"/>
                <w:kern w:val="28"/>
                <w:sz w:val="24"/>
              </w:rPr>
            </w:pPr>
            <w:r>
              <w:rPr>
                <w:rFonts w:hint="eastAsia" w:ascii="仿宋" w:hAnsi="仿宋" w:eastAsia="仿宋" w:cs="仿宋"/>
                <w:snapToGrid w:val="0"/>
                <w:kern w:val="28"/>
                <w:sz w:val="24"/>
              </w:rPr>
              <w:t>中标服务费的交纳方式：以转帐或支票的形式支付，开户行名称：</w:t>
            </w:r>
            <w:r>
              <w:rPr>
                <w:rFonts w:hint="eastAsia" w:ascii="仿宋" w:hAnsi="仿宋" w:eastAsia="仿宋" w:cs="仿宋"/>
                <w:snapToGrid w:val="0"/>
                <w:kern w:val="28"/>
                <w:sz w:val="24"/>
                <w:lang w:val="en-US" w:eastAsia="zh-CN"/>
              </w:rPr>
              <w:t>上海浦东发展银行杭州分行余杭支行</w:t>
            </w:r>
            <w:r>
              <w:rPr>
                <w:rFonts w:hint="eastAsia" w:ascii="仿宋" w:hAnsi="仿宋" w:eastAsia="仿宋" w:cs="仿宋"/>
                <w:snapToGrid w:val="0"/>
                <w:kern w:val="28"/>
                <w:sz w:val="24"/>
              </w:rPr>
              <w:t>；帐号：</w:t>
            </w:r>
            <w:r>
              <w:rPr>
                <w:rFonts w:hint="eastAsia" w:ascii="仿宋" w:hAnsi="仿宋" w:eastAsia="仿宋" w:cs="仿宋"/>
                <w:snapToGrid w:val="0"/>
                <w:kern w:val="28"/>
                <w:sz w:val="24"/>
                <w:lang w:val="en-US" w:eastAsia="zh-CN"/>
              </w:rPr>
              <w:t>95110078801200002135</w:t>
            </w:r>
            <w:r>
              <w:rPr>
                <w:rFonts w:hint="eastAsia" w:ascii="仿宋" w:hAnsi="仿宋" w:eastAsia="仿宋" w:cs="仿宋"/>
                <w:snapToGrid w:val="0"/>
                <w:kern w:val="28"/>
                <w:sz w:val="24"/>
              </w:rPr>
              <w:t>，收款单位（账户名称）：</w:t>
            </w:r>
            <w:r>
              <w:rPr>
                <w:rFonts w:hint="eastAsia" w:ascii="仿宋" w:hAnsi="仿宋" w:eastAsia="仿宋" w:cs="仿宋"/>
                <w:snapToGrid w:val="0"/>
                <w:kern w:val="28"/>
                <w:sz w:val="24"/>
                <w:lang w:val="en-US" w:eastAsia="zh-CN"/>
              </w:rPr>
              <w:t>杭州纵达工程咨询有限公司</w:t>
            </w:r>
            <w:r>
              <w:rPr>
                <w:rFonts w:hint="eastAsia" w:ascii="仿宋" w:hAnsi="仿宋" w:eastAsia="仿宋" w:cs="仿宋"/>
                <w:snapToGrid w:val="0"/>
                <w:kern w:val="28"/>
                <w:sz w:val="24"/>
              </w:rPr>
              <w:t>。</w:t>
            </w:r>
          </w:p>
        </w:tc>
      </w:tr>
    </w:tbl>
    <w:p>
      <w:pPr>
        <w:snapToGrid w:val="0"/>
        <w:spacing w:line="360" w:lineRule="auto"/>
        <w:jc w:val="center"/>
        <w:rPr>
          <w:rFonts w:ascii="仿宋" w:hAnsi="仿宋" w:eastAsia="仿宋" w:cs="仿宋_GB2312"/>
          <w:b/>
          <w:color w:val="auto"/>
          <w:sz w:val="32"/>
          <w:szCs w:val="20"/>
        </w:rPr>
      </w:pPr>
    </w:p>
    <w:bookmarkEnd w:id="9"/>
    <w:p>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0" w:name="第三部分"/>
      <w:bookmarkStart w:id="11" w:name="_Toc164416483"/>
    </w:p>
    <w:p>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Wingdings" w:hAnsi="Wingdings" w:eastAsia="仿宋_GB2312" w:cs="Arial"/>
          <w:color w:val="auto"/>
          <w:kern w:val="0"/>
          <w:sz w:val="24"/>
        </w:rPr>
        <w:sym w:font="Wingdings" w:char="00A8"/>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5"/>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2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5"/>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5"/>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5"/>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3"/>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5"/>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5"/>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color w:val="auto"/>
          <w:sz w:val="32"/>
        </w:rPr>
      </w:pPr>
    </w:p>
    <w:p>
      <w:pPr>
        <w:pStyle w:val="85"/>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0"/>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0"/>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5"/>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5"/>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5"/>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2"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5"/>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5"/>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ascii="仿宋_GB2312" w:hAnsi="仿宋" w:eastAsia="仿宋_GB2312"/>
          <w:color w:val="auto"/>
          <w:sz w:val="24"/>
        </w:rPr>
        <w:t>5%。</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8"/>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5"/>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5"/>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3"/>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68057669"/>
      <w:bookmarkEnd w:id="14"/>
      <w:bookmarkStart w:id="15" w:name="_Hlt74714665"/>
      <w:bookmarkEnd w:id="15"/>
      <w:bookmarkStart w:id="16" w:name="_Hlt75236101"/>
      <w:bookmarkEnd w:id="16"/>
      <w:bookmarkStart w:id="17" w:name="_Hlt75236011"/>
      <w:bookmarkEnd w:id="17"/>
      <w:bookmarkStart w:id="18" w:name="_Hlt74730295"/>
      <w:bookmarkEnd w:id="18"/>
      <w:bookmarkStart w:id="19" w:name="_Hlt68403820"/>
      <w:bookmarkEnd w:id="19"/>
      <w:bookmarkStart w:id="20" w:name="_Hlt68073093"/>
      <w:bookmarkEnd w:id="20"/>
      <w:bookmarkStart w:id="21" w:name="_Hlt74729768"/>
      <w:bookmarkEnd w:id="21"/>
      <w:bookmarkStart w:id="22" w:name="_Hlt75236290"/>
      <w:bookmarkEnd w:id="22"/>
      <w:bookmarkStart w:id="23" w:name="_Hlt68072998"/>
      <w:bookmarkEnd w:id="23"/>
      <w:bookmarkStart w:id="24" w:name="_Hlt68072990"/>
      <w:bookmarkEnd w:id="24"/>
    </w:p>
    <w:bookmarkEnd w:id="10"/>
    <w:bookmarkEnd w:id="11"/>
    <w:p>
      <w:pPr>
        <w:numPr>
          <w:ilvl w:val="0"/>
          <w:numId w:val="1"/>
        </w:numPr>
        <w:spacing w:line="360" w:lineRule="auto"/>
        <w:jc w:val="center"/>
        <w:outlineLvl w:val="0"/>
        <w:rPr>
          <w:rFonts w:hint="eastAsia" w:ascii="仿宋" w:hAnsi="仿宋" w:eastAsia="仿宋" w:cs="仿宋_GB2312"/>
          <w:b/>
          <w:color w:val="auto"/>
          <w:sz w:val="36"/>
          <w:szCs w:val="36"/>
        </w:rPr>
      </w:pPr>
      <w:bookmarkStart w:id="25" w:name="第四部分"/>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numPr>
          <w:ilvl w:val="0"/>
          <w:numId w:val="2"/>
        </w:numPr>
        <w:spacing w:before="157" w:beforeLines="50" w:after="157" w:afterLines="50" w:line="600" w:lineRule="exact"/>
        <w:ind w:firstLine="482" w:firstLineChars="200"/>
        <w:jc w:val="left"/>
        <w:rPr>
          <w:rFonts w:hint="eastAsia" w:ascii="仿宋" w:hAnsi="仿宋" w:eastAsia="仿宋" w:cs="仿宋"/>
          <w:b/>
          <w:color w:val="auto"/>
          <w:sz w:val="24"/>
          <w:szCs w:val="24"/>
        </w:rPr>
      </w:pPr>
      <w:bookmarkStart w:id="26" w:name="_Toc135212467"/>
      <w:bookmarkStart w:id="27" w:name="_Toc33335632"/>
      <w:r>
        <w:rPr>
          <w:rFonts w:hint="eastAsia" w:ascii="仿宋" w:hAnsi="仿宋" w:eastAsia="仿宋" w:cs="仿宋"/>
          <w:b/>
          <w:color w:val="auto"/>
          <w:sz w:val="24"/>
          <w:szCs w:val="24"/>
        </w:rPr>
        <w:t>项目概况：</w:t>
      </w:r>
    </w:p>
    <w:p>
      <w:pPr>
        <w:numPr>
          <w:ilvl w:val="0"/>
          <w:numId w:val="0"/>
        </w:numPr>
        <w:spacing w:before="157" w:beforeLines="50" w:after="157" w:afterLines="50" w:line="600" w:lineRule="exact"/>
        <w:jc w:val="left"/>
        <w:rPr>
          <w:rFonts w:hint="eastAsia" w:ascii="仿宋_GB2312" w:hAnsi="仿宋" w:eastAsia="仿宋_GB2312" w:cs="仿宋_GB2312"/>
          <w:color w:val="auto"/>
          <w:kern w:val="2"/>
          <w:sz w:val="24"/>
          <w:szCs w:val="20"/>
          <w:highlight w:val="none"/>
          <w:lang w:val="en-US" w:eastAsia="zh-CN" w:bidi="ar-SA"/>
        </w:rPr>
      </w:pPr>
      <w:r>
        <w:rPr>
          <w:rFonts w:hint="eastAsia" w:ascii="仿宋_GB2312" w:hAnsi="仿宋" w:eastAsia="仿宋_GB2312" w:cs="仿宋_GB2312"/>
          <w:color w:val="auto"/>
          <w:kern w:val="2"/>
          <w:sz w:val="24"/>
          <w:szCs w:val="20"/>
          <w:highlight w:val="none"/>
          <w:lang w:val="en-US" w:eastAsia="zh-CN" w:bidi="ar-SA"/>
        </w:rPr>
        <w:t>针对东湖街道3个垃圾分类标准物业小区；28个自然村。根据杭州市垃圾分类检查指标，东湖街道垃圾分类服务要求检查指标，制定检查实施方案，通过现场检查及市民问卷调查采集垃圾分类项目的检查数据，分析检查数据，撰写科学、公平、公正、客观的检查报告。通过现场检查方案，督促物业社区把政策落实到位，促进垃圾分类的长远发展。</w:t>
      </w:r>
    </w:p>
    <w:bookmarkEnd w:id="26"/>
    <w:bookmarkEnd w:id="27"/>
    <w:p>
      <w:pPr>
        <w:numPr>
          <w:ilvl w:val="0"/>
          <w:numId w:val="2"/>
        </w:numPr>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r>
        <w:rPr>
          <w:rFonts w:hint="eastAsia" w:ascii="仿宋" w:hAnsi="仿宋" w:eastAsia="仿宋" w:cs="仿宋"/>
          <w:b/>
          <w:color w:val="auto"/>
          <w:sz w:val="24"/>
          <w:szCs w:val="24"/>
          <w:highlight w:val="none"/>
          <w:lang w:val="en-US" w:eastAsia="zh-CN"/>
        </w:rPr>
        <w:t>及要求</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28" w:name="_Toc28596328"/>
      <w:bookmarkStart w:id="29" w:name="_Toc9121"/>
      <w:bookmarkStart w:id="30" w:name="_Toc29396805"/>
      <w:r>
        <w:rPr>
          <w:rFonts w:hint="eastAsia" w:ascii="仿宋" w:hAnsi="仿宋" w:eastAsia="仿宋" w:cs="仿宋"/>
          <w:b/>
          <w:color w:val="auto"/>
          <w:sz w:val="24"/>
          <w:szCs w:val="24"/>
          <w:highlight w:val="none"/>
          <w:lang w:val="en-US" w:eastAsia="zh-CN"/>
        </w:rPr>
        <w:t>一、服务团队建设</w:t>
      </w:r>
      <w:bookmarkEnd w:id="28"/>
      <w:bookmarkEnd w:id="29"/>
      <w:bookmarkEnd w:id="30"/>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31" w:name="_Toc13689"/>
      <w:bookmarkStart w:id="32" w:name="_Toc29396806"/>
      <w:bookmarkStart w:id="33" w:name="_Toc28596329"/>
      <w:r>
        <w:rPr>
          <w:rFonts w:hint="eastAsia" w:ascii="仿宋" w:hAnsi="仿宋" w:eastAsia="仿宋" w:cs="仿宋"/>
          <w:b/>
          <w:color w:val="auto"/>
          <w:sz w:val="24"/>
          <w:szCs w:val="24"/>
          <w:highlight w:val="none"/>
          <w:lang w:val="en-US" w:eastAsia="zh-CN"/>
        </w:rPr>
        <w:t>1、团队架构</w:t>
      </w:r>
      <w:bookmarkEnd w:id="31"/>
      <w:bookmarkEnd w:id="32"/>
      <w:bookmarkEnd w:id="33"/>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监督管理检查团队由项目经理，巡检员，数据专员组成。</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人员数量：8名</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项目经理：1名</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检查人员根据项目覆盖街道、小区数量及范围大小来确定。</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数据专员根据检查人员数量及工作量确定比例。</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34" w:name="_Toc28596330"/>
      <w:bookmarkStart w:id="35" w:name="_Toc29396807"/>
      <w:bookmarkStart w:id="36" w:name="_Toc10729"/>
      <w:r>
        <w:rPr>
          <w:rFonts w:hint="eastAsia" w:ascii="仿宋" w:hAnsi="仿宋" w:eastAsia="仿宋" w:cs="仿宋"/>
          <w:b/>
          <w:color w:val="auto"/>
          <w:sz w:val="24"/>
          <w:szCs w:val="24"/>
          <w:highlight w:val="none"/>
          <w:lang w:val="en-US" w:eastAsia="zh-CN"/>
        </w:rPr>
        <w:t>2、岗位职责</w:t>
      </w:r>
      <w:bookmarkEnd w:id="34"/>
      <w:bookmarkEnd w:id="35"/>
      <w:bookmarkEnd w:id="36"/>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37" w:name="_Toc29396808"/>
      <w:bookmarkStart w:id="38" w:name="_Toc1892"/>
      <w:r>
        <w:rPr>
          <w:rFonts w:hint="eastAsia" w:ascii="仿宋" w:hAnsi="仿宋" w:eastAsia="仿宋" w:cs="仿宋"/>
          <w:b/>
          <w:color w:val="auto"/>
          <w:sz w:val="24"/>
          <w:szCs w:val="24"/>
          <w:highlight w:val="none"/>
          <w:lang w:val="en-US" w:eastAsia="zh-CN"/>
        </w:rPr>
        <w:t>项目经理</w:t>
      </w:r>
      <w:bookmarkEnd w:id="37"/>
      <w:bookmarkEnd w:id="38"/>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1、负责监督控制整个项目的管理和服务工作，完成政府管理部门领导和公司下达的各项目标任务，对公司副总经理负责，对整个项目负总责。</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2、科学合理安排所属团队任务，确保各类人员的工作质量和绩效。</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3、负责团队人员管理制度的制订、教育和考核工作。</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4、负责团队人员的思想教育和业务培训，不断提高团队人员的综合素质。</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5、做好团队人员的作息安排。</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6、及时处理各项应急突发事故、建议和投诉，并及时反馈给相关部门，同时向上级报告。</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7、完成总公司交给的其他任务。</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39" w:name="_Toc21628"/>
      <w:r>
        <w:rPr>
          <w:rFonts w:hint="eastAsia" w:ascii="仿宋" w:hAnsi="仿宋" w:eastAsia="仿宋" w:cs="仿宋"/>
          <w:b/>
          <w:color w:val="auto"/>
          <w:sz w:val="24"/>
          <w:szCs w:val="24"/>
          <w:highlight w:val="none"/>
          <w:lang w:val="en-US" w:eastAsia="zh-CN"/>
        </w:rPr>
        <w:t>巡检员</w:t>
      </w:r>
      <w:bookmarkEnd w:id="39"/>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40" w:name="_Toc29396810"/>
      <w:r>
        <w:rPr>
          <w:rFonts w:hint="eastAsia" w:ascii="仿宋" w:hAnsi="仿宋" w:eastAsia="仿宋" w:cs="仿宋"/>
          <w:b/>
          <w:color w:val="auto"/>
          <w:sz w:val="24"/>
          <w:szCs w:val="24"/>
          <w:highlight w:val="none"/>
          <w:lang w:val="en-US" w:eastAsia="zh-CN"/>
        </w:rPr>
        <w:t>生活垃圾分类监督检查项目服务检查人员应熟练掌握相关设备的使用方法、操作熟练规范，爱护工作设备，保障工作设备的正常使用。</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监督检查项目服务检查人员主要负责对工作区域内发生的生活垃圾分类问题进行检查和满意度调查。具体职责是：</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现场检查上报</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上报是指检查人员通过“应用终端”在各街道巡查抽查时发现的生活垃圾分类问题，上报至检查数据管理系统，现场检查人员上报的生活垃圾分类问题信息能及时、有效地反映城市管理中存在的各类问题，从而进一步提高城市管理效率与水平，同时也为政府的城市公共管理决策提供参考。</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居民满意度问卷调查</w:t>
      </w:r>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巡检员通过手持终端，在服务范围内针对小区居民进行满意度问卷调查，通过电子勾选的方式进行填写、评分、汇总，并以不同的维度进行汇总。</w:t>
      </w:r>
    </w:p>
    <w:bookmarkEnd w:id="40"/>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bookmarkStart w:id="41" w:name="_Toc15048"/>
      <w:r>
        <w:rPr>
          <w:rFonts w:hint="eastAsia" w:ascii="仿宋" w:hAnsi="仿宋" w:eastAsia="仿宋" w:cs="仿宋"/>
          <w:b/>
          <w:color w:val="auto"/>
          <w:sz w:val="24"/>
          <w:szCs w:val="24"/>
          <w:highlight w:val="none"/>
          <w:lang w:val="en-US" w:eastAsia="zh-CN"/>
        </w:rPr>
        <w:t>数据专员</w:t>
      </w:r>
      <w:bookmarkEnd w:id="41"/>
    </w:p>
    <w:p>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监督检查服务项目数据统计分析人员需熟练使用公司配备的数据管理系统，人员管理系统，对现场检查人员反馈回来的分流分类数据和满意度调查数据进行统计分析，并定期形成检查报告数据汇总。</w:t>
      </w:r>
    </w:p>
    <w:p>
      <w:pPr>
        <w:spacing w:line="360" w:lineRule="auto"/>
        <w:ind w:firstLine="241" w:firstLineChars="100"/>
        <w:rPr>
          <w:rFonts w:hint="eastAsia" w:ascii="仿宋" w:hAnsi="仿宋" w:eastAsia="仿宋" w:cs="仿宋"/>
          <w:b/>
          <w:color w:val="auto"/>
          <w:sz w:val="24"/>
          <w:szCs w:val="24"/>
          <w:lang w:val="en-US" w:eastAsia="zh-CN"/>
        </w:rPr>
      </w:pPr>
      <w:bookmarkStart w:id="42" w:name="_Toc28596334"/>
      <w:bookmarkStart w:id="43" w:name="_Toc25757"/>
      <w:bookmarkStart w:id="44" w:name="_Toc29396815"/>
      <w:r>
        <w:rPr>
          <w:rFonts w:hint="eastAsia" w:ascii="仿宋" w:hAnsi="仿宋" w:eastAsia="仿宋" w:cs="仿宋"/>
          <w:b/>
          <w:color w:val="auto"/>
          <w:sz w:val="24"/>
          <w:szCs w:val="24"/>
          <w:lang w:val="en-US" w:eastAsia="zh-CN"/>
        </w:rPr>
        <w:t>二、信息化服务工具建设</w:t>
      </w:r>
      <w:bookmarkEnd w:id="42"/>
      <w:bookmarkEnd w:id="43"/>
      <w:bookmarkEnd w:id="44"/>
    </w:p>
    <w:p>
      <w:pPr>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通过生活垃圾分类项目监督检查系统，实现对所有作业团队精细化管理，通过科技化的手段配合专业的人员运作机制体系，保障所有人员按时、按质完成项目工作，提升管理效率，为垃圾分类项目后续的积极推广运营提供完善监督方法与数据支撑。</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、服务期限</w:t>
      </w:r>
    </w:p>
    <w:p>
      <w:pPr>
        <w:pStyle w:val="3"/>
        <w:spacing w:line="360" w:lineRule="auto"/>
        <w:ind w:firstLine="482"/>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合同签订之日起一年。</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、付款方式</w:t>
      </w:r>
    </w:p>
    <w:p>
      <w:pPr>
        <w:pStyle w:val="3"/>
        <w:spacing w:line="360" w:lineRule="auto"/>
        <w:ind w:firstLine="482"/>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在签订合同后一个月内支付合同款的30%；半年度后支付合同款的50%，年末项目经甲方验收合格后一次性支付剩余合同款项的20%（如项目验收不合格，甲方有权不支付剩余款项）。</w:t>
      </w:r>
    </w:p>
    <w:p>
      <w:pPr>
        <w:spacing w:line="360" w:lineRule="auto"/>
        <w:ind w:firstLine="181" w:firstLineChars="50"/>
        <w:rPr>
          <w:rFonts w:ascii="仿宋_GB2312" w:hAnsi="仿宋" w:eastAsia="仿宋_GB2312" w:cs="仿宋_GB2312"/>
          <w:b/>
          <w:color w:val="auto"/>
          <w:sz w:val="36"/>
          <w:szCs w:val="36"/>
        </w:rPr>
      </w:pPr>
    </w:p>
    <w:p>
      <w:pPr>
        <w:spacing w:line="360" w:lineRule="auto"/>
        <w:rPr>
          <w:rFonts w:ascii="仿宋" w:hAnsi="仿宋" w:eastAsia="仿宋"/>
          <w:color w:val="auto"/>
          <w:sz w:val="24"/>
        </w:rPr>
      </w:pPr>
    </w:p>
    <w:p>
      <w:pPr>
        <w:widowControl/>
        <w:ind w:firstLine="720" w:firstLineChars="300"/>
        <w:jc w:val="left"/>
        <w:rPr>
          <w:rFonts w:ascii="仿宋" w:hAnsi="仿宋" w:eastAsia="仿宋"/>
          <w:bCs/>
          <w:color w:val="auto"/>
          <w:sz w:val="24"/>
        </w:rPr>
      </w:pPr>
    </w:p>
    <w:p>
      <w:pPr>
        <w:numPr>
          <w:ilvl w:val="0"/>
          <w:numId w:val="1"/>
        </w:numPr>
        <w:snapToGrid w:val="0"/>
        <w:spacing w:line="360" w:lineRule="auto"/>
        <w:ind w:left="0" w:leftChars="0" w:firstLine="0" w:firstLineChars="0"/>
        <w:jc w:val="center"/>
        <w:rPr>
          <w:rFonts w:hint="eastAsia" w:ascii="仿宋" w:hAnsi="仿宋" w:eastAsia="仿宋" w:cs="仿宋_GB2312"/>
          <w:b/>
          <w:color w:val="auto"/>
          <w:sz w:val="36"/>
          <w:szCs w:val="36"/>
        </w:rPr>
      </w:pPr>
      <w:r>
        <w:rPr>
          <w:rFonts w:ascii="仿宋" w:hAnsi="仿宋" w:eastAsia="仿宋" w:cs="仿宋_GB2312"/>
          <w:b/>
          <w:color w:val="auto"/>
          <w:sz w:val="36"/>
          <w:szCs w:val="36"/>
        </w:rPr>
        <w:t xml:space="preserve">  </w:t>
      </w:r>
      <w:bookmarkStart w:id="45" w:name="_Toc184314469"/>
      <w:bookmarkEnd w:id="45"/>
      <w:bookmarkStart w:id="46" w:name="_Toc184308108"/>
      <w:bookmarkEnd w:id="46"/>
      <w:bookmarkStart w:id="47" w:name="_Toc184313294"/>
      <w:bookmarkEnd w:id="47"/>
      <w:bookmarkStart w:id="48" w:name="_Toc184308098"/>
      <w:bookmarkEnd w:id="48"/>
      <w:bookmarkStart w:id="49" w:name="_Toc184314447"/>
      <w:bookmarkEnd w:id="49"/>
      <w:bookmarkStart w:id="50" w:name="_Toc184314436"/>
      <w:bookmarkEnd w:id="50"/>
      <w:bookmarkStart w:id="51" w:name="_Toc184310337"/>
      <w:bookmarkEnd w:id="51"/>
      <w:bookmarkStart w:id="52" w:name="_Toc184313305"/>
      <w:bookmarkEnd w:id="52"/>
      <w:bookmarkStart w:id="53" w:name="_Toc184313300"/>
      <w:bookmarkEnd w:id="53"/>
      <w:bookmarkStart w:id="54" w:name="_Toc184314479"/>
      <w:bookmarkEnd w:id="54"/>
      <w:bookmarkStart w:id="55" w:name="_Toc184308051"/>
      <w:bookmarkEnd w:id="55"/>
      <w:bookmarkStart w:id="56" w:name="_Toc184312124"/>
      <w:bookmarkEnd w:id="56"/>
      <w:bookmarkStart w:id="57" w:name="_Toc184310321"/>
      <w:bookmarkEnd w:id="57"/>
      <w:bookmarkStart w:id="58" w:name="_Toc184313252"/>
      <w:bookmarkEnd w:id="58"/>
      <w:bookmarkStart w:id="59" w:name="_Toc184314461"/>
      <w:bookmarkEnd w:id="59"/>
      <w:bookmarkStart w:id="60" w:name="_Toc184314451"/>
      <w:bookmarkEnd w:id="60"/>
      <w:bookmarkStart w:id="61" w:name="_Toc184312089"/>
      <w:bookmarkEnd w:id="61"/>
      <w:bookmarkStart w:id="62" w:name="_Toc184308036"/>
      <w:bookmarkEnd w:id="62"/>
      <w:bookmarkStart w:id="63" w:name="_Toc184313309"/>
      <w:bookmarkEnd w:id="63"/>
      <w:bookmarkStart w:id="64" w:name="_Toc184313295"/>
      <w:bookmarkEnd w:id="64"/>
      <w:bookmarkStart w:id="65" w:name="_Toc184314464"/>
      <w:bookmarkEnd w:id="65"/>
      <w:bookmarkStart w:id="66" w:name="_Toc184314466"/>
      <w:bookmarkEnd w:id="66"/>
      <w:bookmarkStart w:id="67" w:name="_Toc184312129"/>
      <w:bookmarkEnd w:id="67"/>
      <w:bookmarkStart w:id="68" w:name="_Toc184313290"/>
      <w:bookmarkEnd w:id="68"/>
      <w:bookmarkStart w:id="69" w:name="_Toc184314435"/>
      <w:bookmarkEnd w:id="69"/>
      <w:bookmarkStart w:id="70" w:name="_Toc184313310"/>
      <w:bookmarkEnd w:id="70"/>
      <w:bookmarkStart w:id="71" w:name="_Toc184313287"/>
      <w:bookmarkEnd w:id="71"/>
      <w:bookmarkStart w:id="72" w:name="_Toc184308095"/>
      <w:bookmarkEnd w:id="72"/>
      <w:bookmarkStart w:id="73" w:name="_Toc184312096"/>
      <w:bookmarkEnd w:id="73"/>
      <w:bookmarkStart w:id="74" w:name="_Toc184310276"/>
      <w:bookmarkEnd w:id="74"/>
      <w:bookmarkStart w:id="75" w:name="_Toc184313298"/>
      <w:bookmarkEnd w:id="75"/>
      <w:bookmarkStart w:id="76" w:name="_Toc184314415"/>
      <w:bookmarkEnd w:id="76"/>
      <w:bookmarkStart w:id="77" w:name="_Toc184308079"/>
      <w:bookmarkEnd w:id="77"/>
      <w:bookmarkStart w:id="78" w:name="_Toc184310279"/>
      <w:bookmarkEnd w:id="78"/>
      <w:bookmarkStart w:id="79" w:name="_Toc184313308"/>
      <w:bookmarkEnd w:id="79"/>
      <w:bookmarkStart w:id="80" w:name="_Toc184314427"/>
      <w:bookmarkEnd w:id="80"/>
      <w:bookmarkStart w:id="81" w:name="_Toc184313276"/>
      <w:bookmarkEnd w:id="81"/>
      <w:bookmarkStart w:id="82" w:name="_Toc184308073"/>
      <w:bookmarkEnd w:id="82"/>
      <w:bookmarkStart w:id="83" w:name="_Toc184308053"/>
      <w:bookmarkEnd w:id="83"/>
      <w:bookmarkStart w:id="84" w:name="_Toc184313259"/>
      <w:bookmarkEnd w:id="84"/>
      <w:bookmarkStart w:id="85" w:name="_Toc184314438"/>
      <w:bookmarkEnd w:id="85"/>
      <w:bookmarkStart w:id="86" w:name="_Toc184314462"/>
      <w:bookmarkEnd w:id="86"/>
      <w:bookmarkStart w:id="87" w:name="_Toc184310324"/>
      <w:bookmarkEnd w:id="87"/>
      <w:bookmarkStart w:id="88" w:name="_Toc184310284"/>
      <w:bookmarkEnd w:id="88"/>
      <w:bookmarkStart w:id="89" w:name="_Toc184310304"/>
      <w:bookmarkEnd w:id="89"/>
      <w:bookmarkStart w:id="90" w:name="_Toc184308071"/>
      <w:bookmarkEnd w:id="90"/>
      <w:bookmarkStart w:id="91" w:name="_Toc184314417"/>
      <w:bookmarkEnd w:id="91"/>
      <w:bookmarkStart w:id="92" w:name="_Toc184313243"/>
      <w:bookmarkEnd w:id="92"/>
      <w:bookmarkStart w:id="93" w:name="_Toc184313289"/>
      <w:bookmarkEnd w:id="93"/>
      <w:bookmarkStart w:id="94" w:name="_Toc184313274"/>
      <w:bookmarkEnd w:id="94"/>
      <w:bookmarkStart w:id="95" w:name="_Toc184308087"/>
      <w:bookmarkEnd w:id="95"/>
      <w:bookmarkStart w:id="96" w:name="_Toc184312092"/>
      <w:bookmarkEnd w:id="96"/>
      <w:bookmarkStart w:id="97" w:name="_Toc184312138"/>
      <w:bookmarkEnd w:id="97"/>
      <w:bookmarkStart w:id="98" w:name="_Toc184313242"/>
      <w:bookmarkEnd w:id="98"/>
      <w:bookmarkStart w:id="99" w:name="_Toc184310278"/>
      <w:bookmarkEnd w:id="99"/>
      <w:bookmarkStart w:id="100" w:name="_Toc184312081"/>
      <w:bookmarkEnd w:id="100"/>
      <w:bookmarkStart w:id="101" w:name="_Toc184312077"/>
      <w:bookmarkEnd w:id="101"/>
      <w:bookmarkStart w:id="102" w:name="_Toc184313293"/>
      <w:bookmarkEnd w:id="102"/>
      <w:bookmarkStart w:id="103" w:name="_Toc184310322"/>
      <w:bookmarkEnd w:id="103"/>
      <w:bookmarkStart w:id="104" w:name="_Toc184310329"/>
      <w:bookmarkEnd w:id="104"/>
      <w:bookmarkStart w:id="105" w:name="_Toc184313307"/>
      <w:bookmarkEnd w:id="105"/>
      <w:bookmarkStart w:id="106" w:name="_Toc184312113"/>
      <w:bookmarkEnd w:id="106"/>
      <w:bookmarkStart w:id="107" w:name="_Toc184308074"/>
      <w:bookmarkEnd w:id="107"/>
      <w:bookmarkStart w:id="108" w:name="_Toc184314412"/>
      <w:bookmarkEnd w:id="108"/>
      <w:bookmarkStart w:id="109" w:name="_Toc184312134"/>
      <w:bookmarkEnd w:id="109"/>
      <w:bookmarkStart w:id="110" w:name="_Toc184314441"/>
      <w:bookmarkEnd w:id="110"/>
      <w:bookmarkStart w:id="111" w:name="_Toc184313250"/>
      <w:bookmarkEnd w:id="111"/>
      <w:bookmarkStart w:id="112" w:name="_Toc184310323"/>
      <w:bookmarkEnd w:id="112"/>
      <w:bookmarkStart w:id="113" w:name="_Toc184310330"/>
      <w:bookmarkEnd w:id="113"/>
      <w:bookmarkStart w:id="114" w:name="_Toc184313247"/>
      <w:bookmarkEnd w:id="114"/>
      <w:bookmarkStart w:id="115" w:name="_Toc184314470"/>
      <w:bookmarkEnd w:id="115"/>
      <w:bookmarkStart w:id="116" w:name="_Toc184310281"/>
      <w:bookmarkEnd w:id="116"/>
      <w:bookmarkStart w:id="117" w:name="_Toc184314423"/>
      <w:bookmarkEnd w:id="117"/>
      <w:bookmarkStart w:id="118" w:name="_Toc184312110"/>
      <w:bookmarkEnd w:id="118"/>
      <w:bookmarkStart w:id="119" w:name="_Toc184310320"/>
      <w:bookmarkEnd w:id="119"/>
      <w:bookmarkStart w:id="120" w:name="_Toc184314452"/>
      <w:bookmarkEnd w:id="120"/>
      <w:bookmarkStart w:id="121" w:name="_Toc184314419"/>
      <w:bookmarkEnd w:id="121"/>
      <w:bookmarkStart w:id="122" w:name="_Toc184312074"/>
      <w:bookmarkEnd w:id="122"/>
      <w:bookmarkStart w:id="123" w:name="_Toc184310282"/>
      <w:bookmarkEnd w:id="123"/>
      <w:bookmarkStart w:id="124" w:name="_Toc184312097"/>
      <w:bookmarkEnd w:id="124"/>
      <w:bookmarkStart w:id="125" w:name="_Toc184308048"/>
      <w:bookmarkEnd w:id="125"/>
      <w:bookmarkStart w:id="126" w:name="_Toc184308107"/>
      <w:bookmarkEnd w:id="126"/>
      <w:bookmarkStart w:id="127" w:name="_Toc184314444"/>
      <w:bookmarkEnd w:id="127"/>
      <w:bookmarkStart w:id="128" w:name="_Toc184308050"/>
      <w:bookmarkEnd w:id="128"/>
      <w:bookmarkStart w:id="129" w:name="_Toc184308052"/>
      <w:bookmarkEnd w:id="129"/>
      <w:bookmarkStart w:id="130" w:name="_Toc184310339"/>
      <w:bookmarkEnd w:id="130"/>
      <w:bookmarkStart w:id="131" w:name="_Toc184312079"/>
      <w:bookmarkEnd w:id="131"/>
      <w:bookmarkStart w:id="132" w:name="_Toc184312094"/>
      <w:bookmarkEnd w:id="132"/>
      <w:bookmarkStart w:id="133" w:name="_Toc184312117"/>
      <w:bookmarkEnd w:id="133"/>
      <w:bookmarkStart w:id="134" w:name="_Toc184312108"/>
      <w:bookmarkEnd w:id="134"/>
      <w:bookmarkStart w:id="135" w:name="_Toc184308045"/>
      <w:bookmarkEnd w:id="135"/>
      <w:bookmarkStart w:id="136" w:name="_Toc184314445"/>
      <w:bookmarkEnd w:id="136"/>
      <w:bookmarkStart w:id="137" w:name="_Toc184312131"/>
      <w:bookmarkEnd w:id="137"/>
      <w:bookmarkStart w:id="138" w:name="_Toc184310332"/>
      <w:bookmarkEnd w:id="138"/>
      <w:bookmarkStart w:id="139" w:name="_Toc184314425"/>
      <w:bookmarkEnd w:id="139"/>
      <w:bookmarkStart w:id="140" w:name="_Toc184313240"/>
      <w:bookmarkEnd w:id="140"/>
      <w:bookmarkStart w:id="141" w:name="_Toc184312082"/>
      <w:bookmarkEnd w:id="141"/>
      <w:bookmarkStart w:id="142" w:name="_Toc184308080"/>
      <w:bookmarkEnd w:id="142"/>
      <w:bookmarkStart w:id="143" w:name="_Toc184312099"/>
      <w:bookmarkEnd w:id="143"/>
      <w:bookmarkStart w:id="144" w:name="_Toc184310307"/>
      <w:bookmarkEnd w:id="144"/>
      <w:bookmarkStart w:id="145" w:name="_Toc184314442"/>
      <w:bookmarkEnd w:id="145"/>
      <w:bookmarkStart w:id="146" w:name="_Toc184312070"/>
      <w:bookmarkEnd w:id="146"/>
      <w:bookmarkStart w:id="147" w:name="_Toc184310296"/>
      <w:bookmarkEnd w:id="147"/>
      <w:bookmarkStart w:id="148" w:name="_Toc184308066"/>
      <w:bookmarkEnd w:id="148"/>
      <w:bookmarkStart w:id="149" w:name="_Toc184314453"/>
      <w:bookmarkEnd w:id="149"/>
      <w:bookmarkStart w:id="150" w:name="_Toc184308083"/>
      <w:bookmarkEnd w:id="150"/>
      <w:bookmarkStart w:id="151" w:name="_Toc184310285"/>
      <w:bookmarkEnd w:id="151"/>
      <w:bookmarkStart w:id="152" w:name="_Toc184312104"/>
      <w:bookmarkEnd w:id="152"/>
      <w:bookmarkStart w:id="153" w:name="_Toc184308054"/>
      <w:bookmarkEnd w:id="153"/>
      <w:bookmarkStart w:id="154" w:name="_Toc184314480"/>
      <w:bookmarkEnd w:id="154"/>
      <w:bookmarkStart w:id="155" w:name="_Toc184312120"/>
      <w:bookmarkEnd w:id="155"/>
      <w:bookmarkStart w:id="156" w:name="_Toc184308039"/>
      <w:bookmarkEnd w:id="156"/>
      <w:bookmarkStart w:id="157" w:name="_Toc184314421"/>
      <w:bookmarkEnd w:id="157"/>
      <w:bookmarkStart w:id="158" w:name="_Toc184310311"/>
      <w:bookmarkEnd w:id="158"/>
      <w:bookmarkStart w:id="159" w:name="_Toc184308084"/>
      <w:bookmarkEnd w:id="159"/>
      <w:bookmarkStart w:id="160" w:name="_Toc184312135"/>
      <w:bookmarkEnd w:id="160"/>
      <w:bookmarkStart w:id="161" w:name="_Toc184312076"/>
      <w:bookmarkEnd w:id="161"/>
      <w:bookmarkStart w:id="162" w:name="_Toc184314411"/>
      <w:bookmarkEnd w:id="162"/>
      <w:bookmarkStart w:id="163" w:name="_Toc184310314"/>
      <w:bookmarkEnd w:id="163"/>
      <w:bookmarkStart w:id="164" w:name="_Toc184308082"/>
      <w:bookmarkEnd w:id="164"/>
      <w:bookmarkStart w:id="165" w:name="_Toc184310315"/>
      <w:bookmarkEnd w:id="165"/>
      <w:bookmarkStart w:id="166" w:name="_Toc184308038"/>
      <w:bookmarkEnd w:id="166"/>
      <w:bookmarkStart w:id="167" w:name="_Toc184313251"/>
      <w:bookmarkEnd w:id="167"/>
      <w:bookmarkStart w:id="168" w:name="_Toc184308077"/>
      <w:bookmarkEnd w:id="168"/>
      <w:bookmarkStart w:id="169" w:name="_Toc184314430"/>
      <w:bookmarkEnd w:id="169"/>
      <w:bookmarkStart w:id="170" w:name="_Toc184314455"/>
      <w:bookmarkEnd w:id="170"/>
      <w:bookmarkStart w:id="171" w:name="_Toc184312068"/>
      <w:bookmarkEnd w:id="171"/>
      <w:bookmarkStart w:id="172" w:name="_Toc184308055"/>
      <w:bookmarkEnd w:id="172"/>
      <w:bookmarkStart w:id="173" w:name="_Toc184312078"/>
      <w:bookmarkEnd w:id="173"/>
      <w:bookmarkStart w:id="174" w:name="_Toc184312073"/>
      <w:bookmarkEnd w:id="174"/>
      <w:bookmarkStart w:id="175" w:name="_Toc184310297"/>
      <w:bookmarkEnd w:id="175"/>
      <w:bookmarkStart w:id="176" w:name="_Toc184313258"/>
      <w:bookmarkEnd w:id="176"/>
      <w:bookmarkStart w:id="177" w:name="_Toc184313291"/>
      <w:bookmarkEnd w:id="177"/>
      <w:bookmarkStart w:id="178" w:name="_Toc184312106"/>
      <w:bookmarkEnd w:id="178"/>
      <w:bookmarkStart w:id="179" w:name="_Toc184310333"/>
      <w:bookmarkEnd w:id="179"/>
      <w:bookmarkStart w:id="180" w:name="_Toc184314440"/>
      <w:bookmarkEnd w:id="180"/>
      <w:bookmarkStart w:id="181" w:name="_Toc184313268"/>
      <w:bookmarkEnd w:id="181"/>
      <w:bookmarkStart w:id="182" w:name="_Toc184312112"/>
      <w:bookmarkEnd w:id="182"/>
      <w:bookmarkStart w:id="183" w:name="_Toc184308106"/>
      <w:bookmarkEnd w:id="183"/>
      <w:bookmarkStart w:id="184" w:name="_Toc184313269"/>
      <w:bookmarkEnd w:id="184"/>
      <w:bookmarkStart w:id="185" w:name="_Toc184314454"/>
      <w:bookmarkEnd w:id="185"/>
      <w:bookmarkStart w:id="186" w:name="_Toc184312119"/>
      <w:bookmarkEnd w:id="186"/>
      <w:bookmarkStart w:id="187" w:name="_Toc184314459"/>
      <w:bookmarkEnd w:id="187"/>
      <w:bookmarkStart w:id="188" w:name="_Toc184308047"/>
      <w:bookmarkEnd w:id="188"/>
      <w:bookmarkStart w:id="189" w:name="_Toc184308081"/>
      <w:bookmarkEnd w:id="189"/>
      <w:bookmarkStart w:id="190" w:name="_Toc184314426"/>
      <w:bookmarkEnd w:id="190"/>
      <w:bookmarkStart w:id="191" w:name="_Toc184310343"/>
      <w:bookmarkEnd w:id="191"/>
      <w:bookmarkStart w:id="192" w:name="_Toc184310340"/>
      <w:bookmarkEnd w:id="192"/>
      <w:bookmarkStart w:id="193" w:name="_Toc184313239"/>
      <w:bookmarkEnd w:id="193"/>
      <w:bookmarkStart w:id="194" w:name="_Toc184310338"/>
      <w:bookmarkEnd w:id="194"/>
      <w:bookmarkStart w:id="195" w:name="_Toc184310283"/>
      <w:bookmarkEnd w:id="195"/>
      <w:bookmarkStart w:id="196" w:name="_Toc184308101"/>
      <w:bookmarkEnd w:id="196"/>
      <w:bookmarkStart w:id="197" w:name="_Toc184310303"/>
      <w:bookmarkEnd w:id="197"/>
      <w:bookmarkStart w:id="198" w:name="_Toc184310273"/>
      <w:bookmarkEnd w:id="198"/>
      <w:bookmarkStart w:id="199" w:name="_Toc184310298"/>
      <w:bookmarkEnd w:id="199"/>
      <w:bookmarkStart w:id="200" w:name="_Toc184308089"/>
      <w:bookmarkEnd w:id="200"/>
      <w:bookmarkStart w:id="201" w:name="_Toc184314473"/>
      <w:bookmarkEnd w:id="201"/>
      <w:bookmarkStart w:id="202" w:name="_Toc184310342"/>
      <w:bookmarkEnd w:id="202"/>
      <w:bookmarkStart w:id="203" w:name="_Toc184313273"/>
      <w:bookmarkEnd w:id="203"/>
      <w:bookmarkStart w:id="204" w:name="_Toc184314471"/>
      <w:bookmarkEnd w:id="204"/>
      <w:bookmarkStart w:id="205" w:name="_Toc184314443"/>
      <w:bookmarkEnd w:id="205"/>
      <w:bookmarkStart w:id="206" w:name="_Toc184308065"/>
      <w:bookmarkEnd w:id="206"/>
      <w:bookmarkStart w:id="207" w:name="_Toc184313238"/>
      <w:bookmarkEnd w:id="207"/>
      <w:bookmarkStart w:id="208" w:name="_Toc184313283"/>
      <w:bookmarkEnd w:id="208"/>
      <w:bookmarkStart w:id="209" w:name="_Toc184310306"/>
      <w:bookmarkEnd w:id="209"/>
      <w:bookmarkStart w:id="210" w:name="_Toc184312125"/>
      <w:bookmarkEnd w:id="210"/>
      <w:bookmarkStart w:id="211" w:name="_Toc184312100"/>
      <w:bookmarkEnd w:id="211"/>
      <w:bookmarkStart w:id="212" w:name="_Toc184310280"/>
      <w:bookmarkEnd w:id="212"/>
      <w:bookmarkStart w:id="213" w:name="_Toc184312084"/>
      <w:bookmarkEnd w:id="213"/>
      <w:bookmarkStart w:id="214" w:name="_Toc184310305"/>
      <w:bookmarkEnd w:id="214"/>
      <w:bookmarkStart w:id="215" w:name="_Toc184310336"/>
      <w:bookmarkEnd w:id="215"/>
      <w:bookmarkStart w:id="216" w:name="_Toc184312075"/>
      <w:bookmarkEnd w:id="216"/>
      <w:bookmarkStart w:id="217" w:name="_Toc184312107"/>
      <w:bookmarkEnd w:id="217"/>
      <w:bookmarkStart w:id="218" w:name="_Toc184308093"/>
      <w:bookmarkEnd w:id="218"/>
      <w:bookmarkStart w:id="219" w:name="_Toc184312122"/>
      <w:bookmarkEnd w:id="219"/>
      <w:bookmarkStart w:id="220" w:name="_Toc184312128"/>
      <w:bookmarkEnd w:id="220"/>
      <w:bookmarkStart w:id="221" w:name="_Toc184313256"/>
      <w:bookmarkEnd w:id="221"/>
      <w:bookmarkStart w:id="222" w:name="_Toc184310272"/>
      <w:bookmarkEnd w:id="222"/>
      <w:bookmarkStart w:id="223" w:name="_Toc184308092"/>
      <w:bookmarkEnd w:id="223"/>
      <w:bookmarkStart w:id="224" w:name="_Toc184312098"/>
      <w:bookmarkEnd w:id="224"/>
      <w:bookmarkStart w:id="225" w:name="_Toc184313277"/>
      <w:bookmarkEnd w:id="225"/>
      <w:bookmarkStart w:id="226" w:name="_Toc184314428"/>
      <w:bookmarkEnd w:id="226"/>
      <w:bookmarkStart w:id="227" w:name="_Toc184314434"/>
      <w:bookmarkEnd w:id="227"/>
      <w:bookmarkStart w:id="228" w:name="_Toc184314410"/>
      <w:bookmarkEnd w:id="228"/>
      <w:bookmarkStart w:id="229" w:name="_Toc184314478"/>
      <w:bookmarkEnd w:id="229"/>
      <w:bookmarkStart w:id="230" w:name="_Toc184310325"/>
      <w:bookmarkEnd w:id="230"/>
      <w:bookmarkStart w:id="231" w:name="_Toc184313270"/>
      <w:bookmarkEnd w:id="231"/>
      <w:bookmarkStart w:id="232" w:name="_Toc184314431"/>
      <w:bookmarkEnd w:id="232"/>
      <w:bookmarkStart w:id="233" w:name="_Toc184308078"/>
      <w:bookmarkEnd w:id="233"/>
      <w:bookmarkStart w:id="234" w:name="_Toc184310300"/>
      <w:bookmarkEnd w:id="234"/>
      <w:bookmarkStart w:id="235" w:name="_Toc184310292"/>
      <w:bookmarkEnd w:id="235"/>
      <w:bookmarkStart w:id="236" w:name="_Toc184312069"/>
      <w:bookmarkEnd w:id="236"/>
      <w:bookmarkStart w:id="237" w:name="_Toc184308088"/>
      <w:bookmarkEnd w:id="237"/>
      <w:bookmarkStart w:id="238" w:name="_Toc184312109"/>
      <w:bookmarkEnd w:id="238"/>
      <w:bookmarkStart w:id="239" w:name="_Toc184308037"/>
      <w:bookmarkEnd w:id="239"/>
      <w:bookmarkStart w:id="240" w:name="_Toc184312086"/>
      <w:bookmarkEnd w:id="240"/>
      <w:bookmarkStart w:id="241" w:name="_Toc184313296"/>
      <w:bookmarkEnd w:id="241"/>
      <w:bookmarkStart w:id="242" w:name="_Toc184310275"/>
      <w:bookmarkEnd w:id="242"/>
      <w:bookmarkStart w:id="243" w:name="_Toc184312072"/>
      <w:bookmarkEnd w:id="243"/>
      <w:bookmarkStart w:id="244" w:name="_Toc184313267"/>
      <w:bookmarkEnd w:id="244"/>
      <w:bookmarkStart w:id="245" w:name="_Toc184314458"/>
      <w:bookmarkEnd w:id="245"/>
      <w:bookmarkStart w:id="246" w:name="_Toc184313265"/>
      <w:bookmarkEnd w:id="246"/>
      <w:bookmarkStart w:id="247" w:name="_Toc184312095"/>
      <w:bookmarkEnd w:id="247"/>
      <w:bookmarkStart w:id="248" w:name="_Toc184310326"/>
      <w:bookmarkEnd w:id="248"/>
      <w:bookmarkStart w:id="249" w:name="_Toc184313257"/>
      <w:bookmarkEnd w:id="249"/>
      <w:bookmarkStart w:id="250" w:name="_Toc184314429"/>
      <w:bookmarkEnd w:id="250"/>
      <w:bookmarkStart w:id="251" w:name="_Toc184314457"/>
      <w:bookmarkEnd w:id="251"/>
      <w:bookmarkStart w:id="252" w:name="_Toc184310308"/>
      <w:bookmarkEnd w:id="252"/>
      <w:bookmarkStart w:id="253" w:name="_Toc184314439"/>
      <w:bookmarkEnd w:id="253"/>
      <w:bookmarkStart w:id="254" w:name="_Toc184310299"/>
      <w:bookmarkEnd w:id="254"/>
      <w:bookmarkStart w:id="255" w:name="_Toc184312085"/>
      <w:bookmarkEnd w:id="255"/>
      <w:bookmarkStart w:id="256" w:name="_Toc184313285"/>
      <w:bookmarkEnd w:id="256"/>
      <w:bookmarkStart w:id="257" w:name="_Toc184308103"/>
      <w:bookmarkEnd w:id="257"/>
      <w:bookmarkStart w:id="258" w:name="_Toc184314413"/>
      <w:bookmarkEnd w:id="258"/>
      <w:bookmarkStart w:id="259" w:name="_Toc184310295"/>
      <w:bookmarkEnd w:id="259"/>
      <w:bookmarkStart w:id="260" w:name="_Toc184310341"/>
      <w:bookmarkEnd w:id="260"/>
      <w:bookmarkStart w:id="261" w:name="_Toc184313292"/>
      <w:bookmarkEnd w:id="261"/>
      <w:bookmarkStart w:id="262" w:name="_Toc184313244"/>
      <w:bookmarkEnd w:id="262"/>
      <w:bookmarkStart w:id="263" w:name="_Toc184313286"/>
      <w:bookmarkEnd w:id="263"/>
      <w:bookmarkStart w:id="264" w:name="_Toc184314449"/>
      <w:bookmarkEnd w:id="264"/>
      <w:bookmarkStart w:id="265" w:name="_Toc184313280"/>
      <w:bookmarkEnd w:id="265"/>
      <w:bookmarkStart w:id="266" w:name="_Toc184308057"/>
      <w:bookmarkEnd w:id="266"/>
      <w:bookmarkStart w:id="267" w:name="_Toc184314432"/>
      <w:bookmarkEnd w:id="267"/>
      <w:bookmarkStart w:id="268" w:name="_Toc184314475"/>
      <w:bookmarkEnd w:id="268"/>
      <w:bookmarkStart w:id="269" w:name="_Toc184308070"/>
      <w:bookmarkEnd w:id="269"/>
      <w:bookmarkStart w:id="270" w:name="_Toc184313249"/>
      <w:bookmarkEnd w:id="270"/>
      <w:bookmarkStart w:id="271" w:name="_Toc184313255"/>
      <w:bookmarkEnd w:id="271"/>
      <w:bookmarkStart w:id="272" w:name="_Toc184313297"/>
      <w:bookmarkEnd w:id="272"/>
      <w:bookmarkStart w:id="273" w:name="_Toc184312115"/>
      <w:bookmarkEnd w:id="273"/>
      <w:bookmarkStart w:id="274" w:name="_Toc184313272"/>
      <w:bookmarkEnd w:id="274"/>
      <w:bookmarkStart w:id="275" w:name="_Toc184312090"/>
      <w:bookmarkEnd w:id="275"/>
      <w:bookmarkStart w:id="276" w:name="_Toc184312091"/>
      <w:bookmarkEnd w:id="276"/>
      <w:bookmarkStart w:id="277" w:name="_Toc184313281"/>
      <w:bookmarkEnd w:id="277"/>
      <w:bookmarkStart w:id="278" w:name="_Toc184310294"/>
      <w:bookmarkEnd w:id="278"/>
      <w:bookmarkStart w:id="279" w:name="_Toc184308040"/>
      <w:bookmarkEnd w:id="279"/>
      <w:bookmarkStart w:id="280" w:name="_Toc184308104"/>
      <w:bookmarkEnd w:id="280"/>
      <w:bookmarkStart w:id="281" w:name="_Toc184310316"/>
      <w:bookmarkEnd w:id="281"/>
      <w:bookmarkStart w:id="282" w:name="_Toc184310287"/>
      <w:bookmarkEnd w:id="282"/>
      <w:bookmarkStart w:id="283" w:name="_Toc184312088"/>
      <w:bookmarkEnd w:id="283"/>
      <w:bookmarkStart w:id="284" w:name="_Toc184313306"/>
      <w:bookmarkEnd w:id="284"/>
      <w:bookmarkStart w:id="285" w:name="_Toc184308049"/>
      <w:bookmarkEnd w:id="285"/>
      <w:bookmarkStart w:id="286" w:name="_Toc184312067"/>
      <w:bookmarkEnd w:id="286"/>
      <w:bookmarkStart w:id="287" w:name="_Toc184308097"/>
      <w:bookmarkEnd w:id="287"/>
      <w:bookmarkStart w:id="288" w:name="_Toc184308067"/>
      <w:bookmarkEnd w:id="288"/>
      <w:bookmarkStart w:id="289" w:name="_Toc184313264"/>
      <w:bookmarkEnd w:id="289"/>
      <w:bookmarkStart w:id="290" w:name="_Toc184312139"/>
      <w:bookmarkEnd w:id="290"/>
      <w:bookmarkStart w:id="291" w:name="_Toc184310288"/>
      <w:bookmarkEnd w:id="291"/>
      <w:bookmarkStart w:id="292" w:name="_Toc184310301"/>
      <w:bookmarkEnd w:id="292"/>
      <w:bookmarkStart w:id="293" w:name="_Toc184314433"/>
      <w:bookmarkEnd w:id="293"/>
      <w:bookmarkStart w:id="294" w:name="_Toc184313253"/>
      <w:bookmarkEnd w:id="294"/>
      <w:bookmarkStart w:id="295" w:name="_Toc184310291"/>
      <w:bookmarkEnd w:id="295"/>
      <w:bookmarkStart w:id="296" w:name="_Toc184313304"/>
      <w:bookmarkEnd w:id="296"/>
      <w:bookmarkStart w:id="297" w:name="_Toc184310290"/>
      <w:bookmarkEnd w:id="297"/>
      <w:bookmarkStart w:id="298" w:name="_Toc184310310"/>
      <w:bookmarkEnd w:id="298"/>
      <w:bookmarkStart w:id="299" w:name="_Toc184314416"/>
      <w:bookmarkEnd w:id="299"/>
      <w:bookmarkStart w:id="300" w:name="_Toc184313245"/>
      <w:bookmarkEnd w:id="300"/>
      <w:bookmarkStart w:id="301" w:name="_Toc184314468"/>
      <w:bookmarkEnd w:id="301"/>
      <w:bookmarkStart w:id="302" w:name="_Toc184313260"/>
      <w:bookmarkEnd w:id="302"/>
      <w:bookmarkStart w:id="303" w:name="_Toc184312132"/>
      <w:bookmarkEnd w:id="303"/>
      <w:bookmarkStart w:id="304" w:name="_Toc184314463"/>
      <w:bookmarkEnd w:id="304"/>
      <w:bookmarkStart w:id="305" w:name="_Toc184312083"/>
      <w:bookmarkEnd w:id="305"/>
      <w:bookmarkStart w:id="306" w:name="_Toc184314450"/>
      <w:bookmarkEnd w:id="306"/>
      <w:bookmarkStart w:id="307" w:name="_Toc184313284"/>
      <w:bookmarkEnd w:id="307"/>
      <w:bookmarkStart w:id="308" w:name="_Toc184313248"/>
      <w:bookmarkEnd w:id="308"/>
      <w:bookmarkStart w:id="309" w:name="_Toc184308072"/>
      <w:bookmarkEnd w:id="309"/>
      <w:bookmarkStart w:id="310" w:name="_Toc184313288"/>
      <w:bookmarkEnd w:id="310"/>
      <w:bookmarkStart w:id="311" w:name="_Toc184314448"/>
      <w:bookmarkEnd w:id="311"/>
      <w:bookmarkStart w:id="312" w:name="_Toc184310335"/>
      <w:bookmarkEnd w:id="312"/>
      <w:bookmarkStart w:id="313" w:name="_Toc184310331"/>
      <w:bookmarkEnd w:id="313"/>
      <w:bookmarkStart w:id="314" w:name="_Toc184313299"/>
      <w:bookmarkEnd w:id="314"/>
      <w:bookmarkStart w:id="315" w:name="_Toc184308056"/>
      <w:bookmarkEnd w:id="315"/>
      <w:bookmarkStart w:id="316" w:name="_Toc184313262"/>
      <w:bookmarkEnd w:id="316"/>
      <w:bookmarkStart w:id="317" w:name="_Toc184308105"/>
      <w:bookmarkEnd w:id="317"/>
      <w:bookmarkStart w:id="318" w:name="_Toc184313266"/>
      <w:bookmarkEnd w:id="318"/>
      <w:bookmarkStart w:id="319" w:name="_Toc184313246"/>
      <w:bookmarkEnd w:id="319"/>
      <w:bookmarkStart w:id="320" w:name="_Toc184308096"/>
      <w:bookmarkEnd w:id="320"/>
      <w:bookmarkStart w:id="321" w:name="_Toc184312105"/>
      <w:bookmarkEnd w:id="321"/>
      <w:bookmarkStart w:id="322" w:name="_Toc184312127"/>
      <w:bookmarkEnd w:id="322"/>
      <w:bookmarkStart w:id="323" w:name="_Toc184310289"/>
      <w:bookmarkEnd w:id="323"/>
      <w:bookmarkStart w:id="324" w:name="_Toc184313271"/>
      <w:bookmarkEnd w:id="324"/>
      <w:bookmarkStart w:id="325" w:name="_Toc184308046"/>
      <w:bookmarkEnd w:id="325"/>
      <w:bookmarkStart w:id="326" w:name="_Toc184308042"/>
      <w:bookmarkEnd w:id="326"/>
      <w:bookmarkStart w:id="327" w:name="_Toc184314482"/>
      <w:bookmarkEnd w:id="327"/>
      <w:bookmarkStart w:id="328" w:name="_Toc184308075"/>
      <w:bookmarkEnd w:id="328"/>
      <w:bookmarkStart w:id="329" w:name="_Toc184310334"/>
      <w:bookmarkEnd w:id="329"/>
      <w:bookmarkStart w:id="330" w:name="_Toc184312137"/>
      <w:bookmarkEnd w:id="330"/>
      <w:bookmarkStart w:id="331" w:name="_Toc184310293"/>
      <w:bookmarkEnd w:id="331"/>
      <w:bookmarkStart w:id="332" w:name="_Toc184308069"/>
      <w:bookmarkEnd w:id="332"/>
      <w:bookmarkStart w:id="333" w:name="_Toc184308090"/>
      <w:bookmarkEnd w:id="333"/>
      <w:bookmarkStart w:id="334" w:name="_Toc184313278"/>
      <w:bookmarkEnd w:id="334"/>
      <w:bookmarkStart w:id="335" w:name="_Toc184314418"/>
      <w:bookmarkEnd w:id="335"/>
      <w:bookmarkStart w:id="336" w:name="_Toc184310319"/>
      <w:bookmarkEnd w:id="336"/>
      <w:bookmarkStart w:id="337" w:name="_Toc184313263"/>
      <w:bookmarkEnd w:id="337"/>
      <w:bookmarkStart w:id="338" w:name="_Toc184312111"/>
      <w:bookmarkEnd w:id="338"/>
      <w:bookmarkStart w:id="339" w:name="_Toc184314437"/>
      <w:bookmarkEnd w:id="339"/>
      <w:bookmarkStart w:id="340" w:name="_Toc184308044"/>
      <w:bookmarkEnd w:id="340"/>
      <w:bookmarkStart w:id="341" w:name="_Toc184314467"/>
      <w:bookmarkEnd w:id="341"/>
      <w:bookmarkStart w:id="342" w:name="_Toc184308061"/>
      <w:bookmarkEnd w:id="342"/>
      <w:bookmarkStart w:id="343" w:name="_Toc184312101"/>
      <w:bookmarkEnd w:id="343"/>
      <w:bookmarkStart w:id="344" w:name="_Toc184310274"/>
      <w:bookmarkEnd w:id="344"/>
      <w:bookmarkStart w:id="345" w:name="_Toc184308043"/>
      <w:bookmarkEnd w:id="345"/>
      <w:bookmarkStart w:id="346" w:name="_Toc184313275"/>
      <w:bookmarkEnd w:id="346"/>
      <w:bookmarkStart w:id="347" w:name="_Toc184308062"/>
      <w:bookmarkEnd w:id="347"/>
      <w:bookmarkStart w:id="348" w:name="_Toc184313254"/>
      <w:bookmarkEnd w:id="348"/>
      <w:bookmarkStart w:id="349" w:name="_Toc184312116"/>
      <w:bookmarkEnd w:id="349"/>
      <w:bookmarkStart w:id="350" w:name="_Toc184310327"/>
      <w:bookmarkEnd w:id="350"/>
      <w:bookmarkStart w:id="351" w:name="_Toc184314465"/>
      <w:bookmarkEnd w:id="351"/>
      <w:bookmarkStart w:id="352" w:name="_Toc184313279"/>
      <w:bookmarkEnd w:id="352"/>
      <w:bookmarkStart w:id="353" w:name="_Toc184312130"/>
      <w:bookmarkEnd w:id="353"/>
      <w:bookmarkStart w:id="354" w:name="_Toc184312114"/>
      <w:bookmarkEnd w:id="354"/>
      <w:bookmarkStart w:id="355" w:name="_Toc184308058"/>
      <w:bookmarkEnd w:id="355"/>
      <w:bookmarkStart w:id="356" w:name="_Toc184308091"/>
      <w:bookmarkEnd w:id="356"/>
      <w:bookmarkStart w:id="357" w:name="_Toc184310286"/>
      <w:bookmarkEnd w:id="357"/>
      <w:bookmarkStart w:id="358" w:name="_Toc184312080"/>
      <w:bookmarkEnd w:id="358"/>
      <w:bookmarkStart w:id="359" w:name="_Toc184313282"/>
      <w:bookmarkEnd w:id="359"/>
      <w:bookmarkStart w:id="360" w:name="_Toc184310312"/>
      <w:bookmarkEnd w:id="360"/>
      <w:bookmarkStart w:id="361" w:name="_Toc184308094"/>
      <w:bookmarkEnd w:id="361"/>
      <w:bookmarkStart w:id="362" w:name="_Toc184310277"/>
      <w:bookmarkEnd w:id="362"/>
      <w:bookmarkStart w:id="363" w:name="_Toc184314481"/>
      <w:bookmarkEnd w:id="363"/>
      <w:bookmarkStart w:id="364" w:name="_Toc184308068"/>
      <w:bookmarkEnd w:id="364"/>
      <w:bookmarkStart w:id="365" w:name="_Toc184312103"/>
      <w:bookmarkEnd w:id="365"/>
      <w:bookmarkStart w:id="366" w:name="_Toc184308099"/>
      <w:bookmarkEnd w:id="366"/>
      <w:bookmarkStart w:id="367" w:name="_Toc184312093"/>
      <w:bookmarkEnd w:id="367"/>
      <w:bookmarkStart w:id="368" w:name="_Toc184312123"/>
      <w:bookmarkEnd w:id="368"/>
      <w:bookmarkStart w:id="369" w:name="_Toc184308060"/>
      <w:bookmarkEnd w:id="369"/>
      <w:bookmarkStart w:id="370" w:name="_Toc184310317"/>
      <w:bookmarkEnd w:id="370"/>
      <w:bookmarkStart w:id="371" w:name="_Toc184310344"/>
      <w:bookmarkEnd w:id="371"/>
      <w:bookmarkStart w:id="372" w:name="_Toc184312087"/>
      <w:bookmarkEnd w:id="372"/>
      <w:bookmarkStart w:id="373" w:name="_Toc184314422"/>
      <w:bookmarkEnd w:id="373"/>
      <w:bookmarkStart w:id="374" w:name="_Toc184312121"/>
      <w:bookmarkEnd w:id="374"/>
      <w:bookmarkStart w:id="375" w:name="_Toc184308059"/>
      <w:bookmarkEnd w:id="375"/>
      <w:bookmarkStart w:id="376" w:name="_Toc184314414"/>
      <w:bookmarkEnd w:id="376"/>
      <w:bookmarkStart w:id="377" w:name="_Toc184313302"/>
      <w:bookmarkEnd w:id="377"/>
      <w:bookmarkStart w:id="378" w:name="_Toc184312133"/>
      <w:bookmarkEnd w:id="378"/>
      <w:bookmarkStart w:id="379" w:name="_Toc184312118"/>
      <w:bookmarkEnd w:id="379"/>
      <w:bookmarkStart w:id="380" w:name="_Toc184313261"/>
      <w:bookmarkEnd w:id="380"/>
      <w:bookmarkStart w:id="381" w:name="_Toc184314474"/>
      <w:bookmarkEnd w:id="381"/>
      <w:bookmarkStart w:id="382" w:name="_Toc184310302"/>
      <w:bookmarkEnd w:id="382"/>
      <w:bookmarkStart w:id="383" w:name="_Toc184308102"/>
      <w:bookmarkEnd w:id="383"/>
      <w:bookmarkStart w:id="384" w:name="_Toc184308041"/>
      <w:bookmarkEnd w:id="384"/>
      <w:bookmarkStart w:id="385" w:name="_Toc184313241"/>
      <w:bookmarkEnd w:id="385"/>
      <w:bookmarkStart w:id="386" w:name="_Toc184310328"/>
      <w:bookmarkEnd w:id="386"/>
      <w:bookmarkStart w:id="387" w:name="_Toc184314420"/>
      <w:bookmarkEnd w:id="387"/>
      <w:bookmarkStart w:id="388" w:name="_Toc184312126"/>
      <w:bookmarkEnd w:id="388"/>
      <w:bookmarkStart w:id="389" w:name="_Toc184310309"/>
      <w:bookmarkEnd w:id="389"/>
      <w:bookmarkStart w:id="390" w:name="_Toc184308100"/>
      <w:bookmarkEnd w:id="390"/>
      <w:bookmarkStart w:id="391" w:name="_Toc184314456"/>
      <w:bookmarkEnd w:id="391"/>
      <w:bookmarkStart w:id="392" w:name="_Toc184312102"/>
      <w:bookmarkEnd w:id="392"/>
      <w:bookmarkStart w:id="393" w:name="_Toc184308076"/>
      <w:bookmarkEnd w:id="393"/>
      <w:bookmarkStart w:id="394" w:name="_Toc184312071"/>
      <w:bookmarkEnd w:id="394"/>
      <w:bookmarkStart w:id="395" w:name="_Toc184308063"/>
      <w:bookmarkEnd w:id="395"/>
      <w:bookmarkStart w:id="396" w:name="_Toc184308086"/>
      <w:bookmarkEnd w:id="396"/>
      <w:bookmarkStart w:id="397" w:name="_Toc184314446"/>
      <w:bookmarkEnd w:id="397"/>
      <w:bookmarkStart w:id="398" w:name="_Toc184313303"/>
      <w:bookmarkEnd w:id="398"/>
      <w:bookmarkStart w:id="399" w:name="_Toc184314476"/>
      <w:bookmarkEnd w:id="399"/>
      <w:bookmarkStart w:id="400" w:name="_Toc184310318"/>
      <w:bookmarkEnd w:id="400"/>
      <w:bookmarkStart w:id="401" w:name="_Toc184308085"/>
      <w:bookmarkEnd w:id="401"/>
      <w:bookmarkStart w:id="402" w:name="_Toc184314460"/>
      <w:bookmarkEnd w:id="402"/>
      <w:bookmarkStart w:id="403" w:name="_Toc184314472"/>
      <w:bookmarkEnd w:id="403"/>
      <w:bookmarkStart w:id="404" w:name="_Toc184313301"/>
      <w:bookmarkEnd w:id="404"/>
      <w:bookmarkStart w:id="405" w:name="_Toc184308064"/>
      <w:bookmarkEnd w:id="405"/>
      <w:bookmarkStart w:id="406" w:name="_Toc184310313"/>
      <w:bookmarkEnd w:id="406"/>
      <w:bookmarkStart w:id="407" w:name="_Toc184314424"/>
      <w:bookmarkEnd w:id="407"/>
      <w:bookmarkStart w:id="408" w:name="_Toc184314477"/>
      <w:bookmarkEnd w:id="408"/>
      <w:bookmarkStart w:id="409" w:name="_Toc184312136"/>
      <w:bookmarkEnd w:id="409"/>
      <w:r>
        <w:rPr>
          <w:rFonts w:hint="eastAsia" w:ascii="仿宋" w:hAnsi="仿宋" w:eastAsia="仿宋" w:cs="仿宋_GB2312"/>
          <w:b/>
          <w:color w:val="auto"/>
          <w:sz w:val="36"/>
          <w:szCs w:val="36"/>
        </w:rPr>
        <w:t>评标办法</w:t>
      </w:r>
    </w:p>
    <w:p>
      <w:pPr>
        <w:snapToGrid w:val="0"/>
        <w:spacing w:line="360" w:lineRule="auto"/>
        <w:jc w:val="center"/>
        <w:rPr>
          <w:rFonts w:hint="eastAsia"/>
          <w:color w:val="auto"/>
        </w:rPr>
      </w:pPr>
      <w:r>
        <w:rPr>
          <w:rFonts w:hint="eastAsia" w:ascii="仿宋" w:hAnsi="仿宋" w:eastAsia="仿宋" w:cs="仿宋"/>
          <w:b/>
          <w:color w:val="auto"/>
          <w:sz w:val="32"/>
          <w:szCs w:val="20"/>
        </w:rPr>
        <w:t>评标办法前附表</w:t>
      </w:r>
    </w:p>
    <w:tbl>
      <w:tblPr>
        <w:tblStyle w:val="62"/>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975"/>
        <w:gridCol w:w="1477"/>
        <w:gridCol w:w="521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jc w:val="center"/>
              <w:rPr>
                <w:rFonts w:ascii="宋体" w:hAnsi="宋体" w:cs="宋体"/>
                <w:color w:val="auto"/>
                <w:sz w:val="24"/>
              </w:rPr>
            </w:pPr>
            <w:r>
              <w:rPr>
                <w:rFonts w:hint="eastAsia" w:ascii="宋体" w:hAnsi="宋体" w:cs="宋体"/>
                <w:b/>
                <w:bCs/>
                <w:color w:val="auto"/>
                <w:sz w:val="24"/>
              </w:rPr>
              <w:t>序号</w:t>
            </w:r>
          </w:p>
        </w:tc>
        <w:tc>
          <w:tcPr>
            <w:tcW w:w="975" w:type="dxa"/>
            <w:vMerge w:val="restart"/>
            <w:vAlign w:val="center"/>
          </w:tcPr>
          <w:p>
            <w:pPr>
              <w:jc w:val="center"/>
              <w:rPr>
                <w:color w:val="auto"/>
                <w:sz w:val="24"/>
              </w:rPr>
            </w:pPr>
            <w:r>
              <w:rPr>
                <w:rFonts w:hint="eastAsia"/>
                <w:color w:val="auto"/>
                <w:sz w:val="24"/>
                <w:lang w:val="en-US" w:eastAsia="zh-CN"/>
              </w:rPr>
              <w:t>商务</w:t>
            </w:r>
            <w:r>
              <w:rPr>
                <w:rFonts w:hint="eastAsia"/>
                <w:color w:val="auto"/>
                <w:sz w:val="24"/>
              </w:rPr>
              <w:t>资信得分</w:t>
            </w:r>
          </w:p>
          <w:p>
            <w:pPr>
              <w:pStyle w:val="963"/>
              <w:ind w:firstLine="0" w:firstLineChars="0"/>
              <w:jc w:val="center"/>
              <w:rPr>
                <w:color w:val="auto"/>
              </w:rPr>
            </w:pPr>
            <w:r>
              <w:rPr>
                <w:rFonts w:hint="eastAsia" w:ascii="宋体" w:hAnsi="宋体" w:cs="宋体"/>
                <w:color w:val="auto"/>
                <w:sz w:val="24"/>
                <w:szCs w:val="24"/>
              </w:rPr>
              <w:t>（</w:t>
            </w:r>
            <w:r>
              <w:rPr>
                <w:rFonts w:hint="eastAsia" w:ascii="宋体" w:hAnsi="宋体" w:cs="宋体"/>
                <w:color w:val="auto"/>
                <w:sz w:val="24"/>
                <w:szCs w:val="24"/>
                <w:lang w:val="en-US" w:eastAsia="zh-CN"/>
              </w:rPr>
              <w:t>35</w:t>
            </w:r>
            <w:r>
              <w:rPr>
                <w:rFonts w:hint="eastAsia" w:ascii="宋体" w:hAnsi="宋体" w:cs="宋体"/>
                <w:color w:val="auto"/>
                <w:sz w:val="24"/>
                <w:szCs w:val="24"/>
              </w:rPr>
              <w:t>分）</w:t>
            </w:r>
          </w:p>
        </w:tc>
        <w:tc>
          <w:tcPr>
            <w:tcW w:w="1477" w:type="dxa"/>
            <w:vAlign w:val="center"/>
          </w:tcPr>
          <w:p>
            <w:pPr>
              <w:jc w:val="center"/>
              <w:rPr>
                <w:rFonts w:ascii="宋体" w:hAnsi="宋体" w:cs="宋体"/>
                <w:b/>
                <w:bCs/>
                <w:color w:val="auto"/>
                <w:sz w:val="24"/>
              </w:rPr>
            </w:pPr>
            <w:r>
              <w:rPr>
                <w:rFonts w:hint="eastAsia" w:ascii="宋体" w:hAnsi="宋体" w:cs="宋体"/>
                <w:b/>
                <w:bCs/>
                <w:color w:val="auto"/>
                <w:sz w:val="24"/>
              </w:rPr>
              <w:t>评审内容</w:t>
            </w:r>
          </w:p>
        </w:tc>
        <w:tc>
          <w:tcPr>
            <w:tcW w:w="5211" w:type="dxa"/>
            <w:vAlign w:val="center"/>
          </w:tcPr>
          <w:p>
            <w:pPr>
              <w:jc w:val="center"/>
              <w:rPr>
                <w:rFonts w:ascii="宋体" w:hAnsi="宋体" w:cs="宋体"/>
                <w:b/>
                <w:bCs/>
                <w:color w:val="auto"/>
                <w:sz w:val="24"/>
              </w:rPr>
            </w:pPr>
            <w:r>
              <w:rPr>
                <w:rFonts w:hint="eastAsia" w:ascii="宋体" w:hAnsi="宋体" w:cs="宋体"/>
                <w:b/>
                <w:bCs/>
                <w:color w:val="auto"/>
                <w:sz w:val="24"/>
              </w:rPr>
              <w:t>评分因素</w:t>
            </w:r>
          </w:p>
        </w:tc>
        <w:tc>
          <w:tcPr>
            <w:tcW w:w="1012" w:type="dxa"/>
            <w:vAlign w:val="center"/>
          </w:tcPr>
          <w:p>
            <w:pPr>
              <w:jc w:val="center"/>
              <w:rPr>
                <w:rFonts w:ascii="宋体" w:hAnsi="宋体" w:cs="宋体"/>
                <w:b/>
                <w:bCs/>
                <w:color w:val="auto"/>
                <w:sz w:val="24"/>
              </w:rPr>
            </w:pPr>
            <w:r>
              <w:rPr>
                <w:rFonts w:hint="eastAsia" w:ascii="宋体" w:hAnsi="宋体" w:cs="宋体"/>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jc w:val="center"/>
              <w:rPr>
                <w:rFonts w:ascii="宋体" w:hAnsi="宋体" w:cs="宋体"/>
                <w:color w:val="auto"/>
                <w:sz w:val="24"/>
              </w:rPr>
            </w:pPr>
            <w:r>
              <w:rPr>
                <w:rFonts w:ascii="宋体" w:hAnsi="宋体" w:cs="宋体"/>
                <w:color w:val="auto"/>
                <w:sz w:val="24"/>
              </w:rPr>
              <w:t>1</w:t>
            </w:r>
          </w:p>
        </w:tc>
        <w:tc>
          <w:tcPr>
            <w:tcW w:w="975" w:type="dxa"/>
            <w:vMerge w:val="continue"/>
            <w:vAlign w:val="center"/>
          </w:tcPr>
          <w:p>
            <w:pPr>
              <w:jc w:val="center"/>
              <w:rPr>
                <w:rFonts w:ascii="宋体" w:hAnsi="宋体" w:cs="宋体"/>
                <w:color w:val="auto"/>
                <w:sz w:val="24"/>
              </w:rPr>
            </w:pPr>
          </w:p>
        </w:tc>
        <w:tc>
          <w:tcPr>
            <w:tcW w:w="1477" w:type="dxa"/>
            <w:vAlign w:val="center"/>
          </w:tcPr>
          <w:p>
            <w:pPr>
              <w:jc w:val="center"/>
              <w:rPr>
                <w:rFonts w:ascii="宋体" w:hAnsi="宋体" w:cs="宋体"/>
                <w:color w:val="auto"/>
                <w:sz w:val="24"/>
              </w:rPr>
            </w:pPr>
            <w:r>
              <w:rPr>
                <w:rFonts w:hint="eastAsia" w:ascii="宋体" w:hAnsi="宋体" w:cs="宋体"/>
                <w:color w:val="auto"/>
                <w:sz w:val="24"/>
              </w:rPr>
              <w:t>投标人信用</w:t>
            </w:r>
          </w:p>
        </w:tc>
        <w:tc>
          <w:tcPr>
            <w:tcW w:w="5211" w:type="dxa"/>
            <w:vAlign w:val="center"/>
          </w:tcPr>
          <w:p>
            <w:pPr>
              <w:spacing w:line="360" w:lineRule="auto"/>
              <w:jc w:val="left"/>
              <w:rPr>
                <w:rFonts w:ascii="宋体" w:hAnsi="宋体"/>
                <w:color w:val="auto"/>
                <w:sz w:val="24"/>
              </w:rPr>
            </w:pPr>
            <w:r>
              <w:rPr>
                <w:rFonts w:hint="eastAsia" w:ascii="宋体" w:hAnsi="宋体"/>
                <w:color w:val="auto"/>
                <w:sz w:val="24"/>
              </w:rPr>
              <w:t>投标人取得地市级以上工商行政主管部门（或市场监督管理）颁发的“守合同重信用”证书的，连续三年得</w:t>
            </w:r>
            <w:r>
              <w:rPr>
                <w:rFonts w:ascii="宋体" w:hAnsi="宋体"/>
                <w:color w:val="auto"/>
                <w:sz w:val="24"/>
              </w:rPr>
              <w:t>5</w:t>
            </w:r>
            <w:r>
              <w:rPr>
                <w:rFonts w:hint="eastAsia" w:ascii="宋体" w:hAnsi="宋体"/>
                <w:color w:val="auto"/>
                <w:sz w:val="24"/>
              </w:rPr>
              <w:t>分。不能连续获得的得</w:t>
            </w:r>
            <w:r>
              <w:rPr>
                <w:rFonts w:ascii="宋体" w:hAnsi="宋体"/>
                <w:color w:val="auto"/>
                <w:sz w:val="24"/>
              </w:rPr>
              <w:t>2</w:t>
            </w:r>
            <w:r>
              <w:rPr>
                <w:rFonts w:hint="eastAsia" w:ascii="宋体" w:hAnsi="宋体"/>
                <w:color w:val="auto"/>
                <w:sz w:val="24"/>
              </w:rPr>
              <w:t>分</w:t>
            </w:r>
            <w:r>
              <w:rPr>
                <w:rFonts w:hint="eastAsia" w:ascii="宋体" w:hAnsi="宋体" w:cs="宋体"/>
                <w:color w:val="auto"/>
                <w:sz w:val="24"/>
              </w:rPr>
              <w:t>（须提供相应证明材料的扫描件或复印件加盖单位公章，无不得分）</w:t>
            </w:r>
          </w:p>
        </w:tc>
        <w:tc>
          <w:tcPr>
            <w:tcW w:w="1012" w:type="dxa"/>
            <w:vAlign w:val="center"/>
          </w:tcPr>
          <w:p>
            <w:pPr>
              <w:jc w:val="center"/>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738" w:type="dxa"/>
            <w:vAlign w:val="center"/>
          </w:tcPr>
          <w:p>
            <w:pPr>
              <w:jc w:val="center"/>
              <w:rPr>
                <w:rFonts w:ascii="宋体" w:hAnsi="宋体" w:cs="宋体"/>
                <w:color w:val="auto"/>
                <w:sz w:val="24"/>
              </w:rPr>
            </w:pPr>
            <w:r>
              <w:rPr>
                <w:rFonts w:ascii="宋体" w:hAnsi="宋体" w:cs="宋体"/>
                <w:color w:val="auto"/>
                <w:sz w:val="24"/>
              </w:rPr>
              <w:t>2</w:t>
            </w:r>
          </w:p>
        </w:tc>
        <w:tc>
          <w:tcPr>
            <w:tcW w:w="975" w:type="dxa"/>
            <w:vMerge w:val="continue"/>
            <w:vAlign w:val="center"/>
          </w:tcPr>
          <w:p>
            <w:pPr>
              <w:jc w:val="center"/>
              <w:rPr>
                <w:rFonts w:ascii="宋体" w:hAnsi="宋体" w:cs="宋体"/>
                <w:color w:val="auto"/>
                <w:sz w:val="24"/>
              </w:rPr>
            </w:pPr>
          </w:p>
        </w:tc>
        <w:tc>
          <w:tcPr>
            <w:tcW w:w="1477" w:type="dxa"/>
            <w:vAlign w:val="center"/>
          </w:tcPr>
          <w:p>
            <w:pPr>
              <w:jc w:val="center"/>
              <w:rPr>
                <w:rFonts w:ascii="宋体" w:hAnsi="宋体" w:cs="宋体"/>
                <w:color w:val="auto"/>
                <w:sz w:val="24"/>
              </w:rPr>
            </w:pPr>
            <w:r>
              <w:rPr>
                <w:rFonts w:hint="eastAsia" w:ascii="宋体" w:hAnsi="宋体" w:cs="宋体"/>
                <w:color w:val="auto"/>
                <w:sz w:val="24"/>
              </w:rPr>
              <w:t>项目团队</w:t>
            </w:r>
          </w:p>
        </w:tc>
        <w:tc>
          <w:tcPr>
            <w:tcW w:w="5211" w:type="dxa"/>
            <w:vAlign w:val="center"/>
          </w:tcPr>
          <w:p>
            <w:pPr>
              <w:spacing w:line="360" w:lineRule="auto"/>
              <w:jc w:val="left"/>
              <w:rPr>
                <w:rFonts w:ascii="宋体" w:hAnsi="宋体" w:cs="宋体"/>
                <w:color w:val="auto"/>
                <w:sz w:val="24"/>
              </w:rPr>
            </w:pPr>
            <w:r>
              <w:rPr>
                <w:rFonts w:hint="eastAsia" w:ascii="宋体" w:hAnsi="宋体" w:cs="宋体"/>
                <w:color w:val="auto"/>
                <w:sz w:val="24"/>
              </w:rPr>
              <w:t>1、投标人项目负责人具有省级及以上人力资源和社会保障厅颁发的高级项目管理师得4分。（须提供相应证明材料的扫描件或复印件加盖单位公章，并提供人员近三个月社保缴纳证明材料无不得分）</w:t>
            </w:r>
          </w:p>
          <w:p>
            <w:pPr>
              <w:spacing w:line="360" w:lineRule="auto"/>
              <w:jc w:val="left"/>
              <w:rPr>
                <w:rFonts w:ascii="宋体" w:hAnsi="宋体" w:cs="宋体"/>
                <w:color w:val="auto"/>
                <w:sz w:val="24"/>
              </w:rPr>
            </w:pPr>
            <w:r>
              <w:rPr>
                <w:rFonts w:hint="eastAsia" w:hAnsi="宋体" w:cs="宋体"/>
                <w:color w:val="auto"/>
                <w:sz w:val="24"/>
              </w:rPr>
              <w:t>2、项目团队人员具有垃圾分类项目经理证书的，高级的4分，中级得</w:t>
            </w:r>
            <w:r>
              <w:rPr>
                <w:rFonts w:hint="eastAsia" w:hAnsi="宋体" w:cs="宋体"/>
                <w:color w:val="auto"/>
                <w:sz w:val="24"/>
                <w:lang w:val="en-US" w:eastAsia="zh-CN"/>
              </w:rPr>
              <w:t>2</w:t>
            </w:r>
            <w:r>
              <w:rPr>
                <w:rFonts w:hint="eastAsia" w:hAnsi="宋体" w:cs="宋体"/>
                <w:color w:val="auto"/>
                <w:sz w:val="24"/>
              </w:rPr>
              <w:t>分，无不得分。具有企业人力资源管理师证书的一级得4分，二级得</w:t>
            </w:r>
            <w:r>
              <w:rPr>
                <w:rFonts w:hint="eastAsia" w:hAnsi="宋体" w:cs="宋体"/>
                <w:color w:val="auto"/>
                <w:sz w:val="24"/>
                <w:lang w:val="en-US" w:eastAsia="zh-CN"/>
              </w:rPr>
              <w:t>2</w:t>
            </w:r>
            <w:r>
              <w:rPr>
                <w:rFonts w:hint="eastAsia" w:hAnsi="宋体" w:cs="宋体"/>
                <w:color w:val="auto"/>
                <w:sz w:val="24"/>
              </w:rPr>
              <w:t>分，无不得分</w:t>
            </w:r>
            <w:r>
              <w:rPr>
                <w:rFonts w:hint="eastAsia" w:ascii="宋体" w:hAnsi="宋体" w:cs="宋体"/>
                <w:color w:val="auto"/>
                <w:sz w:val="24"/>
              </w:rPr>
              <w:t>（须提供相应证明材料的扫描件或复印件加盖单位公章，并提供人员近三个月社保缴纳证明材料无不得分）</w:t>
            </w:r>
          </w:p>
        </w:tc>
        <w:tc>
          <w:tcPr>
            <w:tcW w:w="1012" w:type="dxa"/>
            <w:vAlign w:val="center"/>
          </w:tcPr>
          <w:p>
            <w:pPr>
              <w:jc w:val="center"/>
              <w:rPr>
                <w:rFonts w:ascii="宋体" w:hAnsi="宋体" w:cs="宋体"/>
                <w:color w:val="auto"/>
                <w:sz w:val="24"/>
              </w:rPr>
            </w:pPr>
            <w:r>
              <w:rPr>
                <w:rFonts w:hint="eastAsia" w:ascii="宋体" w:hAnsi="宋体" w:cs="宋体"/>
                <w:color w:val="auto"/>
                <w:sz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jc w:val="center"/>
              <w:rPr>
                <w:rFonts w:ascii="宋体" w:hAnsi="宋体" w:cs="宋体"/>
                <w:color w:val="auto"/>
                <w:sz w:val="24"/>
              </w:rPr>
            </w:pPr>
            <w:r>
              <w:rPr>
                <w:rFonts w:ascii="宋体" w:hAnsi="宋体" w:cs="宋体"/>
                <w:color w:val="auto"/>
                <w:sz w:val="24"/>
              </w:rPr>
              <w:t>3</w:t>
            </w:r>
          </w:p>
        </w:tc>
        <w:tc>
          <w:tcPr>
            <w:tcW w:w="975" w:type="dxa"/>
            <w:vMerge w:val="continue"/>
            <w:vAlign w:val="center"/>
          </w:tcPr>
          <w:p>
            <w:pPr>
              <w:jc w:val="center"/>
              <w:rPr>
                <w:rFonts w:ascii="宋体" w:hAnsi="宋体" w:cs="宋体"/>
                <w:color w:val="auto"/>
                <w:sz w:val="24"/>
              </w:rPr>
            </w:pPr>
          </w:p>
        </w:tc>
        <w:tc>
          <w:tcPr>
            <w:tcW w:w="1477" w:type="dxa"/>
            <w:vAlign w:val="center"/>
          </w:tcPr>
          <w:p>
            <w:pPr>
              <w:jc w:val="center"/>
              <w:rPr>
                <w:rFonts w:ascii="宋体" w:hAnsi="宋体" w:cs="宋体"/>
                <w:color w:val="auto"/>
                <w:sz w:val="24"/>
              </w:rPr>
            </w:pPr>
            <w:r>
              <w:rPr>
                <w:rFonts w:hint="eastAsia" w:ascii="宋体" w:hAnsi="宋体" w:cs="宋体"/>
                <w:color w:val="auto"/>
                <w:sz w:val="24"/>
              </w:rPr>
              <w:t>投标人管理能力</w:t>
            </w:r>
          </w:p>
        </w:tc>
        <w:tc>
          <w:tcPr>
            <w:tcW w:w="5211" w:type="dxa"/>
            <w:vAlign w:val="center"/>
          </w:tcPr>
          <w:p>
            <w:pPr>
              <w:jc w:val="left"/>
              <w:rPr>
                <w:rFonts w:ascii="宋体" w:hAnsi="宋体" w:cs="宋体"/>
                <w:color w:val="auto"/>
                <w:sz w:val="24"/>
              </w:rPr>
            </w:pPr>
            <w:r>
              <w:rPr>
                <w:rFonts w:hint="eastAsia" w:ascii="宋体" w:hAnsi="宋体" w:cs="宋体"/>
                <w:color w:val="auto"/>
                <w:sz w:val="24"/>
              </w:rPr>
              <w:t>投标人具有质量管理体系认证证书、环境管理体系认证证书、职业健康安全管理体系认证证书且认证范围包含“垃圾分类服务”的，每提供一个得3分，满分9分，无不得分。（须提供有效期内的证明材料的扫描件或复印件加盖单位公章，无不得分）</w:t>
            </w:r>
          </w:p>
        </w:tc>
        <w:tc>
          <w:tcPr>
            <w:tcW w:w="1012" w:type="dxa"/>
            <w:vAlign w:val="center"/>
          </w:tcPr>
          <w:p>
            <w:pPr>
              <w:jc w:val="center"/>
              <w:rPr>
                <w:rFonts w:ascii="宋体" w:hAnsi="宋体" w:cs="宋体"/>
                <w:color w:val="auto"/>
                <w:sz w:val="24"/>
              </w:rPr>
            </w:pPr>
            <w:r>
              <w:rPr>
                <w:rFonts w:hint="eastAsia" w:ascii="宋体" w:hAnsi="宋体" w:cs="宋体"/>
                <w:color w:val="auto"/>
                <w:sz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jc w:val="center"/>
              <w:rPr>
                <w:rFonts w:ascii="宋体" w:hAnsi="宋体" w:cs="宋体"/>
                <w:color w:val="auto"/>
                <w:sz w:val="24"/>
              </w:rPr>
            </w:pPr>
            <w:r>
              <w:rPr>
                <w:rFonts w:ascii="宋体" w:hAnsi="宋体" w:cs="宋体"/>
                <w:color w:val="auto"/>
                <w:sz w:val="24"/>
              </w:rPr>
              <w:t>4</w:t>
            </w:r>
          </w:p>
        </w:tc>
        <w:tc>
          <w:tcPr>
            <w:tcW w:w="975" w:type="dxa"/>
            <w:vMerge w:val="continue"/>
            <w:vAlign w:val="center"/>
          </w:tcPr>
          <w:p>
            <w:pPr>
              <w:jc w:val="center"/>
              <w:rPr>
                <w:rFonts w:ascii="宋体" w:hAnsi="宋体" w:cs="宋体"/>
                <w:color w:val="auto"/>
                <w:sz w:val="24"/>
              </w:rPr>
            </w:pPr>
          </w:p>
        </w:tc>
        <w:tc>
          <w:tcPr>
            <w:tcW w:w="1477" w:type="dxa"/>
            <w:vAlign w:val="center"/>
          </w:tcPr>
          <w:p>
            <w:pPr>
              <w:jc w:val="center"/>
              <w:rPr>
                <w:rFonts w:ascii="宋体" w:hAnsi="宋体" w:cs="宋体"/>
                <w:color w:val="auto"/>
                <w:sz w:val="24"/>
              </w:rPr>
            </w:pPr>
            <w:r>
              <w:rPr>
                <w:rFonts w:hint="eastAsia" w:ascii="宋体" w:hAnsi="宋体" w:cs="宋体"/>
                <w:color w:val="auto"/>
                <w:sz w:val="24"/>
              </w:rPr>
              <w:t>同类业绩</w:t>
            </w:r>
          </w:p>
        </w:tc>
        <w:tc>
          <w:tcPr>
            <w:tcW w:w="5211" w:type="dxa"/>
            <w:vAlign w:val="center"/>
          </w:tcPr>
          <w:p>
            <w:pPr>
              <w:jc w:val="left"/>
              <w:rPr>
                <w:rFonts w:ascii="宋体" w:hAnsi="宋体" w:cs="宋体"/>
                <w:color w:val="auto"/>
                <w:sz w:val="24"/>
              </w:rPr>
            </w:pPr>
            <w:r>
              <w:rPr>
                <w:rFonts w:hint="eastAsia" w:ascii="宋体" w:hAnsi="宋体" w:cs="宋体"/>
                <w:color w:val="auto"/>
                <w:sz w:val="24"/>
              </w:rPr>
              <w:t>201</w:t>
            </w:r>
            <w:r>
              <w:rPr>
                <w:rFonts w:ascii="宋体" w:hAnsi="宋体" w:cs="宋体"/>
                <w:color w:val="auto"/>
                <w:sz w:val="24"/>
              </w:rPr>
              <w:t>8</w:t>
            </w:r>
            <w:r>
              <w:rPr>
                <w:rFonts w:hint="eastAsia" w:ascii="宋体" w:hAnsi="宋体" w:cs="宋体"/>
                <w:color w:val="auto"/>
                <w:sz w:val="24"/>
              </w:rPr>
              <w:t>年1月1日以来（以合同签订时间为准）供应商承担过类似项目业绩，每提供一份得</w:t>
            </w:r>
            <w:r>
              <w:rPr>
                <w:rFonts w:hint="eastAsia" w:ascii="宋体" w:hAnsi="宋体" w:cs="宋体"/>
                <w:color w:val="auto"/>
                <w:sz w:val="24"/>
                <w:lang w:val="en-US" w:eastAsia="zh-CN"/>
              </w:rPr>
              <w:t>0.5</w:t>
            </w:r>
            <w:r>
              <w:rPr>
                <w:rFonts w:hint="eastAsia" w:ascii="宋体" w:hAnsi="宋体" w:cs="宋体"/>
                <w:color w:val="auto"/>
                <w:sz w:val="24"/>
              </w:rPr>
              <w:t>分，最多得</w:t>
            </w:r>
            <w:r>
              <w:rPr>
                <w:rFonts w:hint="eastAsia" w:ascii="宋体" w:hAnsi="宋体" w:cs="宋体"/>
                <w:color w:val="auto"/>
                <w:sz w:val="24"/>
                <w:lang w:val="en-US" w:eastAsia="zh-CN"/>
              </w:rPr>
              <w:t>1</w:t>
            </w:r>
            <w:r>
              <w:rPr>
                <w:rFonts w:hint="eastAsia" w:ascii="宋体" w:hAnsi="宋体" w:cs="宋体"/>
                <w:color w:val="auto"/>
                <w:sz w:val="24"/>
              </w:rPr>
              <w:t>分。（须提供相应证明材料的扫描件或复印件加盖单位公章，提供合同扫描件或复印件，时间认定以合同签订时间为准，无不得分）</w:t>
            </w:r>
          </w:p>
        </w:tc>
        <w:tc>
          <w:tcPr>
            <w:tcW w:w="1012" w:type="dxa"/>
            <w:vAlign w:val="center"/>
          </w:tcPr>
          <w:p>
            <w:pPr>
              <w:jc w:val="center"/>
              <w:rPr>
                <w:rFonts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1</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jc w:val="center"/>
              <w:rPr>
                <w:rFonts w:ascii="宋体" w:hAnsi="宋体" w:cs="宋体"/>
                <w:color w:val="auto"/>
                <w:sz w:val="24"/>
              </w:rPr>
            </w:pPr>
            <w:r>
              <w:rPr>
                <w:rFonts w:hint="eastAsia" w:ascii="宋体" w:hAnsi="宋体" w:cs="宋体"/>
                <w:color w:val="auto"/>
                <w:sz w:val="24"/>
              </w:rPr>
              <w:t>5</w:t>
            </w:r>
          </w:p>
        </w:tc>
        <w:tc>
          <w:tcPr>
            <w:tcW w:w="975" w:type="dxa"/>
            <w:vMerge w:val="continue"/>
            <w:vAlign w:val="center"/>
          </w:tcPr>
          <w:p>
            <w:pPr>
              <w:jc w:val="center"/>
              <w:rPr>
                <w:rFonts w:ascii="宋体" w:hAnsi="宋体" w:cs="宋体"/>
                <w:color w:val="auto"/>
                <w:sz w:val="24"/>
              </w:rPr>
            </w:pPr>
          </w:p>
        </w:tc>
        <w:tc>
          <w:tcPr>
            <w:tcW w:w="1477" w:type="dxa"/>
            <w:vAlign w:val="center"/>
          </w:tcPr>
          <w:p>
            <w:pPr>
              <w:jc w:val="center"/>
              <w:rPr>
                <w:rFonts w:ascii="宋体" w:hAnsi="宋体" w:cs="宋体"/>
                <w:color w:val="auto"/>
                <w:sz w:val="24"/>
              </w:rPr>
            </w:pPr>
            <w:r>
              <w:rPr>
                <w:rFonts w:hint="eastAsia" w:ascii="宋体" w:hAnsi="宋体" w:cs="宋体"/>
                <w:color w:val="auto"/>
                <w:sz w:val="24"/>
              </w:rPr>
              <w:t>著作权</w:t>
            </w:r>
          </w:p>
        </w:tc>
        <w:tc>
          <w:tcPr>
            <w:tcW w:w="5211" w:type="dxa"/>
            <w:vAlign w:val="center"/>
          </w:tcPr>
          <w:p>
            <w:pPr>
              <w:jc w:val="left"/>
              <w:rPr>
                <w:rFonts w:ascii="宋体" w:hAnsi="宋体" w:cs="宋体"/>
                <w:color w:val="auto"/>
                <w:sz w:val="24"/>
              </w:rPr>
            </w:pPr>
            <w:r>
              <w:rPr>
                <w:rFonts w:hint="eastAsia" w:ascii="宋体" w:hAnsi="宋体" w:cs="宋体"/>
                <w:color w:val="auto"/>
                <w:sz w:val="24"/>
              </w:rPr>
              <w:t>投标人具有智能垃圾分类管理系统、垃圾处置智能监管系统的，每提供一个得</w:t>
            </w:r>
            <w:r>
              <w:rPr>
                <w:rFonts w:hint="eastAsia" w:ascii="宋体" w:hAnsi="宋体" w:cs="宋体"/>
                <w:color w:val="auto"/>
                <w:sz w:val="24"/>
                <w:lang w:val="en-US" w:eastAsia="zh-CN"/>
              </w:rPr>
              <w:t>4</w:t>
            </w:r>
            <w:r>
              <w:rPr>
                <w:rFonts w:hint="eastAsia" w:ascii="宋体" w:hAnsi="宋体" w:cs="宋体"/>
                <w:color w:val="auto"/>
                <w:sz w:val="24"/>
              </w:rPr>
              <w:t>分，最多</w:t>
            </w:r>
            <w:r>
              <w:rPr>
                <w:rFonts w:hint="eastAsia" w:ascii="宋体" w:hAnsi="宋体" w:cs="宋体"/>
                <w:color w:val="auto"/>
                <w:sz w:val="24"/>
                <w:lang w:val="en-US" w:eastAsia="zh-CN"/>
              </w:rPr>
              <w:t>8</w:t>
            </w:r>
            <w:r>
              <w:rPr>
                <w:rFonts w:hint="eastAsia" w:ascii="宋体" w:hAnsi="宋体" w:cs="宋体"/>
                <w:color w:val="auto"/>
                <w:sz w:val="24"/>
              </w:rPr>
              <w:t>分（须提供有效期内的证明材料的扫描件或复印件加盖单位公章，无不得分）</w:t>
            </w:r>
          </w:p>
        </w:tc>
        <w:tc>
          <w:tcPr>
            <w:tcW w:w="1012" w:type="dxa"/>
            <w:vAlign w:val="center"/>
          </w:tcPr>
          <w:p>
            <w:pPr>
              <w:jc w:val="center"/>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9413" w:type="dxa"/>
            <w:gridSpan w:val="5"/>
            <w:vAlign w:val="center"/>
          </w:tcPr>
          <w:p>
            <w:pPr>
              <w:widowControl/>
              <w:snapToGrid w:val="0"/>
              <w:spacing w:line="300" w:lineRule="exact"/>
              <w:ind w:firstLine="240" w:firstLineChars="100"/>
              <w:textAlignment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1</w:t>
            </w:r>
          </w:p>
        </w:tc>
        <w:tc>
          <w:tcPr>
            <w:tcW w:w="975" w:type="dxa"/>
            <w:vMerge w:val="restart"/>
            <w:vAlign w:val="center"/>
          </w:tcPr>
          <w:p>
            <w:pPr>
              <w:widowControl/>
              <w:snapToGrid w:val="0"/>
              <w:spacing w:line="3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技术得分（5</w:t>
            </w:r>
            <w:r>
              <w:rPr>
                <w:rFonts w:hint="eastAsia" w:ascii="宋体" w:hAnsi="宋体" w:cs="宋体"/>
                <w:bCs/>
                <w:color w:val="auto"/>
                <w:kern w:val="0"/>
                <w:sz w:val="24"/>
                <w:lang w:val="en-US" w:eastAsia="zh-CN"/>
              </w:rPr>
              <w:t>5</w:t>
            </w:r>
            <w:r>
              <w:rPr>
                <w:rFonts w:hint="eastAsia" w:ascii="宋体" w:hAnsi="宋体" w:cs="宋体"/>
                <w:bCs/>
                <w:color w:val="auto"/>
                <w:kern w:val="0"/>
                <w:sz w:val="24"/>
              </w:rPr>
              <w:t>分）</w:t>
            </w:r>
          </w:p>
        </w:tc>
        <w:tc>
          <w:tcPr>
            <w:tcW w:w="1477" w:type="dxa"/>
            <w:vMerge w:val="restart"/>
            <w:vAlign w:val="center"/>
          </w:tcPr>
          <w:p>
            <w:pPr>
              <w:widowControl/>
              <w:snapToGrid w:val="0"/>
              <w:spacing w:line="300" w:lineRule="exact"/>
              <w:jc w:val="center"/>
              <w:textAlignment w:val="center"/>
              <w:rPr>
                <w:rFonts w:ascii="宋体" w:hAnsi="宋体" w:cs="宋体"/>
                <w:bCs/>
                <w:color w:val="auto"/>
                <w:kern w:val="0"/>
                <w:sz w:val="24"/>
              </w:rPr>
            </w:pPr>
            <w:r>
              <w:rPr>
                <w:rFonts w:hint="eastAsia" w:ascii="宋体" w:hAnsi="宋体" w:cs="宋体"/>
                <w:bCs/>
                <w:color w:val="auto"/>
                <w:kern w:val="0"/>
                <w:sz w:val="24"/>
                <w:lang w:val="en-US" w:eastAsia="zh-CN"/>
              </w:rPr>
              <w:t>方案</w:t>
            </w:r>
            <w:r>
              <w:rPr>
                <w:rFonts w:hint="eastAsia" w:ascii="宋体" w:hAnsi="宋体" w:cs="宋体"/>
                <w:bCs/>
                <w:color w:val="auto"/>
                <w:kern w:val="0"/>
                <w:sz w:val="24"/>
              </w:rPr>
              <w:t>总体理解</w:t>
            </w:r>
          </w:p>
        </w:tc>
        <w:tc>
          <w:tcPr>
            <w:tcW w:w="5211" w:type="dxa"/>
            <w:vAlign w:val="center"/>
          </w:tcPr>
          <w:p>
            <w:pPr>
              <w:widowControl/>
              <w:snapToGrid w:val="0"/>
              <w:spacing w:line="300" w:lineRule="exact"/>
              <w:jc w:val="left"/>
              <w:textAlignment w:val="center"/>
              <w:rPr>
                <w:rFonts w:ascii="宋体" w:hAnsi="宋体" w:cs="宋体"/>
                <w:bCs/>
                <w:color w:val="auto"/>
                <w:kern w:val="0"/>
                <w:sz w:val="24"/>
              </w:rPr>
            </w:pPr>
            <w:r>
              <w:rPr>
                <w:rFonts w:hint="eastAsia" w:ascii="宋体" w:hAnsi="宋体" w:cs="宋体"/>
                <w:bCs/>
                <w:color w:val="auto"/>
                <w:kern w:val="0"/>
                <w:sz w:val="24"/>
              </w:rPr>
              <w:t>对项目现状描述是否理解清晰、重点突出</w:t>
            </w:r>
          </w:p>
        </w:tc>
        <w:tc>
          <w:tcPr>
            <w:tcW w:w="1012"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0-</w:t>
            </w:r>
            <w:r>
              <w:rPr>
                <w:rFonts w:ascii="宋体" w:hAnsi="宋体" w:cs="宋体"/>
                <w:bCs/>
                <w:color w:val="auto"/>
                <w:kern w:val="0"/>
                <w:sz w:val="24"/>
              </w:rPr>
              <w:t>5</w:t>
            </w:r>
            <w:r>
              <w:rPr>
                <w:rFonts w:hint="eastAsia" w:ascii="宋体" w:hAnsi="宋体" w:cs="宋体"/>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2</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Merge w:val="continue"/>
            <w:vAlign w:val="center"/>
          </w:tcPr>
          <w:p>
            <w:pPr>
              <w:widowControl/>
              <w:snapToGrid w:val="0"/>
              <w:spacing w:line="300" w:lineRule="exact"/>
              <w:jc w:val="center"/>
              <w:textAlignment w:val="center"/>
              <w:rPr>
                <w:rFonts w:ascii="宋体" w:hAnsi="宋体" w:cs="宋体"/>
                <w:bCs/>
                <w:color w:val="auto"/>
                <w:kern w:val="0"/>
                <w:sz w:val="24"/>
              </w:rPr>
            </w:pPr>
          </w:p>
        </w:tc>
        <w:tc>
          <w:tcPr>
            <w:tcW w:w="5211" w:type="dxa"/>
            <w:vAlign w:val="center"/>
          </w:tcPr>
          <w:p>
            <w:pPr>
              <w:widowControl/>
              <w:snapToGrid w:val="0"/>
              <w:spacing w:line="300" w:lineRule="exact"/>
              <w:jc w:val="left"/>
              <w:textAlignment w:val="center"/>
              <w:rPr>
                <w:rFonts w:ascii="宋体" w:hAnsi="宋体" w:cs="宋体"/>
                <w:bCs/>
                <w:color w:val="auto"/>
                <w:kern w:val="0"/>
                <w:sz w:val="24"/>
              </w:rPr>
            </w:pPr>
            <w:r>
              <w:rPr>
                <w:rFonts w:hint="eastAsia" w:ascii="宋体" w:hAnsi="宋体" w:cs="宋体"/>
                <w:bCs/>
                <w:color w:val="auto"/>
                <w:kern w:val="0"/>
                <w:sz w:val="24"/>
              </w:rPr>
              <w:t>对项目实施过程中可能遇到的存在问题是否了解</w:t>
            </w:r>
          </w:p>
        </w:tc>
        <w:tc>
          <w:tcPr>
            <w:tcW w:w="1012"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0-</w:t>
            </w:r>
            <w:r>
              <w:rPr>
                <w:rFonts w:hint="eastAsia" w:ascii="宋体" w:hAnsi="宋体" w:cs="宋体"/>
                <w:bCs/>
                <w:color w:val="auto"/>
                <w:kern w:val="0"/>
                <w:sz w:val="24"/>
                <w:lang w:val="en-US" w:eastAsia="zh-CN"/>
              </w:rPr>
              <w:t>5</w:t>
            </w:r>
            <w:r>
              <w:rPr>
                <w:rFonts w:hint="eastAsia" w:ascii="宋体" w:hAnsi="宋体" w:cs="宋体"/>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3</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Merge w:val="continue"/>
            <w:vAlign w:val="center"/>
          </w:tcPr>
          <w:p>
            <w:pPr>
              <w:widowControl/>
              <w:snapToGrid w:val="0"/>
              <w:spacing w:line="300" w:lineRule="exact"/>
              <w:jc w:val="center"/>
              <w:textAlignment w:val="center"/>
              <w:rPr>
                <w:rFonts w:ascii="宋体" w:hAnsi="宋体" w:cs="宋体"/>
                <w:bCs/>
                <w:color w:val="auto"/>
                <w:kern w:val="0"/>
                <w:sz w:val="24"/>
              </w:rPr>
            </w:pPr>
          </w:p>
        </w:tc>
        <w:tc>
          <w:tcPr>
            <w:tcW w:w="5211" w:type="dxa"/>
            <w:vAlign w:val="center"/>
          </w:tcPr>
          <w:p>
            <w:pPr>
              <w:widowControl/>
              <w:snapToGrid w:val="0"/>
              <w:spacing w:line="300" w:lineRule="exact"/>
              <w:jc w:val="left"/>
              <w:textAlignment w:val="center"/>
              <w:rPr>
                <w:rFonts w:ascii="宋体" w:hAnsi="宋体" w:cs="宋体"/>
                <w:bCs/>
                <w:color w:val="auto"/>
                <w:kern w:val="0"/>
                <w:sz w:val="24"/>
              </w:rPr>
            </w:pPr>
            <w:r>
              <w:rPr>
                <w:rFonts w:hint="eastAsia" w:ascii="宋体" w:hAnsi="宋体" w:cs="宋体"/>
                <w:bCs/>
                <w:color w:val="auto"/>
                <w:kern w:val="0"/>
                <w:sz w:val="24"/>
              </w:rPr>
              <w:t>针对所了解的存在问题是否有合理且有效的解决办法</w:t>
            </w:r>
          </w:p>
        </w:tc>
        <w:tc>
          <w:tcPr>
            <w:tcW w:w="1012"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0-</w:t>
            </w:r>
            <w:r>
              <w:rPr>
                <w:rFonts w:hint="eastAsia" w:ascii="宋体" w:hAnsi="宋体" w:cs="宋体"/>
                <w:bCs/>
                <w:color w:val="auto"/>
                <w:kern w:val="0"/>
                <w:sz w:val="24"/>
                <w:lang w:val="en-US" w:eastAsia="zh-CN"/>
              </w:rPr>
              <w:t>5</w:t>
            </w:r>
            <w:r>
              <w:rPr>
                <w:rFonts w:hint="eastAsia" w:ascii="宋体" w:hAnsi="宋体" w:cs="宋体"/>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4</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Merge w:val="continue"/>
            <w:vAlign w:val="center"/>
          </w:tcPr>
          <w:p>
            <w:pPr>
              <w:widowControl/>
              <w:snapToGrid w:val="0"/>
              <w:spacing w:line="300" w:lineRule="exact"/>
              <w:jc w:val="center"/>
              <w:textAlignment w:val="center"/>
              <w:rPr>
                <w:rFonts w:ascii="宋体" w:hAnsi="宋体" w:cs="宋体"/>
                <w:bCs/>
                <w:color w:val="auto"/>
                <w:kern w:val="0"/>
                <w:sz w:val="24"/>
              </w:rPr>
            </w:pPr>
          </w:p>
        </w:tc>
        <w:tc>
          <w:tcPr>
            <w:tcW w:w="5211" w:type="dxa"/>
            <w:vAlign w:val="center"/>
          </w:tcPr>
          <w:p>
            <w:pPr>
              <w:widowControl/>
              <w:snapToGrid w:val="0"/>
              <w:spacing w:line="300" w:lineRule="exact"/>
              <w:jc w:val="left"/>
              <w:textAlignment w:val="center"/>
              <w:rPr>
                <w:rFonts w:ascii="宋体" w:hAnsi="宋体" w:cs="宋体"/>
                <w:bCs/>
                <w:color w:val="auto"/>
                <w:kern w:val="0"/>
                <w:sz w:val="24"/>
              </w:rPr>
            </w:pPr>
            <w:r>
              <w:rPr>
                <w:rFonts w:hint="eastAsia" w:ascii="宋体" w:hAnsi="宋体" w:cs="宋体"/>
                <w:bCs/>
                <w:color w:val="auto"/>
                <w:kern w:val="0"/>
                <w:sz w:val="24"/>
              </w:rPr>
              <w:t>根据投标人对垃圾分类工作的线路熟悉情况综合打分</w:t>
            </w:r>
          </w:p>
        </w:tc>
        <w:tc>
          <w:tcPr>
            <w:tcW w:w="1012"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0-</w:t>
            </w:r>
            <w:r>
              <w:rPr>
                <w:rFonts w:hint="eastAsia" w:ascii="宋体" w:hAnsi="宋体" w:cs="宋体"/>
                <w:bCs/>
                <w:color w:val="auto"/>
                <w:kern w:val="0"/>
                <w:sz w:val="24"/>
                <w:lang w:val="en-US" w:eastAsia="zh-CN"/>
              </w:rPr>
              <w:t>5</w:t>
            </w:r>
            <w:r>
              <w:rPr>
                <w:rFonts w:hint="eastAsia" w:ascii="宋体" w:hAnsi="宋体" w:cs="宋体"/>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5</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Merge w:val="continue"/>
            <w:vAlign w:val="center"/>
          </w:tcPr>
          <w:p>
            <w:pPr>
              <w:widowControl/>
              <w:snapToGrid w:val="0"/>
              <w:spacing w:line="300" w:lineRule="exact"/>
              <w:jc w:val="center"/>
              <w:textAlignment w:val="center"/>
              <w:rPr>
                <w:rFonts w:ascii="宋体" w:hAnsi="宋体" w:cs="宋体"/>
                <w:bCs/>
                <w:color w:val="auto"/>
                <w:kern w:val="0"/>
                <w:sz w:val="24"/>
              </w:rPr>
            </w:pPr>
          </w:p>
        </w:tc>
        <w:tc>
          <w:tcPr>
            <w:tcW w:w="5211" w:type="dxa"/>
            <w:vAlign w:val="center"/>
          </w:tcPr>
          <w:p>
            <w:pPr>
              <w:widowControl/>
              <w:snapToGrid w:val="0"/>
              <w:spacing w:line="300" w:lineRule="exact"/>
              <w:jc w:val="left"/>
              <w:textAlignment w:val="center"/>
              <w:rPr>
                <w:rFonts w:ascii="宋体" w:hAnsi="宋体" w:cs="宋体"/>
                <w:bCs/>
                <w:color w:val="auto"/>
                <w:kern w:val="0"/>
                <w:sz w:val="24"/>
              </w:rPr>
            </w:pPr>
            <w:r>
              <w:rPr>
                <w:rFonts w:hint="eastAsia" w:ascii="宋体" w:hAnsi="宋体" w:cs="宋体"/>
                <w:bCs/>
                <w:color w:val="auto"/>
                <w:kern w:val="0"/>
                <w:sz w:val="24"/>
              </w:rPr>
              <w:t>对本项目的合理化建议，经评标委员会认可，有利于项目履约</w:t>
            </w:r>
          </w:p>
        </w:tc>
        <w:tc>
          <w:tcPr>
            <w:tcW w:w="1012"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0-</w:t>
            </w:r>
            <w:r>
              <w:rPr>
                <w:rFonts w:hint="eastAsia" w:ascii="宋体" w:hAnsi="宋体" w:cs="宋体"/>
                <w:bCs/>
                <w:color w:val="auto"/>
                <w:kern w:val="0"/>
                <w:sz w:val="24"/>
                <w:lang w:val="en-US" w:eastAsia="zh-CN"/>
              </w:rPr>
              <w:t>4</w:t>
            </w:r>
            <w:r>
              <w:rPr>
                <w:rFonts w:hint="eastAsia" w:ascii="宋体" w:hAnsi="宋体" w:cs="宋体"/>
                <w:bCs/>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6</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Align w:val="center"/>
          </w:tcPr>
          <w:p>
            <w:pPr>
              <w:widowControl/>
              <w:snapToGrid w:val="0"/>
              <w:spacing w:line="3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垃圾分类巡检方案</w:t>
            </w:r>
          </w:p>
        </w:tc>
        <w:tc>
          <w:tcPr>
            <w:tcW w:w="5211" w:type="dxa"/>
            <w:vAlign w:val="center"/>
          </w:tcPr>
          <w:p>
            <w:pPr>
              <w:pStyle w:val="963"/>
              <w:ind w:left="0" w:leftChars="0" w:firstLine="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根据垃圾分类巡检方案的有效性、准确性、及时性等酌情打分。</w:t>
            </w:r>
          </w:p>
        </w:tc>
        <w:tc>
          <w:tcPr>
            <w:tcW w:w="1012" w:type="dxa"/>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r>
              <w:rPr>
                <w:rFonts w:hint="eastAsia" w:ascii="宋体" w:hAnsi="宋体" w:cs="宋体"/>
                <w:bCs/>
                <w:color w:val="auto"/>
                <w:kern w:val="0"/>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ascii="宋体" w:hAnsi="宋体" w:cs="宋体"/>
                <w:bCs/>
                <w:color w:val="auto"/>
                <w:kern w:val="0"/>
                <w:sz w:val="24"/>
              </w:rPr>
              <w:t>7</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Align w:val="center"/>
          </w:tcPr>
          <w:p>
            <w:pPr>
              <w:widowControl/>
              <w:snapToGrid w:val="0"/>
              <w:spacing w:line="300" w:lineRule="exact"/>
              <w:jc w:val="center"/>
              <w:textAlignment w:val="center"/>
              <w:rPr>
                <w:color w:val="auto"/>
              </w:rPr>
            </w:pPr>
            <w:r>
              <w:rPr>
                <w:rFonts w:hint="eastAsia" w:ascii="宋体" w:hAnsi="宋体" w:cs="宋体"/>
                <w:bCs/>
                <w:color w:val="auto"/>
                <w:kern w:val="0"/>
                <w:sz w:val="24"/>
              </w:rPr>
              <w:t>故障响应</w:t>
            </w:r>
          </w:p>
        </w:tc>
        <w:tc>
          <w:tcPr>
            <w:tcW w:w="5211" w:type="dxa"/>
            <w:vAlign w:val="center"/>
          </w:tcPr>
          <w:p>
            <w:pPr>
              <w:pStyle w:val="963"/>
              <w:ind w:left="0" w:leftChars="0" w:firstLine="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软硬件故障排除措施的及时性、有效性等酌情打分。</w:t>
            </w:r>
          </w:p>
        </w:tc>
        <w:tc>
          <w:tcPr>
            <w:tcW w:w="1012" w:type="dxa"/>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r>
              <w:rPr>
                <w:rFonts w:hint="eastAsia" w:ascii="宋体" w:hAnsi="宋体" w:cs="宋体"/>
                <w:bCs/>
                <w:color w:val="auto"/>
                <w:kern w:val="0"/>
                <w:sz w:val="24"/>
              </w:rPr>
              <w:t>0</w:t>
            </w:r>
            <w:r>
              <w:rPr>
                <w:rFonts w:ascii="宋体" w:hAnsi="宋体" w:cs="宋体"/>
                <w:bCs/>
                <w:color w:val="auto"/>
                <w:kern w:val="0"/>
                <w:sz w:val="24"/>
              </w:rPr>
              <w:t>-</w:t>
            </w:r>
            <w:r>
              <w:rPr>
                <w:rFonts w:hint="eastAsia" w:ascii="宋体" w:hAnsi="宋体" w:cs="宋体"/>
                <w:bCs/>
                <w:color w:val="auto"/>
                <w:kern w:val="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ascii="宋体" w:hAnsi="宋体" w:cs="宋体"/>
                <w:bCs/>
                <w:color w:val="auto"/>
                <w:kern w:val="0"/>
                <w:sz w:val="24"/>
              </w:rPr>
              <w:t>8</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Align w:val="center"/>
          </w:tcPr>
          <w:p>
            <w:pPr>
              <w:spacing w:line="440" w:lineRule="exact"/>
              <w:jc w:val="center"/>
              <w:rPr>
                <w:rFonts w:ascii="宋体" w:hAnsi="宋体"/>
                <w:color w:val="auto"/>
                <w:sz w:val="24"/>
              </w:rPr>
            </w:pPr>
            <w:r>
              <w:rPr>
                <w:rFonts w:hint="eastAsia" w:ascii="宋体" w:hAnsi="宋体"/>
                <w:color w:val="auto"/>
                <w:sz w:val="24"/>
              </w:rPr>
              <w:t>服务承诺</w:t>
            </w:r>
          </w:p>
        </w:tc>
        <w:tc>
          <w:tcPr>
            <w:tcW w:w="5211" w:type="dxa"/>
            <w:vAlign w:val="center"/>
          </w:tcPr>
          <w:p>
            <w:pPr>
              <w:spacing w:line="420" w:lineRule="exact"/>
              <w:jc w:val="left"/>
              <w:rPr>
                <w:rFonts w:ascii="宋体" w:hAnsi="宋体"/>
                <w:color w:val="auto"/>
                <w:sz w:val="24"/>
              </w:rPr>
            </w:pPr>
            <w:r>
              <w:rPr>
                <w:rFonts w:hint="eastAsia" w:ascii="宋体" w:hAnsi="宋体"/>
                <w:color w:val="auto"/>
                <w:sz w:val="24"/>
              </w:rPr>
              <w:t>针对本项目特点，是否实行全过程的跟踪配合服务承诺，切实做好各阶段的作业内容、监测标准、执行人和检查人、质量控制点、阶段性成果等，结合自身优势有创新类的增值服务承诺</w:t>
            </w:r>
          </w:p>
        </w:tc>
        <w:tc>
          <w:tcPr>
            <w:tcW w:w="1012" w:type="dxa"/>
            <w:vAlign w:val="center"/>
          </w:tcPr>
          <w:p>
            <w:pPr>
              <w:spacing w:line="440" w:lineRule="exact"/>
              <w:jc w:val="center"/>
              <w:rPr>
                <w:rFonts w:ascii="宋体" w:hAnsi="宋体"/>
                <w:color w:val="auto"/>
                <w:sz w:val="24"/>
              </w:rPr>
            </w:pPr>
            <w:r>
              <w:rPr>
                <w:rFonts w:hint="eastAsia" w:ascii="宋体" w:hAnsi="宋体"/>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ascii="宋体" w:hAnsi="宋体" w:cs="宋体"/>
                <w:bCs/>
                <w:color w:val="auto"/>
                <w:kern w:val="0"/>
                <w:sz w:val="24"/>
              </w:rPr>
              <w:t>9</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Align w:val="center"/>
          </w:tcPr>
          <w:p>
            <w:pPr>
              <w:spacing w:line="440" w:lineRule="exact"/>
              <w:jc w:val="center"/>
              <w:rPr>
                <w:rFonts w:ascii="宋体" w:hAnsi="宋体"/>
                <w:color w:val="auto"/>
                <w:sz w:val="24"/>
              </w:rPr>
            </w:pPr>
            <w:r>
              <w:rPr>
                <w:rFonts w:hint="eastAsia" w:ascii="宋体" w:hAnsi="宋体"/>
                <w:color w:val="auto"/>
                <w:sz w:val="24"/>
              </w:rPr>
              <w:t>宣传推广服务经验</w:t>
            </w:r>
          </w:p>
        </w:tc>
        <w:tc>
          <w:tcPr>
            <w:tcW w:w="5211" w:type="dxa"/>
            <w:vAlign w:val="center"/>
          </w:tcPr>
          <w:p>
            <w:pPr>
              <w:spacing w:line="440" w:lineRule="exact"/>
              <w:jc w:val="left"/>
              <w:rPr>
                <w:rFonts w:ascii="宋体" w:hAnsi="宋体"/>
                <w:color w:val="auto"/>
                <w:sz w:val="24"/>
              </w:rPr>
            </w:pPr>
            <w:r>
              <w:rPr>
                <w:rFonts w:hint="eastAsia" w:ascii="宋体" w:hAnsi="宋体"/>
                <w:color w:val="auto"/>
                <w:sz w:val="24"/>
              </w:rPr>
              <w:t>在宣传推广方面具有一定经验，评审专家根据垃圾分类项目宣传推广及运营管理经验和宣传效果酌情打分。</w:t>
            </w:r>
          </w:p>
        </w:tc>
        <w:tc>
          <w:tcPr>
            <w:tcW w:w="1012" w:type="dxa"/>
            <w:vAlign w:val="center"/>
          </w:tcPr>
          <w:p>
            <w:pPr>
              <w:spacing w:line="440" w:lineRule="exact"/>
              <w:jc w:val="center"/>
              <w:rPr>
                <w:rFonts w:ascii="宋体" w:hAnsi="宋体" w:cs="仿宋_GB2312"/>
                <w:color w:val="auto"/>
                <w:sz w:val="24"/>
              </w:rPr>
            </w:pPr>
            <w:r>
              <w:rPr>
                <w:rFonts w:hint="eastAsia" w:ascii="宋体" w:hAnsi="宋体" w:cs="仿宋_GB2312"/>
                <w:color w:val="auto"/>
                <w:sz w:val="24"/>
              </w:rPr>
              <w:t>0-</w:t>
            </w:r>
            <w:r>
              <w:rPr>
                <w:rFonts w:hint="eastAsia" w:ascii="宋体" w:hAnsi="宋体" w:cs="仿宋_GB2312"/>
                <w:color w:val="auto"/>
                <w:sz w:val="24"/>
                <w:lang w:val="en-US" w:eastAsia="zh-CN"/>
              </w:rPr>
              <w:t>6</w:t>
            </w:r>
            <w:r>
              <w:rPr>
                <w:rFonts w:hint="eastAsia" w:ascii="宋体" w:hAnsi="宋体" w:cs="仿宋_GB2312"/>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38" w:type="dxa"/>
            <w:vAlign w:val="center"/>
          </w:tcPr>
          <w:p>
            <w:pPr>
              <w:widowControl/>
              <w:snapToGrid w:val="0"/>
              <w:spacing w:line="300" w:lineRule="exact"/>
              <w:ind w:firstLine="240" w:firstLineChars="100"/>
              <w:textAlignment w:val="center"/>
              <w:rPr>
                <w:rFonts w:ascii="宋体" w:hAnsi="宋体" w:cs="宋体"/>
                <w:bCs/>
                <w:color w:val="auto"/>
                <w:kern w:val="0"/>
                <w:sz w:val="24"/>
              </w:rPr>
            </w:pPr>
            <w:r>
              <w:rPr>
                <w:rFonts w:hint="eastAsia" w:ascii="宋体" w:hAnsi="宋体" w:cs="宋体"/>
                <w:bCs/>
                <w:color w:val="auto"/>
                <w:kern w:val="0"/>
                <w:sz w:val="24"/>
              </w:rPr>
              <w:t>1</w:t>
            </w:r>
            <w:r>
              <w:rPr>
                <w:rFonts w:ascii="宋体" w:hAnsi="宋体" w:cs="宋体"/>
                <w:bCs/>
                <w:color w:val="auto"/>
                <w:kern w:val="0"/>
                <w:sz w:val="24"/>
              </w:rPr>
              <w:t>0</w:t>
            </w:r>
          </w:p>
        </w:tc>
        <w:tc>
          <w:tcPr>
            <w:tcW w:w="975" w:type="dxa"/>
            <w:vMerge w:val="continue"/>
            <w:vAlign w:val="center"/>
          </w:tcPr>
          <w:p>
            <w:pPr>
              <w:widowControl/>
              <w:snapToGrid w:val="0"/>
              <w:spacing w:line="300" w:lineRule="exact"/>
              <w:ind w:firstLine="240" w:firstLineChars="100"/>
              <w:jc w:val="center"/>
              <w:textAlignment w:val="center"/>
              <w:rPr>
                <w:rFonts w:ascii="宋体" w:hAnsi="宋体" w:cs="宋体"/>
                <w:bCs/>
                <w:color w:val="auto"/>
                <w:kern w:val="0"/>
                <w:sz w:val="24"/>
              </w:rPr>
            </w:pPr>
          </w:p>
        </w:tc>
        <w:tc>
          <w:tcPr>
            <w:tcW w:w="1477" w:type="dxa"/>
            <w:vAlign w:val="center"/>
          </w:tcPr>
          <w:p>
            <w:pPr>
              <w:spacing w:line="440" w:lineRule="exact"/>
              <w:jc w:val="center"/>
              <w:rPr>
                <w:rFonts w:ascii="宋体" w:hAnsi="宋体"/>
                <w:color w:val="auto"/>
                <w:sz w:val="24"/>
              </w:rPr>
            </w:pPr>
            <w:r>
              <w:rPr>
                <w:rFonts w:hint="eastAsia" w:ascii="宋体" w:hAnsi="宋体"/>
                <w:color w:val="auto"/>
                <w:sz w:val="24"/>
              </w:rPr>
              <w:t>项目组人员结构及设备投入</w:t>
            </w:r>
          </w:p>
        </w:tc>
        <w:tc>
          <w:tcPr>
            <w:tcW w:w="5211" w:type="dxa"/>
            <w:vAlign w:val="center"/>
          </w:tcPr>
          <w:p>
            <w:pPr>
              <w:spacing w:line="440" w:lineRule="exact"/>
              <w:jc w:val="left"/>
              <w:rPr>
                <w:rFonts w:ascii="宋体" w:hAnsi="宋体"/>
                <w:color w:val="auto"/>
                <w:sz w:val="24"/>
              </w:rPr>
            </w:pPr>
            <w:r>
              <w:rPr>
                <w:rFonts w:hint="eastAsia" w:ascii="宋体" w:hAnsi="宋体"/>
                <w:color w:val="auto"/>
                <w:sz w:val="24"/>
              </w:rPr>
              <w:t>项目组人员投入:</w:t>
            </w:r>
            <w:r>
              <w:rPr>
                <w:rFonts w:hint="eastAsia" w:ascii="宋体" w:hAnsi="宋体" w:cs="宋体"/>
                <w:bCs/>
                <w:color w:val="auto"/>
                <w:kern w:val="0"/>
                <w:sz w:val="24"/>
              </w:rPr>
              <w:t xml:space="preserve"> 人员监督、考核、培训、安全保障方案是否完善、合理：</w:t>
            </w:r>
            <w:r>
              <w:rPr>
                <w:rFonts w:hint="eastAsia" w:ascii="宋体" w:hAnsi="宋体"/>
                <w:color w:val="auto"/>
                <w:sz w:val="24"/>
              </w:rPr>
              <w:t>人员投入符合监测队伍建设要求，项目组至少提供不少于</w:t>
            </w:r>
            <w:r>
              <w:rPr>
                <w:rFonts w:hint="eastAsia" w:ascii="宋体" w:hAnsi="宋体"/>
                <w:color w:val="auto"/>
                <w:sz w:val="24"/>
                <w:lang w:val="en-US" w:eastAsia="zh-CN"/>
              </w:rPr>
              <w:t>9</w:t>
            </w:r>
            <w:r>
              <w:rPr>
                <w:rFonts w:hint="eastAsia" w:ascii="宋体" w:hAnsi="宋体"/>
                <w:color w:val="auto"/>
                <w:sz w:val="24"/>
              </w:rPr>
              <w:t>名（含</w:t>
            </w:r>
            <w:r>
              <w:rPr>
                <w:rFonts w:hint="eastAsia" w:ascii="宋体" w:hAnsi="宋体"/>
                <w:color w:val="auto"/>
                <w:sz w:val="24"/>
                <w:lang w:val="en-US" w:eastAsia="zh-CN"/>
              </w:rPr>
              <w:t>9</w:t>
            </w:r>
            <w:r>
              <w:rPr>
                <w:rFonts w:hint="eastAsia" w:ascii="宋体" w:hAnsi="宋体"/>
                <w:color w:val="auto"/>
                <w:sz w:val="24"/>
              </w:rPr>
              <w:t>名）人员证明。（须提供本单位近6个月连续社保缴纳证明），得</w:t>
            </w:r>
            <w:r>
              <w:rPr>
                <w:rFonts w:hint="eastAsia" w:ascii="宋体" w:hAnsi="宋体"/>
                <w:color w:val="auto"/>
                <w:sz w:val="24"/>
                <w:lang w:val="en-US" w:eastAsia="zh-CN"/>
              </w:rPr>
              <w:t>6</w:t>
            </w:r>
            <w:r>
              <w:rPr>
                <w:rFonts w:hint="eastAsia" w:ascii="宋体" w:hAnsi="宋体"/>
                <w:color w:val="auto"/>
                <w:sz w:val="24"/>
              </w:rPr>
              <w:t>分。每少1人扣</w:t>
            </w:r>
            <w:r>
              <w:rPr>
                <w:rFonts w:hint="eastAsia" w:ascii="宋体" w:hAnsi="宋体"/>
                <w:color w:val="auto"/>
                <w:sz w:val="24"/>
                <w:lang w:val="en-US" w:eastAsia="zh-CN"/>
              </w:rPr>
              <w:t>1</w:t>
            </w:r>
            <w:r>
              <w:rPr>
                <w:rFonts w:hint="eastAsia" w:ascii="宋体" w:hAnsi="宋体"/>
                <w:color w:val="auto"/>
                <w:sz w:val="24"/>
              </w:rPr>
              <w:t>分，扣完为止。</w:t>
            </w:r>
          </w:p>
        </w:tc>
        <w:tc>
          <w:tcPr>
            <w:tcW w:w="1012" w:type="dxa"/>
            <w:vAlign w:val="center"/>
          </w:tcPr>
          <w:p>
            <w:pPr>
              <w:spacing w:line="440" w:lineRule="exact"/>
              <w:jc w:val="center"/>
              <w:rPr>
                <w:rFonts w:ascii="宋体" w:hAnsi="宋体" w:cs="仿宋_GB2312"/>
                <w:color w:val="auto"/>
                <w:sz w:val="24"/>
              </w:rPr>
            </w:pPr>
            <w:r>
              <w:rPr>
                <w:rFonts w:hint="eastAsia" w:ascii="宋体" w:hAnsi="宋体" w:cs="仿宋_GB2312"/>
                <w:color w:val="auto"/>
                <w:sz w:val="24"/>
              </w:rPr>
              <w:t>0-</w:t>
            </w:r>
            <w:r>
              <w:rPr>
                <w:rFonts w:hint="eastAsia" w:ascii="宋体" w:hAnsi="宋体" w:cs="仿宋_GB2312"/>
                <w:color w:val="auto"/>
                <w:sz w:val="24"/>
                <w:lang w:val="en-US" w:eastAsia="zh-CN"/>
              </w:rPr>
              <w:t>6</w:t>
            </w:r>
            <w:r>
              <w:rPr>
                <w:rFonts w:hint="eastAsia" w:ascii="宋体" w:hAnsi="宋体" w:cs="仿宋_GB2312"/>
                <w:color w:val="auto"/>
                <w:sz w:val="24"/>
              </w:rPr>
              <w:t>分</w:t>
            </w:r>
          </w:p>
        </w:tc>
      </w:tr>
    </w:tbl>
    <w:p>
      <w:pPr>
        <w:rPr>
          <w:rFonts w:hint="eastAsia" w:ascii="仿宋" w:hAnsi="仿宋" w:eastAsia="仿宋" w:cs="仿宋"/>
          <w:color w:val="000000"/>
          <w:kern w:val="0"/>
        </w:rPr>
      </w:pPr>
      <w:r>
        <w:rPr>
          <w:rFonts w:hint="eastAsia" w:ascii="仿宋" w:hAnsi="仿宋" w:eastAsia="仿宋" w:cs="仿宋"/>
          <w:color w:val="000000"/>
          <w:kern w:val="0"/>
        </w:rPr>
        <w:t>注：以上评审内容制作进投标文件内，并按评审要求提供相关证明材料等。</w:t>
      </w:r>
    </w:p>
    <w:p>
      <w:pPr>
        <w:pStyle w:val="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b w:val="0"/>
          <w:bCs w:val="0"/>
        </w:rPr>
      </w:pPr>
      <w:r>
        <w:rPr>
          <w:rFonts w:hint="eastAsia" w:cs="宋体"/>
          <w:b w:val="0"/>
          <w:bCs w:val="0"/>
          <w:color w:val="000000"/>
          <w:sz w:val="24"/>
          <w:lang w:val="en-US" w:eastAsia="zh-CN"/>
        </w:rPr>
        <w:t>商务</w:t>
      </w:r>
      <w:r>
        <w:rPr>
          <w:rFonts w:hint="eastAsia" w:ascii="宋体" w:hAnsi="宋体" w:cs="宋体"/>
          <w:b w:val="0"/>
          <w:bCs w:val="0"/>
          <w:color w:val="000000"/>
          <w:sz w:val="24"/>
        </w:rPr>
        <w:t>技术分=评标委员会所有成员评分合计数/评标委员会组成人员数（精确到小数点后二位）；</w:t>
      </w:r>
    </w:p>
    <w:p>
      <w:pPr>
        <w:pStyle w:val="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rPr>
      </w:pPr>
      <w:r>
        <w:rPr>
          <w:rFonts w:hint="eastAsia"/>
        </w:rPr>
        <w:t>价格分（10分）采用低价优先法计算，即满足招标文件要求且投标价格最低的投标报价为评标基准价，其他投标人的价格分按照下列公式计算：</w:t>
      </w:r>
    </w:p>
    <w:p>
      <w:pPr>
        <w:pStyle w:val="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rPr>
      </w:pPr>
      <w:r>
        <w:rPr>
          <w:rFonts w:hint="eastAsia"/>
        </w:rPr>
        <w:t>投标报价得分=(评标基准价／投标报价)×价格权值×100（精确到小数点后二位）因落实政府采购政策进行价格调整的，以调整后的价格计算评标基准价和投标报价。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5"/>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b/>
          <w:bCs/>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w:t>
      </w:r>
      <w:r>
        <w:rPr>
          <w:rFonts w:hint="eastAsia" w:ascii="仿宋" w:hAnsi="仿宋" w:eastAsia="仿宋" w:cs="仿宋"/>
          <w:b/>
          <w:bCs/>
          <w:color w:val="000000" w:themeColor="text1"/>
          <w:kern w:val="0"/>
          <w:szCs w:val="24"/>
          <w:lang w:eastAsia="zh-CN"/>
          <w14:textFill>
            <w14:solidFill>
              <w14:schemeClr w14:val="tx1"/>
            </w14:solidFill>
          </w14:textFill>
        </w:rPr>
        <w:t>（</w:t>
      </w:r>
      <w:r>
        <w:rPr>
          <w:rFonts w:hint="eastAsia" w:ascii="仿宋" w:hAnsi="仿宋" w:eastAsia="仿宋" w:cs="仿宋"/>
          <w:b/>
          <w:bCs/>
          <w:color w:val="000000" w:themeColor="text1"/>
          <w:kern w:val="0"/>
          <w:szCs w:val="24"/>
          <w14:textFill>
            <w14:solidFill>
              <w14:schemeClr w14:val="tx1"/>
            </w14:solidFill>
          </w14:textFill>
        </w:rPr>
        <w:t>本次采购为非专门面向中小企业预留采购份额的采购项目</w:t>
      </w:r>
      <w:r>
        <w:rPr>
          <w:rFonts w:hint="eastAsia" w:ascii="仿宋" w:hAnsi="仿宋" w:eastAsia="仿宋" w:cs="仿宋"/>
          <w:b/>
          <w:bCs/>
          <w:color w:val="000000" w:themeColor="text1"/>
          <w:kern w:val="0"/>
          <w:szCs w:val="24"/>
          <w:lang w:eastAsia="zh-CN"/>
          <w14:textFill>
            <w14:solidFill>
              <w14:schemeClr w14:val="tx1"/>
            </w14:solidFill>
          </w14:textFill>
        </w:rPr>
        <w:t>）</w:t>
      </w:r>
      <w:r>
        <w:rPr>
          <w:rFonts w:hint="eastAsia" w:ascii="仿宋" w:hAnsi="仿宋" w:eastAsia="仿宋" w:cs="仿宋"/>
          <w:b/>
          <w:bCs/>
          <w:color w:val="000000" w:themeColor="text1"/>
          <w:kern w:val="0"/>
          <w:szCs w:val="24"/>
          <w14:textFill>
            <w14:solidFill>
              <w14:schemeClr w14:val="tx1"/>
            </w14:solidFill>
          </w14:textFill>
        </w:rPr>
        <w:t>，对小型和微型企业的投标报价给予</w:t>
      </w:r>
      <w:r>
        <w:rPr>
          <w:rFonts w:ascii="仿宋" w:hAnsi="仿宋" w:eastAsia="仿宋" w:cs="仿宋"/>
          <w:b/>
          <w:bCs/>
          <w:color w:val="000000" w:themeColor="text1"/>
          <w:kern w:val="0"/>
          <w:szCs w:val="24"/>
          <w14:textFill>
            <w14:solidFill>
              <w14:schemeClr w14:val="tx1"/>
            </w14:solidFill>
          </w14:textFill>
        </w:rPr>
        <w:t>10%的扣除，用扣除后的价格参与评审。</w:t>
      </w:r>
      <w:r>
        <w:rPr>
          <w:rFonts w:ascii="仿宋" w:hAnsi="仿宋" w:eastAsia="仿宋" w:cs="仿宋"/>
          <w:color w:val="auto"/>
          <w:kern w:val="0"/>
          <w:szCs w:val="24"/>
        </w:rPr>
        <w:t>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5"/>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8"/>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3"/>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3"/>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pPr>
        <w:pStyle w:val="3"/>
        <w:snapToGrid w:val="0"/>
        <w:spacing w:line="360" w:lineRule="auto"/>
        <w:ind w:firstLine="0" w:firstLineChars="0"/>
        <w:rPr>
          <w:rFonts w:ascii="仿宋_GB2312" w:hAnsi="仿宋" w:eastAsia="仿宋_GB2312" w:cs="仿宋_GB2312"/>
          <w:color w:val="auto"/>
        </w:rPr>
      </w:pPr>
    </w:p>
    <w:bookmarkEnd w:id="25"/>
    <w:p>
      <w:pPr>
        <w:spacing w:line="360" w:lineRule="auto"/>
        <w:ind w:left="720" w:leftChars="343" w:firstLine="1084" w:firstLineChars="300"/>
        <w:outlineLvl w:val="0"/>
        <w:rPr>
          <w:rFonts w:ascii="仿宋_GB2312" w:hAnsi="仿宋" w:eastAsia="仿宋_GB2312" w:cs="仿宋_GB2312"/>
          <w:b/>
          <w:color w:val="auto"/>
          <w:sz w:val="36"/>
          <w:szCs w:val="36"/>
        </w:rPr>
      </w:pPr>
      <w:bookmarkStart w:id="410" w:name="第五部分"/>
      <w:bookmarkStart w:id="411"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ascii="仿宋_GB2312" w:hAnsi="仿宋" w:eastAsia="仿宋_GB2312" w:cs="仿宋_GB2312"/>
          <w:b/>
          <w:color w:val="auto"/>
          <w:sz w:val="36"/>
          <w:szCs w:val="36"/>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385"/>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pStyle w:val="385"/>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385"/>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412" w:name="_Toc24059"/>
      <w:bookmarkStart w:id="413" w:name="_Toc2232"/>
      <w:bookmarkStart w:id="414" w:name="_Toc3029"/>
      <w:r>
        <w:rPr>
          <w:rFonts w:hint="eastAsia" w:ascii="仿宋" w:hAnsi="仿宋" w:eastAsia="仿宋" w:cs="仿宋"/>
          <w:b/>
          <w:sz w:val="24"/>
          <w:szCs w:val="24"/>
        </w:rPr>
        <w:t>1.1 合同组成部分</w:t>
      </w:r>
      <w:bookmarkEnd w:id="412"/>
      <w:bookmarkEnd w:id="413"/>
      <w:bookmarkEnd w:id="414"/>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415" w:name="_Toc21295"/>
      <w:bookmarkStart w:id="416" w:name="_Toc24300"/>
      <w:bookmarkStart w:id="417" w:name="_Toc27126"/>
      <w:r>
        <w:rPr>
          <w:rFonts w:hint="eastAsia" w:ascii="仿宋" w:hAnsi="仿宋" w:eastAsia="仿宋" w:cs="仿宋"/>
          <w:b/>
          <w:sz w:val="24"/>
          <w:szCs w:val="24"/>
        </w:rPr>
        <w:t xml:space="preserve">1.2 </w:t>
      </w:r>
      <w:bookmarkEnd w:id="415"/>
      <w:bookmarkEnd w:id="416"/>
      <w:bookmarkEnd w:id="417"/>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18" w:name="_Toc22618"/>
      <w:bookmarkStart w:id="419" w:name="_Toc1814"/>
      <w:bookmarkStart w:id="420" w:name="_Toc10340"/>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418"/>
      <w:bookmarkEnd w:id="419"/>
      <w:bookmarkEnd w:id="420"/>
      <w:r>
        <w:rPr>
          <w:rFonts w:hint="eastAsia" w:ascii="仿宋" w:hAnsi="仿宋" w:eastAsia="仿宋" w:cs="仿宋"/>
          <w:b/>
          <w:sz w:val="24"/>
          <w:szCs w:val="24"/>
        </w:rPr>
        <w:t>方式、时间和条件</w:t>
      </w:r>
    </w:p>
    <w:p>
      <w:pPr>
        <w:pStyle w:val="617"/>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21" w:name="_Toc32071"/>
      <w:bookmarkStart w:id="422" w:name="_Toc19304"/>
      <w:bookmarkStart w:id="423" w:name="_Toc2846"/>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21"/>
      <w:bookmarkEnd w:id="422"/>
      <w:bookmarkEnd w:id="423"/>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24" w:name="_Toc21423"/>
      <w:bookmarkStart w:id="425" w:name="_Toc19554"/>
      <w:bookmarkStart w:id="426" w:name="_Toc27250"/>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24"/>
      <w:bookmarkEnd w:id="425"/>
      <w:bookmarkEnd w:id="426"/>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27" w:name="_Toc16021"/>
      <w:bookmarkStart w:id="428" w:name="_Toc15583"/>
      <w:bookmarkStart w:id="429" w:name="_Toc28375"/>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27"/>
      <w:bookmarkEnd w:id="428"/>
      <w:bookmarkEnd w:id="429"/>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30" w:name="_Toc11173"/>
      <w:bookmarkStart w:id="431" w:name="_Toc15322"/>
      <w:bookmarkStart w:id="432" w:name="_Toc7245"/>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30"/>
      <w:bookmarkEnd w:id="431"/>
      <w:bookmarkEnd w:id="432"/>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33" w:name="_Toc331685783"/>
    </w:p>
    <w:p>
      <w:pPr>
        <w:pStyle w:val="385"/>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385"/>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33"/>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4" w:name="_Ref467378463"/>
      <w:bookmarkStart w:id="435" w:name="_Ref467379101"/>
      <w:bookmarkStart w:id="436" w:name="_Toc487900349"/>
      <w:bookmarkStart w:id="437" w:name="_Ref467379214"/>
      <w:bookmarkStart w:id="438" w:name="_Ref467379195"/>
      <w:bookmarkStart w:id="439" w:name="_Ref467378499"/>
      <w:bookmarkStart w:id="440" w:name="_Ref467378404"/>
      <w:bookmarkStart w:id="441" w:name="_Ref467379094"/>
      <w:bookmarkStart w:id="442" w:name="_Ref467379205"/>
      <w:bookmarkStart w:id="443" w:name="_Ref467379109"/>
      <w:bookmarkStart w:id="444" w:name="_Toc28763"/>
      <w:bookmarkStart w:id="445" w:name="_Toc16917"/>
      <w:bookmarkStart w:id="446" w:name="_Toc19614"/>
      <w:bookmarkStart w:id="447" w:name="_Ref467379225"/>
      <w:bookmarkStart w:id="448" w:name="_Toc279701240"/>
      <w:bookmarkStart w:id="449" w:name="_Toc259093669"/>
      <w:r>
        <w:rPr>
          <w:rFonts w:hint="eastAsia" w:ascii="仿宋" w:hAnsi="仿宋" w:eastAsia="仿宋" w:cs="仿宋"/>
          <w:b/>
          <w:sz w:val="24"/>
          <w:szCs w:val="24"/>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50"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50"/>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51"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51"/>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52"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52"/>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3" w:name="_Toc31634"/>
      <w:bookmarkStart w:id="454" w:name="_Toc9829"/>
      <w:bookmarkStart w:id="455" w:name="_Toc279701242"/>
      <w:bookmarkStart w:id="456" w:name="_Toc259093671"/>
      <w:bookmarkStart w:id="457" w:name="_Toc487900351"/>
      <w:bookmarkStart w:id="458" w:name="_Toc27853"/>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53"/>
      <w:bookmarkEnd w:id="454"/>
      <w:bookmarkEnd w:id="455"/>
      <w:bookmarkEnd w:id="456"/>
      <w:bookmarkEnd w:id="457"/>
      <w:bookmarkEnd w:id="458"/>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9" w:name="_Toc7502"/>
      <w:bookmarkStart w:id="460" w:name="_Toc259093683"/>
      <w:bookmarkStart w:id="461" w:name="_Ref467378121"/>
      <w:bookmarkStart w:id="462" w:name="_Toc487900364"/>
      <w:bookmarkStart w:id="463" w:name="_Toc279701254"/>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5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64" w:name="_Toc259093688"/>
      <w:bookmarkStart w:id="465" w:name="_Toc279701259"/>
      <w:bookmarkStart w:id="466" w:name="_Toc48790036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7" w:name="_Toc22955"/>
      <w:bookmarkStart w:id="468" w:name="_Toc10366"/>
      <w:bookmarkStart w:id="469" w:name="_Toc15237"/>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64"/>
      <w:bookmarkEnd w:id="465"/>
      <w:bookmarkEnd w:id="466"/>
      <w:r>
        <w:rPr>
          <w:rFonts w:hint="eastAsia" w:ascii="仿宋" w:hAnsi="仿宋" w:eastAsia="仿宋" w:cs="仿宋"/>
          <w:b/>
          <w:sz w:val="24"/>
          <w:szCs w:val="24"/>
        </w:rPr>
        <w:t>和分包</w:t>
      </w:r>
      <w:bookmarkEnd w:id="467"/>
      <w:bookmarkEnd w:id="468"/>
      <w:bookmarkEnd w:id="469"/>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0" w:name="_Toc13566"/>
      <w:bookmarkStart w:id="471" w:name="_Toc14066"/>
      <w:bookmarkStart w:id="472" w:name="_Toc16508"/>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70"/>
      <w:bookmarkEnd w:id="471"/>
      <w:bookmarkEnd w:id="472"/>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3" w:name="_Toc279701255"/>
      <w:bookmarkStart w:id="474" w:name="_Toc30676"/>
      <w:bookmarkStart w:id="475" w:name="_Toc689"/>
      <w:bookmarkStart w:id="476" w:name="_Toc259093684"/>
      <w:bookmarkStart w:id="477" w:name="_Toc487900365"/>
      <w:bookmarkStart w:id="478" w:name="_Toc6969"/>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73"/>
      <w:bookmarkEnd w:id="474"/>
      <w:bookmarkEnd w:id="475"/>
      <w:bookmarkEnd w:id="476"/>
      <w:bookmarkEnd w:id="477"/>
      <w:bookmarkEnd w:id="47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9" w:name="_Toc16959"/>
      <w:bookmarkStart w:id="480" w:name="_Toc487900368"/>
      <w:bookmarkStart w:id="481" w:name="_Toc279701258"/>
      <w:bookmarkStart w:id="482" w:name="_Toc8298"/>
      <w:bookmarkStart w:id="483" w:name="_Toc259093687"/>
      <w:bookmarkStart w:id="484" w:name="_Toc7102"/>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79"/>
      <w:bookmarkEnd w:id="480"/>
      <w:bookmarkEnd w:id="481"/>
      <w:bookmarkEnd w:id="482"/>
      <w:bookmarkEnd w:id="483"/>
      <w:bookmarkEnd w:id="484"/>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5" w:name="_Toc6134"/>
      <w:bookmarkStart w:id="486" w:name="_Toc29333"/>
      <w:bookmarkStart w:id="487" w:name="_Toc15387"/>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85"/>
      <w:bookmarkEnd w:id="486"/>
      <w:bookmarkEnd w:id="48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60"/>
    <w:bookmarkEnd w:id="461"/>
    <w:bookmarkEnd w:id="462"/>
    <w:bookmarkEnd w:id="463"/>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8" w:name="_Toc279701261"/>
      <w:bookmarkStart w:id="489" w:name="_Toc259093690"/>
      <w:bookmarkStart w:id="490" w:name="_Toc487900371"/>
      <w:bookmarkStart w:id="491" w:name="_Toc19604"/>
      <w:bookmarkStart w:id="492" w:name="_Toc25182"/>
      <w:bookmarkStart w:id="493" w:name="_Toc11284"/>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88"/>
      <w:bookmarkEnd w:id="489"/>
      <w:bookmarkEnd w:id="490"/>
      <w:r>
        <w:rPr>
          <w:rFonts w:hint="eastAsia" w:ascii="仿宋" w:hAnsi="仿宋" w:eastAsia="仿宋" w:cs="仿宋"/>
          <w:b/>
          <w:sz w:val="24"/>
          <w:szCs w:val="24"/>
        </w:rPr>
        <w:t>和送达</w:t>
      </w:r>
      <w:bookmarkEnd w:id="491"/>
      <w:bookmarkEnd w:id="492"/>
      <w:bookmarkEnd w:id="493"/>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94" w:name="_Toc6698"/>
      <w:bookmarkStart w:id="495" w:name="_Toc3135"/>
      <w:bookmarkStart w:id="496" w:name="_Toc279701262"/>
      <w:bookmarkStart w:id="497" w:name="_Toc487900372"/>
      <w:bookmarkStart w:id="498" w:name="_Toc259093691"/>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94"/>
      <w:bookmarkEnd w:id="495"/>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99" w:name="_Toc23128"/>
      <w:bookmarkStart w:id="500"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bookmarkEnd w:id="498"/>
      <w:bookmarkEnd w:id="499"/>
      <w:bookmarkEnd w:id="500"/>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501" w:name="_Toc12773"/>
      <w:bookmarkStart w:id="502" w:name="_Toc487900373"/>
      <w:bookmarkStart w:id="503" w:name="_Toc259093692"/>
      <w:bookmarkStart w:id="504" w:name="_Toc10330"/>
      <w:bookmarkStart w:id="505" w:name="_Toc279701263"/>
      <w:bookmarkStart w:id="506" w:name="_Toc18567"/>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501"/>
      <w:bookmarkEnd w:id="502"/>
      <w:bookmarkEnd w:id="503"/>
      <w:bookmarkEnd w:id="504"/>
      <w:bookmarkEnd w:id="505"/>
      <w:bookmarkEnd w:id="50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507" w:name="_Toc12004"/>
      <w:bookmarkStart w:id="508" w:name="_Toc16673"/>
      <w:bookmarkStart w:id="509" w:name="_Toc259093693"/>
      <w:bookmarkStart w:id="510" w:name="_Toc279701264"/>
      <w:bookmarkStart w:id="511" w:name="_Toc3148"/>
      <w:bookmarkStart w:id="512"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507"/>
      <w:bookmarkEnd w:id="508"/>
      <w:bookmarkEnd w:id="509"/>
      <w:bookmarkEnd w:id="510"/>
      <w:bookmarkEnd w:id="511"/>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12"/>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513" w:name="_Toc14001"/>
      <w:bookmarkStart w:id="514" w:name="_Toc6885"/>
      <w:bookmarkStart w:id="515" w:name="_Toc19890"/>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513"/>
      <w:bookmarkEnd w:id="514"/>
      <w:bookmarkEnd w:id="515"/>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385"/>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410"/>
      <w:r>
        <w:rPr>
          <w:rFonts w:ascii="仿宋" w:hAnsi="仿宋" w:eastAsia="仿宋" w:cs="仿宋_GB2312"/>
          <w:b/>
          <w:color w:val="auto"/>
          <w:sz w:val="36"/>
          <w:szCs w:val="20"/>
        </w:rPr>
        <w:t xml:space="preserve"> </w:t>
      </w:r>
      <w:bookmarkEnd w:id="411"/>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8"/>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7"/>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7"/>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8"/>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8"/>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pStyle w:val="3"/>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2"/>
        <w:rPr>
          <w:rFonts w:hint="eastAsia" w:ascii="仿宋" w:hAnsi="仿宋" w:eastAsia="仿宋" w:cs="仿宋"/>
          <w:b/>
          <w:bCs/>
          <w:color w:val="000000"/>
          <w:sz w:val="24"/>
        </w:rPr>
      </w:pPr>
      <w:r>
        <w:rPr>
          <w:rFonts w:hint="eastAsia" w:ascii="仿宋" w:hAnsi="仿宋" w:eastAsia="仿宋" w:cs="仿宋"/>
          <w:color w:val="auto"/>
          <w:kern w:val="2"/>
          <w:sz w:val="32"/>
          <w:szCs w:val="32"/>
        </w:rPr>
        <w:t>一、</w:t>
      </w:r>
      <w:r>
        <w:rPr>
          <w:rFonts w:hint="eastAsia" w:ascii="仿宋" w:hAnsi="仿宋" w:eastAsia="仿宋" w:cs="仿宋"/>
          <w:b/>
          <w:bCs/>
          <w:color w:val="000000"/>
          <w:sz w:val="24"/>
        </w:rPr>
        <w:t>开标一览表</w:t>
      </w:r>
    </w:p>
    <w:p>
      <w:pPr>
        <w:shd w:val="clear" w:color="auto" w:fill="FFFFFF"/>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杭州市临平区人民政府东湖街道办事处、</w:t>
      </w:r>
      <w:r>
        <w:rPr>
          <w:rFonts w:hint="eastAsia" w:ascii="仿宋" w:hAnsi="仿宋" w:eastAsia="仿宋" w:cs="仿宋"/>
          <w:color w:val="000000"/>
          <w:sz w:val="24"/>
          <w:lang w:eastAsia="zh-CN"/>
        </w:rPr>
        <w:t>杭州纵达工程咨询有限公司</w:t>
      </w:r>
      <w:r>
        <w:rPr>
          <w:rFonts w:hint="eastAsia" w:ascii="仿宋" w:hAnsi="仿宋" w:eastAsia="仿宋" w:cs="仿宋"/>
          <w:color w:val="000000"/>
          <w:sz w:val="24"/>
        </w:rPr>
        <w:t>：</w:t>
      </w:r>
    </w:p>
    <w:p>
      <w:pPr>
        <w:shd w:val="clear" w:color="auto" w:fill="FFFFFF"/>
        <w:snapToGri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000000"/>
          <w:sz w:val="24"/>
        </w:rPr>
        <w:t>招标编号：</w:t>
      </w:r>
      <w:r>
        <w:rPr>
          <w:rFonts w:hint="eastAsia" w:ascii="仿宋" w:hAnsi="仿宋" w:eastAsia="仿宋" w:cs="仿宋"/>
          <w:color w:val="000000"/>
          <w:sz w:val="24"/>
          <w:u w:val="single"/>
        </w:rPr>
        <w:t xml:space="preserve">         </w:t>
      </w:r>
      <w:r>
        <w:rPr>
          <w:rFonts w:hint="eastAsia" w:ascii="仿宋" w:hAnsi="仿宋" w:eastAsia="仿宋" w:cs="仿宋"/>
          <w:color w:val="000000"/>
          <w:kern w:val="0"/>
          <w:sz w:val="24"/>
          <w:lang w:val="zh-CN"/>
        </w:rPr>
        <w:t xml:space="preserve">）的招标文件[项目名称： </w:t>
      </w:r>
      <w:r>
        <w:rPr>
          <w:rFonts w:hint="eastAsia" w:ascii="仿宋" w:hAnsi="仿宋" w:eastAsia="仿宋" w:cs="仿宋"/>
          <w:color w:val="000000"/>
          <w:sz w:val="24"/>
          <w:u w:val="single"/>
          <w:lang w:val="en-US" w:eastAsia="zh-CN"/>
        </w:rPr>
        <w:t xml:space="preserve"> 东湖街道垃圾分类督导项目 </w:t>
      </w:r>
      <w:r>
        <w:rPr>
          <w:rFonts w:hint="eastAsia" w:ascii="仿宋" w:hAnsi="仿宋" w:eastAsia="仿宋" w:cs="仿宋"/>
          <w:color w:val="000000"/>
          <w:kern w:val="0"/>
          <w:sz w:val="24"/>
          <w:lang w:val="zh-CN"/>
        </w:rPr>
        <w:t>实施。</w:t>
      </w:r>
    </w:p>
    <w:p>
      <w:pPr>
        <w:shd w:val="clear" w:color="auto" w:fill="FFFFFF"/>
        <w:snapToGrid w:val="0"/>
        <w:spacing w:line="360" w:lineRule="auto"/>
        <w:ind w:firstLine="3990" w:firstLineChars="1656"/>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开标一览表</w:t>
      </w:r>
    </w:p>
    <w:tbl>
      <w:tblPr>
        <w:tblStyle w:val="62"/>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gridCol w:w="45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525" w:type="pct"/>
            <w:tcBorders>
              <w:top w:val="double" w:color="auto" w:sz="4" w:space="0"/>
              <w:bottom w:val="double" w:color="auto" w:sz="4" w:space="0"/>
            </w:tcBorders>
            <w:noWrap w:val="0"/>
            <w:vAlign w:val="center"/>
          </w:tcPr>
          <w:p>
            <w:pPr>
              <w:autoSpaceDE w:val="0"/>
              <w:autoSpaceDN w:val="0"/>
              <w:adjustRightInd w:val="0"/>
              <w:spacing w:line="360" w:lineRule="auto"/>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本项目投标报价</w:t>
            </w:r>
          </w:p>
        </w:tc>
        <w:tc>
          <w:tcPr>
            <w:tcW w:w="2474" w:type="pct"/>
            <w:tcBorders>
              <w:top w:val="double" w:color="auto" w:sz="4" w:space="0"/>
              <w:bottom w:val="double" w:color="auto" w:sz="4" w:space="0"/>
            </w:tcBorders>
            <w:noWrap w:val="0"/>
            <w:vAlign w:val="center"/>
          </w:tcPr>
          <w:p>
            <w:pPr>
              <w:autoSpaceDE w:val="0"/>
              <w:autoSpaceDN w:val="0"/>
              <w:adjustRightInd w:val="0"/>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大写：</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元 ；</w:t>
            </w:r>
          </w:p>
          <w:p>
            <w:pPr>
              <w:autoSpaceDE w:val="0"/>
              <w:autoSpaceDN w:val="0"/>
              <w:adjustRightInd w:val="0"/>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小写：</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元。</w:t>
            </w:r>
          </w:p>
        </w:tc>
      </w:tr>
    </w:tbl>
    <w:p>
      <w:pPr>
        <w:spacing w:before="157" w:beforeLines="50" w:after="157" w:afterLines="50"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备注：大写总价与小写总价不一致，以大写总价为准。</w:t>
      </w:r>
    </w:p>
    <w:p>
      <w:pPr>
        <w:shd w:val="clear" w:color="auto" w:fill="FFFFFF"/>
        <w:snapToGrid w:val="0"/>
        <w:spacing w:line="360" w:lineRule="auto"/>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(1)我方要约有效期为自投标截止之日起90天；</w:t>
      </w:r>
    </w:p>
    <w:p>
      <w:pPr>
        <w:shd w:val="clear" w:color="auto" w:fill="FFFFFF"/>
        <w:snapToGrid w:val="0"/>
        <w:spacing w:line="360" w:lineRule="auto"/>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w:t>
      </w:r>
      <w:r>
        <w:rPr>
          <w:rFonts w:hint="eastAsia" w:ascii="仿宋" w:hAnsi="仿宋" w:eastAsia="仿宋" w:cs="仿宋"/>
          <w:color w:val="000000"/>
          <w:kern w:val="0"/>
          <w:sz w:val="24"/>
        </w:rPr>
        <w:t>3</w:t>
      </w:r>
      <w:r>
        <w:rPr>
          <w:rFonts w:hint="eastAsia" w:ascii="仿宋" w:hAnsi="仿宋" w:eastAsia="仿宋" w:cs="仿宋"/>
          <w:color w:val="000000"/>
          <w:kern w:val="0"/>
          <w:sz w:val="24"/>
          <w:lang w:val="zh-CN"/>
        </w:rPr>
        <w:t>)大写总价与小写总价不一致，以大写总价为准。</w:t>
      </w:r>
    </w:p>
    <w:p>
      <w:pPr>
        <w:shd w:val="clear" w:color="auto" w:fill="FFFFFF"/>
        <w:snapToGrid w:val="0"/>
        <w:spacing w:line="360" w:lineRule="auto"/>
        <w:ind w:firstLine="360" w:firstLineChars="15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（4）其余标项按此表格自行制作。</w:t>
      </w:r>
    </w:p>
    <w:p>
      <w:pPr>
        <w:shd w:val="clear" w:color="auto" w:fill="FFFFFF"/>
        <w:snapToGrid w:val="0"/>
        <w:spacing w:line="360" w:lineRule="auto"/>
        <w:ind w:firstLine="360" w:firstLineChars="150"/>
        <w:rPr>
          <w:rFonts w:hint="eastAsia" w:ascii="仿宋" w:hAnsi="仿宋" w:eastAsia="仿宋" w:cs="仿宋"/>
          <w:color w:val="000000"/>
          <w:kern w:val="0"/>
          <w:sz w:val="24"/>
          <w:u w:val="single"/>
          <w:lang w:val="zh-CN"/>
        </w:rPr>
      </w:pPr>
      <w:r>
        <w:rPr>
          <w:rFonts w:hint="eastAsia" w:ascii="仿宋" w:hAnsi="仿宋" w:eastAsia="仿宋" w:cs="仿宋"/>
          <w:color w:val="000000"/>
          <w:kern w:val="0"/>
          <w:sz w:val="24"/>
          <w:lang w:val="zh-CN"/>
        </w:rPr>
        <w:t>法定（授权）代表人（签字）：</w:t>
      </w:r>
      <w:r>
        <w:rPr>
          <w:rFonts w:hint="eastAsia" w:ascii="仿宋" w:hAnsi="仿宋" w:eastAsia="仿宋" w:cs="仿宋"/>
          <w:color w:val="000000"/>
          <w:kern w:val="0"/>
          <w:sz w:val="24"/>
          <w:u w:val="single"/>
          <w:lang w:val="zh-CN"/>
        </w:rPr>
        <w:t xml:space="preserve">                </w:t>
      </w:r>
    </w:p>
    <w:p>
      <w:pPr>
        <w:shd w:val="clear" w:color="auto" w:fill="FFFFFF"/>
        <w:snapToGrid w:val="0"/>
        <w:spacing w:line="360" w:lineRule="auto"/>
        <w:ind w:firstLine="360" w:firstLineChars="150"/>
        <w:rPr>
          <w:rFonts w:hint="eastAsia" w:ascii="仿宋" w:hAnsi="仿宋" w:eastAsia="仿宋" w:cs="仿宋"/>
          <w:color w:val="000000"/>
          <w:kern w:val="0"/>
          <w:sz w:val="24"/>
        </w:rPr>
      </w:pPr>
      <w:r>
        <w:rPr>
          <w:rFonts w:hint="eastAsia" w:ascii="仿宋" w:hAnsi="仿宋" w:eastAsia="仿宋" w:cs="仿宋"/>
          <w:color w:val="000000"/>
          <w:kern w:val="0"/>
          <w:sz w:val="24"/>
        </w:rPr>
        <w:t>投标人名称（公章）:</w:t>
      </w:r>
      <w:r>
        <w:rPr>
          <w:rFonts w:hint="eastAsia" w:ascii="仿宋" w:hAnsi="仿宋" w:eastAsia="仿宋" w:cs="仿宋"/>
          <w:color w:val="000000"/>
          <w:kern w:val="0"/>
          <w:sz w:val="24"/>
          <w:u w:val="single"/>
          <w:lang w:val="zh-CN"/>
        </w:rPr>
        <w:t xml:space="preserve">                </w:t>
      </w:r>
    </w:p>
    <w:p>
      <w:pPr>
        <w:shd w:val="clear" w:color="auto" w:fill="FFFFFF"/>
        <w:snapToGrid w:val="0"/>
        <w:spacing w:line="360" w:lineRule="auto"/>
        <w:ind w:firstLine="360" w:firstLineChars="150"/>
        <w:rPr>
          <w:rFonts w:hint="eastAsia" w:ascii="仿宋" w:hAnsi="仿宋" w:eastAsia="仿宋" w:cs="仿宋"/>
          <w:color w:val="000000"/>
          <w:kern w:val="0"/>
          <w:sz w:val="24"/>
          <w:u w:val="single"/>
          <w:lang w:val="en-US" w:eastAsia="zh-CN"/>
        </w:rPr>
      </w:pPr>
      <w:r>
        <w:rPr>
          <w:rFonts w:hint="eastAsia" w:ascii="仿宋" w:hAnsi="仿宋" w:eastAsia="仿宋" w:cs="仿宋"/>
          <w:color w:val="000000"/>
          <w:kern w:val="0"/>
          <w:sz w:val="24"/>
          <w:lang w:val="zh-CN"/>
        </w:rPr>
        <w:t>日期：</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u w:val="single"/>
          <w:lang w:val="en-US" w:eastAsia="zh-CN"/>
        </w:rPr>
        <w:t xml:space="preserve">   </w:t>
      </w:r>
    </w:p>
    <w:p>
      <w:pPr>
        <w:pageBreakBefore/>
        <w:shd w:val="clear" w:color="auto" w:fill="FFFFFF"/>
        <w:snapToGrid w:val="0"/>
        <w:spacing w:line="360" w:lineRule="auto"/>
        <w:ind w:firstLine="482" w:firstLineChars="200"/>
        <w:jc w:val="center"/>
        <w:outlineLvl w:val="1"/>
        <w:rPr>
          <w:rFonts w:hint="eastAsia" w:ascii="宋体" w:hAnsi="宋体" w:cs="宋体"/>
          <w:b/>
          <w:color w:val="000000"/>
          <w:sz w:val="24"/>
        </w:rPr>
      </w:pPr>
      <w:r>
        <w:rPr>
          <w:rFonts w:hint="eastAsia" w:ascii="宋体" w:hAnsi="宋体" w:cs="宋体"/>
          <w:b/>
          <w:bCs/>
          <w:color w:val="000000"/>
          <w:sz w:val="24"/>
        </w:rPr>
        <w:t>报价明细清单</w:t>
      </w:r>
    </w:p>
    <w:p>
      <w:pPr>
        <w:pStyle w:val="35"/>
        <w:snapToGrid w:val="0"/>
        <w:spacing w:before="120" w:after="120"/>
        <w:ind w:firstLine="1084" w:firstLineChars="300"/>
        <w:jc w:val="center"/>
        <w:rPr>
          <w:rFonts w:ascii="宋体" w:hAnsi="宋体" w:eastAsia="宋体"/>
          <w:b/>
          <w:sz w:val="36"/>
          <w:szCs w:val="36"/>
        </w:rPr>
      </w:pPr>
    </w:p>
    <w:p>
      <w:pPr>
        <w:pStyle w:val="964"/>
        <w:rPr>
          <w:lang w:val="en-US"/>
        </w:rPr>
      </w:pPr>
      <w:r>
        <w:rPr>
          <w:rFonts w:hint="eastAsia"/>
        </w:rPr>
        <w:t>项目名称：</w:t>
      </w:r>
      <w:r>
        <w:rPr>
          <w:rFonts w:hint="eastAsia"/>
          <w:lang w:val="en-US"/>
        </w:rPr>
        <w:t xml:space="preserve">                                            招标编号：</w:t>
      </w:r>
    </w:p>
    <w:tbl>
      <w:tblPr>
        <w:tblStyle w:val="62"/>
        <w:tblW w:w="0" w:type="auto"/>
        <w:jc w:val="center"/>
        <w:tblLayout w:type="fixed"/>
        <w:tblCellMar>
          <w:top w:w="0" w:type="dxa"/>
          <w:left w:w="108" w:type="dxa"/>
          <w:bottom w:w="0" w:type="dxa"/>
          <w:right w:w="108" w:type="dxa"/>
        </w:tblCellMar>
      </w:tblPr>
      <w:tblGrid>
        <w:gridCol w:w="764"/>
        <w:gridCol w:w="2155"/>
        <w:gridCol w:w="2684"/>
        <w:gridCol w:w="915"/>
        <w:gridCol w:w="1044"/>
        <w:gridCol w:w="936"/>
        <w:gridCol w:w="712"/>
      </w:tblGrid>
      <w:tr>
        <w:tblPrEx>
          <w:tblCellMar>
            <w:top w:w="0" w:type="dxa"/>
            <w:left w:w="108" w:type="dxa"/>
            <w:bottom w:w="0" w:type="dxa"/>
            <w:right w:w="108" w:type="dxa"/>
          </w:tblCellMar>
        </w:tblPrEx>
        <w:trPr>
          <w:trHeight w:val="111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lang w:eastAsia="zh-CN"/>
              </w:rPr>
              <w:t>项目名称</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rPr>
              <w:t>小计(元)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73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268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r>
      <w:tr>
        <w:tblPrEx>
          <w:tblCellMar>
            <w:top w:w="0" w:type="dxa"/>
            <w:left w:w="108" w:type="dxa"/>
            <w:bottom w:w="0" w:type="dxa"/>
            <w:right w:w="108" w:type="dxa"/>
          </w:tblCellMar>
        </w:tblPrEx>
        <w:trPr>
          <w:trHeight w:val="747"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268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r>
      <w:tr>
        <w:tblPrEx>
          <w:tblCellMar>
            <w:top w:w="0" w:type="dxa"/>
            <w:left w:w="108" w:type="dxa"/>
            <w:bottom w:w="0" w:type="dxa"/>
            <w:right w:w="108" w:type="dxa"/>
          </w:tblCellMar>
        </w:tblPrEx>
        <w:trPr>
          <w:trHeight w:val="777"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rPr>
                <w:rFonts w:ascii="宋体" w:hAnsi="宋体" w:eastAsia="宋体" w:cs="宋体"/>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p>
        </w:tc>
      </w:tr>
      <w:tr>
        <w:tblPrEx>
          <w:tblCellMar>
            <w:top w:w="0" w:type="dxa"/>
            <w:left w:w="108" w:type="dxa"/>
            <w:bottom w:w="0" w:type="dxa"/>
            <w:right w:w="108" w:type="dxa"/>
          </w:tblCellMar>
        </w:tblPrEx>
        <w:trPr>
          <w:trHeight w:val="917" w:hRule="atLeast"/>
          <w:jc w:val="center"/>
        </w:trPr>
        <w:tc>
          <w:tcPr>
            <w:tcW w:w="6518" w:type="dxa"/>
            <w:gridSpan w:val="4"/>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ind w:firstLine="600" w:firstLineChars="250"/>
              <w:jc w:val="center"/>
              <w:rPr>
                <w:rFonts w:hint="eastAsia" w:ascii="宋体" w:hAnsi="宋体" w:eastAsia="宋体" w:cs="宋体"/>
                <w:sz w:val="24"/>
                <w:szCs w:val="24"/>
              </w:rPr>
            </w:pPr>
            <w:r>
              <w:rPr>
                <w:rFonts w:hint="eastAsia" w:ascii="宋体" w:hAnsi="宋体" w:eastAsia="宋体" w:cs="宋体"/>
                <w:sz w:val="24"/>
                <w:szCs w:val="24"/>
              </w:rPr>
              <w:t>合计</w:t>
            </w:r>
            <w:r>
              <w:rPr>
                <w:rFonts w:hint="eastAsia" w:hAnsi="宋体" w:eastAsia="宋体" w:cs="宋体"/>
                <w:sz w:val="24"/>
                <w:szCs w:val="24"/>
              </w:rPr>
              <w:t>（人民币）</w:t>
            </w:r>
          </w:p>
        </w:tc>
        <w:tc>
          <w:tcPr>
            <w:tcW w:w="2692" w:type="dxa"/>
            <w:gridSpan w:val="3"/>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hAnsi="宋体" w:eastAsia="宋体" w:cs="宋体"/>
                <w:sz w:val="24"/>
                <w:szCs w:val="24"/>
                <w:u w:val="single"/>
              </w:rPr>
              <w:t xml:space="preserve">              </w:t>
            </w:r>
            <w:r>
              <w:rPr>
                <w:rFonts w:hint="eastAsia" w:ascii="宋体" w:hAnsi="宋体" w:eastAsia="宋体" w:cs="宋体"/>
                <w:sz w:val="24"/>
                <w:szCs w:val="24"/>
              </w:rPr>
              <w:t>元 ；</w:t>
            </w:r>
          </w:p>
        </w:tc>
      </w:tr>
      <w:tr>
        <w:tblPrEx>
          <w:tblCellMar>
            <w:top w:w="0" w:type="dxa"/>
            <w:left w:w="108" w:type="dxa"/>
            <w:bottom w:w="0" w:type="dxa"/>
            <w:right w:w="108" w:type="dxa"/>
          </w:tblCellMar>
        </w:tblPrEx>
        <w:trPr>
          <w:trHeight w:val="877" w:hRule="atLeast"/>
          <w:jc w:val="center"/>
        </w:trPr>
        <w:tc>
          <w:tcPr>
            <w:tcW w:w="6518" w:type="dxa"/>
            <w:gridSpan w:val="4"/>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rPr>
              <w:t xml:space="preserve">       大写</w:t>
            </w:r>
            <w:r>
              <w:rPr>
                <w:rFonts w:hint="eastAsia" w:hAnsi="宋体" w:eastAsia="宋体" w:cs="宋体"/>
                <w:sz w:val="24"/>
                <w:szCs w:val="24"/>
              </w:rPr>
              <w:t>（人民币）</w:t>
            </w:r>
          </w:p>
        </w:tc>
        <w:tc>
          <w:tcPr>
            <w:tcW w:w="2692" w:type="dxa"/>
            <w:gridSpan w:val="3"/>
            <w:tcBorders>
              <w:top w:val="single" w:color="auto" w:sz="4" w:space="0"/>
              <w:left w:val="single" w:color="auto" w:sz="4" w:space="0"/>
              <w:bottom w:val="single" w:color="auto" w:sz="4" w:space="0"/>
              <w:right w:val="single" w:color="auto" w:sz="4" w:space="0"/>
            </w:tcBorders>
            <w:noWrap w:val="0"/>
            <w:vAlign w:val="center"/>
          </w:tcPr>
          <w:p>
            <w:pPr>
              <w:pStyle w:val="35"/>
              <w:spacing w:line="360" w:lineRule="auto"/>
              <w:jc w:val="center"/>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w:t>
            </w:r>
          </w:p>
        </w:tc>
      </w:tr>
    </w:tbl>
    <w:p>
      <w:pPr>
        <w:pStyle w:val="35"/>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kern w:val="0"/>
          <w:sz w:val="24"/>
          <w:lang w:val="zh-CN"/>
        </w:rPr>
        <w:t>注：</w:t>
      </w:r>
      <w:r>
        <w:rPr>
          <w:rFonts w:hint="eastAsia" w:ascii="宋体" w:hAnsi="宋体" w:eastAsia="宋体" w:cs="宋体"/>
          <w:color w:val="000000"/>
          <w:kern w:val="0"/>
          <w:sz w:val="24"/>
        </w:rPr>
        <w:t>1、</w:t>
      </w:r>
      <w:r>
        <w:rPr>
          <w:rFonts w:hint="eastAsia" w:ascii="宋体" w:hAnsi="宋体" w:eastAsia="宋体" w:cs="宋体"/>
          <w:color w:val="000000"/>
          <w:sz w:val="24"/>
        </w:rPr>
        <w:t>可根据具体情况调整报价明细清单格式，但应包括项目涉及的一切相关税、费等费用。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2、报价明细清单中合计总价应与开标一览表中的相应总报价一致，不一致时，以开标一览表报价为准。</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3、漏报的视同已包含在投标总价内，有重大缺项的将作无效标处理。</w:t>
      </w:r>
    </w:p>
    <w:p>
      <w:pPr>
        <w:pStyle w:val="3"/>
        <w:rPr>
          <w:rFonts w:hint="default"/>
          <w:lang w:val="en-US" w:eastAsia="zh-CN"/>
        </w:rPr>
      </w:pPr>
    </w:p>
    <w:p>
      <w:pPr>
        <w:pStyle w:val="376"/>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8"/>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8"/>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7"/>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16" w:name="_Toc465665161"/>
      <w:r>
        <w:rPr>
          <w:rFonts w:hint="eastAsia" w:ascii="仿宋_GB2312" w:hAnsi="仿宋" w:eastAsia="仿宋_GB2312"/>
          <w:color w:val="auto"/>
        </w:rPr>
        <w:t>附件</w:t>
      </w:r>
      <w:bookmarkEnd w:id="516"/>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517" w:name="OLE_LINK13"/>
      <w:bookmarkStart w:id="518" w:name="OLE_LINK14"/>
      <w:r>
        <w:rPr>
          <w:rFonts w:hint="eastAsia" w:ascii="仿宋_GB2312" w:hAnsi="仿宋" w:eastAsia="仿宋_GB2312"/>
          <w:b/>
          <w:color w:val="auto"/>
          <w:spacing w:val="6"/>
          <w:sz w:val="32"/>
          <w:szCs w:val="32"/>
        </w:rPr>
        <w:t>残疾人福利性单位声明函</w:t>
      </w:r>
    </w:p>
    <w:bookmarkEnd w:id="517"/>
    <w:bookmarkEnd w:id="518"/>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pStyle w:val="2"/>
        <w:rPr>
          <w:rFonts w:ascii="仿宋_GB2312" w:hAnsi="仿宋" w:eastAsia="仿宋_GB2312"/>
          <w:b/>
          <w:color w:val="auto"/>
          <w:spacing w:val="6"/>
          <w:sz w:val="32"/>
          <w:szCs w:val="32"/>
        </w:rPr>
      </w:pPr>
    </w:p>
    <w:p>
      <w:pPr>
        <w:pStyle w:val="4"/>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pStyle w:val="2"/>
        <w:rPr>
          <w:rFonts w:ascii="仿宋" w:hAnsi="仿宋" w:eastAsia="仿宋"/>
          <w:b/>
          <w:color w:val="auto"/>
          <w:spacing w:val="6"/>
          <w:sz w:val="32"/>
          <w:szCs w:val="32"/>
        </w:rPr>
      </w:pPr>
    </w:p>
    <w:p>
      <w:pPr>
        <w:pStyle w:val="4"/>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both"/>
        <w:rPr>
          <w:rFonts w:ascii="仿宋" w:hAnsi="仿宋" w:eastAsia="仿宋"/>
          <w:b/>
          <w:color w:val="auto"/>
          <w:spacing w:val="6"/>
          <w:sz w:val="32"/>
          <w:szCs w:val="32"/>
        </w:rPr>
      </w:pPr>
    </w:p>
    <w:p>
      <w:pPr>
        <w:pStyle w:val="2"/>
        <w:rPr>
          <w:rFonts w:ascii="仿宋" w:hAnsi="仿宋" w:eastAsia="仿宋"/>
          <w:b/>
          <w:color w:val="auto"/>
          <w:spacing w:val="6"/>
          <w:sz w:val="32"/>
          <w:szCs w:val="32"/>
        </w:rPr>
      </w:pPr>
    </w:p>
    <w:p>
      <w:pPr>
        <w:pStyle w:val="4"/>
        <w:rPr>
          <w:rFonts w:ascii="仿宋" w:hAnsi="仿宋" w:eastAsia="仿宋"/>
          <w:b/>
          <w:color w:val="auto"/>
          <w:spacing w:val="6"/>
          <w:sz w:val="32"/>
          <w:szCs w:val="32"/>
        </w:rPr>
      </w:pPr>
    </w:p>
    <w:p>
      <w:pPr>
        <w:pStyle w:val="6"/>
      </w:pPr>
    </w:p>
    <w:p>
      <w:pPr>
        <w:autoSpaceDE w:val="0"/>
        <w:autoSpaceDN w:val="0"/>
        <w:jc w:val="center"/>
        <w:rPr>
          <w:rFonts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pStyle w:val="2"/>
        <w:rPr>
          <w:rFonts w:ascii="仿宋_GB2312" w:hAnsi="仿宋" w:eastAsia="仿宋_GB2312" w:cs="仿宋_GB2312"/>
          <w:b/>
          <w:color w:val="auto"/>
          <w:sz w:val="32"/>
          <w:szCs w:val="32"/>
        </w:rPr>
      </w:pPr>
    </w:p>
    <w:p>
      <w:pPr>
        <w:pStyle w:val="4"/>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p>
      <w:pPr>
        <w:spacing w:line="360" w:lineRule="auto"/>
        <w:jc w:val="both"/>
        <w:rPr>
          <w:rFonts w:ascii="仿宋_GB2312" w:hAnsi="仿宋" w:eastAsia="仿宋_GB2312" w:cs="仿宋_GB2312"/>
          <w:b/>
          <w:color w:val="auto"/>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9" w:name="_Toc131845147"/>
    <w:bookmarkStart w:id="520" w:name="_Toc91899912"/>
    <w:bookmarkStart w:id="521" w:name="_Toc164085800"/>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94F11"/>
    <w:multiLevelType w:val="singleLevel"/>
    <w:tmpl w:val="56694F11"/>
    <w:lvl w:ilvl="0" w:tentative="0">
      <w:start w:val="1"/>
      <w:numFmt w:val="chineseCounting"/>
      <w:suff w:val="nothing"/>
      <w:lvlText w:val="%1、"/>
      <w:lvlJc w:val="left"/>
      <w:rPr>
        <w:rFonts w:hint="eastAsia"/>
      </w:r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B971A2"/>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B3018D"/>
    <w:rsid w:val="0BC2327C"/>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E7735"/>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8C04E22"/>
    <w:rsid w:val="198C7EA0"/>
    <w:rsid w:val="19932372"/>
    <w:rsid w:val="19A20DD5"/>
    <w:rsid w:val="19AE03F1"/>
    <w:rsid w:val="1A071A03"/>
    <w:rsid w:val="1A1539C2"/>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1641D5"/>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414C55"/>
    <w:rsid w:val="2CE82D6F"/>
    <w:rsid w:val="2D343236"/>
    <w:rsid w:val="2DD15014"/>
    <w:rsid w:val="2DF72DE4"/>
    <w:rsid w:val="2E0220AF"/>
    <w:rsid w:val="2E2B7B6E"/>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AB6E04"/>
    <w:rsid w:val="33EB55CD"/>
    <w:rsid w:val="33EC4C02"/>
    <w:rsid w:val="340D2360"/>
    <w:rsid w:val="3410665D"/>
    <w:rsid w:val="34211214"/>
    <w:rsid w:val="342E63AB"/>
    <w:rsid w:val="34475669"/>
    <w:rsid w:val="34950E68"/>
    <w:rsid w:val="34986E94"/>
    <w:rsid w:val="34AF62C9"/>
    <w:rsid w:val="34CB4388"/>
    <w:rsid w:val="34FA6E12"/>
    <w:rsid w:val="35016021"/>
    <w:rsid w:val="35742CB9"/>
    <w:rsid w:val="358D5588"/>
    <w:rsid w:val="363A3B40"/>
    <w:rsid w:val="365302AE"/>
    <w:rsid w:val="36607A0A"/>
    <w:rsid w:val="366E227C"/>
    <w:rsid w:val="366F2E0D"/>
    <w:rsid w:val="367B6A5C"/>
    <w:rsid w:val="36A74ADA"/>
    <w:rsid w:val="36AD60D5"/>
    <w:rsid w:val="36B224F9"/>
    <w:rsid w:val="36EC0CC9"/>
    <w:rsid w:val="373F410B"/>
    <w:rsid w:val="37725E08"/>
    <w:rsid w:val="37EE7094"/>
    <w:rsid w:val="38296C89"/>
    <w:rsid w:val="383002EB"/>
    <w:rsid w:val="38586797"/>
    <w:rsid w:val="38BC0149"/>
    <w:rsid w:val="38D87D1C"/>
    <w:rsid w:val="38F1355F"/>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25EB6"/>
    <w:rsid w:val="3F756B8F"/>
    <w:rsid w:val="3F95482B"/>
    <w:rsid w:val="3F9D6D5C"/>
    <w:rsid w:val="3FC6184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35E98"/>
    <w:rsid w:val="42C52B07"/>
    <w:rsid w:val="42CD1CE0"/>
    <w:rsid w:val="42E1381E"/>
    <w:rsid w:val="42E35392"/>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35142"/>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D0F8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4C4"/>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F240D"/>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4E87E8C"/>
    <w:rsid w:val="653C3090"/>
    <w:rsid w:val="65854376"/>
    <w:rsid w:val="658767BE"/>
    <w:rsid w:val="65892531"/>
    <w:rsid w:val="66195831"/>
    <w:rsid w:val="662E75B1"/>
    <w:rsid w:val="66342C2E"/>
    <w:rsid w:val="663E784C"/>
    <w:rsid w:val="668B6A45"/>
    <w:rsid w:val="66FE6046"/>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2406C8"/>
    <w:rsid w:val="6ADE0BD1"/>
    <w:rsid w:val="6AE96859"/>
    <w:rsid w:val="6B147746"/>
    <w:rsid w:val="6B24787C"/>
    <w:rsid w:val="6B3614B4"/>
    <w:rsid w:val="6B573233"/>
    <w:rsid w:val="6B5B6274"/>
    <w:rsid w:val="6B935D53"/>
    <w:rsid w:val="6BBA54EB"/>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B202A"/>
    <w:rsid w:val="6E8335BD"/>
    <w:rsid w:val="6E8E12EF"/>
    <w:rsid w:val="6E972936"/>
    <w:rsid w:val="6ED446C5"/>
    <w:rsid w:val="6F2A7D94"/>
    <w:rsid w:val="6F8331F1"/>
    <w:rsid w:val="6F857F81"/>
    <w:rsid w:val="6FAE1A09"/>
    <w:rsid w:val="6FD75BF8"/>
    <w:rsid w:val="707723D0"/>
    <w:rsid w:val="70A35968"/>
    <w:rsid w:val="70F5661B"/>
    <w:rsid w:val="70F76C5D"/>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86A06"/>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652"/>
    <w:qFormat/>
    <w:uiPriority w:val="0"/>
    <w:pPr>
      <w:adjustRightInd/>
      <w:spacing w:after="120" w:line="240" w:lineRule="auto"/>
      <w:ind w:left="420" w:leftChars="200" w:firstLine="210"/>
    </w:pPr>
    <w:rPr>
      <w:sz w:val="21"/>
    </w:rPr>
  </w:style>
  <w:style w:type="paragraph" w:styleId="3">
    <w:name w:val="Body Text Indent"/>
    <w:basedOn w:val="1"/>
    <w:next w:val="2"/>
    <w:link w:val="780"/>
    <w:qFormat/>
    <w:uiPriority w:val="0"/>
    <w:pPr>
      <w:spacing w:line="480" w:lineRule="exact"/>
      <w:ind w:firstLine="480" w:firstLineChars="200"/>
    </w:pPr>
    <w:rPr>
      <w:rFonts w:ascii="宋体" w:hAnsi="宋体"/>
      <w:sz w:val="24"/>
    </w:rPr>
  </w:style>
  <w:style w:type="paragraph" w:styleId="4">
    <w:name w:val="Body Text First Indent"/>
    <w:basedOn w:val="5"/>
    <w:next w:val="6"/>
    <w:link w:val="831"/>
    <w:qFormat/>
    <w:uiPriority w:val="0"/>
    <w:pPr>
      <w:ind w:firstLine="420"/>
    </w:pPr>
    <w:rPr>
      <w:rFonts w:hAnsi="Calibri" w:cs="Times New Roman"/>
      <w:szCs w:val="20"/>
    </w:rPr>
  </w:style>
  <w:style w:type="paragraph" w:styleId="5">
    <w:name w:val="Body Text"/>
    <w:basedOn w:val="1"/>
    <w:next w:val="1"/>
    <w:link w:val="929"/>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4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4"/>
    <w:qFormat/>
    <w:uiPriority w:val="0"/>
    <w:pPr>
      <w:shd w:val="clear" w:color="auto" w:fill="000080"/>
    </w:pPr>
  </w:style>
  <w:style w:type="paragraph" w:styleId="24">
    <w:name w:val="annotation text"/>
    <w:basedOn w:val="1"/>
    <w:link w:val="852"/>
    <w:qFormat/>
    <w:uiPriority w:val="99"/>
    <w:pPr>
      <w:jc w:val="left"/>
    </w:pPr>
  </w:style>
  <w:style w:type="paragraph" w:styleId="25">
    <w:name w:val="Salutation"/>
    <w:basedOn w:val="1"/>
    <w:next w:val="1"/>
    <w:link w:val="812"/>
    <w:qFormat/>
    <w:uiPriority w:val="0"/>
    <w:rPr>
      <w:rFonts w:ascii="仿宋_GB2312" w:eastAsia="仿宋_GB2312"/>
      <w:sz w:val="28"/>
      <w:szCs w:val="20"/>
    </w:rPr>
  </w:style>
  <w:style w:type="paragraph" w:styleId="26">
    <w:name w:val="Body Text 3"/>
    <w:basedOn w:val="1"/>
    <w:link w:val="840"/>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6"/>
    <w:qFormat/>
    <w:uiPriority w:val="0"/>
    <w:pPr>
      <w:ind w:left="100" w:leftChars="2500"/>
    </w:pPr>
    <w:rPr>
      <w:rFonts w:ascii="宋体"/>
      <w:sz w:val="24"/>
      <w:szCs w:val="21"/>
      <w:lang w:val="zh-CN"/>
    </w:rPr>
  </w:style>
  <w:style w:type="paragraph" w:styleId="39">
    <w:name w:val="Body Text Indent 2"/>
    <w:basedOn w:val="1"/>
    <w:link w:val="820"/>
    <w:qFormat/>
    <w:uiPriority w:val="0"/>
    <w:pPr>
      <w:spacing w:line="360" w:lineRule="auto"/>
      <w:ind w:firstLine="601"/>
      <w:textAlignment w:val="baseline"/>
    </w:pPr>
    <w:rPr>
      <w:rFonts w:ascii="宋体"/>
      <w:kern w:val="0"/>
      <w:sz w:val="28"/>
      <w:szCs w:val="20"/>
    </w:rPr>
  </w:style>
  <w:style w:type="paragraph" w:styleId="40">
    <w:name w:val="endnote text"/>
    <w:basedOn w:val="1"/>
    <w:link w:val="937"/>
    <w:qFormat/>
    <w:uiPriority w:val="0"/>
    <w:rPr>
      <w:lang w:val="zh-CN"/>
    </w:rPr>
  </w:style>
  <w:style w:type="paragraph" w:styleId="41">
    <w:name w:val="Balloon Text"/>
    <w:basedOn w:val="1"/>
    <w:link w:val="713"/>
    <w:qFormat/>
    <w:uiPriority w:val="0"/>
    <w:rPr>
      <w:sz w:val="18"/>
      <w:szCs w:val="18"/>
    </w:rPr>
  </w:style>
  <w:style w:type="paragraph" w:styleId="42">
    <w:name w:val="footer"/>
    <w:basedOn w:val="1"/>
    <w:link w:val="888"/>
    <w:qFormat/>
    <w:uiPriority w:val="99"/>
    <w:pPr>
      <w:tabs>
        <w:tab w:val="center" w:pos="4153"/>
        <w:tab w:val="right" w:pos="8306"/>
      </w:tabs>
      <w:snapToGrid w:val="0"/>
      <w:jc w:val="left"/>
    </w:pPr>
    <w:rPr>
      <w:sz w:val="18"/>
      <w:szCs w:val="18"/>
    </w:rPr>
  </w:style>
  <w:style w:type="paragraph" w:styleId="43">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822"/>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6"/>
    <w:qFormat/>
    <w:uiPriority w:val="0"/>
    <w:pPr>
      <w:spacing w:after="120" w:line="480" w:lineRule="auto"/>
    </w:pPr>
  </w:style>
  <w:style w:type="paragraph" w:styleId="58">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2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3"/>
    <w:qFormat/>
    <w:uiPriority w:val="99"/>
    <w:pPr>
      <w:spacing w:line="200" w:lineRule="atLeast"/>
      <w:ind w:firstLine="420"/>
    </w:pPr>
    <w:rPr>
      <w:rFonts w:ascii="宋体" w:hAnsi="Courier New"/>
      <w:spacing w:val="-4"/>
      <w:sz w:val="18"/>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8"/>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10"/>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10"/>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20"/>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10"/>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8"/>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9"/>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11"/>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9"/>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10"/>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7"/>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0"/>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9"/>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5"/>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3"/>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7"/>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1"/>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9"/>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12"/>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8"/>
    <w:qFormat/>
    <w:uiPriority w:val="0"/>
    <w:rPr>
      <w:rFonts w:ascii="宋体"/>
      <w:kern w:val="2"/>
      <w:sz w:val="24"/>
      <w:szCs w:val="21"/>
      <w:lang w:val="zh-CN"/>
    </w:rPr>
  </w:style>
  <w:style w:type="character" w:customStyle="1" w:styleId="707">
    <w:name w:val="标题 9 Char"/>
    <w:link w:val="15"/>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41"/>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20"/>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23"/>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2"/>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21"/>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3"/>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7"/>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60"/>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11"/>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5"/>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8"/>
    <w:qFormat/>
    <w:uiPriority w:val="0"/>
    <w:rPr>
      <w:rFonts w:ascii="黑体" w:hAnsi="Courier New" w:eastAsia="黑体"/>
    </w:rPr>
  </w:style>
  <w:style w:type="character" w:customStyle="1" w:styleId="816">
    <w:name w:val="正文文本 2 Char1"/>
    <w:link w:val="57"/>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3"/>
    <w:qFormat/>
    <w:uiPriority w:val="0"/>
    <w:rPr>
      <w:b/>
      <w:bCs/>
      <w:kern w:val="2"/>
      <w:sz w:val="24"/>
      <w:szCs w:val="24"/>
    </w:rPr>
  </w:style>
  <w:style w:type="character" w:customStyle="1" w:styleId="820">
    <w:name w:val="正文文本缩进 2 Char"/>
    <w:link w:val="39"/>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2"/>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4"/>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10"/>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6"/>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4"/>
    <w:qFormat/>
    <w:uiPriority w:val="0"/>
    <w:rPr>
      <w:kern w:val="2"/>
      <w:sz w:val="21"/>
      <w:szCs w:val="24"/>
    </w:rPr>
  </w:style>
  <w:style w:type="character" w:customStyle="1" w:styleId="853">
    <w:name w:val="签名 Char"/>
    <w:link w:val="44"/>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4"/>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4"/>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2"/>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3"/>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0"/>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文本首行缩进 21"/>
    <w:basedOn w:val="3"/>
    <w:qFormat/>
    <w:uiPriority w:val="0"/>
    <w:pPr>
      <w:spacing w:line="200" w:lineRule="atLeast"/>
      <w:ind w:firstLine="420"/>
    </w:pPr>
    <w:rPr>
      <w:rFonts w:ascii="宋体" w:hAnsi="Courier New"/>
      <w:spacing w:val="-4"/>
      <w:sz w:val="18"/>
    </w:rPr>
  </w:style>
  <w:style w:type="paragraph" w:customStyle="1" w:styleId="963">
    <w:name w:val="_Style 7"/>
    <w:basedOn w:val="5"/>
    <w:next w:val="4"/>
    <w:qFormat/>
    <w:uiPriority w:val="0"/>
    <w:pPr>
      <w:ind w:firstLine="420" w:firstLineChars="100"/>
    </w:pPr>
    <w:rPr>
      <w:rFonts w:ascii="Calibri" w:hAnsi="Calibri"/>
      <w:szCs w:val="22"/>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36307</Words>
  <Characters>38385</Characters>
  <Lines>287</Lines>
  <Paragraphs>81</Paragraphs>
  <TotalTime>21</TotalTime>
  <ScaleCrop>false</ScaleCrop>
  <LinksUpToDate>false</LinksUpToDate>
  <CharactersWithSpaces>44584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王小廷</cp:lastModifiedBy>
  <cp:lastPrinted>2021-12-27T03:06:00Z</cp:lastPrinted>
  <dcterms:modified xsi:type="dcterms:W3CDTF">2022-02-22T08:22:35Z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94044D36F5674A09AD5A8BCF537C9DA2</vt:lpwstr>
  </property>
</Properties>
</file>