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48A8C73E">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临平区数据资源管理局</w:t>
      </w: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视频会议运维保障服务项目</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HZZR-F250523N</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杭州市临平区数据资源管理局</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杭州中瑞招标代理有限公司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二十七</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8"/>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临平区数据资源管理局视频会议运维保障服务项目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18</w:t>
      </w:r>
      <w:r>
        <w:rPr>
          <w:rStyle w:val="77"/>
          <w:rFonts w:hint="eastAsia" w:ascii="宋体" w:hAnsi="宋体" w:eastAsia="宋体" w:cs="宋体"/>
          <w:snapToGrid/>
          <w:color w:val="auto"/>
          <w:kern w:val="2"/>
          <w:sz w:val="24"/>
          <w:szCs w:val="24"/>
          <w:highlight w:val="none"/>
        </w:rPr>
        <w:t xml:space="preserve">日 </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HZZR-F250523N</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临平区数据资源管理局视频会议运维保障服务项目</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790000.00</w:t>
      </w:r>
      <w:r>
        <w:rPr>
          <w:rFonts w:ascii="宋体" w:hAnsi="宋体" w:cs="宋体"/>
          <w:color w:val="auto"/>
          <w:sz w:val="24"/>
          <w:highlight w:val="none"/>
        </w:rPr>
        <w:t xml:space="preserve"> </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790000.00</w:t>
      </w:r>
    </w:p>
    <w:p w14:paraId="6EC5DB8E">
      <w:pPr>
        <w:pStyle w:val="5"/>
        <w:spacing w:line="360" w:lineRule="auto"/>
        <w:ind w:firstLine="480"/>
        <w:rPr>
          <w:rFonts w:hint="eastAsia" w:hAnsi="宋体" w:cs="宋体"/>
          <w:b/>
          <w:color w:val="auto"/>
          <w:sz w:val="24"/>
          <w:highlight w:val="none"/>
        </w:rPr>
      </w:pPr>
      <w:r>
        <w:rPr>
          <w:rFonts w:hint="eastAsia" w:hAnsi="宋体" w:cs="宋体"/>
          <w:b/>
          <w:color w:val="auto"/>
          <w:sz w:val="24"/>
          <w:highlight w:val="none"/>
        </w:rPr>
        <w:t>采购需求：</w:t>
      </w:r>
    </w:p>
    <w:p w14:paraId="1D5FB2C5">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标项名称：</w:t>
      </w:r>
      <w:r>
        <w:rPr>
          <w:rFonts w:hint="eastAsia" w:ascii="宋体" w:hAnsi="宋体" w:cs="宋体"/>
          <w:color w:val="auto"/>
          <w:sz w:val="24"/>
          <w:highlight w:val="none"/>
          <w:lang w:eastAsia="zh-CN"/>
        </w:rPr>
        <w:t>临平区数据资源管理局视频会议运维保障服务项目</w:t>
      </w:r>
      <w:r>
        <w:rPr>
          <w:rFonts w:hint="eastAsia" w:hAnsi="宋体" w:cs="宋体"/>
          <w:bCs/>
          <w:snapToGrid/>
          <w:color w:val="auto"/>
          <w:kern w:val="2"/>
          <w:sz w:val="24"/>
          <w:szCs w:val="24"/>
          <w:highlight w:val="none"/>
          <w:lang w:eastAsia="zh-CN"/>
        </w:rPr>
        <w:t xml:space="preserve">    </w:t>
      </w:r>
    </w:p>
    <w:p w14:paraId="3C115EDB">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 xml:space="preserve">数量：1    </w:t>
      </w:r>
    </w:p>
    <w:p w14:paraId="0E871AA8">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预算金额（元）：</w:t>
      </w:r>
      <w:r>
        <w:rPr>
          <w:rFonts w:hint="eastAsia" w:ascii="宋体" w:hAnsi="宋体" w:cs="宋体"/>
          <w:b w:val="0"/>
          <w:bCs/>
          <w:color w:val="auto"/>
          <w:sz w:val="24"/>
          <w:highlight w:val="none"/>
          <w:lang w:val="en-US" w:eastAsia="zh-CN"/>
        </w:rPr>
        <w:t>790000.00</w:t>
      </w:r>
      <w:r>
        <w:rPr>
          <w:rFonts w:hint="eastAsia" w:hAnsi="宋体" w:cs="宋体"/>
          <w:bCs/>
          <w:snapToGrid/>
          <w:color w:val="auto"/>
          <w:kern w:val="2"/>
          <w:sz w:val="24"/>
          <w:szCs w:val="24"/>
          <w:highlight w:val="none"/>
          <w:lang w:eastAsia="zh-CN"/>
        </w:rPr>
        <w:t xml:space="preserve">    </w:t>
      </w:r>
    </w:p>
    <w:p w14:paraId="16DB916C">
      <w:pPr>
        <w:pStyle w:val="5"/>
        <w:spacing w:line="360" w:lineRule="auto"/>
        <w:ind w:firstLine="480"/>
        <w:rPr>
          <w:rFonts w:hint="default" w:hAnsi="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lang w:eastAsia="zh-CN"/>
        </w:rPr>
        <w:t>简要规格描述或项目基本概况介绍、用途：</w:t>
      </w:r>
      <w:r>
        <w:rPr>
          <w:rFonts w:hint="eastAsia" w:ascii="宋体" w:hAnsi="宋体" w:cs="宋体"/>
          <w:color w:val="auto"/>
          <w:sz w:val="24"/>
          <w:highlight w:val="none"/>
          <w:lang w:eastAsia="zh-CN"/>
        </w:rPr>
        <w:t>临平区数据资源管理局视频会议运维保障服务。</w:t>
      </w:r>
    </w:p>
    <w:p w14:paraId="7D8BC87B">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 xml:space="preserve">备注：具体以招标文件第三部分采购需求为准，供应商可点击本公告下方“浏览采购文件”查看采购需求。 </w:t>
      </w:r>
    </w:p>
    <w:p w14:paraId="0CF83623">
      <w:pPr>
        <w:pStyle w:val="5"/>
        <w:spacing w:line="360" w:lineRule="auto"/>
        <w:ind w:firstLine="480"/>
        <w:rPr>
          <w:rFonts w:ascii="宋体" w:hAnsi="宋体" w:cs="宋体"/>
          <w:color w:val="auto"/>
          <w:highlight w:val="none"/>
        </w:rPr>
      </w:pPr>
      <w:r>
        <w:rPr>
          <w:rFonts w:hint="eastAsia" w:ascii="宋体" w:hAnsi="宋体" w:cs="宋体"/>
          <w:b/>
          <w:color w:val="auto"/>
          <w:sz w:val="24"/>
          <w:szCs w:val="24"/>
          <w:highlight w:val="none"/>
        </w:rPr>
        <w:t>合同履约期限：</w:t>
      </w:r>
      <w:r>
        <w:rPr>
          <w:rFonts w:hint="eastAsia" w:hAnsi="宋体" w:cs="宋体"/>
          <w:b w:val="0"/>
          <w:bCs/>
          <w:color w:val="auto"/>
          <w:sz w:val="24"/>
          <w:szCs w:val="24"/>
          <w:highlight w:val="none"/>
          <w:lang w:val="en-US" w:eastAsia="zh-CN"/>
        </w:rPr>
        <w:t>1年。</w:t>
      </w:r>
      <w:r>
        <w:rPr>
          <w:rFonts w:ascii="宋体" w:hAnsi="宋体" w:cs="宋体"/>
          <w:color w:val="auto"/>
          <w:highlight w:val="none"/>
        </w:rPr>
        <w:t xml:space="preserve"> </w:t>
      </w:r>
    </w:p>
    <w:p w14:paraId="07281B0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D4197A">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0F2F4DC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称：杭州市临平区数据资源管理局</w:t>
      </w:r>
    </w:p>
    <w:p w14:paraId="785A3DE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址：杭州市临平区南大街265号市民之家8楼</w:t>
      </w:r>
    </w:p>
    <w:p w14:paraId="242352E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项目联系人（询问）：王伊宁</w:t>
      </w:r>
    </w:p>
    <w:p w14:paraId="215C5A9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项目联系方式（询问）：15057185030</w:t>
      </w:r>
    </w:p>
    <w:p w14:paraId="062EB29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质疑联系人：章凡</w:t>
      </w:r>
    </w:p>
    <w:p w14:paraId="1A2B465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质疑联系方式：0571-89530410     </w:t>
      </w:r>
    </w:p>
    <w:p w14:paraId="4A6470C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7BAE4DE0">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杭州中瑞招标代理有限公司</w:t>
      </w:r>
    </w:p>
    <w:p w14:paraId="28B6FE2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址：杭州市临平区南苑街道河南埭路108号临平新天地3号楼3楼</w:t>
      </w:r>
    </w:p>
    <w:p w14:paraId="6814AA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项目联系人（询问）：金佳霖 </w:t>
      </w:r>
    </w:p>
    <w:p w14:paraId="3A7A6DB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项目联系方式（询问）：0571-86111691</w:t>
      </w:r>
    </w:p>
    <w:p w14:paraId="0B2DAF3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质疑联系人：秦沙金</w:t>
      </w:r>
    </w:p>
    <w:p w14:paraId="525F00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质疑联系方式：0571-86111691</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w:t>
      </w:r>
      <w:r>
        <w:rPr>
          <w:rFonts w:hint="eastAsia" w:ascii="宋体" w:hAnsi="宋体" w:cs="宋体"/>
          <w:color w:val="auto"/>
          <w:sz w:val="24"/>
          <w:highlight w:val="none"/>
          <w:lang w:val="en-US" w:eastAsia="zh-CN"/>
        </w:rPr>
        <w:t>临平区财政局、</w:t>
      </w:r>
      <w:r>
        <w:rPr>
          <w:rFonts w:hint="eastAsia" w:ascii="宋体" w:hAnsi="宋体" w:cs="宋体"/>
          <w:color w:val="auto"/>
          <w:sz w:val="24"/>
          <w:highlight w:val="none"/>
        </w:rPr>
        <w:t>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联系人 ：王</w:t>
      </w:r>
      <w:r>
        <w:rPr>
          <w:rFonts w:hint="eastAsia" w:ascii="宋体" w:hAnsi="宋体" w:cs="宋体"/>
          <w:color w:val="auto"/>
          <w:sz w:val="24"/>
          <w:highlight w:val="none"/>
          <w:lang w:val="en-US" w:eastAsia="zh-CN"/>
        </w:rPr>
        <w:t>老师</w:t>
      </w:r>
    </w:p>
    <w:p w14:paraId="5EEC218A">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临平区数据资源管理局视频会议运维保障服务项目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软件和信息技术服务</w:t>
            </w:r>
            <w:r>
              <w:rPr>
                <w:rFonts w:hint="eastAsia" w:ascii="宋体" w:hAnsi="宋体" w:cs="宋体"/>
                <w:color w:val="auto"/>
                <w:kern w:val="0"/>
                <w:sz w:val="24"/>
                <w:highlight w:val="none"/>
              </w:rPr>
              <w:t>行业；</w:t>
            </w:r>
          </w:p>
          <w:p w14:paraId="27019300">
            <w:pPr>
              <w:snapToGrid w:val="0"/>
              <w:spacing w:line="360" w:lineRule="auto"/>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cs="宋体"/>
                <w:color w:val="auto"/>
                <w:kern w:val="0"/>
                <w:sz w:val="24"/>
                <w:highlight w:val="none"/>
                <w:u w:val="single"/>
              </w:rPr>
              <w:t>软件和信息技术服务</w:t>
            </w:r>
            <w:r>
              <w:rPr>
                <w:rFonts w:hint="eastAsia" w:ascii="宋体" w:hAnsi="宋体" w:cs="宋体"/>
                <w:color w:val="auto"/>
                <w:kern w:val="0"/>
                <w:sz w:val="24"/>
                <w:highlight w:val="none"/>
              </w:rPr>
              <w:t>行业</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sz w:val="24"/>
                <w:szCs w:val="24"/>
                <w:highlight w:val="none"/>
                <w:lang w:val="en-US"/>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F0DF8E6">
            <w:pPr>
              <w:snapToGrid w:val="0"/>
              <w:spacing w:line="360" w:lineRule="auto"/>
              <w:jc w:val="center"/>
              <w:rPr>
                <w:rFonts w:ascii="宋体" w:hAnsi="宋体" w:cs="宋体"/>
                <w:color w:val="auto"/>
                <w:sz w:val="24"/>
                <w:highlight w:val="none"/>
              </w:rPr>
            </w:pPr>
          </w:p>
          <w:p w14:paraId="1854D64E">
            <w:pPr>
              <w:snapToGrid w:val="0"/>
              <w:spacing w:line="360" w:lineRule="auto"/>
              <w:jc w:val="center"/>
              <w:rPr>
                <w:rFonts w:ascii="宋体" w:hAnsi="宋体" w:cs="宋体"/>
                <w:color w:val="auto"/>
                <w:sz w:val="24"/>
                <w:highlight w:val="none"/>
              </w:rPr>
            </w:pPr>
          </w:p>
          <w:p w14:paraId="775D43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574827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4602E04">
            <w:pPr>
              <w:snapToGrid w:val="0"/>
              <w:spacing w:line="360" w:lineRule="auto"/>
              <w:jc w:val="center"/>
              <w:rPr>
                <w:rFonts w:ascii="宋体" w:hAnsi="宋体" w:cs="宋体"/>
                <w:color w:val="auto"/>
                <w:sz w:val="24"/>
                <w:highlight w:val="none"/>
              </w:rPr>
            </w:pPr>
          </w:p>
          <w:p w14:paraId="0EEA0AB3">
            <w:pPr>
              <w:snapToGrid w:val="0"/>
              <w:spacing w:line="360" w:lineRule="auto"/>
              <w:jc w:val="center"/>
              <w:rPr>
                <w:rFonts w:ascii="宋体" w:hAnsi="宋体" w:cs="宋体"/>
                <w:color w:val="auto"/>
                <w:sz w:val="24"/>
                <w:highlight w:val="none"/>
              </w:rPr>
            </w:pPr>
          </w:p>
          <w:p w14:paraId="7603D47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80"/>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80"/>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2641E6AB">
            <w:pPr>
              <w:snapToGrid w:val="0"/>
              <w:spacing w:line="360" w:lineRule="auto"/>
              <w:jc w:val="center"/>
              <w:rPr>
                <w:rFonts w:ascii="宋体" w:hAnsi="宋体" w:cs="宋体"/>
                <w:color w:val="auto"/>
                <w:sz w:val="24"/>
                <w:highlight w:val="none"/>
              </w:rPr>
            </w:pPr>
          </w:p>
          <w:p w14:paraId="7533B580">
            <w:pPr>
              <w:snapToGrid w:val="0"/>
              <w:spacing w:line="360" w:lineRule="auto"/>
              <w:jc w:val="center"/>
              <w:rPr>
                <w:rFonts w:ascii="宋体" w:hAnsi="宋体" w:cs="宋体"/>
                <w:color w:val="auto"/>
                <w:sz w:val="24"/>
                <w:highlight w:val="none"/>
              </w:rPr>
            </w:pPr>
          </w:p>
          <w:p w14:paraId="4498E60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80"/>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0"/>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80"/>
              <w:jc w:val="both"/>
              <w:rPr>
                <w:color w:val="auto"/>
                <w:highlight w:val="none"/>
              </w:rPr>
            </w:pPr>
            <w:sdt>
              <w:sdtPr>
                <w:rPr>
                  <w:rFonts w:hint="eastAsia" w:ascii="宋体" w:hAnsi="宋体" w:cs="宋体"/>
                  <w:color w:val="auto"/>
                  <w:kern w:val="0"/>
                  <w:sz w:val="24"/>
                  <w:highlight w:val="none"/>
                </w:rPr>
                <w:id w:val="147477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w:t>
            </w: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cs="宋体"/>
                <w:color w:val="auto"/>
                <w:sz w:val="24"/>
                <w:highlight w:val="none"/>
              </w:rPr>
              <w:t>杭州市临平区南苑街道河南埭路108号临平新天地3号楼3楼</w:t>
            </w:r>
            <w:r>
              <w:rPr>
                <w:rFonts w:hint="eastAsia" w:hAnsi="宋体" w:cs="宋体"/>
                <w:color w:val="auto"/>
                <w:sz w:val="24"/>
                <w:highlight w:val="none"/>
                <w:u w:val="single"/>
                <w:lang w:val="en-US" w:eastAsia="zh-CN"/>
              </w:rPr>
              <w:t>301室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金佳霖0571-86111691</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仿宋_GB2312"/>
                <w:color w:val="auto"/>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cs="宋体"/>
                <w:color w:val="auto"/>
                <w:spacing w:val="-6"/>
                <w:sz w:val="24"/>
                <w:highlight w:val="none"/>
                <w:u w:val="single"/>
              </w:rPr>
              <w:t>1</w:t>
            </w:r>
            <w:r>
              <w:rPr>
                <w:rFonts w:hint="eastAsia" w:ascii="宋体" w:hAnsi="宋体" w:cs="宋体"/>
                <w:color w:val="auto"/>
                <w:spacing w:val="-6"/>
                <w:sz w:val="24"/>
                <w:highlight w:val="none"/>
              </w:rPr>
              <w:t>名</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1E896E4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本项目的采购代理费由中标人支付；以中标金额为计费基准，计费标准按《计价格［2002］1980号》文件中服务类收费标准计算（最低7000元）。</w:t>
            </w:r>
          </w:p>
          <w:p w14:paraId="1F0EC038">
            <w:pPr>
              <w:spacing w:line="360" w:lineRule="auto"/>
              <w:rPr>
                <w:rFonts w:hint="eastAsia" w:ascii="宋体" w:hAnsi="宋体" w:eastAsia="宋体" w:cs="宋体"/>
                <w:color w:val="auto"/>
                <w:kern w:val="0"/>
                <w:sz w:val="24"/>
                <w:highlight w:val="none"/>
                <w:lang w:val="en" w:eastAsia="zh-CN"/>
              </w:rPr>
            </w:pPr>
            <w:r>
              <w:rPr>
                <w:rFonts w:hint="eastAsia" w:ascii="Times New Roman" w:hAnsi="宋体" w:eastAsia="宋体" w:cs="宋体"/>
                <w:bCs/>
                <w:kern w:val="1"/>
                <w:sz w:val="24"/>
                <w:szCs w:val="24"/>
                <w:lang w:val="en" w:eastAsia="zh-CN" w:bidi="ar-SA"/>
              </w:rPr>
              <w:t>中标服务费的交纳方式：以转帐或支票的形式支付，开户名：杭州中瑞招标代理有限公司；开户行名称：中国银行临平支行，帐号：364975499143中标单位需在领取中标通知书时缴纳中标服务费，缴纳时注明招标编号。</w:t>
            </w:r>
          </w:p>
        </w:tc>
      </w:tr>
      <w:tr w14:paraId="560E1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27ED57E">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27429127">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ascii="宋体" w:hAnsi="宋体" w:cs="宋体"/>
                <w:b/>
                <w:bCs/>
                <w:snapToGrid w:val="0"/>
                <w:color w:val="auto"/>
                <w:kern w:val="28"/>
                <w:sz w:val="24"/>
                <w:szCs w:val="24"/>
                <w:highlight w:val="none"/>
              </w:rPr>
              <w:t>书面投标文件</w:t>
            </w:r>
          </w:p>
        </w:tc>
        <w:tc>
          <w:tcPr>
            <w:tcW w:w="6095" w:type="dxa"/>
            <w:tcBorders>
              <w:top w:val="single" w:color="000000" w:sz="8" w:space="0"/>
              <w:left w:val="single" w:color="auto" w:sz="4" w:space="0"/>
              <w:bottom w:val="single" w:color="auto" w:sz="4" w:space="0"/>
              <w:right w:val="single" w:color="auto" w:sz="4" w:space="0"/>
            </w:tcBorders>
            <w:vAlign w:val="center"/>
          </w:tcPr>
          <w:p w14:paraId="62B2769B">
            <w:pPr>
              <w:spacing w:line="360" w:lineRule="auto"/>
              <w:rPr>
                <w:rFonts w:hint="eastAsia" w:ascii="Times New Roman" w:hAnsi="宋体" w:eastAsia="宋体" w:cs="宋体"/>
                <w:bCs/>
                <w:kern w:val="1"/>
                <w:sz w:val="24"/>
                <w:szCs w:val="24"/>
                <w:lang w:val="en" w:eastAsia="zh-CN" w:bidi="ar-SA"/>
              </w:rPr>
            </w:pPr>
            <w:r>
              <w:rPr>
                <w:rFonts w:hint="eastAsia" w:ascii="宋体" w:hAnsi="宋体" w:cs="宋体"/>
                <w:snapToGrid w:val="0"/>
                <w:color w:val="auto"/>
                <w:kern w:val="28"/>
                <w:sz w:val="24"/>
                <w:szCs w:val="24"/>
                <w:highlight w:val="none"/>
              </w:rPr>
              <w:t>中标单位需在领取中标通知书时，提供本项目纸质投标文件（资格文件”、“报价文件”和“商务技术文件”）三份（正本一份，副本二份）并提供电子投标文件与纸质投标文件内容一致承诺书三份。</w:t>
            </w:r>
          </w:p>
        </w:tc>
      </w:tr>
    </w:tbl>
    <w:p w14:paraId="3B052F10">
      <w:pPr>
        <w:snapToGrid w:val="0"/>
        <w:spacing w:line="360" w:lineRule="auto"/>
        <w:jc w:val="center"/>
        <w:rPr>
          <w:rFonts w:ascii="宋体" w:hAnsi="宋体" w:cs="宋体"/>
          <w:b/>
          <w:color w:val="auto"/>
          <w:sz w:val="32"/>
          <w:szCs w:val="20"/>
          <w:highlight w:val="none"/>
        </w:rPr>
      </w:pPr>
    </w:p>
    <w:bookmarkEnd w:id="10"/>
    <w:p w14:paraId="12D28DF1">
      <w:pPr>
        <w:adjustRightInd/>
        <w:spacing w:line="360" w:lineRule="auto"/>
        <w:ind w:firstLine="3845" w:firstLineChars="1197"/>
        <w:outlineLvl w:val="0"/>
        <w:rPr>
          <w:rFonts w:hint="eastAsia" w:ascii="宋体" w:hAnsi="宋体" w:cs="宋体"/>
          <w:b/>
          <w:color w:val="auto"/>
          <w:sz w:val="32"/>
          <w:szCs w:val="20"/>
          <w:highlight w:val="none"/>
        </w:rPr>
      </w:pPr>
      <w:bookmarkStart w:id="11" w:name="_Toc164416483"/>
      <w:bookmarkStart w:id="12" w:name="第三部分"/>
    </w:p>
    <w:p w14:paraId="07863D94">
      <w:pPr>
        <w:adjustRightInd/>
        <w:spacing w:line="360" w:lineRule="auto"/>
        <w:ind w:firstLine="3845" w:firstLineChars="1197"/>
        <w:outlineLvl w:val="0"/>
        <w:rPr>
          <w:rFonts w:hint="eastAsia" w:ascii="宋体" w:hAnsi="宋体" w:cs="宋体"/>
          <w:b/>
          <w:color w:val="auto"/>
          <w:sz w:val="32"/>
          <w:szCs w:val="20"/>
          <w:highlight w:val="none"/>
        </w:rPr>
      </w:pPr>
    </w:p>
    <w:p w14:paraId="71406298">
      <w:pPr>
        <w:adjustRightInd/>
        <w:spacing w:line="360" w:lineRule="auto"/>
        <w:ind w:firstLine="3845" w:firstLineChars="1197"/>
        <w:outlineLvl w:val="0"/>
        <w:rPr>
          <w:rFonts w:hint="eastAsia" w:ascii="宋体" w:hAnsi="宋体" w:cs="宋体"/>
          <w:b/>
          <w:color w:val="auto"/>
          <w:sz w:val="32"/>
          <w:szCs w:val="20"/>
          <w:highlight w:val="none"/>
        </w:rPr>
      </w:pPr>
    </w:p>
    <w:p w14:paraId="26C46CD1">
      <w:pPr>
        <w:adjustRightInd/>
        <w:spacing w:line="360" w:lineRule="auto"/>
        <w:ind w:firstLine="3845" w:firstLineChars="1197"/>
        <w:outlineLvl w:val="0"/>
        <w:rPr>
          <w:rFonts w:hint="eastAsia" w:ascii="宋体" w:hAnsi="宋体" w:cs="宋体"/>
          <w:b/>
          <w:color w:val="auto"/>
          <w:sz w:val="32"/>
          <w:szCs w:val="20"/>
          <w:highlight w:val="none"/>
        </w:rPr>
      </w:pPr>
    </w:p>
    <w:p w14:paraId="50830510">
      <w:pPr>
        <w:adjustRightInd/>
        <w:spacing w:line="360" w:lineRule="auto"/>
        <w:ind w:firstLine="3845" w:firstLineChars="1197"/>
        <w:outlineLvl w:val="0"/>
        <w:rPr>
          <w:rFonts w:hint="eastAsia" w:ascii="宋体" w:hAnsi="宋体" w:cs="宋体"/>
          <w:b/>
          <w:color w:val="auto"/>
          <w:sz w:val="32"/>
          <w:szCs w:val="20"/>
          <w:highlight w:val="none"/>
        </w:rPr>
      </w:pPr>
    </w:p>
    <w:p w14:paraId="57EE404B">
      <w:pPr>
        <w:adjustRightInd/>
        <w:spacing w:line="360" w:lineRule="auto"/>
        <w:ind w:firstLine="3845" w:firstLineChars="1197"/>
        <w:outlineLvl w:val="0"/>
        <w:rPr>
          <w:rFonts w:hint="eastAsia" w:ascii="宋体" w:hAnsi="宋体" w:cs="宋体"/>
          <w:b/>
          <w:color w:val="auto"/>
          <w:sz w:val="32"/>
          <w:szCs w:val="20"/>
          <w:highlight w:val="none"/>
        </w:rPr>
      </w:pPr>
    </w:p>
    <w:p w14:paraId="24430A30">
      <w:pPr>
        <w:adjustRightInd/>
        <w:spacing w:line="360" w:lineRule="auto"/>
        <w:ind w:firstLine="3845" w:firstLineChars="1197"/>
        <w:outlineLvl w:val="0"/>
        <w:rPr>
          <w:rFonts w:hint="eastAsia" w:ascii="宋体" w:hAnsi="宋体" w:cs="宋体"/>
          <w:b/>
          <w:color w:val="auto"/>
          <w:sz w:val="32"/>
          <w:szCs w:val="20"/>
          <w:highlight w:val="none"/>
        </w:rPr>
      </w:pPr>
    </w:p>
    <w:p w14:paraId="314A065C">
      <w:pPr>
        <w:adjustRightInd/>
        <w:spacing w:line="360" w:lineRule="auto"/>
        <w:ind w:firstLine="3845" w:firstLineChars="1197"/>
        <w:outlineLvl w:val="0"/>
        <w:rPr>
          <w:rFonts w:hint="eastAsia" w:ascii="宋体" w:hAnsi="宋体" w:cs="宋体"/>
          <w:b/>
          <w:color w:val="auto"/>
          <w:sz w:val="32"/>
          <w:szCs w:val="20"/>
          <w:highlight w:val="none"/>
        </w:rPr>
      </w:pPr>
    </w:p>
    <w:p w14:paraId="481CAA96">
      <w:pPr>
        <w:adjustRightInd/>
        <w:spacing w:line="360" w:lineRule="auto"/>
        <w:ind w:firstLine="3845" w:firstLineChars="1197"/>
        <w:outlineLvl w:val="0"/>
        <w:rPr>
          <w:rFonts w:hint="eastAsia" w:ascii="宋体" w:hAnsi="宋体" w:cs="宋体"/>
          <w:b/>
          <w:color w:val="auto"/>
          <w:sz w:val="32"/>
          <w:szCs w:val="20"/>
          <w:highlight w:val="none"/>
        </w:rPr>
      </w:pPr>
    </w:p>
    <w:p w14:paraId="29459E0C">
      <w:pPr>
        <w:adjustRightInd/>
        <w:spacing w:line="360" w:lineRule="auto"/>
        <w:ind w:firstLine="3845" w:firstLineChars="1197"/>
        <w:outlineLvl w:val="0"/>
        <w:rPr>
          <w:rFonts w:hint="eastAsia" w:ascii="宋体" w:hAnsi="宋体" w:cs="宋体"/>
          <w:b/>
          <w:color w:val="auto"/>
          <w:sz w:val="32"/>
          <w:szCs w:val="20"/>
          <w:highlight w:val="none"/>
        </w:rPr>
      </w:pPr>
    </w:p>
    <w:p w14:paraId="5A460633">
      <w:pPr>
        <w:adjustRightInd/>
        <w:spacing w:line="360" w:lineRule="auto"/>
        <w:ind w:firstLine="3845" w:firstLineChars="1197"/>
        <w:outlineLvl w:val="0"/>
        <w:rPr>
          <w:rFonts w:hint="eastAsia" w:ascii="宋体" w:hAnsi="宋体" w:cs="宋体"/>
          <w:b/>
          <w:color w:val="auto"/>
          <w:sz w:val="32"/>
          <w:szCs w:val="20"/>
          <w:highlight w:val="none"/>
        </w:rPr>
      </w:pPr>
    </w:p>
    <w:p w14:paraId="585475FD">
      <w:pPr>
        <w:adjustRightInd/>
        <w:spacing w:line="360" w:lineRule="auto"/>
        <w:ind w:firstLine="3845" w:firstLineChars="1197"/>
        <w:outlineLvl w:val="0"/>
        <w:rPr>
          <w:rFonts w:hint="eastAsia" w:ascii="宋体" w:hAnsi="宋体" w:cs="宋体"/>
          <w:b/>
          <w:color w:val="auto"/>
          <w:sz w:val="32"/>
          <w:szCs w:val="20"/>
          <w:highlight w:val="none"/>
        </w:rPr>
      </w:pPr>
    </w:p>
    <w:p w14:paraId="7C14C366">
      <w:pPr>
        <w:adjustRightInd/>
        <w:spacing w:line="360" w:lineRule="auto"/>
        <w:ind w:firstLine="3845" w:firstLineChars="1197"/>
        <w:outlineLvl w:val="0"/>
        <w:rPr>
          <w:rFonts w:hint="eastAsia" w:ascii="宋体" w:hAnsi="宋体" w:cs="宋体"/>
          <w:b/>
          <w:color w:val="auto"/>
          <w:sz w:val="32"/>
          <w:szCs w:val="20"/>
          <w:highlight w:val="none"/>
        </w:rPr>
      </w:pPr>
    </w:p>
    <w:p w14:paraId="333CA8C9">
      <w:pPr>
        <w:adjustRightInd/>
        <w:spacing w:line="360" w:lineRule="auto"/>
        <w:ind w:firstLine="3845" w:firstLineChars="1197"/>
        <w:outlineLvl w:val="0"/>
        <w:rPr>
          <w:rFonts w:hint="eastAsia" w:ascii="宋体" w:hAnsi="宋体" w:cs="宋体"/>
          <w:b/>
          <w:color w:val="auto"/>
          <w:sz w:val="32"/>
          <w:szCs w:val="20"/>
          <w:highlight w:val="none"/>
        </w:rPr>
      </w:pPr>
    </w:p>
    <w:p w14:paraId="38B6A7E9">
      <w:pPr>
        <w:adjustRightInd/>
        <w:spacing w:line="360" w:lineRule="auto"/>
        <w:ind w:firstLine="3845" w:firstLineChars="1197"/>
        <w:outlineLvl w:val="0"/>
        <w:rPr>
          <w:rFonts w:hint="eastAsia" w:ascii="宋体" w:hAnsi="宋体" w:cs="宋体"/>
          <w:b/>
          <w:color w:val="auto"/>
          <w:sz w:val="32"/>
          <w:szCs w:val="20"/>
          <w:highlight w:val="none"/>
        </w:rPr>
      </w:pPr>
    </w:p>
    <w:p w14:paraId="5FD65BFF">
      <w:pPr>
        <w:adjustRightInd/>
        <w:spacing w:line="360" w:lineRule="auto"/>
        <w:ind w:firstLine="3845" w:firstLineChars="1197"/>
        <w:outlineLvl w:val="0"/>
        <w:rPr>
          <w:rFonts w:hint="eastAsia" w:ascii="宋体" w:hAnsi="宋体" w:cs="宋体"/>
          <w:b/>
          <w:color w:val="auto"/>
          <w:sz w:val="32"/>
          <w:szCs w:val="20"/>
          <w:highlight w:val="none"/>
        </w:rPr>
      </w:pPr>
    </w:p>
    <w:p w14:paraId="597193C3">
      <w:pPr>
        <w:adjustRightInd/>
        <w:spacing w:line="360" w:lineRule="auto"/>
        <w:ind w:firstLine="3845" w:firstLineChars="1197"/>
        <w:outlineLvl w:val="0"/>
        <w:rPr>
          <w:rFonts w:hint="eastAsia" w:ascii="宋体" w:hAnsi="宋体" w:cs="宋体"/>
          <w:b/>
          <w:color w:val="auto"/>
          <w:sz w:val="32"/>
          <w:szCs w:val="20"/>
          <w:highlight w:val="none"/>
        </w:rPr>
      </w:pPr>
    </w:p>
    <w:p w14:paraId="16E93CD0">
      <w:pPr>
        <w:adjustRightInd/>
        <w:spacing w:line="360" w:lineRule="auto"/>
        <w:ind w:firstLine="3845" w:firstLineChars="1197"/>
        <w:outlineLvl w:val="0"/>
        <w:rPr>
          <w:rFonts w:hint="eastAsia" w:ascii="宋体" w:hAnsi="宋体" w:cs="宋体"/>
          <w:b/>
          <w:color w:val="auto"/>
          <w:sz w:val="32"/>
          <w:szCs w:val="20"/>
          <w:highlight w:val="none"/>
        </w:rPr>
      </w:pPr>
    </w:p>
    <w:p w14:paraId="67E7D26F">
      <w:pPr>
        <w:adjustRightInd/>
        <w:spacing w:line="360" w:lineRule="auto"/>
        <w:ind w:firstLine="3845" w:firstLineChars="1197"/>
        <w:outlineLvl w:val="0"/>
        <w:rPr>
          <w:rFonts w:hint="eastAsia" w:ascii="宋体" w:hAnsi="宋体" w:cs="宋体"/>
          <w:b/>
          <w:color w:val="auto"/>
          <w:sz w:val="32"/>
          <w:szCs w:val="20"/>
          <w:highlight w:val="none"/>
        </w:rPr>
      </w:pPr>
    </w:p>
    <w:p w14:paraId="75264CA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7ABD443">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514887D5">
      <w:pPr>
        <w:pStyle w:val="890"/>
        <w:shd w:val="clear" w:color="auto" w:fill="FFFFFF"/>
        <w:snapToGrid w:val="0"/>
        <w:spacing w:after="240" w:afterAutospacing="0" w:line="360" w:lineRule="auto"/>
        <w:ind w:firstLine="400"/>
        <w:contextualSpacing/>
        <w:rPr>
          <w:rFonts w:hint="eastAsia" w:ascii="宋体" w:hAnsi="宋体" w:cs="仿宋"/>
          <w:color w:val="auto"/>
          <w:sz w:val="24"/>
          <w:highlight w:val="none"/>
        </w:rPr>
      </w:pPr>
      <w:r>
        <w:rPr>
          <w:rFonts w:hint="eastAsia" w:ascii="宋体" w:hAnsi="宋体" w:cs="仿宋"/>
          <w:color w:val="auto"/>
          <w:sz w:val="24"/>
          <w:highlight w:val="none"/>
        </w:rPr>
        <w:t>4.5 补偿救济</w:t>
      </w:r>
    </w:p>
    <w:p w14:paraId="59E083EF">
      <w:pPr>
        <w:pStyle w:val="890"/>
        <w:shd w:val="clear" w:color="auto" w:fill="FFFFFF"/>
        <w:snapToGrid w:val="0"/>
        <w:spacing w:after="240" w:afterAutospacing="0" w:line="360" w:lineRule="auto"/>
        <w:ind w:firstLine="400"/>
        <w:contextualSpacing/>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2BB4CF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2"/>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2"/>
        <w:spacing w:before="0"/>
        <w:ind w:firstLine="643"/>
        <w:rPr>
          <w:rFonts w:ascii="宋体" w:hAnsi="宋体" w:cs="宋体"/>
          <w:b/>
          <w:color w:val="auto"/>
          <w:sz w:val="32"/>
          <w:highlight w:val="none"/>
        </w:rPr>
      </w:pPr>
    </w:p>
    <w:p w14:paraId="25870E80">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2"/>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2"/>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1"/>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3"/>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5"/>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1"/>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68072990"/>
      <w:bookmarkEnd w:id="16"/>
      <w:bookmarkStart w:id="17" w:name="_Hlt68073093"/>
      <w:bookmarkEnd w:id="17"/>
      <w:bookmarkStart w:id="18" w:name="_Hlt75236011"/>
      <w:bookmarkEnd w:id="18"/>
      <w:bookmarkStart w:id="19" w:name="_Hlt74707468"/>
      <w:bookmarkEnd w:id="19"/>
      <w:bookmarkStart w:id="20" w:name="_Hlt74730295"/>
      <w:bookmarkEnd w:id="20"/>
      <w:bookmarkStart w:id="21" w:name="_Hlt74714665"/>
      <w:bookmarkEnd w:id="21"/>
      <w:bookmarkStart w:id="22" w:name="_Hlt68057669"/>
      <w:bookmarkEnd w:id="22"/>
      <w:bookmarkStart w:id="23" w:name="_Hlt68403820"/>
      <w:bookmarkEnd w:id="23"/>
      <w:bookmarkStart w:id="24" w:name="_Hlt74729768"/>
      <w:bookmarkEnd w:id="24"/>
      <w:bookmarkStart w:id="25" w:name="_Hlt68072998"/>
      <w:bookmarkEnd w:id="25"/>
      <w:bookmarkStart w:id="26" w:name="_Hlt75236290"/>
      <w:bookmarkEnd w:id="26"/>
    </w:p>
    <w:bookmarkEnd w:id="11"/>
    <w:bookmarkEnd w:id="12"/>
    <w:p w14:paraId="5EB35967">
      <w:pPr>
        <w:spacing w:line="360" w:lineRule="auto"/>
        <w:jc w:val="center"/>
        <w:outlineLvl w:val="0"/>
        <w:rPr>
          <w:rFonts w:ascii="宋体" w:hAnsi="宋体" w:cs="宋体"/>
          <w:b/>
          <w:color w:val="auto"/>
          <w:sz w:val="36"/>
          <w:szCs w:val="36"/>
          <w:highlight w:val="yellow"/>
        </w:rPr>
      </w:pPr>
      <w:bookmarkStart w:id="27" w:name="第四部分"/>
      <w:r>
        <w:rPr>
          <w:rFonts w:hint="eastAsia" w:ascii="宋体" w:hAnsi="宋体" w:cs="宋体"/>
          <w:b/>
          <w:color w:val="auto"/>
          <w:sz w:val="36"/>
          <w:szCs w:val="36"/>
          <w:highlight w:val="yellow"/>
        </w:rPr>
        <w:t>第三部分   采购需求</w:t>
      </w:r>
    </w:p>
    <w:p w14:paraId="2A79865F">
      <w:pPr>
        <w:pStyle w:val="792"/>
        <w:ind w:firstLine="480"/>
        <w:rPr>
          <w:rFonts w:hint="eastAsia" w:ascii="宋体" w:hAnsi="宋体" w:cs="宋体"/>
          <w:b/>
          <w:bCs/>
        </w:rPr>
      </w:pPr>
      <w:r>
        <w:rPr>
          <w:rFonts w:hint="eastAsia" w:ascii="宋体" w:hAnsi="宋体" w:cs="宋体"/>
          <w:b/>
          <w:bCs/>
        </w:rPr>
        <w:t>一、项目简介</w:t>
      </w:r>
    </w:p>
    <w:p w14:paraId="490AD58B">
      <w:pPr>
        <w:pStyle w:val="792"/>
        <w:ind w:firstLine="480"/>
        <w:rPr>
          <w:rFonts w:hint="eastAsia" w:ascii="宋体" w:hAnsi="宋体" w:cs="宋体"/>
        </w:rPr>
      </w:pPr>
      <w:r>
        <w:rPr>
          <w:rFonts w:hint="eastAsia" w:ascii="宋体" w:hAnsi="宋体" w:cs="宋体"/>
        </w:rPr>
        <w:t>临平区政府视频会议系统目前承载着客户重要业务，随着视频会议系统中各业务规模的不断扩大，功能的不断增加，对操作人员专业度要求越来越高。视频会议系统在满足用户高清晰、高效率视频业务需求的前提下，对视频会议系统维护工作提出了更高的要求。</w:t>
      </w:r>
    </w:p>
    <w:p w14:paraId="7C4AA463">
      <w:pPr>
        <w:pStyle w:val="792"/>
        <w:ind w:firstLine="480"/>
        <w:rPr>
          <w:rFonts w:hint="eastAsia" w:ascii="宋体" w:hAnsi="宋体" w:cs="宋体"/>
        </w:rPr>
      </w:pPr>
      <w:r>
        <w:rPr>
          <w:rFonts w:hint="eastAsia" w:ascii="宋体" w:hAnsi="宋体" w:cs="宋体"/>
        </w:rPr>
        <w:t>临平区数据资源管理局视频会议运维保障项目的建设有利于加强与各级政府关系，保障视频会议发挥作用，实现省、市、县、乡镇、村五级互联互通，协助上级单位有效把握村级动态，实现各条线各级单位之间视频会议信息互联互通和资源共享，促进有效加强基层机构服务能力，提高政务部门纵向管理深度和横向协调的高效性，提升政府各级部门之间工作效率。</w:t>
      </w:r>
    </w:p>
    <w:p w14:paraId="45B562EF">
      <w:pPr>
        <w:pStyle w:val="792"/>
        <w:ind w:firstLine="480"/>
        <w:rPr>
          <w:rFonts w:hint="eastAsia" w:ascii="宋体" w:hAnsi="宋体" w:cs="宋体"/>
          <w:b/>
          <w:bCs/>
        </w:rPr>
      </w:pPr>
      <w:r>
        <w:rPr>
          <w:rFonts w:hint="eastAsia" w:ascii="宋体" w:hAnsi="宋体" w:cs="宋体"/>
          <w:b/>
          <w:bCs/>
        </w:rPr>
        <w:t>二、运维服务基本要求</w:t>
      </w:r>
    </w:p>
    <w:p w14:paraId="763B46D6">
      <w:pPr>
        <w:pStyle w:val="792"/>
        <w:ind w:firstLine="480"/>
        <w:rPr>
          <w:rFonts w:hint="eastAsia" w:ascii="宋体" w:hAnsi="宋体" w:cs="宋体"/>
        </w:rPr>
      </w:pPr>
      <w:r>
        <w:rPr>
          <w:rFonts w:hint="eastAsia" w:ascii="宋体" w:hAnsi="宋体" w:cs="宋体"/>
        </w:rPr>
        <w:t>临平区数据资源管理局视频会议系统维护服务建设的目标是建立安全、可靠、高效的系统运行机制，确保各类视频会议相关应用正常运行。同时，通过对服务数据的记录、统计和分析，为临平区数据资源管理局视频会议系统的安全运行提供有力的数据支持和加固建议。</w:t>
      </w:r>
    </w:p>
    <w:p w14:paraId="5071F789">
      <w:pPr>
        <w:pStyle w:val="792"/>
        <w:ind w:firstLine="480"/>
        <w:rPr>
          <w:rFonts w:hint="eastAsia" w:ascii="宋体" w:hAnsi="宋体" w:cs="宋体"/>
        </w:rPr>
      </w:pPr>
      <w:r>
        <w:rPr>
          <w:rFonts w:hint="eastAsia" w:ascii="宋体" w:hAnsi="宋体" w:cs="宋体"/>
        </w:rPr>
        <w:t>具体要求如下：</w:t>
      </w:r>
    </w:p>
    <w:p w14:paraId="2D50B72D">
      <w:pPr>
        <w:pStyle w:val="792"/>
        <w:ind w:firstLine="480"/>
        <w:rPr>
          <w:rFonts w:hint="eastAsia" w:ascii="宋体" w:hAnsi="宋体" w:cs="宋体"/>
        </w:rPr>
      </w:pPr>
      <w:r>
        <w:rPr>
          <w:rFonts w:hint="eastAsia" w:ascii="宋体" w:hAnsi="宋体" w:cs="宋体"/>
        </w:rPr>
        <w:t>（1）要求投标人提供的服务必须是符合相关的国家法律、法规；</w:t>
      </w:r>
    </w:p>
    <w:p w14:paraId="6D2E0375">
      <w:pPr>
        <w:pStyle w:val="792"/>
        <w:ind w:firstLine="480"/>
        <w:rPr>
          <w:rFonts w:hint="eastAsia" w:ascii="宋体" w:hAnsi="宋体" w:cs="宋体"/>
        </w:rPr>
      </w:pPr>
      <w:r>
        <w:rPr>
          <w:rFonts w:hint="eastAsia" w:ascii="宋体" w:hAnsi="宋体" w:cs="宋体"/>
        </w:rPr>
        <w:t>（2）投标人提供服务所采用的技术必须是先进并适用的；</w:t>
      </w:r>
    </w:p>
    <w:p w14:paraId="560EFCA9">
      <w:pPr>
        <w:pStyle w:val="792"/>
        <w:ind w:firstLine="480"/>
        <w:rPr>
          <w:rFonts w:hint="eastAsia" w:ascii="宋体" w:hAnsi="宋体" w:cs="宋体"/>
        </w:rPr>
      </w:pPr>
      <w:r>
        <w:rPr>
          <w:rFonts w:hint="eastAsia" w:ascii="宋体" w:hAnsi="宋体" w:cs="宋体"/>
        </w:rPr>
        <w:t>（3）投标人提供的服务过程和服务结果必须是符合和满足相关国家标准、行业标准以及地方标准；</w:t>
      </w:r>
    </w:p>
    <w:p w14:paraId="674E5FF1">
      <w:pPr>
        <w:pStyle w:val="792"/>
        <w:ind w:firstLine="480"/>
        <w:rPr>
          <w:rFonts w:hint="eastAsia" w:ascii="宋体" w:hAnsi="宋体" w:cs="宋体"/>
        </w:rPr>
      </w:pPr>
      <w:r>
        <w:rPr>
          <w:rFonts w:hint="eastAsia" w:ascii="宋体" w:hAnsi="宋体" w:cs="宋体"/>
        </w:rPr>
        <w:t>（4）投标人应充分了解本次招标任务的需求，充分考虑系统目前的运行状况和将来的发展，提供系统运行维护方案和操作规范并按照方案和操作规范实施服务；</w:t>
      </w:r>
    </w:p>
    <w:p w14:paraId="171E9C26">
      <w:pPr>
        <w:pStyle w:val="792"/>
        <w:ind w:firstLine="480"/>
        <w:rPr>
          <w:rFonts w:hint="eastAsia" w:ascii="宋体" w:hAnsi="宋体" w:cs="宋体"/>
        </w:rPr>
      </w:pPr>
      <w:r>
        <w:rPr>
          <w:rFonts w:hint="eastAsia" w:ascii="宋体" w:hAnsi="宋体" w:cs="宋体"/>
        </w:rPr>
        <w:t>（5）投标人应承诺将按照采购人根据系统稳定、安全、可靠、有效运行所提出的要求和指标，及时制定、修改和完善系统运行维护方案，并确保系统运行维护方案有效执行；</w:t>
      </w:r>
    </w:p>
    <w:p w14:paraId="71019140">
      <w:pPr>
        <w:pStyle w:val="792"/>
        <w:ind w:firstLine="480"/>
        <w:rPr>
          <w:rFonts w:hint="eastAsia" w:ascii="宋体" w:hAnsi="宋体" w:cs="宋体"/>
        </w:rPr>
      </w:pPr>
      <w:r>
        <w:rPr>
          <w:rFonts w:hint="eastAsia" w:ascii="宋体" w:hAnsi="宋体" w:cs="宋体"/>
        </w:rPr>
        <w:t>（6）投标人具有成熟完善的全年7*24小时不间断用户现场运行服务的支持体系；</w:t>
      </w:r>
    </w:p>
    <w:p w14:paraId="33C3DFCC">
      <w:pPr>
        <w:pStyle w:val="792"/>
        <w:ind w:firstLine="480"/>
        <w:rPr>
          <w:rFonts w:hint="eastAsia" w:ascii="宋体" w:hAnsi="宋体" w:cs="宋体"/>
        </w:rPr>
      </w:pPr>
      <w:r>
        <w:rPr>
          <w:rFonts w:hint="eastAsia" w:ascii="宋体" w:hAnsi="宋体" w:cs="宋体"/>
        </w:rPr>
        <w:t>（7）投标人应具备多层服务体系，除了发挥本项目人员的作用，也要结合投标人公司以往运维项目的经验，整合公司内部资源提供整体支持服务；</w:t>
      </w:r>
    </w:p>
    <w:p w14:paraId="7A976D2C">
      <w:pPr>
        <w:pStyle w:val="792"/>
        <w:ind w:firstLine="480"/>
        <w:rPr>
          <w:rFonts w:hint="eastAsia" w:ascii="宋体" w:hAnsi="宋体" w:cs="宋体"/>
        </w:rPr>
      </w:pPr>
      <w:r>
        <w:rPr>
          <w:rFonts w:hint="eastAsia" w:ascii="宋体" w:hAnsi="宋体" w:cs="宋体"/>
        </w:rPr>
        <w:t>（8）投标人应在投标书中对采购人的招标需求提出应急保障预案；</w:t>
      </w:r>
    </w:p>
    <w:p w14:paraId="1A47A379">
      <w:pPr>
        <w:pStyle w:val="792"/>
        <w:ind w:firstLine="480"/>
        <w:rPr>
          <w:rFonts w:hint="eastAsia" w:ascii="宋体" w:hAnsi="宋体" w:cs="宋体"/>
        </w:rPr>
      </w:pPr>
      <w:r>
        <w:rPr>
          <w:rFonts w:hint="eastAsia" w:ascii="宋体" w:hAnsi="宋体" w:cs="宋体"/>
        </w:rPr>
        <w:t>（9）</w:t>
      </w:r>
      <w:r>
        <w:rPr>
          <w:rFonts w:hint="eastAsia" w:ascii="宋体" w:hAnsi="宋体" w:cs="宋体"/>
        </w:rPr>
        <w:tab/>
      </w:r>
      <w:r>
        <w:rPr>
          <w:rFonts w:hint="eastAsia" w:ascii="宋体" w:hAnsi="宋体" w:cs="宋体"/>
        </w:rPr>
        <w:t>投标人须针对采购人的行业特点，在服务方案中提出满足采购人需求的故障处理响应度（响应时间以采购人首次通过电话等通讯工具联系中标人那一时刻开始计时）。投标人须针对采购人的关键应用、和周边外围节点系统的情况提出明晰的、具有针对性的故障处理人员组织构成、故障处理流程、故障处理响应度，并做出相应的服务承诺；</w:t>
      </w:r>
    </w:p>
    <w:p w14:paraId="5115EA03">
      <w:pPr>
        <w:pStyle w:val="792"/>
        <w:ind w:firstLine="480"/>
        <w:rPr>
          <w:rFonts w:hint="eastAsia" w:ascii="宋体" w:hAnsi="宋体" w:cs="宋体"/>
        </w:rPr>
      </w:pPr>
      <w:r>
        <w:rPr>
          <w:rFonts w:hint="eastAsia" w:ascii="宋体" w:hAnsi="宋体" w:cs="宋体"/>
        </w:rPr>
        <w:t>（10）</w:t>
      </w:r>
      <w:r>
        <w:rPr>
          <w:rFonts w:hint="eastAsia" w:ascii="宋体" w:hAnsi="宋体" w:cs="宋体"/>
        </w:rPr>
        <w:tab/>
      </w:r>
      <w:r>
        <w:rPr>
          <w:rFonts w:hint="eastAsia" w:ascii="宋体" w:hAnsi="宋体" w:cs="宋体"/>
        </w:rPr>
        <w:t>投标人须承诺在投标书中已开列的服务基础上，提供满足采购人业务发展所必需的延伸服务。</w:t>
      </w:r>
    </w:p>
    <w:p w14:paraId="2AA6FD30">
      <w:pPr>
        <w:pStyle w:val="792"/>
        <w:ind w:firstLine="480"/>
        <w:rPr>
          <w:rFonts w:hint="eastAsia" w:ascii="宋体" w:hAnsi="宋体" w:cs="宋体"/>
        </w:rPr>
      </w:pPr>
      <w:r>
        <w:rPr>
          <w:rFonts w:hint="eastAsia" w:ascii="宋体" w:hAnsi="宋体" w:cs="宋体"/>
        </w:rPr>
        <w:t>（11）</w:t>
      </w:r>
      <w:r>
        <w:rPr>
          <w:rFonts w:hint="eastAsia" w:ascii="宋体" w:hAnsi="宋体" w:cs="宋体"/>
        </w:rPr>
        <w:tab/>
      </w:r>
      <w:r>
        <w:rPr>
          <w:rFonts w:hint="eastAsia" w:ascii="宋体" w:hAnsi="宋体" w:cs="宋体"/>
        </w:rPr>
        <w:t>投标人须作出无推诿承诺。即投标人应提供特殊措施，无论由于哪一方产生的问题而使系统发生不正常情况时，应全力协助系统集成商或其他供应商，使系统尽快恢复正常。</w:t>
      </w:r>
    </w:p>
    <w:p w14:paraId="3191FA76">
      <w:pPr>
        <w:pStyle w:val="792"/>
        <w:ind w:firstLine="480"/>
        <w:rPr>
          <w:rFonts w:hint="eastAsia" w:ascii="宋体" w:hAnsi="宋体" w:cs="宋体"/>
          <w:b/>
          <w:bCs/>
        </w:rPr>
      </w:pPr>
      <w:r>
        <w:rPr>
          <w:rFonts w:hint="eastAsia" w:ascii="宋体" w:hAnsi="宋体" w:cs="宋体"/>
          <w:b/>
          <w:bCs/>
        </w:rPr>
        <w:t>三、服务内容和要求</w:t>
      </w:r>
    </w:p>
    <w:p w14:paraId="57121527">
      <w:pPr>
        <w:pStyle w:val="792"/>
        <w:ind w:firstLine="480"/>
        <w:rPr>
          <w:rFonts w:hint="eastAsia" w:ascii="宋体" w:hAnsi="宋体" w:cs="宋体"/>
        </w:rPr>
      </w:pPr>
      <w:r>
        <w:rPr>
          <w:rFonts w:hint="eastAsia" w:ascii="宋体" w:hAnsi="宋体" w:cs="宋体"/>
        </w:rPr>
        <w:t>1、主要内容</w:t>
      </w:r>
    </w:p>
    <w:p w14:paraId="3B54DD00">
      <w:pPr>
        <w:pStyle w:val="792"/>
        <w:numPr>
          <w:ilvl w:val="1"/>
          <w:numId w:val="1"/>
        </w:numPr>
        <w:ind w:firstLine="480"/>
        <w:rPr>
          <w:rFonts w:hint="eastAsia" w:ascii="宋体" w:hAnsi="宋体" w:cs="宋体"/>
        </w:rPr>
      </w:pPr>
      <w:r>
        <w:rPr>
          <w:rFonts w:hint="eastAsia" w:ascii="宋体" w:hAnsi="宋体" w:cs="宋体"/>
        </w:rPr>
        <w:t>会议保障服务：区级视频会议日常管理、区政府内视联网形式和互联网形式的视频会议保障服务、区政府主要会议室的视频会议调度服务、</w:t>
      </w:r>
      <w:r>
        <w:rPr>
          <w:rFonts w:hint="eastAsia" w:ascii="宋体" w:hAnsi="宋体" w:cs="宋体"/>
          <w:highlight w:val="none"/>
        </w:rPr>
        <w:t>信息化会议保障服务</w:t>
      </w:r>
      <w:r>
        <w:rPr>
          <w:rFonts w:hint="eastAsia" w:ascii="宋体" w:hAnsi="宋体" w:cs="宋体"/>
        </w:rPr>
        <w:t>。</w:t>
      </w:r>
    </w:p>
    <w:p w14:paraId="066357FC">
      <w:pPr>
        <w:pStyle w:val="792"/>
        <w:numPr>
          <w:ilvl w:val="1"/>
          <w:numId w:val="1"/>
        </w:numPr>
        <w:ind w:firstLine="480"/>
        <w:rPr>
          <w:rFonts w:hint="eastAsia" w:ascii="宋体" w:hAnsi="宋体" w:cs="宋体"/>
          <w:highlight w:val="none"/>
        </w:rPr>
      </w:pPr>
      <w:r>
        <w:rPr>
          <w:rFonts w:hint="eastAsia" w:ascii="宋体" w:hAnsi="宋体" w:cs="宋体"/>
        </w:rPr>
        <w:t>设备基础保障服务</w:t>
      </w:r>
      <w:r>
        <w:rPr>
          <w:rFonts w:hint="eastAsia" w:ascii="宋体" w:hAnsi="宋体" w:cs="宋体"/>
          <w:highlight w:val="none"/>
        </w:rPr>
        <w:t>：</w:t>
      </w:r>
      <w:bookmarkStart w:id="28" w:name="OLE_LINK1"/>
      <w:r>
        <w:rPr>
          <w:rFonts w:hint="eastAsia" w:ascii="宋体" w:hAnsi="宋体" w:cs="宋体"/>
          <w:highlight w:val="none"/>
        </w:rPr>
        <w:t>在提供正常视联网会议保障前，</w:t>
      </w:r>
      <w:bookmarkEnd w:id="28"/>
      <w:r>
        <w:rPr>
          <w:rFonts w:hint="eastAsia" w:ascii="宋体" w:hAnsi="宋体" w:cs="宋体"/>
          <w:highlight w:val="none"/>
        </w:rPr>
        <w:t>区政府会议室现有设备维护服务。</w:t>
      </w:r>
    </w:p>
    <w:p w14:paraId="596AFED5">
      <w:pPr>
        <w:pStyle w:val="792"/>
        <w:numPr>
          <w:ilvl w:val="1"/>
          <w:numId w:val="1"/>
        </w:numPr>
        <w:ind w:firstLine="480"/>
        <w:rPr>
          <w:rFonts w:hint="eastAsia" w:ascii="宋体" w:hAnsi="宋体" w:cs="宋体"/>
        </w:rPr>
      </w:pPr>
      <w:r>
        <w:rPr>
          <w:rFonts w:hint="eastAsia" w:ascii="宋体" w:hAnsi="宋体" w:cs="宋体"/>
          <w:highlight w:val="none"/>
        </w:rPr>
        <w:t>其他服务：其他为保障视联网会议正常进行需提供的其他技术服务。</w:t>
      </w:r>
    </w:p>
    <w:p w14:paraId="2FBD1EC6">
      <w:pPr>
        <w:pStyle w:val="792"/>
        <w:numPr>
          <w:ilvl w:val="0"/>
          <w:numId w:val="2"/>
        </w:numPr>
        <w:ind w:firstLine="480"/>
        <w:rPr>
          <w:rFonts w:hint="eastAsia" w:ascii="宋体" w:hAnsi="宋体" w:cs="宋体"/>
        </w:rPr>
      </w:pPr>
      <w:r>
        <w:rPr>
          <w:rFonts w:hint="eastAsia" w:ascii="宋体" w:hAnsi="宋体" w:cs="宋体"/>
        </w:rPr>
        <w:t>详细要求</w:t>
      </w:r>
    </w:p>
    <w:p w14:paraId="5CFF6E94">
      <w:pPr>
        <w:pStyle w:val="792"/>
        <w:ind w:firstLine="480"/>
        <w:rPr>
          <w:rFonts w:hint="eastAsia" w:ascii="宋体" w:hAnsi="宋体" w:cs="宋体"/>
        </w:rPr>
      </w:pPr>
      <w:r>
        <w:rPr>
          <w:rFonts w:hint="eastAsia" w:ascii="宋体" w:hAnsi="宋体" w:cs="宋体"/>
        </w:rPr>
        <w:t>2.1 会议保障服务：</w:t>
      </w:r>
    </w:p>
    <w:p w14:paraId="1689158D">
      <w:pPr>
        <w:pStyle w:val="792"/>
        <w:ind w:firstLine="480"/>
        <w:rPr>
          <w:rFonts w:hint="eastAsia" w:ascii="宋体" w:hAnsi="宋体" w:cs="宋体"/>
        </w:rPr>
      </w:pPr>
      <w:r>
        <w:rPr>
          <w:rFonts w:hint="eastAsia" w:ascii="宋体" w:hAnsi="宋体" w:cs="宋体"/>
        </w:rPr>
        <w:t>2.1.1负责视频会议业务的统筹协调、联系调度（包括和市视联网管理部门、区机关事务局、各镇街的沟通联系）。</w:t>
      </w:r>
    </w:p>
    <w:p w14:paraId="245E955D">
      <w:pPr>
        <w:pStyle w:val="792"/>
        <w:ind w:firstLine="480"/>
        <w:rPr>
          <w:rFonts w:hint="eastAsia" w:ascii="宋体" w:hAnsi="宋体" w:cs="宋体"/>
        </w:rPr>
      </w:pPr>
      <w:r>
        <w:rPr>
          <w:rFonts w:hint="eastAsia" w:ascii="宋体" w:hAnsi="宋体" w:cs="宋体"/>
        </w:rPr>
        <w:t>2.1.2主要保障省市召开的视频会议，区级、到镇街视频会议（区政府内视频会议保障：包括控会等）。</w:t>
      </w:r>
    </w:p>
    <w:p w14:paraId="6A9EF462">
      <w:pPr>
        <w:pStyle w:val="792"/>
        <w:ind w:firstLine="480"/>
        <w:rPr>
          <w:rFonts w:hint="eastAsia" w:ascii="宋体" w:hAnsi="宋体" w:cs="宋体"/>
        </w:rPr>
      </w:pPr>
      <w:r>
        <w:rPr>
          <w:rFonts w:hint="eastAsia" w:ascii="宋体" w:hAnsi="宋体" w:cs="宋体"/>
        </w:rPr>
        <w:t>2.1.3组织部、宣传部、党校等部委办的视频会议保障（按需提供保障服务）。</w:t>
      </w:r>
    </w:p>
    <w:p w14:paraId="1B977CD9">
      <w:pPr>
        <w:pStyle w:val="792"/>
        <w:ind w:firstLine="480"/>
        <w:rPr>
          <w:rFonts w:hint="eastAsia" w:ascii="宋体" w:hAnsi="宋体" w:cs="宋体"/>
        </w:rPr>
      </w:pPr>
      <w:r>
        <w:rPr>
          <w:rFonts w:hint="eastAsia" w:ascii="宋体" w:hAnsi="宋体" w:cs="宋体"/>
        </w:rPr>
        <w:t>2.1.4同时出现3个及以上的会议需要调试或保障时，运维单位应及时补充安排人员到位；</w:t>
      </w:r>
    </w:p>
    <w:p w14:paraId="20D8E15B">
      <w:pPr>
        <w:pStyle w:val="792"/>
        <w:ind w:firstLine="480"/>
        <w:rPr>
          <w:rFonts w:hint="eastAsia" w:ascii="宋体" w:hAnsi="宋体" w:cs="宋体"/>
        </w:rPr>
      </w:pPr>
      <w:r>
        <w:rPr>
          <w:rFonts w:hint="eastAsia" w:ascii="宋体" w:hAnsi="宋体" w:cs="宋体"/>
        </w:rPr>
        <w:t>2.1.5专职运维人员提供相关服务，工作人员要求如下：</w:t>
      </w:r>
    </w:p>
    <w:p w14:paraId="45BCF6C8">
      <w:pPr>
        <w:pStyle w:val="792"/>
        <w:ind w:firstLine="480"/>
        <w:rPr>
          <w:rFonts w:hint="eastAsia" w:ascii="宋体" w:hAnsi="宋体" w:cs="宋体"/>
        </w:rPr>
      </w:pPr>
      <w:r>
        <w:rPr>
          <w:rFonts w:hint="eastAsia" w:ascii="宋体" w:hAnsi="宋体" w:cs="宋体"/>
        </w:rPr>
        <w:t>2.1.5.1恪尽职守，努力专研本职工作，认真做好会议保障工作，并严格保密会议中的一切信息；</w:t>
      </w:r>
    </w:p>
    <w:p w14:paraId="3F9C8EC0">
      <w:pPr>
        <w:pStyle w:val="792"/>
        <w:ind w:firstLine="480"/>
        <w:rPr>
          <w:rFonts w:hint="eastAsia" w:ascii="宋体" w:hAnsi="宋体" w:cs="宋体"/>
        </w:rPr>
      </w:pPr>
      <w:r>
        <w:rPr>
          <w:rFonts w:hint="eastAsia" w:ascii="宋体" w:hAnsi="宋体" w:cs="宋体"/>
        </w:rPr>
        <w:t>2.1.5.2需要清楚认知各类设备归属的运营商，并在视频会议调试时与相对应的运营商取得联系，完成会议的联调工作；</w:t>
      </w:r>
    </w:p>
    <w:p w14:paraId="6C611461">
      <w:pPr>
        <w:pStyle w:val="792"/>
        <w:ind w:firstLine="480"/>
        <w:rPr>
          <w:rFonts w:hint="eastAsia" w:ascii="宋体" w:hAnsi="宋体" w:cs="宋体"/>
        </w:rPr>
      </w:pPr>
      <w:r>
        <w:rPr>
          <w:rFonts w:hint="eastAsia" w:ascii="宋体" w:hAnsi="宋体" w:cs="宋体"/>
        </w:rPr>
        <w:t>2.1.5.3在相关硬件设备出现问题时，应掌握判断问题的方法，在排除线路等故障确定其硬件问题后及时与业主方联系，并配合业主做好与设备供应商的对接工作，帮助其便捷快速的修复设备。</w:t>
      </w:r>
    </w:p>
    <w:p w14:paraId="17A90DFA">
      <w:pPr>
        <w:pStyle w:val="792"/>
        <w:ind w:firstLine="480"/>
        <w:rPr>
          <w:rFonts w:hint="eastAsia" w:ascii="宋体" w:hAnsi="宋体" w:cs="宋体"/>
        </w:rPr>
      </w:pPr>
      <w:r>
        <w:rPr>
          <w:rFonts w:hint="eastAsia" w:ascii="宋体" w:hAnsi="宋体" w:cs="宋体"/>
        </w:rPr>
        <w:t>◆2.1.6特殊时期（如防汛、抗旱、抗寒等其他专项保障），要求视频会议保障人员实行24小时值守制度，视频会议设备实行24小时开机状态，以确保业主可以随时召开视频会议。</w:t>
      </w:r>
    </w:p>
    <w:p w14:paraId="3CA4FE19">
      <w:pPr>
        <w:pStyle w:val="792"/>
        <w:ind w:firstLine="480"/>
        <w:rPr>
          <w:rFonts w:hint="eastAsia" w:ascii="宋体" w:hAnsi="宋体" w:cs="宋体"/>
        </w:rPr>
      </w:pPr>
      <w:r>
        <w:rPr>
          <w:rFonts w:hint="eastAsia" w:ascii="宋体" w:hAnsi="宋体" w:cs="宋体"/>
        </w:rPr>
        <w:t>2.1.7区政府主要会议室的视频会议调度服务（包括综合楼4楼、综合楼3楼、中1楼、新会议中心、综治中心等）。</w:t>
      </w:r>
    </w:p>
    <w:p w14:paraId="62F07CE8">
      <w:pPr>
        <w:pStyle w:val="792"/>
        <w:ind w:firstLine="480"/>
        <w:rPr>
          <w:rFonts w:hint="eastAsia" w:ascii="宋体" w:hAnsi="宋体" w:cs="宋体"/>
        </w:rPr>
      </w:pPr>
      <w:r>
        <w:rPr>
          <w:rFonts w:hint="eastAsia" w:ascii="宋体" w:hAnsi="宋体" w:cs="宋体"/>
        </w:rPr>
        <w:t>2.1.7.1会前联调：</w:t>
      </w:r>
    </w:p>
    <w:p w14:paraId="76CCF329">
      <w:pPr>
        <w:pStyle w:val="792"/>
        <w:ind w:firstLine="480"/>
        <w:rPr>
          <w:rFonts w:hint="eastAsia" w:ascii="宋体" w:hAnsi="宋体" w:cs="宋体"/>
        </w:rPr>
      </w:pPr>
      <w:r>
        <w:rPr>
          <w:rFonts w:hint="eastAsia" w:cs="仿宋_GB2312" w:asciiTheme="minorEastAsia" w:hAnsiTheme="minorEastAsia" w:eastAsiaTheme="minorEastAsia"/>
          <w:color w:val="auto"/>
          <w:sz w:val="24"/>
          <w:highlight w:val="yellow"/>
        </w:rPr>
        <w:t>◆</w:t>
      </w:r>
      <w:r>
        <w:rPr>
          <w:rFonts w:hint="eastAsia" w:ascii="宋体" w:hAnsi="宋体" w:cs="宋体"/>
        </w:rPr>
        <w:t>2.1.7.1.1每次召开视频会议前，先由区数据资源管理局确定召开会议的时间、地点，内容等相关资料，然后根据具体的内容，会同区机关事务服务中心会议保障人员确认会前联调的时间以及具体的会议室。</w:t>
      </w:r>
    </w:p>
    <w:p w14:paraId="7BD38C6F">
      <w:pPr>
        <w:pStyle w:val="792"/>
        <w:ind w:firstLine="480"/>
        <w:rPr>
          <w:rFonts w:hint="eastAsia" w:ascii="宋体" w:hAnsi="宋体" w:cs="宋体"/>
        </w:rPr>
      </w:pPr>
      <w:r>
        <w:rPr>
          <w:rFonts w:hint="eastAsia" w:cs="仿宋_GB2312" w:asciiTheme="minorEastAsia" w:hAnsiTheme="minorEastAsia" w:eastAsiaTheme="minorEastAsia"/>
          <w:color w:val="auto"/>
          <w:sz w:val="24"/>
          <w:highlight w:val="yellow"/>
        </w:rPr>
        <w:t>◆</w:t>
      </w:r>
      <w:r>
        <w:rPr>
          <w:rFonts w:hint="eastAsia" w:ascii="宋体" w:hAnsi="宋体" w:cs="宋体"/>
        </w:rPr>
        <w:t>2.1.7.1.2视频会议联调时，检查音视频信号是否正常，有无卡顿、延迟、啸叫等情况出现，并做好会前联调记录。</w:t>
      </w:r>
    </w:p>
    <w:p w14:paraId="2CEEF845">
      <w:pPr>
        <w:pStyle w:val="792"/>
        <w:ind w:firstLine="480"/>
        <w:rPr>
          <w:rFonts w:hint="eastAsia" w:ascii="宋体" w:hAnsi="宋体" w:cs="宋体"/>
        </w:rPr>
      </w:pPr>
      <w:r>
        <w:rPr>
          <w:rFonts w:hint="eastAsia" w:cs="仿宋_GB2312" w:asciiTheme="minorEastAsia" w:hAnsiTheme="minorEastAsia" w:eastAsiaTheme="minorEastAsia"/>
          <w:color w:val="auto"/>
          <w:sz w:val="24"/>
          <w:highlight w:val="yellow"/>
        </w:rPr>
        <w:t>◆</w:t>
      </w:r>
      <w:r>
        <w:rPr>
          <w:rFonts w:hint="eastAsia" w:ascii="宋体" w:hAnsi="宋体" w:cs="宋体"/>
        </w:rPr>
        <w:t>2.1.7.2</w:t>
      </w:r>
      <w:r>
        <w:rPr>
          <w:rFonts w:hint="eastAsia" w:ascii="宋体" w:hAnsi="宋体" w:cs="宋体"/>
          <w:highlight w:val="none"/>
        </w:rPr>
        <w:t>会中保障：在视频会议召开中，随时注意观察双方回传的视频画面以及声音信号，其视频画面是否流畅无卡顿，声音信号是否清晰无啸叫。同时按照会前会务组的要求播放相对应的视频资料以及开启会议轮训画面，及时将镇街平台等分会场的画面准确无误的传送到主席台。</w:t>
      </w:r>
    </w:p>
    <w:p w14:paraId="79CBF581">
      <w:pPr>
        <w:pStyle w:val="792"/>
        <w:ind w:firstLine="480"/>
        <w:rPr>
          <w:rFonts w:hint="eastAsia" w:ascii="宋体" w:hAnsi="宋体" w:cs="宋体"/>
        </w:rPr>
      </w:pPr>
      <w:r>
        <w:rPr>
          <w:rFonts w:hint="eastAsia" w:cs="仿宋_GB2312" w:asciiTheme="minorEastAsia" w:hAnsiTheme="minorEastAsia" w:eastAsiaTheme="minorEastAsia"/>
          <w:color w:val="auto"/>
          <w:sz w:val="24"/>
          <w:highlight w:val="yellow"/>
        </w:rPr>
        <w:t>◆</w:t>
      </w:r>
      <w:r>
        <w:rPr>
          <w:rFonts w:hint="eastAsia" w:ascii="宋体" w:hAnsi="宋体" w:cs="宋体"/>
        </w:rPr>
        <w:t>2.1.7.3会后整理：在视频会议圆满结束后，填写会议维护纪要，包括召开时间，地点，会议标题以及是否出现相关问题。同时整理会场中相关摄像机等外接设备，并按照要求归位整理。随后按照操作流程关闭相关设备。</w:t>
      </w:r>
    </w:p>
    <w:p w14:paraId="16ECEF6D">
      <w:pPr>
        <w:pStyle w:val="792"/>
        <w:ind w:firstLine="480"/>
        <w:rPr>
          <w:rFonts w:ascii="宋体" w:hAnsi="宋体" w:cs="宋体"/>
        </w:rPr>
      </w:pPr>
      <w:r>
        <w:rPr>
          <w:rFonts w:hint="eastAsia" w:ascii="宋体" w:hAnsi="宋体" w:cs="宋体"/>
        </w:rPr>
        <w:t>◆2.1.8在区政府主要会议室，提供互联网形式的视频会议保障服务（互联网会议保障包括钉钉视频会议，腾讯视频会议，云瞩目视频会议，会议形式包括直播、对讲等）。</w:t>
      </w:r>
    </w:p>
    <w:p w14:paraId="76088972">
      <w:pPr>
        <w:pStyle w:val="792"/>
        <w:ind w:firstLine="480"/>
        <w:rPr>
          <w:rFonts w:hint="eastAsia" w:ascii="宋体" w:hAnsi="宋体" w:cs="宋体"/>
        </w:rPr>
      </w:pPr>
      <w:r>
        <w:rPr>
          <w:rFonts w:hint="eastAsia" w:cs="仿宋_GB2312" w:asciiTheme="minorEastAsia" w:hAnsiTheme="minorEastAsia" w:eastAsiaTheme="minorEastAsia"/>
          <w:color w:val="auto"/>
          <w:sz w:val="24"/>
          <w:highlight w:val="yellow"/>
        </w:rPr>
        <w:t>◆</w:t>
      </w:r>
      <w:r>
        <w:rPr>
          <w:rFonts w:hint="eastAsia" w:ascii="宋体" w:hAnsi="宋体" w:cs="宋体"/>
          <w:highlight w:val="none"/>
        </w:rPr>
        <w:t>2.1.9 针对</w:t>
      </w:r>
      <w:r>
        <w:rPr>
          <w:rFonts w:hint="default" w:ascii="宋体" w:hAnsi="宋体" w:cs="宋体"/>
          <w:highlight w:val="none"/>
        </w:rPr>
        <w:t>区委常委会无纸化会议等</w:t>
      </w:r>
      <w:r>
        <w:rPr>
          <w:rFonts w:hint="eastAsia" w:ascii="宋体" w:hAnsi="宋体" w:cs="宋体"/>
          <w:highlight w:val="none"/>
        </w:rPr>
        <w:t>提供信息化会议保障服务。</w:t>
      </w:r>
    </w:p>
    <w:p w14:paraId="7EF810DF">
      <w:pPr>
        <w:pStyle w:val="792"/>
        <w:ind w:firstLine="480"/>
        <w:rPr>
          <w:rFonts w:hint="eastAsia" w:ascii="宋体" w:hAnsi="宋体" w:cs="宋体"/>
        </w:rPr>
      </w:pPr>
      <w:r>
        <w:rPr>
          <w:rFonts w:hint="eastAsia" w:cs="仿宋_GB2312" w:asciiTheme="minorEastAsia" w:hAnsiTheme="minorEastAsia" w:eastAsiaTheme="minorEastAsia"/>
          <w:color w:val="auto"/>
          <w:sz w:val="24"/>
          <w:highlight w:val="yellow"/>
        </w:rPr>
        <w:t>◆</w:t>
      </w:r>
      <w:r>
        <w:rPr>
          <w:rFonts w:hint="eastAsia" w:ascii="宋体" w:hAnsi="宋体" w:cs="宋体"/>
        </w:rPr>
        <w:t>2.2设备基础保障服务：</w:t>
      </w:r>
    </w:p>
    <w:p w14:paraId="0667026F">
      <w:pPr>
        <w:pStyle w:val="792"/>
        <w:ind w:firstLine="480"/>
        <w:rPr>
          <w:rFonts w:ascii="宋体" w:hAnsi="宋体" w:cs="宋体"/>
        </w:rPr>
      </w:pPr>
      <w:r>
        <w:rPr>
          <w:rFonts w:hint="eastAsia" w:ascii="宋体" w:hAnsi="宋体" w:eastAsia="宋体" w:cs="宋体"/>
          <w:color w:val="auto"/>
          <w:kern w:val="2"/>
          <w:sz w:val="24"/>
          <w:szCs w:val="22"/>
        </w:rPr>
        <w:t>在</w:t>
      </w:r>
      <w:r>
        <w:rPr>
          <w:rFonts w:hint="eastAsia" w:ascii="宋体" w:hAnsi="宋体" w:cs="宋体"/>
        </w:rPr>
        <w:t>过渡期</w:t>
      </w:r>
      <w:r>
        <w:rPr>
          <w:rFonts w:hint="eastAsia" w:ascii="宋体" w:hAnsi="宋体" w:eastAsia="宋体" w:cs="宋体"/>
          <w:color w:val="auto"/>
          <w:kern w:val="2"/>
          <w:sz w:val="24"/>
          <w:szCs w:val="22"/>
        </w:rPr>
        <w:t>设备出现故障的情况下，提供必要的基础保障能力，确保设备的基础运行功能，提供视频会议的基础支撑，如遇发生突发且不可修复的重大故障时，上报业主协商解决。</w:t>
      </w:r>
    </w:p>
    <w:p w14:paraId="46A32A4C">
      <w:pPr>
        <w:pStyle w:val="792"/>
        <w:ind w:firstLine="480"/>
        <w:rPr>
          <w:rFonts w:ascii="宋体" w:hAnsi="宋体" w:cs="宋体"/>
        </w:rPr>
      </w:pPr>
      <w:r>
        <w:rPr>
          <w:rFonts w:hint="eastAsia" w:ascii="宋体" w:hAnsi="宋体" w:cs="宋体"/>
        </w:rPr>
        <w:t>2.3 其他服务：</w:t>
      </w:r>
    </w:p>
    <w:p w14:paraId="75173011">
      <w:pPr>
        <w:pStyle w:val="792"/>
        <w:ind w:firstLine="480"/>
        <w:rPr>
          <w:rFonts w:ascii="宋体" w:hAnsi="宋体" w:cs="宋体"/>
          <w:highlight w:val="yellow"/>
        </w:rPr>
      </w:pPr>
      <w:r>
        <w:rPr>
          <w:rFonts w:hint="eastAsia" w:ascii="宋体" w:hAnsi="宋体" w:cs="宋体"/>
          <w:highlight w:val="yellow"/>
        </w:rPr>
        <w:t>为保障视联网会议正常进行需提供的其他技术服务。</w:t>
      </w:r>
    </w:p>
    <w:p w14:paraId="1EDAE7DC">
      <w:pPr>
        <w:pStyle w:val="792"/>
        <w:ind w:firstLine="480"/>
        <w:rPr>
          <w:rFonts w:hint="eastAsia" w:ascii="宋体" w:hAnsi="宋体" w:cs="宋体"/>
          <w:b/>
          <w:bCs/>
        </w:rPr>
      </w:pPr>
      <w:bookmarkStart w:id="29" w:name="_Toc354313258"/>
      <w:r>
        <w:rPr>
          <w:rFonts w:hint="eastAsia" w:ascii="宋体" w:hAnsi="宋体" w:cs="宋体"/>
          <w:b/>
          <w:bCs/>
        </w:rPr>
        <w:t>四、服务模式</w:t>
      </w:r>
      <w:bookmarkEnd w:id="29"/>
    </w:p>
    <w:p w14:paraId="3F5866D1">
      <w:pPr>
        <w:pStyle w:val="792"/>
        <w:ind w:firstLine="480"/>
        <w:rPr>
          <w:rFonts w:hint="eastAsia" w:ascii="宋体" w:hAnsi="宋体" w:cs="宋体"/>
        </w:rPr>
      </w:pPr>
      <w:r>
        <w:rPr>
          <w:rFonts w:hint="eastAsia" w:ascii="宋体" w:hAnsi="宋体" w:cs="宋体"/>
        </w:rPr>
        <w:t>1、中标人应针对服务项目内容制定具体运维服务计划和日常实施方案，并提交临平区数据资源管理局审核批准方予实施；</w:t>
      </w:r>
    </w:p>
    <w:p w14:paraId="4AB11D8B">
      <w:pPr>
        <w:pStyle w:val="792"/>
        <w:ind w:firstLine="480"/>
        <w:rPr>
          <w:rFonts w:hint="eastAsia" w:ascii="宋体" w:hAnsi="宋体" w:cs="宋体"/>
        </w:rPr>
      </w:pPr>
      <w:r>
        <w:rPr>
          <w:rFonts w:hint="eastAsia" w:ascii="宋体" w:hAnsi="宋体" w:cs="宋体"/>
        </w:rPr>
        <w:t>2、在服务期内，逢大型活动、会议期间，投标人需按照采购人针对大型活动的保障方案予以配合，无论采购要求或合同约定中是否要求专职运维服务，如采购人要求投标人在此期间提供人员运维保障，或其他与维保工作相关的保障措施升级的要求，中标人必须予以满足。</w:t>
      </w:r>
    </w:p>
    <w:p w14:paraId="3D61FA6B">
      <w:pPr>
        <w:pStyle w:val="792"/>
        <w:ind w:firstLine="480"/>
        <w:rPr>
          <w:rFonts w:hint="eastAsia" w:ascii="宋体" w:hAnsi="宋体" w:cs="宋体"/>
        </w:rPr>
      </w:pPr>
      <w:r>
        <w:rPr>
          <w:rFonts w:hint="eastAsia" w:ascii="宋体" w:hAnsi="宋体" w:cs="宋体"/>
        </w:rPr>
        <w:t>3、专职运维人员要求：无犯罪记录，工作勤勉、踏实、细心、负责，熟悉掌握视频会议调度服务（视联网形式的视频会议+</w:t>
      </w:r>
      <w:r>
        <w:rPr>
          <w:rFonts w:hint="default" w:ascii="宋体" w:hAnsi="宋体" w:cs="宋体"/>
        </w:rPr>
        <w:t>其他</w:t>
      </w:r>
      <w:r>
        <w:rPr>
          <w:rFonts w:hint="eastAsia" w:ascii="宋体" w:hAnsi="宋体" w:cs="宋体"/>
        </w:rPr>
        <w:t>互联网形式的视频会议</w:t>
      </w:r>
      <w:r>
        <w:rPr>
          <w:rFonts w:hint="default" w:ascii="宋体" w:hAnsi="宋体" w:cs="宋体"/>
        </w:rPr>
        <w:t>和信息化会议</w:t>
      </w:r>
      <w:r>
        <w:rPr>
          <w:rFonts w:hint="eastAsia" w:ascii="宋体" w:hAnsi="宋体" w:cs="宋体"/>
        </w:rPr>
        <w:t>）。</w:t>
      </w:r>
    </w:p>
    <w:p w14:paraId="3139EE6A">
      <w:pPr>
        <w:pStyle w:val="792"/>
        <w:ind w:firstLine="480"/>
        <w:rPr>
          <w:rFonts w:hint="eastAsia" w:ascii="宋体" w:hAnsi="宋体" w:cs="宋体"/>
        </w:rPr>
      </w:pPr>
      <w:r>
        <w:rPr>
          <w:rFonts w:hint="eastAsia" w:ascii="宋体" w:hAnsi="宋体" w:cs="宋体"/>
        </w:rPr>
        <w:t>4、因中标人的运维人员人为因素造成的损失由中标人承担。</w:t>
      </w:r>
    </w:p>
    <w:p w14:paraId="18BCA86D">
      <w:pPr>
        <w:pStyle w:val="792"/>
        <w:ind w:firstLine="480"/>
        <w:rPr>
          <w:rFonts w:hint="eastAsia" w:ascii="宋体" w:hAnsi="宋体" w:cs="宋体"/>
        </w:rPr>
      </w:pPr>
      <w:r>
        <w:rPr>
          <w:rFonts w:hint="eastAsia" w:ascii="宋体" w:hAnsi="宋体" w:cs="宋体"/>
        </w:rPr>
        <w:t>5、所有专职运维服务人员服从临平区数据资源管理局的领导和管理，包括制定工作制度、监督工作制度的执行质量、分配和调整工作资源等。</w:t>
      </w:r>
    </w:p>
    <w:p w14:paraId="5A85F819">
      <w:pPr>
        <w:pStyle w:val="792"/>
        <w:ind w:firstLine="480"/>
        <w:rPr>
          <w:rFonts w:hint="eastAsia" w:ascii="宋体" w:hAnsi="宋体" w:cs="宋体"/>
        </w:rPr>
      </w:pPr>
      <w:r>
        <w:rPr>
          <w:rFonts w:hint="eastAsia" w:ascii="宋体" w:hAnsi="宋体" w:cs="宋体"/>
        </w:rPr>
        <w:t>6、专职运维人员应符合招标文件要求。专职运维人员一旦确定，须与临平区数据资源管理局签订保密协议及保密承诺书，合同期内在未得到临平区数据资源管理局允许前不得变更人员，否则临平区数据资源管理局有权终止合同，中标人承担全部损失。</w:t>
      </w:r>
    </w:p>
    <w:p w14:paraId="681BDB9C">
      <w:pPr>
        <w:pStyle w:val="792"/>
        <w:ind w:firstLine="480"/>
        <w:rPr>
          <w:rFonts w:hint="eastAsia" w:ascii="宋体" w:hAnsi="宋体" w:cs="宋体"/>
        </w:rPr>
      </w:pPr>
      <w:r>
        <w:rPr>
          <w:rFonts w:hint="eastAsia" w:ascii="宋体" w:hAnsi="宋体" w:cs="宋体"/>
        </w:rPr>
        <w:t>7、服务考核与专职运维工作人员管理：</w:t>
      </w:r>
    </w:p>
    <w:p w14:paraId="443DA338">
      <w:pPr>
        <w:pStyle w:val="792"/>
        <w:ind w:firstLine="480"/>
        <w:rPr>
          <w:rFonts w:hint="eastAsia" w:ascii="宋体" w:hAnsi="宋体" w:cs="宋体"/>
        </w:rPr>
      </w:pPr>
      <w:r>
        <w:rPr>
          <w:rFonts w:hint="eastAsia" w:ascii="宋体" w:hAnsi="宋体" w:cs="宋体"/>
        </w:rPr>
        <w:t>对专职运维工作人员管理并作如下要求：</w:t>
      </w:r>
    </w:p>
    <w:p w14:paraId="11D077D9">
      <w:pPr>
        <w:pStyle w:val="792"/>
        <w:ind w:firstLine="480"/>
        <w:rPr>
          <w:rFonts w:hint="eastAsia" w:ascii="宋体" w:hAnsi="宋体" w:cs="宋体"/>
        </w:rPr>
      </w:pPr>
      <w:r>
        <w:rPr>
          <w:rFonts w:hint="eastAsia" w:ascii="宋体" w:hAnsi="宋体" w:cs="宋体"/>
        </w:rPr>
        <w:t>（1）服从临平区数据资源管理局的统一安排；</w:t>
      </w:r>
    </w:p>
    <w:p w14:paraId="32CCEBF2">
      <w:pPr>
        <w:pStyle w:val="792"/>
        <w:ind w:firstLine="480"/>
        <w:rPr>
          <w:rFonts w:hint="eastAsia" w:ascii="宋体" w:hAnsi="宋体" w:cs="宋体"/>
        </w:rPr>
      </w:pPr>
      <w:r>
        <w:rPr>
          <w:rFonts w:hint="eastAsia" w:ascii="宋体" w:hAnsi="宋体" w:cs="宋体"/>
        </w:rPr>
        <w:t>（2）严格遵守临平区数据资源管理局的作息时间，工作期间不得从事其它活动；</w:t>
      </w:r>
    </w:p>
    <w:p w14:paraId="4A89082B">
      <w:pPr>
        <w:pStyle w:val="792"/>
        <w:ind w:firstLine="480"/>
        <w:rPr>
          <w:rFonts w:hint="eastAsia" w:ascii="宋体" w:hAnsi="宋体" w:cs="宋体"/>
        </w:rPr>
      </w:pPr>
      <w:r>
        <w:rPr>
          <w:rFonts w:hint="eastAsia" w:ascii="宋体" w:hAnsi="宋体" w:cs="宋体"/>
        </w:rPr>
        <w:t>（3）严格遵守临平区数据资源管理局的规章制度和保密制度；</w:t>
      </w:r>
    </w:p>
    <w:p w14:paraId="6C93F3FB">
      <w:pPr>
        <w:pStyle w:val="792"/>
        <w:ind w:firstLine="480"/>
        <w:rPr>
          <w:rFonts w:hint="eastAsia" w:ascii="宋体" w:hAnsi="宋体" w:cs="宋体"/>
        </w:rPr>
      </w:pPr>
      <w:r>
        <w:rPr>
          <w:rFonts w:hint="eastAsia" w:ascii="宋体" w:hAnsi="宋体" w:cs="宋体"/>
        </w:rPr>
        <w:t>（4）公司安排的休假应获得临平区数据资源管理局批准后方可进行，休假期间中标人需补充相关能力的人员。</w:t>
      </w:r>
    </w:p>
    <w:p w14:paraId="2D8CB75D">
      <w:pPr>
        <w:pStyle w:val="792"/>
        <w:ind w:firstLine="480"/>
        <w:rPr>
          <w:rFonts w:hint="eastAsia" w:ascii="宋体" w:hAnsi="宋体" w:cs="宋体"/>
        </w:rPr>
      </w:pPr>
      <w:r>
        <w:rPr>
          <w:rFonts w:hint="eastAsia" w:ascii="宋体" w:hAnsi="宋体" w:cs="宋体"/>
        </w:rPr>
        <w:t>8、中标人应具有较强的本地化服务能力，配有较强的专业技术队伍，能提供快速的售后服务响应。</w:t>
      </w:r>
    </w:p>
    <w:p w14:paraId="3EF4740F">
      <w:pPr>
        <w:pStyle w:val="792"/>
        <w:ind w:firstLine="480"/>
        <w:rPr>
          <w:rFonts w:hint="eastAsia" w:ascii="宋体" w:hAnsi="宋体" w:cs="宋体"/>
          <w:b/>
          <w:bCs/>
        </w:rPr>
      </w:pPr>
      <w:r>
        <w:rPr>
          <w:rFonts w:hint="eastAsia" w:ascii="宋体" w:hAnsi="宋体" w:cs="宋体"/>
          <w:b/>
          <w:bCs/>
        </w:rPr>
        <w:t>五、项目实施</w:t>
      </w:r>
    </w:p>
    <w:p w14:paraId="4CCD3436">
      <w:pPr>
        <w:pStyle w:val="792"/>
        <w:ind w:firstLine="480"/>
        <w:rPr>
          <w:rFonts w:hint="eastAsia" w:ascii="宋体" w:hAnsi="宋体" w:cs="宋体"/>
        </w:rPr>
      </w:pPr>
      <w:r>
        <w:rPr>
          <w:rFonts w:hint="eastAsia" w:ascii="宋体" w:hAnsi="宋体" w:cs="宋体"/>
        </w:rPr>
        <w:t>实施过程中发生的人工费、差旅费、交通费、伙食费及其它辅助费用均由中标人负责。</w:t>
      </w:r>
    </w:p>
    <w:p w14:paraId="01D28051">
      <w:pPr>
        <w:pStyle w:val="792"/>
        <w:ind w:firstLine="480"/>
        <w:rPr>
          <w:rFonts w:hint="eastAsia" w:ascii="宋体" w:hAnsi="宋体" w:cs="宋体"/>
          <w:b/>
          <w:bCs/>
        </w:rPr>
      </w:pPr>
      <w:r>
        <w:rPr>
          <w:rFonts w:hint="eastAsia" w:ascii="宋体" w:hAnsi="宋体" w:cs="宋体"/>
          <w:b/>
          <w:bCs/>
        </w:rPr>
        <w:t>六、付款方式说明</w:t>
      </w:r>
    </w:p>
    <w:p w14:paraId="2A01E721">
      <w:pPr>
        <w:pStyle w:val="792"/>
        <w:ind w:firstLine="480"/>
        <w:rPr>
          <w:rFonts w:hint="eastAsia" w:ascii="宋体" w:hAnsi="宋体" w:cs="宋体"/>
        </w:rPr>
      </w:pPr>
      <w:r>
        <w:rPr>
          <w:rFonts w:hint="eastAsia" w:ascii="宋体" w:hAnsi="宋体" w:cs="宋体"/>
        </w:rPr>
        <w:t>本项目采取分期付款方式，付款期限自收到投标人开具的发票之日起计算，具体到帐期限以财政拨付实际到帐为准。付款方式具体如下：</w:t>
      </w:r>
    </w:p>
    <w:p w14:paraId="2569611F">
      <w:pPr>
        <w:pStyle w:val="792"/>
        <w:ind w:firstLine="480"/>
        <w:rPr>
          <w:rFonts w:hint="eastAsia" w:ascii="宋体" w:hAnsi="宋体" w:cs="宋体"/>
        </w:rPr>
      </w:pPr>
      <w:r>
        <w:rPr>
          <w:rFonts w:hint="eastAsia" w:ascii="宋体" w:hAnsi="宋体" w:cs="宋体"/>
        </w:rPr>
        <w:t>1、第一期款支付：合同签订生效后，乙方启动运维服务，并提供运维实施方案，经甲方审查通过，甲方自收到发票后7个工作日内，预付合同总价的50%款项；</w:t>
      </w:r>
    </w:p>
    <w:p w14:paraId="7F58807D">
      <w:pPr>
        <w:pStyle w:val="792"/>
        <w:ind w:firstLine="480"/>
        <w:rPr>
          <w:rFonts w:hint="eastAsia" w:ascii="宋体" w:hAnsi="宋体" w:cs="宋体"/>
        </w:rPr>
      </w:pPr>
      <w:r>
        <w:rPr>
          <w:rFonts w:hint="eastAsia" w:ascii="宋体" w:hAnsi="宋体" w:cs="宋体"/>
        </w:rPr>
        <w:t>2、第二期款支付：乙方经甲方验收通过后，甲方自收到发票后7个工作日内，向乙方支付合同剩余款项。</w:t>
      </w:r>
    </w:p>
    <w:p w14:paraId="18AC0E1C">
      <w:pPr>
        <w:pStyle w:val="792"/>
        <w:ind w:firstLine="480"/>
        <w:rPr>
          <w:rFonts w:hint="eastAsia" w:ascii="宋体" w:hAnsi="宋体" w:cs="宋体"/>
        </w:rPr>
      </w:pPr>
      <w:r>
        <w:rPr>
          <w:rFonts w:hint="eastAsia" w:ascii="宋体" w:hAnsi="宋体" w:cs="宋体"/>
        </w:rPr>
        <w:t>上述款项的支付时间以财政下达资金为前提，如有达到支付条件但财政资金未到位的情形，则支付时间顺延。</w:t>
      </w:r>
    </w:p>
    <w:p w14:paraId="5D12B229">
      <w:pPr>
        <w:pStyle w:val="792"/>
        <w:ind w:firstLine="480"/>
        <w:rPr>
          <w:rFonts w:hint="eastAsia" w:ascii="宋体" w:hAnsi="宋体" w:cs="宋体"/>
          <w:b/>
          <w:bCs/>
        </w:rPr>
      </w:pPr>
      <w:r>
        <w:rPr>
          <w:rFonts w:hint="eastAsia" w:ascii="宋体" w:hAnsi="宋体" w:cs="宋体"/>
          <w:b/>
          <w:bCs/>
        </w:rPr>
        <w:t>七、项目质量</w:t>
      </w:r>
    </w:p>
    <w:p w14:paraId="72DE472C">
      <w:pPr>
        <w:pStyle w:val="792"/>
        <w:ind w:firstLine="480"/>
        <w:rPr>
          <w:rFonts w:hint="eastAsia" w:ascii="宋体" w:hAnsi="宋体" w:cs="宋体"/>
          <w:lang w:val="zh-CN"/>
        </w:rPr>
      </w:pPr>
      <w:r>
        <w:rPr>
          <w:rFonts w:hint="eastAsia" w:ascii="宋体" w:hAnsi="宋体" w:cs="宋体"/>
        </w:rPr>
        <w:t>1、</w:t>
      </w:r>
      <w:r>
        <w:rPr>
          <w:rFonts w:hint="eastAsia" w:ascii="宋体" w:hAnsi="宋体" w:cs="宋体"/>
          <w:lang w:val="zh-CN"/>
        </w:rPr>
        <w:t xml:space="preserve"> </w:t>
      </w:r>
      <w:r>
        <w:rPr>
          <w:rFonts w:hint="eastAsia" w:ascii="宋体" w:hAnsi="宋体" w:cs="宋体"/>
        </w:rPr>
        <w:t>中标单位</w:t>
      </w:r>
      <w:r>
        <w:rPr>
          <w:rFonts w:hint="eastAsia" w:ascii="宋体" w:hAnsi="宋体" w:cs="宋体"/>
          <w:lang w:val="zh-CN"/>
        </w:rPr>
        <w:t>保证按ISO9000系列标准或相应的质量管理和质量保证体系，对项目实施、调试、检测等各个环节进行严格的质量和质量控制。</w:t>
      </w:r>
    </w:p>
    <w:p w14:paraId="77CC9D6A">
      <w:pPr>
        <w:pStyle w:val="792"/>
        <w:ind w:firstLine="480"/>
        <w:rPr>
          <w:rFonts w:hint="eastAsia" w:ascii="宋体" w:hAnsi="宋体" w:cs="宋体"/>
        </w:rPr>
      </w:pPr>
      <w:r>
        <w:rPr>
          <w:rFonts w:hint="eastAsia" w:ascii="宋体" w:hAnsi="宋体" w:cs="宋体"/>
        </w:rPr>
        <w:t>2、中标单位提供产品和服务符合国家相关安全规定及《浙江省信息技术服务外包安全管理规范》要求。</w:t>
      </w:r>
    </w:p>
    <w:p w14:paraId="06A214B3">
      <w:pPr>
        <w:pStyle w:val="792"/>
        <w:ind w:firstLine="480"/>
        <w:rPr>
          <w:rFonts w:hint="eastAsia" w:ascii="宋体" w:hAnsi="宋体" w:cs="宋体"/>
          <w:lang w:val="zh-CN"/>
        </w:rPr>
      </w:pPr>
      <w:r>
        <w:rPr>
          <w:rFonts w:hint="eastAsia" w:ascii="宋体" w:hAnsi="宋体" w:cs="宋体"/>
        </w:rPr>
        <w:t>3、</w:t>
      </w:r>
      <w:r>
        <w:rPr>
          <w:rFonts w:hint="eastAsia" w:ascii="宋体" w:hAnsi="宋体" w:cs="宋体"/>
          <w:lang w:val="zh-CN"/>
        </w:rPr>
        <w:t xml:space="preserve"> </w:t>
      </w:r>
      <w:r>
        <w:rPr>
          <w:rFonts w:hint="eastAsia" w:ascii="宋体" w:hAnsi="宋体" w:cs="宋体"/>
        </w:rPr>
        <w:t>中标单位</w:t>
      </w:r>
      <w:r>
        <w:rPr>
          <w:rFonts w:hint="eastAsia" w:ascii="宋体" w:hAnsi="宋体" w:cs="宋体"/>
          <w:lang w:val="zh-CN"/>
        </w:rPr>
        <w:t>须严格按设计方案和国家现行项目实施验收规范有关规定，精心组织实施、记录、检测。</w:t>
      </w:r>
    </w:p>
    <w:p w14:paraId="20AAE345">
      <w:pPr>
        <w:pStyle w:val="792"/>
        <w:ind w:firstLine="480"/>
        <w:rPr>
          <w:rFonts w:hint="eastAsia" w:ascii="宋体" w:hAnsi="宋体" w:cs="宋体"/>
          <w:lang w:val="zh-CN"/>
        </w:rPr>
      </w:pPr>
      <w:r>
        <w:rPr>
          <w:rFonts w:hint="eastAsia" w:ascii="宋体" w:hAnsi="宋体" w:cs="宋体"/>
        </w:rPr>
        <w:t>4、</w:t>
      </w:r>
      <w:r>
        <w:rPr>
          <w:rFonts w:hint="eastAsia" w:ascii="宋体" w:hAnsi="宋体" w:cs="宋体"/>
          <w:lang w:val="zh-CN"/>
        </w:rPr>
        <w:t>项目的质量、技术标准如在招标文件和投标文件中无相应说明，则按中华人民共和国有关部门颁布的最新的国家或专业（部）标准或相应的国际标准执行。没有国家或专业（部）标准的，按企业标准执行。</w:t>
      </w:r>
    </w:p>
    <w:p w14:paraId="102BFFE1">
      <w:pPr>
        <w:pStyle w:val="792"/>
        <w:ind w:firstLine="480"/>
        <w:rPr>
          <w:rFonts w:hint="eastAsia" w:ascii="宋体" w:hAnsi="宋体" w:cs="宋体"/>
          <w:lang w:val="zh-CN"/>
        </w:rPr>
      </w:pPr>
      <w:r>
        <w:rPr>
          <w:rFonts w:hint="eastAsia" w:ascii="宋体" w:hAnsi="宋体" w:cs="宋体"/>
        </w:rPr>
        <w:t>5、</w:t>
      </w:r>
      <w:r>
        <w:rPr>
          <w:rFonts w:hint="eastAsia" w:ascii="宋体" w:hAnsi="宋体" w:cs="宋体"/>
          <w:lang w:val="zh-CN"/>
        </w:rPr>
        <w:t xml:space="preserve"> 项目竣工验收：应按设计方案、技术交底、会审纪要、设计变更通知单、国家和（部）颁发的有关规范和质量检验评定标准、相关的国际标准为依据，并有相关专业测试单位出具相应的测验结论报告。</w:t>
      </w:r>
    </w:p>
    <w:p w14:paraId="628E3ED3">
      <w:pPr>
        <w:pStyle w:val="792"/>
        <w:ind w:firstLine="480"/>
        <w:rPr>
          <w:rFonts w:hint="eastAsia" w:ascii="宋体" w:hAnsi="宋体" w:cs="宋体"/>
          <w:lang w:val="zh-CN"/>
        </w:rPr>
      </w:pPr>
      <w:r>
        <w:rPr>
          <w:rFonts w:hint="eastAsia" w:ascii="宋体" w:hAnsi="宋体" w:cs="宋体"/>
        </w:rPr>
        <w:t>6、</w:t>
      </w:r>
      <w:r>
        <w:rPr>
          <w:rFonts w:hint="eastAsia" w:ascii="宋体" w:hAnsi="宋体" w:cs="宋体"/>
          <w:lang w:val="zh-CN"/>
        </w:rPr>
        <w:t xml:space="preserve"> 项目实施过程中应严格做好安全防范措施，如</w:t>
      </w:r>
      <w:r>
        <w:rPr>
          <w:rFonts w:hint="eastAsia" w:ascii="宋体" w:hAnsi="宋体" w:cs="宋体"/>
        </w:rPr>
        <w:t>中标单位</w:t>
      </w:r>
      <w:r>
        <w:rPr>
          <w:rFonts w:hint="eastAsia" w:ascii="宋体" w:hAnsi="宋体" w:cs="宋体"/>
          <w:lang w:val="zh-CN"/>
        </w:rPr>
        <w:t>项目实施人员在实施中违反操作规定造成人员伤亡事故或实施现场防范措施设置不明造成人员伤害事故，一切责任均由</w:t>
      </w:r>
      <w:r>
        <w:rPr>
          <w:rFonts w:hint="eastAsia" w:ascii="宋体" w:hAnsi="宋体" w:cs="宋体"/>
        </w:rPr>
        <w:t>中标单位</w:t>
      </w:r>
      <w:r>
        <w:rPr>
          <w:rFonts w:hint="eastAsia" w:ascii="宋体" w:hAnsi="宋体" w:cs="宋体"/>
          <w:lang w:val="zh-CN"/>
        </w:rPr>
        <w:t>负责。</w:t>
      </w:r>
    </w:p>
    <w:p w14:paraId="31E2B4AC">
      <w:pPr>
        <w:pStyle w:val="792"/>
        <w:ind w:firstLine="480"/>
        <w:rPr>
          <w:rFonts w:hint="eastAsia" w:ascii="宋体" w:hAnsi="宋体" w:cs="宋体"/>
          <w:b/>
          <w:bCs/>
        </w:rPr>
      </w:pPr>
      <w:r>
        <w:rPr>
          <w:rFonts w:hint="eastAsia" w:ascii="宋体" w:hAnsi="宋体" w:cs="宋体"/>
          <w:b/>
          <w:bCs/>
        </w:rPr>
        <w:t>八、验收</w:t>
      </w:r>
    </w:p>
    <w:p w14:paraId="3029E74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56D409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采购人可以邀请参加本项目的其他投标人或者第三方机构参与验收。参与验收的投标人或者第三方机构的意见作为验收书的参考资料一并存档。</w:t>
      </w:r>
    </w:p>
    <w:p w14:paraId="39D4D24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84F02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E8E6F56">
      <w:pPr>
        <w:pStyle w:val="792"/>
        <w:ind w:firstLine="480"/>
        <w:rPr>
          <w:rFonts w:hint="eastAsia" w:ascii="宋体" w:hAnsi="宋体" w:cs="宋体"/>
          <w:b/>
          <w:bCs/>
        </w:rPr>
      </w:pPr>
      <w:r>
        <w:rPr>
          <w:rFonts w:hint="eastAsia" w:ascii="宋体" w:hAnsi="宋体" w:cs="宋体"/>
          <w:b/>
          <w:bCs/>
        </w:rPr>
        <w:t>九、服务标准</w:t>
      </w:r>
    </w:p>
    <w:p w14:paraId="4A876A7F">
      <w:pPr>
        <w:pStyle w:val="792"/>
        <w:ind w:firstLine="480"/>
        <w:rPr>
          <w:rFonts w:hint="eastAsia" w:ascii="宋体" w:hAnsi="宋体" w:cs="宋体"/>
        </w:rPr>
      </w:pPr>
      <w:r>
        <w:rPr>
          <w:rFonts w:hint="eastAsia" w:ascii="宋体" w:hAnsi="宋体" w:cs="宋体"/>
        </w:rPr>
        <w:t>本次采购的产品所涉及的产品标准、规范、验收标准、规范，应符合国家有关条例及规范。如有新的标准应采纳新标准；若同一产品同时有几个标准（国际标准、国家标准、行业标准、企业标准等），则按最高层次的标准执行。</w:t>
      </w:r>
    </w:p>
    <w:p w14:paraId="0E1BE457">
      <w:pPr>
        <w:pStyle w:val="792"/>
        <w:ind w:firstLine="480"/>
        <w:rPr>
          <w:rFonts w:hint="eastAsia" w:ascii="宋体" w:hAnsi="宋体" w:cs="宋体"/>
        </w:rPr>
      </w:pPr>
      <w:r>
        <w:rPr>
          <w:rFonts w:hint="eastAsia" w:ascii="宋体" w:hAnsi="宋体" w:cs="宋体"/>
        </w:rPr>
        <w:t>中国国家标准及其它被普遍认可的标准，由招标人认可的其他国家的其他权威标准；原有规范若已被废弃，则以相应的新规范为准。</w:t>
      </w:r>
    </w:p>
    <w:p w14:paraId="64D30320">
      <w:pPr>
        <w:pStyle w:val="792"/>
        <w:ind w:firstLine="480"/>
        <w:rPr>
          <w:rFonts w:ascii="宋体" w:hAnsi="宋体" w:cs="宋体"/>
        </w:rPr>
      </w:pPr>
      <w:r>
        <w:rPr>
          <w:rFonts w:hint="eastAsia" w:ascii="宋体" w:hAnsi="宋体" w:cs="宋体"/>
        </w:rPr>
        <w:t>供应商提供的产品必须满足采购文件中提出的相关技术要求。</w:t>
      </w:r>
    </w:p>
    <w:p w14:paraId="6D636660">
      <w:pPr>
        <w:rPr>
          <w:rFonts w:ascii="宋体" w:hAnsi="宋体" w:cs="宋体"/>
          <w:snapToGrid w:val="0"/>
          <w:color w:val="auto"/>
          <w:kern w:val="0"/>
          <w:sz w:val="24"/>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0" w:name="_Toc184313243"/>
      <w:bookmarkEnd w:id="30"/>
      <w:bookmarkStart w:id="31" w:name="_Toc184313288"/>
      <w:bookmarkEnd w:id="31"/>
      <w:bookmarkStart w:id="32" w:name="_Toc184308102"/>
      <w:bookmarkEnd w:id="32"/>
      <w:bookmarkStart w:id="33" w:name="_Toc184313260"/>
      <w:bookmarkEnd w:id="33"/>
      <w:bookmarkStart w:id="34" w:name="_Toc184313289"/>
      <w:bookmarkEnd w:id="34"/>
      <w:bookmarkStart w:id="35" w:name="_Toc184314464"/>
      <w:bookmarkEnd w:id="35"/>
      <w:bookmarkStart w:id="36" w:name="_Toc184312138"/>
      <w:bookmarkEnd w:id="36"/>
      <w:bookmarkStart w:id="37" w:name="_Toc184314425"/>
      <w:bookmarkEnd w:id="37"/>
      <w:bookmarkStart w:id="38" w:name="_Toc184310326"/>
      <w:bookmarkEnd w:id="38"/>
      <w:bookmarkStart w:id="39" w:name="_Toc184312072"/>
      <w:bookmarkEnd w:id="39"/>
      <w:bookmarkStart w:id="40" w:name="_Toc184310325"/>
      <w:bookmarkEnd w:id="40"/>
      <w:bookmarkStart w:id="41" w:name="_Toc184308086"/>
      <w:bookmarkEnd w:id="41"/>
      <w:bookmarkStart w:id="42" w:name="_Toc184313239"/>
      <w:bookmarkEnd w:id="42"/>
      <w:bookmarkStart w:id="43" w:name="_Toc184313290"/>
      <w:bookmarkEnd w:id="43"/>
      <w:bookmarkStart w:id="44" w:name="_Toc184314463"/>
      <w:bookmarkEnd w:id="44"/>
      <w:bookmarkStart w:id="45" w:name="_Toc184313310"/>
      <w:bookmarkEnd w:id="45"/>
      <w:bookmarkStart w:id="46" w:name="_Toc184308082"/>
      <w:bookmarkEnd w:id="46"/>
      <w:bookmarkStart w:id="47" w:name="_Toc184312088"/>
      <w:bookmarkEnd w:id="47"/>
      <w:bookmarkStart w:id="48" w:name="_Toc184308077"/>
      <w:bookmarkEnd w:id="48"/>
      <w:bookmarkStart w:id="49" w:name="_Toc184308075"/>
      <w:bookmarkEnd w:id="49"/>
      <w:bookmarkStart w:id="50" w:name="_Toc184313266"/>
      <w:bookmarkEnd w:id="50"/>
      <w:bookmarkStart w:id="51" w:name="_Toc184312098"/>
      <w:bookmarkEnd w:id="51"/>
      <w:bookmarkStart w:id="52" w:name="_Toc184312109"/>
      <w:bookmarkEnd w:id="52"/>
      <w:bookmarkStart w:id="53" w:name="_Toc184313244"/>
      <w:bookmarkEnd w:id="53"/>
      <w:bookmarkStart w:id="54" w:name="_Toc184314476"/>
      <w:bookmarkEnd w:id="54"/>
      <w:bookmarkStart w:id="55" w:name="_Toc184308057"/>
      <w:bookmarkEnd w:id="55"/>
      <w:bookmarkStart w:id="56" w:name="_Toc184308063"/>
      <w:bookmarkEnd w:id="56"/>
      <w:bookmarkStart w:id="57" w:name="_Toc184310336"/>
      <w:bookmarkEnd w:id="57"/>
      <w:bookmarkStart w:id="58" w:name="_Toc184308097"/>
      <w:bookmarkEnd w:id="58"/>
      <w:bookmarkStart w:id="59" w:name="_Toc184312124"/>
      <w:bookmarkEnd w:id="59"/>
      <w:bookmarkStart w:id="60" w:name="_Toc184314432"/>
      <w:bookmarkEnd w:id="60"/>
      <w:bookmarkStart w:id="61" w:name="_Toc184312119"/>
      <w:bookmarkEnd w:id="61"/>
      <w:bookmarkStart w:id="62" w:name="_Toc184310333"/>
      <w:bookmarkEnd w:id="62"/>
      <w:bookmarkStart w:id="63" w:name="_Toc184314416"/>
      <w:bookmarkEnd w:id="63"/>
      <w:bookmarkStart w:id="64" w:name="_Toc184313269"/>
      <w:bookmarkEnd w:id="64"/>
      <w:bookmarkStart w:id="65" w:name="_Toc184312103"/>
      <w:bookmarkEnd w:id="65"/>
      <w:bookmarkStart w:id="66" w:name="_Toc184312135"/>
      <w:bookmarkEnd w:id="66"/>
      <w:bookmarkStart w:id="67" w:name="_Toc184308098"/>
      <w:bookmarkEnd w:id="67"/>
      <w:bookmarkStart w:id="68" w:name="_Toc184312116"/>
      <w:bookmarkEnd w:id="68"/>
      <w:bookmarkStart w:id="69" w:name="_Toc184313262"/>
      <w:bookmarkEnd w:id="69"/>
      <w:bookmarkStart w:id="70" w:name="_Toc184310278"/>
      <w:bookmarkEnd w:id="70"/>
      <w:bookmarkStart w:id="71" w:name="_Toc184313302"/>
      <w:bookmarkEnd w:id="71"/>
      <w:bookmarkStart w:id="72" w:name="_Toc184308039"/>
      <w:bookmarkEnd w:id="72"/>
      <w:bookmarkStart w:id="73" w:name="_Toc184314439"/>
      <w:bookmarkEnd w:id="73"/>
      <w:bookmarkStart w:id="74" w:name="_Toc184308104"/>
      <w:bookmarkEnd w:id="74"/>
      <w:bookmarkStart w:id="75" w:name="_Toc184312123"/>
      <w:bookmarkEnd w:id="75"/>
      <w:bookmarkStart w:id="76" w:name="_Toc184310312"/>
      <w:bookmarkEnd w:id="76"/>
      <w:bookmarkStart w:id="77" w:name="_Toc184312120"/>
      <w:bookmarkEnd w:id="77"/>
      <w:bookmarkStart w:id="78" w:name="_Toc184313263"/>
      <w:bookmarkEnd w:id="78"/>
      <w:bookmarkStart w:id="79" w:name="_Toc184314430"/>
      <w:bookmarkEnd w:id="79"/>
      <w:bookmarkStart w:id="80" w:name="_Toc184310273"/>
      <w:bookmarkEnd w:id="80"/>
      <w:bookmarkStart w:id="81" w:name="_Toc184310276"/>
      <w:bookmarkEnd w:id="81"/>
      <w:bookmarkStart w:id="82" w:name="_Toc184310295"/>
      <w:bookmarkEnd w:id="82"/>
      <w:bookmarkStart w:id="83" w:name="_Toc184314457"/>
      <w:bookmarkEnd w:id="83"/>
      <w:bookmarkStart w:id="84" w:name="_Toc184310277"/>
      <w:bookmarkEnd w:id="84"/>
      <w:bookmarkStart w:id="85" w:name="_Toc184313301"/>
      <w:bookmarkEnd w:id="85"/>
      <w:bookmarkStart w:id="86" w:name="_Toc184314446"/>
      <w:bookmarkEnd w:id="86"/>
      <w:bookmarkStart w:id="87" w:name="_Toc184314480"/>
      <w:bookmarkEnd w:id="87"/>
      <w:bookmarkStart w:id="88" w:name="_Toc184314443"/>
      <w:bookmarkEnd w:id="88"/>
      <w:bookmarkStart w:id="89" w:name="_Toc184308071"/>
      <w:bookmarkEnd w:id="89"/>
      <w:bookmarkStart w:id="90" w:name="_Toc184312096"/>
      <w:bookmarkEnd w:id="90"/>
      <w:bookmarkStart w:id="91" w:name="_Toc184312107"/>
      <w:bookmarkEnd w:id="91"/>
      <w:bookmarkStart w:id="92" w:name="_Toc184314442"/>
      <w:bookmarkEnd w:id="92"/>
      <w:bookmarkStart w:id="93" w:name="_Toc184312077"/>
      <w:bookmarkEnd w:id="93"/>
      <w:bookmarkStart w:id="94" w:name="_Toc184313291"/>
      <w:bookmarkEnd w:id="94"/>
      <w:bookmarkStart w:id="95" w:name="_Toc184310285"/>
      <w:bookmarkEnd w:id="95"/>
      <w:bookmarkStart w:id="96" w:name="_Toc184312099"/>
      <w:bookmarkEnd w:id="96"/>
      <w:bookmarkStart w:id="97" w:name="_Toc184313261"/>
      <w:bookmarkEnd w:id="97"/>
      <w:bookmarkStart w:id="98" w:name="_Toc184314434"/>
      <w:bookmarkEnd w:id="98"/>
      <w:bookmarkStart w:id="99" w:name="_Toc184310324"/>
      <w:bookmarkEnd w:id="99"/>
      <w:bookmarkStart w:id="100" w:name="_Toc184312094"/>
      <w:bookmarkEnd w:id="100"/>
      <w:bookmarkStart w:id="101" w:name="_Toc184313295"/>
      <w:bookmarkEnd w:id="101"/>
      <w:bookmarkStart w:id="102" w:name="_Toc184308036"/>
      <w:bookmarkEnd w:id="102"/>
      <w:bookmarkStart w:id="103" w:name="_Toc184314423"/>
      <w:bookmarkEnd w:id="103"/>
      <w:bookmarkStart w:id="104" w:name="_Toc184308096"/>
      <w:bookmarkEnd w:id="104"/>
      <w:bookmarkStart w:id="105" w:name="_Toc184314420"/>
      <w:bookmarkEnd w:id="105"/>
      <w:bookmarkStart w:id="106" w:name="_Toc184312070"/>
      <w:bookmarkEnd w:id="106"/>
      <w:bookmarkStart w:id="107" w:name="_Toc184308073"/>
      <w:bookmarkEnd w:id="107"/>
      <w:bookmarkStart w:id="108" w:name="_Toc184313300"/>
      <w:bookmarkEnd w:id="108"/>
      <w:bookmarkStart w:id="109" w:name="_Toc184308092"/>
      <w:bookmarkEnd w:id="109"/>
      <w:bookmarkStart w:id="110" w:name="_Toc184310321"/>
      <w:bookmarkEnd w:id="110"/>
      <w:bookmarkStart w:id="111" w:name="_Toc184312108"/>
      <w:bookmarkEnd w:id="111"/>
      <w:bookmarkStart w:id="112" w:name="_Toc184310284"/>
      <w:bookmarkEnd w:id="112"/>
      <w:bookmarkStart w:id="113" w:name="_Toc184312112"/>
      <w:bookmarkEnd w:id="113"/>
      <w:bookmarkStart w:id="114" w:name="_Toc184314411"/>
      <w:bookmarkEnd w:id="114"/>
      <w:bookmarkStart w:id="115" w:name="_Toc184310288"/>
      <w:bookmarkEnd w:id="115"/>
      <w:bookmarkStart w:id="116" w:name="_Toc184308085"/>
      <w:bookmarkEnd w:id="116"/>
      <w:bookmarkStart w:id="117" w:name="_Toc184310301"/>
      <w:bookmarkEnd w:id="117"/>
      <w:bookmarkStart w:id="118" w:name="_Toc184313242"/>
      <w:bookmarkEnd w:id="118"/>
      <w:bookmarkStart w:id="119" w:name="_Toc184314468"/>
      <w:bookmarkEnd w:id="119"/>
      <w:bookmarkStart w:id="120" w:name="_Toc184308051"/>
      <w:bookmarkEnd w:id="120"/>
      <w:bookmarkStart w:id="121" w:name="_Toc184310300"/>
      <w:bookmarkEnd w:id="121"/>
      <w:bookmarkStart w:id="122" w:name="_Toc184312067"/>
      <w:bookmarkEnd w:id="122"/>
      <w:bookmarkStart w:id="123" w:name="_Toc184308054"/>
      <w:bookmarkEnd w:id="123"/>
      <w:bookmarkStart w:id="124" w:name="_Toc184312104"/>
      <w:bookmarkEnd w:id="124"/>
      <w:bookmarkStart w:id="125" w:name="_Toc184312073"/>
      <w:bookmarkEnd w:id="125"/>
      <w:bookmarkStart w:id="126" w:name="_Toc184310294"/>
      <w:bookmarkEnd w:id="126"/>
      <w:bookmarkStart w:id="127" w:name="_Toc184314454"/>
      <w:bookmarkEnd w:id="127"/>
      <w:bookmarkStart w:id="128" w:name="_Toc184312105"/>
      <w:bookmarkEnd w:id="128"/>
      <w:bookmarkStart w:id="129" w:name="_Toc184314467"/>
      <w:bookmarkEnd w:id="129"/>
      <w:bookmarkStart w:id="130" w:name="_Toc184310309"/>
      <w:bookmarkEnd w:id="130"/>
      <w:bookmarkStart w:id="131" w:name="_Toc184314429"/>
      <w:bookmarkEnd w:id="131"/>
      <w:bookmarkStart w:id="132" w:name="_Toc184312129"/>
      <w:bookmarkEnd w:id="132"/>
      <w:bookmarkStart w:id="133" w:name="_Toc184314419"/>
      <w:bookmarkEnd w:id="133"/>
      <w:bookmarkStart w:id="134" w:name="_Toc184312086"/>
      <w:bookmarkEnd w:id="134"/>
      <w:bookmarkStart w:id="135" w:name="_Toc184308037"/>
      <w:bookmarkEnd w:id="135"/>
      <w:bookmarkStart w:id="136" w:name="_Toc184310318"/>
      <w:bookmarkEnd w:id="136"/>
      <w:bookmarkStart w:id="137" w:name="_Toc184312102"/>
      <w:bookmarkEnd w:id="137"/>
      <w:bookmarkStart w:id="138" w:name="_Toc184310344"/>
      <w:bookmarkEnd w:id="138"/>
      <w:bookmarkStart w:id="139" w:name="_Toc184310313"/>
      <w:bookmarkEnd w:id="139"/>
      <w:bookmarkStart w:id="140" w:name="_Toc184310338"/>
      <w:bookmarkEnd w:id="140"/>
      <w:bookmarkStart w:id="141" w:name="_Toc184312114"/>
      <w:bookmarkEnd w:id="141"/>
      <w:bookmarkStart w:id="142" w:name="_Toc184308047"/>
      <w:bookmarkEnd w:id="142"/>
      <w:bookmarkStart w:id="143" w:name="_Toc184308091"/>
      <w:bookmarkEnd w:id="143"/>
      <w:bookmarkStart w:id="144" w:name="_Toc184312089"/>
      <w:bookmarkEnd w:id="144"/>
      <w:bookmarkStart w:id="145" w:name="_Toc184310315"/>
      <w:bookmarkEnd w:id="145"/>
      <w:bookmarkStart w:id="146" w:name="_Toc184310306"/>
      <w:bookmarkEnd w:id="146"/>
      <w:bookmarkStart w:id="147" w:name="_Toc184312080"/>
      <w:bookmarkEnd w:id="147"/>
      <w:bookmarkStart w:id="148" w:name="_Toc184314418"/>
      <w:bookmarkEnd w:id="148"/>
      <w:bookmarkStart w:id="149" w:name="_Toc184312075"/>
      <w:bookmarkEnd w:id="149"/>
      <w:bookmarkStart w:id="150" w:name="_Toc184314438"/>
      <w:bookmarkEnd w:id="150"/>
      <w:bookmarkStart w:id="151" w:name="_Toc184310337"/>
      <w:bookmarkEnd w:id="151"/>
      <w:bookmarkStart w:id="152" w:name="_Toc184310340"/>
      <w:bookmarkEnd w:id="152"/>
      <w:bookmarkStart w:id="153" w:name="_Toc184314453"/>
      <w:bookmarkEnd w:id="153"/>
      <w:bookmarkStart w:id="154" w:name="_Toc184312130"/>
      <w:bookmarkEnd w:id="154"/>
      <w:bookmarkStart w:id="155" w:name="_Toc184314414"/>
      <w:bookmarkEnd w:id="155"/>
      <w:bookmarkStart w:id="156" w:name="_Toc184310323"/>
      <w:bookmarkEnd w:id="156"/>
      <w:bookmarkStart w:id="157" w:name="_Toc184310298"/>
      <w:bookmarkEnd w:id="157"/>
      <w:bookmarkStart w:id="158" w:name="_Toc184308064"/>
      <w:bookmarkEnd w:id="158"/>
      <w:bookmarkStart w:id="159" w:name="_Toc184312068"/>
      <w:bookmarkEnd w:id="159"/>
      <w:bookmarkStart w:id="160" w:name="_Toc184314450"/>
      <w:bookmarkEnd w:id="160"/>
      <w:bookmarkStart w:id="161" w:name="_Toc184314470"/>
      <w:bookmarkEnd w:id="161"/>
      <w:bookmarkStart w:id="162" w:name="_Toc184314479"/>
      <w:bookmarkEnd w:id="162"/>
      <w:bookmarkStart w:id="163" w:name="_Toc184308079"/>
      <w:bookmarkEnd w:id="163"/>
      <w:bookmarkStart w:id="164" w:name="_Toc184308046"/>
      <w:bookmarkEnd w:id="164"/>
      <w:bookmarkStart w:id="165" w:name="_Toc184313258"/>
      <w:bookmarkEnd w:id="165"/>
      <w:bookmarkStart w:id="166" w:name="_Toc184314435"/>
      <w:bookmarkEnd w:id="166"/>
      <w:bookmarkStart w:id="167" w:name="_Toc184310331"/>
      <w:bookmarkEnd w:id="167"/>
      <w:bookmarkStart w:id="168" w:name="_Toc184313245"/>
      <w:bookmarkEnd w:id="168"/>
      <w:bookmarkStart w:id="169" w:name="_Toc184308041"/>
      <w:bookmarkEnd w:id="169"/>
      <w:bookmarkStart w:id="170" w:name="_Toc184308038"/>
      <w:bookmarkEnd w:id="170"/>
      <w:bookmarkStart w:id="171" w:name="_Toc184314461"/>
      <w:bookmarkEnd w:id="171"/>
      <w:bookmarkStart w:id="172" w:name="_Toc184310299"/>
      <w:bookmarkEnd w:id="172"/>
      <w:bookmarkStart w:id="173" w:name="_Toc184313240"/>
      <w:bookmarkEnd w:id="173"/>
      <w:bookmarkStart w:id="174" w:name="_Toc184310329"/>
      <w:bookmarkEnd w:id="174"/>
      <w:bookmarkStart w:id="175" w:name="_Toc184314469"/>
      <w:bookmarkEnd w:id="175"/>
      <w:bookmarkStart w:id="176" w:name="_Toc184310310"/>
      <w:bookmarkEnd w:id="176"/>
      <w:bookmarkStart w:id="177" w:name="_Toc184310289"/>
      <w:bookmarkEnd w:id="177"/>
      <w:bookmarkStart w:id="178" w:name="_Toc184313304"/>
      <w:bookmarkEnd w:id="178"/>
      <w:bookmarkStart w:id="179" w:name="_Toc184308050"/>
      <w:bookmarkEnd w:id="179"/>
      <w:bookmarkStart w:id="180" w:name="_Toc184310339"/>
      <w:bookmarkEnd w:id="180"/>
      <w:bookmarkStart w:id="181" w:name="_Toc184310297"/>
      <w:bookmarkEnd w:id="181"/>
      <w:bookmarkStart w:id="182" w:name="_Toc184308043"/>
      <w:bookmarkEnd w:id="182"/>
      <w:bookmarkStart w:id="183" w:name="_Toc184313265"/>
      <w:bookmarkEnd w:id="183"/>
      <w:bookmarkStart w:id="184" w:name="_Toc184313308"/>
      <w:bookmarkEnd w:id="184"/>
      <w:bookmarkStart w:id="185" w:name="_Toc184314421"/>
      <w:bookmarkEnd w:id="185"/>
      <w:bookmarkStart w:id="186" w:name="_Toc184313254"/>
      <w:bookmarkEnd w:id="186"/>
      <w:bookmarkStart w:id="187" w:name="_Toc184308070"/>
      <w:bookmarkEnd w:id="187"/>
      <w:bookmarkStart w:id="188" w:name="_Toc184312118"/>
      <w:bookmarkEnd w:id="188"/>
      <w:bookmarkStart w:id="189" w:name="_Toc184314436"/>
      <w:bookmarkEnd w:id="189"/>
      <w:bookmarkStart w:id="190" w:name="_Toc184313271"/>
      <w:bookmarkEnd w:id="190"/>
      <w:bookmarkStart w:id="191" w:name="_Toc184313298"/>
      <w:bookmarkEnd w:id="191"/>
      <w:bookmarkStart w:id="192" w:name="_Toc184314428"/>
      <w:bookmarkEnd w:id="192"/>
      <w:bookmarkStart w:id="193" w:name="_Toc184312106"/>
      <w:bookmarkEnd w:id="193"/>
      <w:bookmarkStart w:id="194" w:name="_Toc184314426"/>
      <w:bookmarkEnd w:id="194"/>
      <w:bookmarkStart w:id="195" w:name="_Toc184308074"/>
      <w:bookmarkEnd w:id="195"/>
      <w:bookmarkStart w:id="196" w:name="_Toc184310341"/>
      <w:bookmarkEnd w:id="196"/>
      <w:bookmarkStart w:id="197" w:name="_Toc184314473"/>
      <w:bookmarkEnd w:id="197"/>
      <w:bookmarkStart w:id="198" w:name="_Toc184313293"/>
      <w:bookmarkEnd w:id="198"/>
      <w:bookmarkStart w:id="199" w:name="_Toc184313278"/>
      <w:bookmarkEnd w:id="199"/>
      <w:bookmarkStart w:id="200" w:name="_Toc184308078"/>
      <w:bookmarkEnd w:id="200"/>
      <w:bookmarkStart w:id="201" w:name="_Toc184314460"/>
      <w:bookmarkEnd w:id="201"/>
      <w:bookmarkStart w:id="202" w:name="_Toc184312101"/>
      <w:bookmarkEnd w:id="202"/>
      <w:bookmarkStart w:id="203" w:name="_Toc184310292"/>
      <w:bookmarkEnd w:id="203"/>
      <w:bookmarkStart w:id="204" w:name="_Toc184314452"/>
      <w:bookmarkEnd w:id="204"/>
      <w:bookmarkStart w:id="205" w:name="_Toc184310293"/>
      <w:bookmarkEnd w:id="205"/>
      <w:bookmarkStart w:id="206" w:name="_Toc184308068"/>
      <w:bookmarkEnd w:id="206"/>
      <w:bookmarkStart w:id="207" w:name="_Toc184308099"/>
      <w:bookmarkEnd w:id="207"/>
      <w:bookmarkStart w:id="208" w:name="_Toc184308101"/>
      <w:bookmarkEnd w:id="208"/>
      <w:bookmarkStart w:id="209" w:name="_Toc184314427"/>
      <w:bookmarkEnd w:id="209"/>
      <w:bookmarkStart w:id="210" w:name="_Toc184310303"/>
      <w:bookmarkEnd w:id="210"/>
      <w:bookmarkStart w:id="211" w:name="_Toc184310311"/>
      <w:bookmarkEnd w:id="211"/>
      <w:bookmarkStart w:id="212" w:name="_Toc184313251"/>
      <w:bookmarkEnd w:id="212"/>
      <w:bookmarkStart w:id="213" w:name="_Toc184310335"/>
      <w:bookmarkEnd w:id="213"/>
      <w:bookmarkStart w:id="214" w:name="_Toc184308108"/>
      <w:bookmarkEnd w:id="214"/>
      <w:bookmarkStart w:id="215" w:name="_Toc184308049"/>
      <w:bookmarkEnd w:id="215"/>
      <w:bookmarkStart w:id="216" w:name="_Toc184310290"/>
      <w:bookmarkEnd w:id="216"/>
      <w:bookmarkStart w:id="217" w:name="_Toc184314412"/>
      <w:bookmarkEnd w:id="217"/>
      <w:bookmarkStart w:id="218" w:name="_Toc184308088"/>
      <w:bookmarkEnd w:id="218"/>
      <w:bookmarkStart w:id="219" w:name="_Toc184314444"/>
      <w:bookmarkEnd w:id="219"/>
      <w:bookmarkStart w:id="220" w:name="_Toc184313252"/>
      <w:bookmarkEnd w:id="220"/>
      <w:bookmarkStart w:id="221" w:name="_Toc184308058"/>
      <w:bookmarkEnd w:id="221"/>
      <w:bookmarkStart w:id="222" w:name="_Toc184314449"/>
      <w:bookmarkEnd w:id="222"/>
      <w:bookmarkStart w:id="223" w:name="_Toc184308048"/>
      <w:bookmarkEnd w:id="223"/>
      <w:bookmarkStart w:id="224" w:name="_Toc184314466"/>
      <w:bookmarkEnd w:id="224"/>
      <w:bookmarkStart w:id="225" w:name="_Toc184310342"/>
      <w:bookmarkEnd w:id="225"/>
      <w:bookmarkStart w:id="226" w:name="_Toc184310283"/>
      <w:bookmarkEnd w:id="226"/>
      <w:bookmarkStart w:id="227" w:name="_Toc184308055"/>
      <w:bookmarkEnd w:id="227"/>
      <w:bookmarkStart w:id="228" w:name="_Toc184308089"/>
      <w:bookmarkEnd w:id="228"/>
      <w:bookmarkStart w:id="229" w:name="_Toc184314471"/>
      <w:bookmarkEnd w:id="229"/>
      <w:bookmarkStart w:id="230" w:name="_Toc184312087"/>
      <w:bookmarkEnd w:id="230"/>
      <w:bookmarkStart w:id="231" w:name="_Toc184308107"/>
      <w:bookmarkEnd w:id="231"/>
      <w:bookmarkStart w:id="232" w:name="_Toc184310316"/>
      <w:bookmarkEnd w:id="232"/>
      <w:bookmarkStart w:id="233" w:name="_Toc184308042"/>
      <w:bookmarkEnd w:id="233"/>
      <w:bookmarkStart w:id="234" w:name="_Toc184310314"/>
      <w:bookmarkEnd w:id="234"/>
      <w:bookmarkStart w:id="235" w:name="_Toc184314441"/>
      <w:bookmarkEnd w:id="235"/>
      <w:bookmarkStart w:id="236" w:name="_Toc184314475"/>
      <w:bookmarkEnd w:id="236"/>
      <w:bookmarkStart w:id="237" w:name="_Toc184313307"/>
      <w:bookmarkEnd w:id="237"/>
      <w:bookmarkStart w:id="238" w:name="_Toc184313246"/>
      <w:bookmarkEnd w:id="238"/>
      <w:bookmarkStart w:id="239" w:name="_Toc184314433"/>
      <w:bookmarkEnd w:id="239"/>
      <w:bookmarkStart w:id="240" w:name="_Toc184313253"/>
      <w:bookmarkEnd w:id="240"/>
      <w:bookmarkStart w:id="241" w:name="_Toc184310279"/>
      <w:bookmarkEnd w:id="241"/>
      <w:bookmarkStart w:id="242" w:name="_Toc184312134"/>
      <w:bookmarkEnd w:id="242"/>
      <w:bookmarkStart w:id="243" w:name="_Toc184313287"/>
      <w:bookmarkEnd w:id="243"/>
      <w:bookmarkStart w:id="244" w:name="_Toc184312139"/>
      <w:bookmarkEnd w:id="244"/>
      <w:bookmarkStart w:id="245" w:name="_Toc184314448"/>
      <w:bookmarkEnd w:id="245"/>
      <w:bookmarkStart w:id="246" w:name="_Toc184314431"/>
      <w:bookmarkEnd w:id="246"/>
      <w:bookmarkStart w:id="247" w:name="_Toc184313286"/>
      <w:bookmarkEnd w:id="247"/>
      <w:bookmarkStart w:id="248" w:name="_Toc184313292"/>
      <w:bookmarkEnd w:id="248"/>
      <w:bookmarkStart w:id="249" w:name="_Toc184308065"/>
      <w:bookmarkEnd w:id="249"/>
      <w:bookmarkStart w:id="250" w:name="_Toc184310327"/>
      <w:bookmarkEnd w:id="250"/>
      <w:bookmarkStart w:id="251" w:name="_Toc184310280"/>
      <w:bookmarkEnd w:id="251"/>
      <w:bookmarkStart w:id="252" w:name="_Toc184312132"/>
      <w:bookmarkEnd w:id="252"/>
      <w:bookmarkStart w:id="253" w:name="_Toc184308105"/>
      <w:bookmarkEnd w:id="253"/>
      <w:bookmarkStart w:id="254" w:name="_Toc184312100"/>
      <w:bookmarkEnd w:id="254"/>
      <w:bookmarkStart w:id="255" w:name="_Toc184310304"/>
      <w:bookmarkEnd w:id="255"/>
      <w:bookmarkStart w:id="256" w:name="_Toc184313247"/>
      <w:bookmarkEnd w:id="256"/>
      <w:bookmarkStart w:id="257" w:name="_Toc184312111"/>
      <w:bookmarkEnd w:id="257"/>
      <w:bookmarkStart w:id="258" w:name="_Toc184312071"/>
      <w:bookmarkEnd w:id="258"/>
      <w:bookmarkStart w:id="259" w:name="_Toc184308090"/>
      <w:bookmarkEnd w:id="259"/>
      <w:bookmarkStart w:id="260" w:name="_Toc184310317"/>
      <w:bookmarkEnd w:id="260"/>
      <w:bookmarkStart w:id="261" w:name="_Toc184312122"/>
      <w:bookmarkEnd w:id="261"/>
      <w:bookmarkStart w:id="262" w:name="_Toc184313277"/>
      <w:bookmarkEnd w:id="262"/>
      <w:bookmarkStart w:id="263" w:name="_Toc184308100"/>
      <w:bookmarkEnd w:id="263"/>
      <w:bookmarkStart w:id="264" w:name="_Toc184308093"/>
      <w:bookmarkEnd w:id="264"/>
      <w:bookmarkStart w:id="265" w:name="_Toc184314477"/>
      <w:bookmarkEnd w:id="265"/>
      <w:bookmarkStart w:id="266" w:name="_Toc184308103"/>
      <w:bookmarkEnd w:id="266"/>
      <w:bookmarkStart w:id="267" w:name="_Toc184314456"/>
      <w:bookmarkEnd w:id="267"/>
      <w:bookmarkStart w:id="268" w:name="_Toc184314410"/>
      <w:bookmarkEnd w:id="268"/>
      <w:bookmarkStart w:id="269" w:name="_Toc184310291"/>
      <w:bookmarkEnd w:id="269"/>
      <w:bookmarkStart w:id="270" w:name="_Toc184308052"/>
      <w:bookmarkEnd w:id="270"/>
      <w:bookmarkStart w:id="271" w:name="_Toc184313282"/>
      <w:bookmarkEnd w:id="271"/>
      <w:bookmarkStart w:id="272" w:name="_Toc184308062"/>
      <w:bookmarkEnd w:id="272"/>
      <w:bookmarkStart w:id="273" w:name="_Toc184312128"/>
      <w:bookmarkEnd w:id="273"/>
      <w:bookmarkStart w:id="274" w:name="_Toc184312092"/>
      <w:bookmarkEnd w:id="274"/>
      <w:bookmarkStart w:id="275" w:name="_Toc184312117"/>
      <w:bookmarkEnd w:id="275"/>
      <w:bookmarkStart w:id="276" w:name="_Toc184314472"/>
      <w:bookmarkEnd w:id="276"/>
      <w:bookmarkStart w:id="277" w:name="_Toc184312095"/>
      <w:bookmarkEnd w:id="277"/>
      <w:bookmarkStart w:id="278" w:name="_Toc184312136"/>
      <w:bookmarkEnd w:id="278"/>
      <w:bookmarkStart w:id="279" w:name="_Toc184310305"/>
      <w:bookmarkEnd w:id="279"/>
      <w:bookmarkStart w:id="280" w:name="_Toc184312090"/>
      <w:bookmarkEnd w:id="280"/>
      <w:bookmarkStart w:id="281" w:name="_Toc184308059"/>
      <w:bookmarkEnd w:id="281"/>
      <w:bookmarkStart w:id="282" w:name="_Toc184313248"/>
      <w:bookmarkEnd w:id="282"/>
      <w:bookmarkStart w:id="283" w:name="_Toc184313306"/>
      <w:bookmarkEnd w:id="283"/>
      <w:bookmarkStart w:id="284" w:name="_Toc184308056"/>
      <w:bookmarkEnd w:id="284"/>
      <w:bookmarkStart w:id="285" w:name="_Toc184314451"/>
      <w:bookmarkEnd w:id="285"/>
      <w:bookmarkStart w:id="286" w:name="_Toc184313280"/>
      <w:bookmarkEnd w:id="286"/>
      <w:bookmarkStart w:id="287" w:name="_Toc184308060"/>
      <w:bookmarkEnd w:id="287"/>
      <w:bookmarkStart w:id="288" w:name="_Toc184312093"/>
      <w:bookmarkEnd w:id="288"/>
      <w:bookmarkStart w:id="289" w:name="_Toc184313309"/>
      <w:bookmarkEnd w:id="289"/>
      <w:bookmarkStart w:id="290" w:name="_Toc184312085"/>
      <w:bookmarkEnd w:id="290"/>
      <w:bookmarkStart w:id="291" w:name="_Toc184313283"/>
      <w:bookmarkEnd w:id="291"/>
      <w:bookmarkStart w:id="292" w:name="_Toc184308069"/>
      <w:bookmarkEnd w:id="292"/>
      <w:bookmarkStart w:id="293" w:name="_Toc184310302"/>
      <w:bookmarkEnd w:id="293"/>
      <w:bookmarkStart w:id="294" w:name="_Toc184308106"/>
      <w:bookmarkEnd w:id="294"/>
      <w:bookmarkStart w:id="295" w:name="_Toc184308066"/>
      <w:bookmarkEnd w:id="295"/>
      <w:bookmarkStart w:id="296" w:name="_Toc184313268"/>
      <w:bookmarkEnd w:id="296"/>
      <w:bookmarkStart w:id="297" w:name="_Toc184308095"/>
      <w:bookmarkEnd w:id="297"/>
      <w:bookmarkStart w:id="298" w:name="_Toc184313281"/>
      <w:bookmarkEnd w:id="298"/>
      <w:bookmarkStart w:id="299" w:name="_Toc184308081"/>
      <w:bookmarkEnd w:id="299"/>
      <w:bookmarkStart w:id="300" w:name="_Toc184312084"/>
      <w:bookmarkEnd w:id="300"/>
      <w:bookmarkStart w:id="301" w:name="_Toc184314447"/>
      <w:bookmarkEnd w:id="301"/>
      <w:bookmarkStart w:id="302" w:name="_Toc184313285"/>
      <w:bookmarkEnd w:id="302"/>
      <w:bookmarkStart w:id="303" w:name="_Toc184313297"/>
      <w:bookmarkEnd w:id="303"/>
      <w:bookmarkStart w:id="304" w:name="_Toc184308044"/>
      <w:bookmarkEnd w:id="304"/>
      <w:bookmarkStart w:id="305" w:name="_Toc184312097"/>
      <w:bookmarkEnd w:id="305"/>
      <w:bookmarkStart w:id="306" w:name="_Toc184313255"/>
      <w:bookmarkEnd w:id="306"/>
      <w:bookmarkStart w:id="307" w:name="_Toc184310274"/>
      <w:bookmarkEnd w:id="307"/>
      <w:bookmarkStart w:id="308" w:name="_Toc184312127"/>
      <w:bookmarkEnd w:id="308"/>
      <w:bookmarkStart w:id="309" w:name="_Toc184312121"/>
      <w:bookmarkEnd w:id="309"/>
      <w:bookmarkStart w:id="310" w:name="_Toc184312126"/>
      <w:bookmarkEnd w:id="310"/>
      <w:bookmarkStart w:id="311" w:name="_Toc184312091"/>
      <w:bookmarkEnd w:id="311"/>
      <w:bookmarkStart w:id="312" w:name="_Toc184312131"/>
      <w:bookmarkEnd w:id="312"/>
      <w:bookmarkStart w:id="313" w:name="_Toc184314482"/>
      <w:bookmarkEnd w:id="313"/>
      <w:bookmarkStart w:id="314" w:name="_Toc184313264"/>
      <w:bookmarkEnd w:id="314"/>
      <w:bookmarkStart w:id="315" w:name="_Toc184313296"/>
      <w:bookmarkEnd w:id="315"/>
      <w:bookmarkStart w:id="316" w:name="_Toc184312083"/>
      <w:bookmarkEnd w:id="316"/>
      <w:bookmarkStart w:id="317" w:name="_Toc184312081"/>
      <w:bookmarkEnd w:id="317"/>
      <w:bookmarkStart w:id="318" w:name="_Toc184308084"/>
      <w:bookmarkEnd w:id="318"/>
      <w:bookmarkStart w:id="319" w:name="_Toc184314481"/>
      <w:bookmarkEnd w:id="319"/>
      <w:bookmarkStart w:id="320" w:name="_Toc184308072"/>
      <w:bookmarkEnd w:id="320"/>
      <w:bookmarkStart w:id="321" w:name="_Toc184313270"/>
      <w:bookmarkEnd w:id="321"/>
      <w:bookmarkStart w:id="322" w:name="_Toc184313305"/>
      <w:bookmarkEnd w:id="322"/>
      <w:bookmarkStart w:id="323" w:name="_Toc184308053"/>
      <w:bookmarkEnd w:id="323"/>
      <w:bookmarkStart w:id="324" w:name="_Toc184312078"/>
      <w:bookmarkEnd w:id="324"/>
      <w:bookmarkStart w:id="325" w:name="_Toc184310330"/>
      <w:bookmarkEnd w:id="325"/>
      <w:bookmarkStart w:id="326" w:name="_Toc184314424"/>
      <w:bookmarkEnd w:id="326"/>
      <w:bookmarkStart w:id="327" w:name="_Toc184314422"/>
      <w:bookmarkEnd w:id="327"/>
      <w:bookmarkStart w:id="328" w:name="_Toc184310307"/>
      <w:bookmarkEnd w:id="328"/>
      <w:bookmarkStart w:id="329" w:name="_Toc184313249"/>
      <w:bookmarkEnd w:id="329"/>
      <w:bookmarkStart w:id="330" w:name="_Toc184314478"/>
      <w:bookmarkEnd w:id="330"/>
      <w:bookmarkStart w:id="331" w:name="_Toc184313259"/>
      <w:bookmarkEnd w:id="331"/>
      <w:bookmarkStart w:id="332" w:name="_Toc184308094"/>
      <w:bookmarkEnd w:id="332"/>
      <w:bookmarkStart w:id="333" w:name="_Toc184313267"/>
      <w:bookmarkEnd w:id="333"/>
      <w:bookmarkStart w:id="334" w:name="_Toc184308076"/>
      <w:bookmarkEnd w:id="334"/>
      <w:bookmarkStart w:id="335" w:name="_Toc184308067"/>
      <w:bookmarkEnd w:id="335"/>
      <w:bookmarkStart w:id="336" w:name="_Toc184313273"/>
      <w:bookmarkEnd w:id="336"/>
      <w:bookmarkStart w:id="337" w:name="_Toc184310320"/>
      <w:bookmarkEnd w:id="337"/>
      <w:bookmarkStart w:id="338" w:name="_Toc184313256"/>
      <w:bookmarkEnd w:id="338"/>
      <w:bookmarkStart w:id="339" w:name="_Toc184310296"/>
      <w:bookmarkEnd w:id="339"/>
      <w:bookmarkStart w:id="340" w:name="_Toc184310343"/>
      <w:bookmarkEnd w:id="340"/>
      <w:bookmarkStart w:id="341" w:name="_Toc184313274"/>
      <w:bookmarkEnd w:id="341"/>
      <w:bookmarkStart w:id="342" w:name="_Toc184312082"/>
      <w:bookmarkEnd w:id="342"/>
      <w:bookmarkStart w:id="343" w:name="_Toc184308061"/>
      <w:bookmarkEnd w:id="343"/>
      <w:bookmarkStart w:id="344" w:name="_Toc184308045"/>
      <w:bookmarkEnd w:id="344"/>
      <w:bookmarkStart w:id="345" w:name="_Toc184313250"/>
      <w:bookmarkEnd w:id="345"/>
      <w:bookmarkStart w:id="346" w:name="_Toc184314458"/>
      <w:bookmarkEnd w:id="346"/>
      <w:bookmarkStart w:id="347" w:name="_Toc184310287"/>
      <w:bookmarkEnd w:id="347"/>
      <w:bookmarkStart w:id="348" w:name="_Toc184314415"/>
      <w:bookmarkEnd w:id="348"/>
      <w:bookmarkStart w:id="349" w:name="_Toc184308087"/>
      <w:bookmarkEnd w:id="349"/>
      <w:bookmarkStart w:id="350" w:name="_Toc184313299"/>
      <w:bookmarkEnd w:id="350"/>
      <w:bookmarkStart w:id="351" w:name="_Toc184313275"/>
      <w:bookmarkEnd w:id="351"/>
      <w:bookmarkStart w:id="352" w:name="_Toc184313272"/>
      <w:bookmarkEnd w:id="352"/>
      <w:bookmarkStart w:id="353" w:name="_Toc184310322"/>
      <w:bookmarkEnd w:id="353"/>
      <w:bookmarkStart w:id="354" w:name="_Toc184313279"/>
      <w:bookmarkEnd w:id="354"/>
      <w:bookmarkStart w:id="355" w:name="_Toc184314445"/>
      <w:bookmarkEnd w:id="355"/>
      <w:bookmarkStart w:id="356" w:name="_Toc184314455"/>
      <w:bookmarkEnd w:id="356"/>
      <w:bookmarkStart w:id="357" w:name="_Toc184310334"/>
      <w:bookmarkEnd w:id="357"/>
      <w:bookmarkStart w:id="358" w:name="_Toc184310308"/>
      <w:bookmarkEnd w:id="358"/>
      <w:bookmarkStart w:id="359" w:name="_Toc184312115"/>
      <w:bookmarkEnd w:id="359"/>
      <w:bookmarkStart w:id="360" w:name="_Toc184314413"/>
      <w:bookmarkEnd w:id="360"/>
      <w:bookmarkStart w:id="361" w:name="_Toc184314459"/>
      <w:bookmarkEnd w:id="361"/>
      <w:bookmarkStart w:id="362" w:name="_Toc184308040"/>
      <w:bookmarkEnd w:id="362"/>
      <w:bookmarkStart w:id="363" w:name="_Toc184313284"/>
      <w:bookmarkEnd w:id="363"/>
      <w:bookmarkStart w:id="364" w:name="_Toc184313257"/>
      <w:bookmarkEnd w:id="364"/>
      <w:bookmarkStart w:id="365" w:name="_Toc184313303"/>
      <w:bookmarkEnd w:id="365"/>
      <w:bookmarkStart w:id="366" w:name="_Toc184313294"/>
      <w:bookmarkEnd w:id="366"/>
      <w:bookmarkStart w:id="367" w:name="_Toc184310286"/>
      <w:bookmarkEnd w:id="367"/>
      <w:bookmarkStart w:id="368" w:name="_Toc184314417"/>
      <w:bookmarkEnd w:id="368"/>
      <w:bookmarkStart w:id="369" w:name="_Toc184312074"/>
      <w:bookmarkEnd w:id="369"/>
      <w:bookmarkStart w:id="370" w:name="_Toc184314440"/>
      <w:bookmarkEnd w:id="370"/>
      <w:bookmarkStart w:id="371" w:name="_Toc184312113"/>
      <w:bookmarkEnd w:id="371"/>
      <w:bookmarkStart w:id="372" w:name="_Toc184313238"/>
      <w:bookmarkEnd w:id="372"/>
      <w:bookmarkStart w:id="373" w:name="_Toc184312125"/>
      <w:bookmarkEnd w:id="373"/>
      <w:bookmarkStart w:id="374" w:name="_Toc184314462"/>
      <w:bookmarkEnd w:id="374"/>
      <w:bookmarkStart w:id="375" w:name="_Toc184314437"/>
      <w:bookmarkEnd w:id="375"/>
      <w:bookmarkStart w:id="376" w:name="_Toc184310282"/>
      <w:bookmarkEnd w:id="376"/>
      <w:bookmarkStart w:id="377" w:name="_Toc184312137"/>
      <w:bookmarkEnd w:id="377"/>
      <w:bookmarkStart w:id="378" w:name="_Toc184308080"/>
      <w:bookmarkEnd w:id="378"/>
      <w:bookmarkStart w:id="379" w:name="_Toc184312133"/>
      <w:bookmarkEnd w:id="379"/>
      <w:bookmarkStart w:id="380" w:name="_Toc184312079"/>
      <w:bookmarkEnd w:id="380"/>
      <w:bookmarkStart w:id="381" w:name="_Toc184312069"/>
      <w:bookmarkEnd w:id="381"/>
      <w:bookmarkStart w:id="382" w:name="_Toc184310319"/>
      <w:bookmarkEnd w:id="382"/>
      <w:bookmarkStart w:id="383" w:name="_Toc184313241"/>
      <w:bookmarkEnd w:id="383"/>
      <w:bookmarkStart w:id="384" w:name="_Toc184312076"/>
      <w:bookmarkEnd w:id="384"/>
      <w:bookmarkStart w:id="385" w:name="_Toc184310328"/>
      <w:bookmarkEnd w:id="385"/>
      <w:bookmarkStart w:id="386" w:name="_Toc184313276"/>
      <w:bookmarkEnd w:id="386"/>
      <w:bookmarkStart w:id="387" w:name="_Toc184310332"/>
      <w:bookmarkEnd w:id="387"/>
      <w:bookmarkStart w:id="388" w:name="_Toc184308083"/>
      <w:bookmarkEnd w:id="388"/>
      <w:bookmarkStart w:id="389" w:name="_Toc184314474"/>
      <w:bookmarkEnd w:id="389"/>
      <w:bookmarkStart w:id="390" w:name="_Toc184310281"/>
      <w:bookmarkEnd w:id="390"/>
      <w:bookmarkStart w:id="391" w:name="_Toc184312110"/>
      <w:bookmarkEnd w:id="391"/>
      <w:bookmarkStart w:id="392" w:name="_Toc184310272"/>
      <w:bookmarkEnd w:id="392"/>
      <w:bookmarkStart w:id="393" w:name="_Toc184310275"/>
      <w:bookmarkEnd w:id="393"/>
      <w:bookmarkStart w:id="394" w:name="_Toc184314465"/>
      <w:bookmarkEnd w:id="394"/>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10573" w:type="dxa"/>
        <w:tblInd w:w="-9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6694"/>
        <w:gridCol w:w="573"/>
        <w:gridCol w:w="933"/>
        <w:gridCol w:w="1867"/>
      </w:tblGrid>
      <w:tr w14:paraId="7831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14:paraId="10C7BF13">
            <w:pPr>
              <w:snapToGrid w:val="0"/>
              <w:spacing w:line="360" w:lineRule="auto"/>
              <w:jc w:val="center"/>
              <w:rPr>
                <w:rFonts w:cs="仿宋_GB2312" w:asciiTheme="minorEastAsia" w:hAnsiTheme="minorEastAsia" w:eastAsiaTheme="minorEastAsia"/>
                <w:color w:val="auto"/>
                <w:sz w:val="24"/>
                <w:highlight w:val="none"/>
              </w:rPr>
            </w:pPr>
            <w:bookmarkStart w:id="521" w:name="_GoBack"/>
            <w:r>
              <w:rPr>
                <w:rFonts w:hint="eastAsia" w:cs="仿宋_GB2312" w:asciiTheme="minorEastAsia" w:hAnsiTheme="minorEastAsia" w:eastAsiaTheme="minorEastAsia"/>
                <w:color w:val="auto"/>
                <w:sz w:val="24"/>
                <w:highlight w:val="none"/>
              </w:rPr>
              <w:t>序号</w:t>
            </w:r>
          </w:p>
        </w:tc>
        <w:tc>
          <w:tcPr>
            <w:tcW w:w="6694" w:type="dxa"/>
            <w:vAlign w:val="center"/>
          </w:tcPr>
          <w:p w14:paraId="7623FBD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573" w:type="dxa"/>
            <w:vAlign w:val="center"/>
          </w:tcPr>
          <w:p w14:paraId="449D912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933" w:type="dxa"/>
            <w:vAlign w:val="center"/>
          </w:tcPr>
          <w:p w14:paraId="18E86A03">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867" w:type="dxa"/>
          </w:tcPr>
          <w:p w14:paraId="5537C6F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3F64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506" w:type="dxa"/>
            <w:vAlign w:val="center"/>
          </w:tcPr>
          <w:p w14:paraId="3B223BD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6694" w:type="dxa"/>
            <w:vAlign w:val="center"/>
          </w:tcPr>
          <w:p w14:paraId="2F5188CF">
            <w:pPr>
              <w:snapToGrid w:val="0"/>
              <w:spacing w:line="360" w:lineRule="auto"/>
              <w:jc w:val="both"/>
              <w:rPr>
                <w:rFonts w:cs="仿宋_GB2312" w:asciiTheme="minorEastAsia" w:hAnsiTheme="minorEastAsia" w:eastAsiaTheme="minorEastAsia"/>
                <w:color w:val="auto"/>
                <w:sz w:val="24"/>
                <w:highlight w:val="none"/>
              </w:rPr>
            </w:pPr>
            <w:r>
              <w:rPr>
                <w:rFonts w:hint="eastAsia" w:ascii="宋体" w:hAnsi="宋体" w:cs="仿宋_GB2312"/>
                <w:color w:val="auto"/>
                <w:sz w:val="24"/>
                <w:highlight w:val="none"/>
              </w:rPr>
              <w:t>自202</w:t>
            </w: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年1月1日以来（以合同签订时间为准），投标人承担过类似信息化服务项目的，每提供一份得0.5分，最多得1分，须提供合同扫描件或复印件加盖公章。</w:t>
            </w:r>
          </w:p>
        </w:tc>
        <w:tc>
          <w:tcPr>
            <w:tcW w:w="573" w:type="dxa"/>
            <w:vAlign w:val="center"/>
          </w:tcPr>
          <w:p w14:paraId="6F13E1CD">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w:t>
            </w:r>
          </w:p>
        </w:tc>
        <w:tc>
          <w:tcPr>
            <w:tcW w:w="933" w:type="dxa"/>
            <w:vAlign w:val="center"/>
          </w:tcPr>
          <w:p w14:paraId="3574C94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867" w:type="dxa"/>
          </w:tcPr>
          <w:p w14:paraId="675EC9F2">
            <w:pPr>
              <w:snapToGrid w:val="0"/>
              <w:spacing w:line="360" w:lineRule="auto"/>
              <w:jc w:val="center"/>
              <w:rPr>
                <w:rFonts w:cs="仿宋_GB2312" w:asciiTheme="minorEastAsia" w:hAnsiTheme="minorEastAsia" w:eastAsiaTheme="minorEastAsia"/>
                <w:color w:val="auto"/>
                <w:sz w:val="24"/>
                <w:highlight w:val="none"/>
              </w:rPr>
            </w:pPr>
          </w:p>
        </w:tc>
      </w:tr>
      <w:tr w14:paraId="7FF3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1" w:hRule="atLeast"/>
        </w:trPr>
        <w:tc>
          <w:tcPr>
            <w:tcW w:w="506" w:type="dxa"/>
            <w:vAlign w:val="center"/>
          </w:tcPr>
          <w:p w14:paraId="6CECBE5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6694" w:type="dxa"/>
            <w:vAlign w:val="center"/>
          </w:tcPr>
          <w:p w14:paraId="684852A1">
            <w:pPr>
              <w:snapToGrid w:val="0"/>
              <w:spacing w:line="360" w:lineRule="auto"/>
              <w:jc w:val="both"/>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企业证书：</w:t>
            </w:r>
          </w:p>
          <w:p w14:paraId="5279D167">
            <w:pPr>
              <w:snapToGrid w:val="0"/>
              <w:spacing w:line="360" w:lineRule="auto"/>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1）投标人具有信息安全管理体系证书的得</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分，没有不得分；</w:t>
            </w:r>
          </w:p>
          <w:p w14:paraId="5C987ACB">
            <w:pPr>
              <w:snapToGrid w:val="0"/>
              <w:spacing w:line="360" w:lineRule="auto"/>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2）投标人具有信息技术服务管理体系证书的得</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分，没有不得分；</w:t>
            </w:r>
          </w:p>
          <w:p w14:paraId="2CBE36F7">
            <w:pPr>
              <w:snapToGrid w:val="0"/>
              <w:spacing w:line="360" w:lineRule="auto"/>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3）投标人具有质量管理体系证书的得</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分，没有不得分；</w:t>
            </w:r>
          </w:p>
          <w:p w14:paraId="7D0C9B26">
            <w:pPr>
              <w:snapToGrid w:val="0"/>
              <w:spacing w:line="360" w:lineRule="auto"/>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4）投标人具有环境管理体系证书的得</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分，没有不得分；</w:t>
            </w:r>
          </w:p>
          <w:p w14:paraId="3E5FA807">
            <w:pPr>
              <w:snapToGrid w:val="0"/>
              <w:spacing w:line="360" w:lineRule="auto"/>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5）投标人具有职业健康安全管理体系证书的得</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分，没有不得分；</w:t>
            </w:r>
          </w:p>
          <w:p w14:paraId="7968F10A">
            <w:pPr>
              <w:snapToGrid w:val="0"/>
              <w:spacing w:line="360" w:lineRule="auto"/>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注：投标文件中提供有效期内的相关证书扫描件并加盖公章，否则不得分。</w:t>
            </w:r>
          </w:p>
        </w:tc>
        <w:tc>
          <w:tcPr>
            <w:tcW w:w="573" w:type="dxa"/>
            <w:vAlign w:val="center"/>
          </w:tcPr>
          <w:p w14:paraId="5DE0D3B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5</w:t>
            </w:r>
          </w:p>
        </w:tc>
        <w:tc>
          <w:tcPr>
            <w:tcW w:w="933" w:type="dxa"/>
            <w:vAlign w:val="center"/>
          </w:tcPr>
          <w:p w14:paraId="5FFB9F5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867" w:type="dxa"/>
          </w:tcPr>
          <w:p w14:paraId="515E1610">
            <w:pPr>
              <w:snapToGrid w:val="0"/>
              <w:spacing w:line="360" w:lineRule="auto"/>
              <w:jc w:val="center"/>
              <w:rPr>
                <w:rFonts w:cs="仿宋_GB2312" w:asciiTheme="minorEastAsia" w:hAnsiTheme="minorEastAsia" w:eastAsiaTheme="minorEastAsia"/>
                <w:color w:val="auto"/>
                <w:sz w:val="24"/>
                <w:highlight w:val="none"/>
              </w:rPr>
            </w:pPr>
          </w:p>
        </w:tc>
      </w:tr>
      <w:tr w14:paraId="3BDA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506" w:type="dxa"/>
            <w:vAlign w:val="center"/>
          </w:tcPr>
          <w:p w14:paraId="4DB42AB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6694" w:type="dxa"/>
            <w:vAlign w:val="center"/>
          </w:tcPr>
          <w:p w14:paraId="3D23D4EE">
            <w:pPr>
              <w:snapToGrid w:val="0"/>
              <w:spacing w:line="360" w:lineRule="auto"/>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投标人提供的服务内容与需求的吻合程度；根据招标文件要求，投标人提供的服务内容的基本内容、相关指标与需求的吻合程度和偏差情况，</w:t>
            </w:r>
            <w:r>
              <w:rPr>
                <w:rFonts w:hint="eastAsia" w:cs="仿宋_GB2312" w:asciiTheme="minorEastAsia" w:hAnsiTheme="minorEastAsia" w:eastAsiaTheme="minorEastAsia"/>
                <w:color w:val="auto"/>
                <w:sz w:val="24"/>
                <w:highlight w:val="none"/>
                <w:lang w:val="en-US" w:eastAsia="zh-CN"/>
              </w:rPr>
              <w:t>全部满足得18分</w:t>
            </w:r>
            <w:r>
              <w:rPr>
                <w:rFonts w:hint="eastAsia" w:cs="仿宋_GB2312" w:asciiTheme="minorEastAsia" w:hAnsiTheme="minorEastAsia" w:eastAsiaTheme="minorEastAsia"/>
                <w:color w:val="auto"/>
                <w:sz w:val="24"/>
                <w:highlight w:val="none"/>
              </w:rPr>
              <w:t>。带“◆”的性能不具备或负偏离的每项扣</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rPr>
              <w:t>分，不带“◆”的性能不具备或负偏离的每项扣</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分，扣完为止。</w:t>
            </w:r>
          </w:p>
        </w:tc>
        <w:tc>
          <w:tcPr>
            <w:tcW w:w="573" w:type="dxa"/>
            <w:vAlign w:val="center"/>
          </w:tcPr>
          <w:p w14:paraId="5F0F080A">
            <w:pPr>
              <w:snapToGrid w:val="0"/>
              <w:spacing w:line="360" w:lineRule="auto"/>
              <w:jc w:val="center"/>
              <w:rPr>
                <w:rFonts w:hint="default" w:cs="仿宋_GB2312" w:asciiTheme="minorEastAsia" w:hAnsiTheme="minorEastAsia" w:eastAsiaTheme="minorEastAsia"/>
                <w:color w:val="auto"/>
                <w:sz w:val="24"/>
                <w:highlight w:val="none"/>
                <w:lang w:val="en-US"/>
              </w:rPr>
            </w:pPr>
            <w:r>
              <w:rPr>
                <w:rFonts w:hint="eastAsia" w:cs="仿宋_GB2312" w:asciiTheme="minorEastAsia" w:hAnsiTheme="minorEastAsia" w:eastAsiaTheme="minorEastAsia"/>
                <w:color w:val="auto"/>
                <w:sz w:val="24"/>
                <w:highlight w:val="none"/>
                <w:lang w:val="en-US" w:eastAsia="zh-CN"/>
              </w:rPr>
              <w:t>18</w:t>
            </w:r>
          </w:p>
        </w:tc>
        <w:tc>
          <w:tcPr>
            <w:tcW w:w="933" w:type="dxa"/>
            <w:vAlign w:val="center"/>
          </w:tcPr>
          <w:p w14:paraId="0210B7E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867" w:type="dxa"/>
          </w:tcPr>
          <w:p w14:paraId="52FCD0C4">
            <w:pPr>
              <w:snapToGrid w:val="0"/>
              <w:spacing w:line="360" w:lineRule="auto"/>
              <w:jc w:val="center"/>
              <w:rPr>
                <w:rFonts w:cs="仿宋_GB2312" w:asciiTheme="minorEastAsia" w:hAnsiTheme="minorEastAsia" w:eastAsiaTheme="minorEastAsia"/>
                <w:color w:val="auto"/>
                <w:sz w:val="24"/>
                <w:highlight w:val="none"/>
              </w:rPr>
            </w:pPr>
          </w:p>
        </w:tc>
      </w:tr>
      <w:tr w14:paraId="2264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14:paraId="67AD54BA">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6694" w:type="dxa"/>
            <w:vAlign w:val="center"/>
          </w:tcPr>
          <w:p w14:paraId="61F00407">
            <w:pPr>
              <w:numPr>
                <w:ilvl w:val="0"/>
                <w:numId w:val="3"/>
              </w:numPr>
              <w:snapToGrid w:val="0"/>
              <w:spacing w:line="360" w:lineRule="auto"/>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人员配备合理，对项目的人员配置情况符合采购需求；安排参与项目的专业人员素质、技术能力、专业分布、经验情况</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根据提供内容的完整性、针对性进行打分。（得分：5、4、3、2、1、0）</w:t>
            </w:r>
          </w:p>
          <w:p w14:paraId="62E3F73D">
            <w:pPr>
              <w:numPr>
                <w:ilvl w:val="0"/>
                <w:numId w:val="3"/>
              </w:numPr>
              <w:snapToGrid w:val="0"/>
              <w:spacing w:line="360" w:lineRule="auto"/>
              <w:jc w:val="both"/>
              <w:rPr>
                <w:rFonts w:hint="eastAsia" w:ascii="宋体" w:hAnsi="宋体" w:eastAsia="宋体" w:cs="仿宋"/>
                <w:color w:val="auto"/>
                <w:kern w:val="0"/>
                <w:sz w:val="24"/>
                <w:szCs w:val="24"/>
                <w:highlight w:val="none"/>
                <w:lang w:val="en-US" w:eastAsia="zh-CN"/>
              </w:rPr>
            </w:pPr>
            <w:r>
              <w:rPr>
                <w:rFonts w:hint="eastAsia" w:ascii="宋体" w:hAnsi="宋体" w:eastAsia="宋体" w:cs="仿宋"/>
                <w:color w:val="auto"/>
                <w:kern w:val="0"/>
                <w:sz w:val="24"/>
                <w:szCs w:val="24"/>
                <w:highlight w:val="none"/>
                <w:lang w:val="en-US" w:eastAsia="zh-CN"/>
              </w:rPr>
              <w:t>拟投入项目经理具有软件工程师和数据库工程师证书，每提供一个得</w:t>
            </w:r>
            <w:r>
              <w:rPr>
                <w:rFonts w:hint="eastAsia" w:ascii="宋体" w:hAnsi="宋体" w:cs="仿宋"/>
                <w:color w:val="auto"/>
                <w:kern w:val="0"/>
                <w:sz w:val="24"/>
                <w:szCs w:val="24"/>
                <w:highlight w:val="none"/>
                <w:lang w:val="en-US" w:eastAsia="zh-CN"/>
              </w:rPr>
              <w:t>2</w:t>
            </w:r>
            <w:r>
              <w:rPr>
                <w:rFonts w:hint="eastAsia" w:ascii="宋体" w:hAnsi="宋体" w:eastAsia="宋体" w:cs="仿宋"/>
                <w:color w:val="auto"/>
                <w:kern w:val="0"/>
                <w:sz w:val="24"/>
                <w:szCs w:val="24"/>
                <w:highlight w:val="none"/>
                <w:lang w:val="en-US" w:eastAsia="zh-CN"/>
              </w:rPr>
              <w:t>分，最高得</w:t>
            </w:r>
            <w:r>
              <w:rPr>
                <w:rFonts w:hint="eastAsia" w:ascii="宋体" w:hAnsi="宋体" w:cs="仿宋"/>
                <w:color w:val="auto"/>
                <w:kern w:val="0"/>
                <w:sz w:val="24"/>
                <w:szCs w:val="24"/>
                <w:highlight w:val="none"/>
                <w:lang w:val="en-US" w:eastAsia="zh-CN"/>
              </w:rPr>
              <w:t>4</w:t>
            </w:r>
            <w:r>
              <w:rPr>
                <w:rFonts w:hint="eastAsia" w:ascii="宋体" w:hAnsi="宋体" w:eastAsia="宋体" w:cs="仿宋"/>
                <w:color w:val="auto"/>
                <w:kern w:val="0"/>
                <w:sz w:val="24"/>
                <w:szCs w:val="24"/>
                <w:highlight w:val="none"/>
                <w:lang w:val="en-US" w:eastAsia="zh-CN"/>
              </w:rPr>
              <w:t>分；</w:t>
            </w:r>
          </w:p>
          <w:p w14:paraId="52A36EB5">
            <w:pPr>
              <w:snapToGrid w:val="0"/>
              <w:spacing w:line="360" w:lineRule="auto"/>
              <w:jc w:val="both"/>
              <w:rPr>
                <w:rFonts w:hint="default" w:ascii="宋体" w:hAnsi="宋体" w:eastAsia="宋体" w:cs="仿宋"/>
                <w:color w:val="auto"/>
                <w:kern w:val="0"/>
                <w:sz w:val="24"/>
                <w:szCs w:val="24"/>
                <w:highlight w:val="none"/>
                <w:lang w:val="en-US" w:eastAsia="zh-CN"/>
              </w:rPr>
            </w:pPr>
            <w:r>
              <w:rPr>
                <w:rFonts w:hint="eastAsia" w:ascii="宋体" w:hAnsi="宋体" w:eastAsia="宋体" w:cs="仿宋"/>
                <w:color w:val="auto"/>
                <w:kern w:val="0"/>
                <w:sz w:val="24"/>
                <w:szCs w:val="24"/>
                <w:highlight w:val="none"/>
                <w:lang w:val="en-US" w:eastAsia="zh-CN"/>
              </w:rPr>
              <w:t>3、拟投入项目团队人员中具有网络信息安全工程师</w:t>
            </w:r>
            <w:r>
              <w:rPr>
                <w:rFonts w:hint="eastAsia" w:ascii="宋体" w:hAnsi="宋体" w:cs="仿宋"/>
                <w:color w:val="auto"/>
                <w:kern w:val="0"/>
                <w:sz w:val="24"/>
                <w:szCs w:val="24"/>
                <w:highlight w:val="none"/>
                <w:lang w:val="en-US" w:eastAsia="zh-CN"/>
              </w:rPr>
              <w:t>证书，每提供一个得2分，最高得4分；</w:t>
            </w:r>
          </w:p>
          <w:p w14:paraId="69601E96">
            <w:pPr>
              <w:snapToGrid w:val="0"/>
              <w:spacing w:line="360" w:lineRule="auto"/>
              <w:jc w:val="both"/>
              <w:rPr>
                <w:rFonts w:hint="eastAsia" w:ascii="宋体" w:hAnsi="宋体" w:eastAsia="宋体" w:cs="仿宋"/>
                <w:color w:val="auto"/>
                <w:kern w:val="0"/>
                <w:sz w:val="24"/>
                <w:szCs w:val="24"/>
                <w:highlight w:val="none"/>
                <w:lang w:val="en-US" w:eastAsia="zh-CN"/>
              </w:rPr>
            </w:pPr>
            <w:r>
              <w:rPr>
                <w:rFonts w:hint="eastAsia" w:ascii="宋体" w:hAnsi="宋体" w:cs="仿宋"/>
                <w:color w:val="auto"/>
                <w:kern w:val="0"/>
                <w:sz w:val="24"/>
                <w:szCs w:val="24"/>
                <w:highlight w:val="none"/>
                <w:lang w:val="en-US" w:eastAsia="zh-CN"/>
              </w:rPr>
              <w:t>4、</w:t>
            </w:r>
            <w:r>
              <w:rPr>
                <w:rFonts w:hint="eastAsia" w:ascii="宋体" w:hAnsi="宋体" w:eastAsia="宋体" w:cs="仿宋"/>
                <w:color w:val="auto"/>
                <w:kern w:val="0"/>
                <w:sz w:val="24"/>
                <w:szCs w:val="24"/>
                <w:highlight w:val="none"/>
                <w:lang w:val="en-US" w:eastAsia="zh-CN"/>
              </w:rPr>
              <w:t>拟投入项目团队人员中具有本科及以上学历的每个得1分，最多得3分。</w:t>
            </w:r>
          </w:p>
          <w:p w14:paraId="187B85DF">
            <w:pPr>
              <w:snapToGrid w:val="0"/>
              <w:spacing w:line="360" w:lineRule="auto"/>
              <w:jc w:val="both"/>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lang w:val="en-US" w:eastAsia="zh-CN"/>
              </w:rPr>
              <w:t>（注：提供相关证书复印件或扫描件加盖公章，并提供投标人为其缴纳近一个月</w:t>
            </w:r>
            <w:r>
              <w:rPr>
                <w:rFonts w:hint="eastAsia" w:ascii="宋体" w:hAnsi="宋体" w:cs="仿宋"/>
                <w:color w:val="auto"/>
                <w:kern w:val="0"/>
                <w:sz w:val="24"/>
                <w:szCs w:val="24"/>
                <w:highlight w:val="none"/>
                <w:lang w:val="en-US" w:eastAsia="zh-CN"/>
              </w:rPr>
              <w:t>及</w:t>
            </w:r>
            <w:r>
              <w:rPr>
                <w:rFonts w:hint="eastAsia" w:ascii="宋体" w:hAnsi="宋体" w:eastAsia="宋体" w:cs="仿宋"/>
                <w:color w:val="auto"/>
                <w:kern w:val="0"/>
                <w:sz w:val="24"/>
                <w:szCs w:val="24"/>
                <w:highlight w:val="none"/>
                <w:lang w:val="en-US" w:eastAsia="zh-CN"/>
              </w:rPr>
              <w:t>以上的社保证明。）</w:t>
            </w:r>
          </w:p>
        </w:tc>
        <w:tc>
          <w:tcPr>
            <w:tcW w:w="573" w:type="dxa"/>
            <w:vAlign w:val="center"/>
          </w:tcPr>
          <w:p w14:paraId="1301CB47">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16</w:t>
            </w:r>
          </w:p>
        </w:tc>
        <w:tc>
          <w:tcPr>
            <w:tcW w:w="933" w:type="dxa"/>
            <w:shd w:val="clear" w:color="auto" w:fill="auto"/>
            <w:vAlign w:val="center"/>
          </w:tcPr>
          <w:p w14:paraId="2BA00C68">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主观分/客观分</w:t>
            </w:r>
          </w:p>
        </w:tc>
        <w:tc>
          <w:tcPr>
            <w:tcW w:w="1867" w:type="dxa"/>
          </w:tcPr>
          <w:p w14:paraId="1E01F48B">
            <w:pPr>
              <w:snapToGrid w:val="0"/>
              <w:spacing w:line="360" w:lineRule="auto"/>
              <w:jc w:val="center"/>
              <w:rPr>
                <w:rFonts w:cs="仿宋_GB2312" w:asciiTheme="minorEastAsia" w:hAnsiTheme="minorEastAsia" w:eastAsiaTheme="minorEastAsia"/>
                <w:color w:val="auto"/>
                <w:sz w:val="24"/>
                <w:highlight w:val="none"/>
              </w:rPr>
            </w:pPr>
          </w:p>
        </w:tc>
      </w:tr>
      <w:tr w14:paraId="2E3D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14:paraId="7653EA6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5</w:t>
            </w:r>
          </w:p>
        </w:tc>
        <w:tc>
          <w:tcPr>
            <w:tcW w:w="6694" w:type="dxa"/>
            <w:vAlign w:val="center"/>
          </w:tcPr>
          <w:p w14:paraId="05B9300A">
            <w:pPr>
              <w:snapToGrid w:val="0"/>
              <w:spacing w:line="360" w:lineRule="auto"/>
              <w:jc w:val="both"/>
              <w:rPr>
                <w:rFonts w:hint="default" w:eastAsia="宋体" w:cs="仿宋_GB2312" w:asciiTheme="minorEastAsia" w:hAnsiTheme="minorEastAsia"/>
                <w:color w:val="auto"/>
                <w:sz w:val="24"/>
                <w:highlight w:val="none"/>
                <w:lang w:val="en-US" w:eastAsia="zh-CN"/>
              </w:rPr>
            </w:pPr>
            <w:r>
              <w:rPr>
                <w:rFonts w:hint="eastAsia" w:ascii="宋体" w:hAnsi="宋体" w:eastAsia="宋体" w:cs="仿宋"/>
                <w:color w:val="auto"/>
                <w:kern w:val="0"/>
                <w:sz w:val="24"/>
                <w:szCs w:val="24"/>
                <w:highlight w:val="none"/>
              </w:rPr>
              <w:t>投标人对临平区数据资源管理局视频会议运维保障服务项目</w:t>
            </w:r>
            <w:r>
              <w:rPr>
                <w:rFonts w:hint="eastAsia" w:cs="仿宋"/>
                <w:color w:val="auto"/>
                <w:kern w:val="0"/>
                <w:sz w:val="24"/>
                <w:szCs w:val="24"/>
                <w:highlight w:val="none"/>
                <w:lang w:val="en-US" w:eastAsia="zh-CN"/>
              </w:rPr>
              <w:t>的背景的了解、分析</w:t>
            </w:r>
            <w:r>
              <w:rPr>
                <w:rFonts w:hint="eastAsia" w:ascii="宋体" w:hAnsi="宋体" w:eastAsia="宋体" w:cs="仿宋"/>
                <w:color w:val="auto"/>
                <w:kern w:val="0"/>
                <w:sz w:val="24"/>
                <w:szCs w:val="24"/>
                <w:highlight w:val="none"/>
              </w:rPr>
              <w:t>情况</w:t>
            </w:r>
            <w:r>
              <w:rPr>
                <w:rFonts w:hint="eastAsia" w:ascii="宋体" w:hAnsi="宋体" w:eastAsia="宋体" w:cs="仿宋"/>
                <w:color w:val="auto"/>
                <w:kern w:val="0"/>
                <w:sz w:val="24"/>
                <w:szCs w:val="24"/>
                <w:highlight w:val="none"/>
                <w:lang w:eastAsia="zh-CN"/>
              </w:rPr>
              <w:t>，</w:t>
            </w:r>
            <w:r>
              <w:rPr>
                <w:rFonts w:hint="eastAsia" w:ascii="宋体" w:hAnsi="宋体" w:eastAsia="宋体" w:cs="仿宋"/>
                <w:color w:val="auto"/>
                <w:kern w:val="0"/>
                <w:sz w:val="24"/>
                <w:szCs w:val="24"/>
                <w:highlight w:val="none"/>
                <w:lang w:val="en-US" w:eastAsia="zh-CN"/>
              </w:rPr>
              <w:t>根据提供内容的完整性、针对性进行打分。（得分：5、4、3、2、1、0）</w:t>
            </w:r>
          </w:p>
        </w:tc>
        <w:tc>
          <w:tcPr>
            <w:tcW w:w="573" w:type="dxa"/>
            <w:vAlign w:val="center"/>
          </w:tcPr>
          <w:p w14:paraId="111D4899">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933" w:type="dxa"/>
            <w:vAlign w:val="center"/>
          </w:tcPr>
          <w:p w14:paraId="2CC2A968">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867" w:type="dxa"/>
          </w:tcPr>
          <w:p w14:paraId="7845198A">
            <w:pPr>
              <w:snapToGrid w:val="0"/>
              <w:spacing w:line="360" w:lineRule="auto"/>
              <w:jc w:val="center"/>
              <w:rPr>
                <w:rFonts w:cs="仿宋_GB2312" w:asciiTheme="minorEastAsia" w:hAnsiTheme="minorEastAsia" w:eastAsiaTheme="minorEastAsia"/>
                <w:color w:val="auto"/>
                <w:sz w:val="24"/>
                <w:highlight w:val="none"/>
              </w:rPr>
            </w:pPr>
          </w:p>
        </w:tc>
      </w:tr>
      <w:tr w14:paraId="2837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14:paraId="1DA4B275">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6694" w:type="dxa"/>
            <w:vAlign w:val="center"/>
          </w:tcPr>
          <w:p w14:paraId="38F83F7F">
            <w:pPr>
              <w:snapToGrid w:val="0"/>
              <w:spacing w:line="360" w:lineRule="auto"/>
              <w:jc w:val="both"/>
              <w:rPr>
                <w:rFonts w:hint="default" w:ascii="宋体" w:hAnsi="宋体" w:eastAsia="宋体" w:cs="仿宋"/>
                <w:color w:val="auto"/>
                <w:kern w:val="0"/>
                <w:sz w:val="24"/>
                <w:szCs w:val="24"/>
                <w:highlight w:val="none"/>
                <w:lang w:val="en-US"/>
              </w:rPr>
            </w:pPr>
            <w:r>
              <w:rPr>
                <w:rFonts w:hint="eastAsia" w:ascii="宋体" w:hAnsi="宋体" w:eastAsia="宋体" w:cs="仿宋"/>
                <w:color w:val="auto"/>
                <w:kern w:val="0"/>
                <w:sz w:val="24"/>
                <w:szCs w:val="24"/>
                <w:highlight w:val="none"/>
                <w:lang w:val="en-US" w:eastAsia="zh-CN"/>
              </w:rPr>
              <w:t>投标人对本</w:t>
            </w:r>
            <w:r>
              <w:rPr>
                <w:rFonts w:hint="eastAsia" w:ascii="宋体" w:hAnsi="宋体" w:eastAsia="宋体" w:cs="仿宋"/>
                <w:color w:val="auto"/>
                <w:kern w:val="0"/>
                <w:sz w:val="24"/>
                <w:szCs w:val="24"/>
                <w:highlight w:val="none"/>
              </w:rPr>
              <w:t>项目</w:t>
            </w:r>
            <w:r>
              <w:rPr>
                <w:rFonts w:hint="eastAsia" w:ascii="宋体" w:hAnsi="宋体" w:eastAsia="宋体" w:cs="仿宋"/>
                <w:color w:val="auto"/>
                <w:kern w:val="0"/>
                <w:sz w:val="24"/>
                <w:szCs w:val="24"/>
                <w:highlight w:val="none"/>
                <w:lang w:val="en-US" w:eastAsia="zh-CN"/>
              </w:rPr>
              <w:t>需求的阐述、工作理解情况，根据提供内容的完整性、针对性进行打分。（得分：5、4、3、2、1、0）</w:t>
            </w:r>
          </w:p>
        </w:tc>
        <w:tc>
          <w:tcPr>
            <w:tcW w:w="573" w:type="dxa"/>
            <w:vAlign w:val="center"/>
          </w:tcPr>
          <w:p w14:paraId="66D0019F">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933" w:type="dxa"/>
            <w:vAlign w:val="center"/>
          </w:tcPr>
          <w:p w14:paraId="2C10BD90">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867" w:type="dxa"/>
          </w:tcPr>
          <w:p w14:paraId="021ED9FC">
            <w:pPr>
              <w:snapToGrid w:val="0"/>
              <w:spacing w:line="360" w:lineRule="auto"/>
              <w:jc w:val="center"/>
              <w:rPr>
                <w:rFonts w:cs="仿宋_GB2312" w:asciiTheme="minorEastAsia" w:hAnsiTheme="minorEastAsia" w:eastAsiaTheme="minorEastAsia"/>
                <w:color w:val="auto"/>
                <w:sz w:val="24"/>
                <w:highlight w:val="none"/>
              </w:rPr>
            </w:pPr>
          </w:p>
        </w:tc>
      </w:tr>
      <w:tr w14:paraId="18B2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14:paraId="182A17D5">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6694" w:type="dxa"/>
            <w:vAlign w:val="center"/>
          </w:tcPr>
          <w:p w14:paraId="0A198643">
            <w:pPr>
              <w:snapToGrid w:val="0"/>
              <w:spacing w:line="360" w:lineRule="auto"/>
              <w:jc w:val="both"/>
              <w:rPr>
                <w:rFonts w:hint="default" w:ascii="宋体" w:hAnsi="宋体" w:eastAsia="宋体" w:cs="仿宋"/>
                <w:color w:val="auto"/>
                <w:kern w:val="0"/>
                <w:sz w:val="24"/>
                <w:szCs w:val="24"/>
                <w:highlight w:val="none"/>
                <w:lang w:val="en-US"/>
              </w:rPr>
            </w:pPr>
            <w:r>
              <w:rPr>
                <w:rFonts w:hint="eastAsia" w:ascii="宋体" w:hAnsi="宋体" w:eastAsia="宋体" w:cs="仿宋"/>
                <w:color w:val="auto"/>
                <w:kern w:val="0"/>
                <w:sz w:val="24"/>
                <w:szCs w:val="24"/>
                <w:highlight w:val="none"/>
                <w:lang w:val="en-US" w:eastAsia="zh-CN"/>
              </w:rPr>
              <w:t>投标人对本</w:t>
            </w:r>
            <w:r>
              <w:rPr>
                <w:rFonts w:hint="eastAsia" w:ascii="宋体" w:hAnsi="宋体" w:eastAsia="宋体" w:cs="仿宋"/>
                <w:color w:val="auto"/>
                <w:kern w:val="0"/>
                <w:sz w:val="24"/>
                <w:szCs w:val="24"/>
                <w:highlight w:val="none"/>
              </w:rPr>
              <w:t>项目</w:t>
            </w:r>
            <w:r>
              <w:rPr>
                <w:rFonts w:hint="eastAsia" w:ascii="宋体" w:hAnsi="宋体" w:eastAsia="宋体" w:cs="仿宋"/>
                <w:color w:val="auto"/>
                <w:kern w:val="0"/>
                <w:sz w:val="24"/>
                <w:szCs w:val="24"/>
                <w:highlight w:val="none"/>
                <w:lang w:val="en-US" w:eastAsia="zh-CN"/>
              </w:rPr>
              <w:t>服务目标阐述、理解情况，根据提供内容的完整性、针对性进行打分。（得分：5、4、3、2、1、0）</w:t>
            </w:r>
          </w:p>
        </w:tc>
        <w:tc>
          <w:tcPr>
            <w:tcW w:w="573" w:type="dxa"/>
            <w:vAlign w:val="center"/>
          </w:tcPr>
          <w:p w14:paraId="29530A1B">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933" w:type="dxa"/>
            <w:vAlign w:val="center"/>
          </w:tcPr>
          <w:p w14:paraId="663550B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867" w:type="dxa"/>
          </w:tcPr>
          <w:p w14:paraId="4604B7DD">
            <w:pPr>
              <w:snapToGrid w:val="0"/>
              <w:spacing w:line="360" w:lineRule="auto"/>
              <w:jc w:val="center"/>
              <w:rPr>
                <w:rFonts w:cs="仿宋_GB2312" w:asciiTheme="minorEastAsia" w:hAnsiTheme="minorEastAsia" w:eastAsiaTheme="minorEastAsia"/>
                <w:color w:val="auto"/>
                <w:sz w:val="24"/>
                <w:highlight w:val="none"/>
              </w:rPr>
            </w:pPr>
          </w:p>
        </w:tc>
      </w:tr>
      <w:tr w14:paraId="79BB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14:paraId="541B65CE">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6694" w:type="dxa"/>
            <w:vAlign w:val="center"/>
          </w:tcPr>
          <w:p w14:paraId="44445DE9">
            <w:pPr>
              <w:snapToGrid w:val="0"/>
              <w:spacing w:line="360" w:lineRule="auto"/>
              <w:jc w:val="both"/>
              <w:rPr>
                <w:rFonts w:hint="eastAsia" w:ascii="宋体" w:hAnsi="宋体" w:eastAsia="宋体" w:cs="仿宋"/>
                <w:color w:val="auto"/>
                <w:kern w:val="0"/>
                <w:sz w:val="24"/>
                <w:szCs w:val="24"/>
                <w:highlight w:val="none"/>
                <w:lang w:eastAsia="zh-CN"/>
              </w:rPr>
            </w:pPr>
            <w:r>
              <w:rPr>
                <w:rFonts w:hint="eastAsia" w:ascii="宋体" w:hAnsi="宋体" w:eastAsia="宋体" w:cs="仿宋"/>
                <w:color w:val="auto"/>
                <w:kern w:val="0"/>
                <w:sz w:val="24"/>
                <w:szCs w:val="24"/>
                <w:highlight w:val="none"/>
              </w:rPr>
              <w:t>投标人</w:t>
            </w:r>
            <w:r>
              <w:rPr>
                <w:rFonts w:hint="eastAsia" w:ascii="宋体" w:hAnsi="宋体" w:eastAsia="宋体" w:cs="仿宋"/>
                <w:color w:val="auto"/>
                <w:kern w:val="0"/>
                <w:sz w:val="24"/>
                <w:szCs w:val="24"/>
                <w:highlight w:val="none"/>
                <w:lang w:val="en-US" w:eastAsia="zh-CN"/>
              </w:rPr>
              <w:t>针对本</w:t>
            </w:r>
            <w:r>
              <w:rPr>
                <w:rFonts w:hint="eastAsia" w:ascii="宋体" w:hAnsi="宋体" w:eastAsia="宋体" w:cs="仿宋"/>
                <w:color w:val="auto"/>
                <w:kern w:val="0"/>
                <w:sz w:val="24"/>
                <w:szCs w:val="24"/>
                <w:highlight w:val="none"/>
              </w:rPr>
              <w:t>项目制定的总体方案</w:t>
            </w:r>
            <w:r>
              <w:rPr>
                <w:rFonts w:hint="eastAsia" w:ascii="宋体" w:hAnsi="宋体" w:eastAsia="宋体" w:cs="仿宋"/>
                <w:color w:val="auto"/>
                <w:kern w:val="0"/>
                <w:sz w:val="24"/>
                <w:szCs w:val="24"/>
                <w:highlight w:val="none"/>
                <w:lang w:val="en-US" w:eastAsia="zh-CN"/>
              </w:rPr>
              <w:t>，根据提供内容的完整性、针对性进行打分。（得分：5、4、3、2、1、0）</w:t>
            </w:r>
          </w:p>
        </w:tc>
        <w:tc>
          <w:tcPr>
            <w:tcW w:w="573" w:type="dxa"/>
            <w:vAlign w:val="center"/>
          </w:tcPr>
          <w:p w14:paraId="2B49AB3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933" w:type="dxa"/>
            <w:vAlign w:val="center"/>
          </w:tcPr>
          <w:p w14:paraId="02BCF85A">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867" w:type="dxa"/>
          </w:tcPr>
          <w:p w14:paraId="688CC5D3">
            <w:pPr>
              <w:snapToGrid w:val="0"/>
              <w:spacing w:line="360" w:lineRule="auto"/>
              <w:jc w:val="center"/>
              <w:rPr>
                <w:rFonts w:cs="仿宋_GB2312" w:asciiTheme="minorEastAsia" w:hAnsiTheme="minorEastAsia" w:eastAsiaTheme="minorEastAsia"/>
                <w:color w:val="auto"/>
                <w:sz w:val="24"/>
                <w:highlight w:val="none"/>
              </w:rPr>
            </w:pPr>
          </w:p>
        </w:tc>
      </w:tr>
      <w:tr w14:paraId="23EF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14:paraId="2E2B5307">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6694" w:type="dxa"/>
            <w:vAlign w:val="center"/>
          </w:tcPr>
          <w:p w14:paraId="5191B3DD">
            <w:pPr>
              <w:snapToGrid w:val="0"/>
              <w:spacing w:line="360" w:lineRule="auto"/>
              <w:jc w:val="both"/>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投标人</w:t>
            </w:r>
            <w:r>
              <w:rPr>
                <w:rFonts w:hint="eastAsia" w:ascii="宋体" w:hAnsi="宋体" w:eastAsia="宋体" w:cs="仿宋"/>
                <w:color w:val="auto"/>
                <w:kern w:val="0"/>
                <w:sz w:val="24"/>
                <w:szCs w:val="24"/>
                <w:highlight w:val="none"/>
                <w:lang w:val="en-US" w:eastAsia="zh-CN"/>
              </w:rPr>
              <w:t>针对本项目</w:t>
            </w:r>
            <w:r>
              <w:rPr>
                <w:rFonts w:hint="eastAsia" w:ascii="宋体" w:hAnsi="宋体" w:eastAsia="宋体" w:cs="仿宋"/>
                <w:color w:val="auto"/>
                <w:kern w:val="0"/>
                <w:sz w:val="24"/>
                <w:szCs w:val="24"/>
                <w:highlight w:val="none"/>
              </w:rPr>
              <w:t>提供的项目进度计划</w:t>
            </w:r>
            <w:r>
              <w:rPr>
                <w:rFonts w:hint="eastAsia" w:ascii="宋体" w:hAnsi="宋体" w:eastAsia="宋体" w:cs="仿宋"/>
                <w:color w:val="auto"/>
                <w:kern w:val="0"/>
                <w:sz w:val="24"/>
                <w:szCs w:val="24"/>
                <w:highlight w:val="none"/>
                <w:lang w:val="en-US" w:eastAsia="zh-CN"/>
              </w:rPr>
              <w:t>，根据提供内容的完整性、针对性进行打分。（得分：5、4、3、2、1、0）</w:t>
            </w:r>
          </w:p>
        </w:tc>
        <w:tc>
          <w:tcPr>
            <w:tcW w:w="573" w:type="dxa"/>
            <w:vAlign w:val="center"/>
          </w:tcPr>
          <w:p w14:paraId="3137A238">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933" w:type="dxa"/>
            <w:vAlign w:val="center"/>
          </w:tcPr>
          <w:p w14:paraId="055FE710">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867" w:type="dxa"/>
          </w:tcPr>
          <w:p w14:paraId="1FC4A5D1">
            <w:pPr>
              <w:snapToGrid w:val="0"/>
              <w:spacing w:line="360" w:lineRule="auto"/>
              <w:jc w:val="center"/>
              <w:rPr>
                <w:rFonts w:cs="仿宋_GB2312" w:asciiTheme="minorEastAsia" w:hAnsiTheme="minorEastAsia" w:eastAsiaTheme="minorEastAsia"/>
                <w:color w:val="auto"/>
                <w:sz w:val="24"/>
                <w:highlight w:val="none"/>
              </w:rPr>
            </w:pPr>
          </w:p>
        </w:tc>
      </w:tr>
      <w:tr w14:paraId="1240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14:paraId="45EC22DA">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6694" w:type="dxa"/>
            <w:vAlign w:val="center"/>
          </w:tcPr>
          <w:p w14:paraId="1DBB7ACC">
            <w:pPr>
              <w:snapToGrid w:val="0"/>
              <w:spacing w:line="360" w:lineRule="auto"/>
              <w:jc w:val="both"/>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投标人针对本项目提供的人员培训计划，包括培训方式、地点、人数、时间等内容</w:t>
            </w:r>
            <w:r>
              <w:rPr>
                <w:rFonts w:hint="eastAsia" w:ascii="宋体" w:hAnsi="宋体" w:eastAsia="宋体" w:cs="仿宋"/>
                <w:color w:val="auto"/>
                <w:kern w:val="0"/>
                <w:sz w:val="24"/>
                <w:szCs w:val="24"/>
                <w:highlight w:val="none"/>
                <w:lang w:val="en-US" w:eastAsia="zh-CN"/>
              </w:rPr>
              <w:t>，根据提供内容的完整性、针对性进行打分。（得分：5、4、3、2、1、0）</w:t>
            </w:r>
          </w:p>
        </w:tc>
        <w:tc>
          <w:tcPr>
            <w:tcW w:w="573" w:type="dxa"/>
            <w:vAlign w:val="center"/>
          </w:tcPr>
          <w:p w14:paraId="3951CCE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5</w:t>
            </w:r>
          </w:p>
        </w:tc>
        <w:tc>
          <w:tcPr>
            <w:tcW w:w="933" w:type="dxa"/>
            <w:vAlign w:val="center"/>
          </w:tcPr>
          <w:p w14:paraId="69173B6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867" w:type="dxa"/>
            <w:vAlign w:val="center"/>
          </w:tcPr>
          <w:p w14:paraId="0345B4B2">
            <w:pPr>
              <w:snapToGrid w:val="0"/>
              <w:spacing w:line="360" w:lineRule="auto"/>
              <w:jc w:val="center"/>
              <w:rPr>
                <w:rFonts w:cs="仿宋_GB2312" w:asciiTheme="minorEastAsia" w:hAnsiTheme="minorEastAsia" w:eastAsiaTheme="minorEastAsia"/>
                <w:color w:val="auto"/>
                <w:sz w:val="24"/>
                <w:highlight w:val="none"/>
              </w:rPr>
            </w:pPr>
          </w:p>
        </w:tc>
      </w:tr>
      <w:tr w14:paraId="3761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506" w:type="dxa"/>
            <w:vAlign w:val="center"/>
          </w:tcPr>
          <w:p w14:paraId="291D8FBE">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6694" w:type="dxa"/>
            <w:vAlign w:val="center"/>
          </w:tcPr>
          <w:p w14:paraId="459FBB3A">
            <w:pPr>
              <w:snapToGrid w:val="0"/>
              <w:spacing w:line="360" w:lineRule="auto"/>
              <w:jc w:val="both"/>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投标人针对本项目提供的售后服务方案，包含但不限于售后服务承诺、售后服务体系、售后服务组织架构、售后服务内容与标准、售后保障措施及售后应急预案等内容</w:t>
            </w:r>
            <w:r>
              <w:rPr>
                <w:rFonts w:hint="eastAsia" w:ascii="宋体" w:hAnsi="宋体" w:eastAsia="宋体" w:cs="仿宋"/>
                <w:color w:val="auto"/>
                <w:kern w:val="0"/>
                <w:sz w:val="24"/>
                <w:szCs w:val="24"/>
                <w:highlight w:val="none"/>
                <w:lang w:val="en-US" w:eastAsia="zh-CN"/>
              </w:rPr>
              <w:t>，根据提供内容的完整性、针对性进行打分。（得分：5、4、3、2、1、0）</w:t>
            </w:r>
          </w:p>
        </w:tc>
        <w:tc>
          <w:tcPr>
            <w:tcW w:w="573" w:type="dxa"/>
            <w:vAlign w:val="center"/>
          </w:tcPr>
          <w:p w14:paraId="357BCEA0">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933" w:type="dxa"/>
            <w:vAlign w:val="center"/>
          </w:tcPr>
          <w:p w14:paraId="29725E53">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867" w:type="dxa"/>
            <w:vAlign w:val="center"/>
          </w:tcPr>
          <w:p w14:paraId="1483B1BB">
            <w:pPr>
              <w:snapToGrid w:val="0"/>
              <w:spacing w:line="360" w:lineRule="auto"/>
              <w:jc w:val="center"/>
              <w:rPr>
                <w:rFonts w:cs="仿宋_GB2312" w:asciiTheme="minorEastAsia" w:hAnsiTheme="minorEastAsia" w:eastAsiaTheme="minorEastAsia"/>
                <w:color w:val="auto"/>
                <w:sz w:val="24"/>
                <w:highlight w:val="none"/>
              </w:rPr>
            </w:pPr>
          </w:p>
        </w:tc>
      </w:tr>
      <w:tr w14:paraId="35E1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506" w:type="dxa"/>
            <w:vAlign w:val="center"/>
          </w:tcPr>
          <w:p w14:paraId="5EF0A8CB">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6694" w:type="dxa"/>
            <w:vAlign w:val="center"/>
          </w:tcPr>
          <w:p w14:paraId="48539694">
            <w:pPr>
              <w:snapToGrid w:val="0"/>
              <w:spacing w:line="360" w:lineRule="auto"/>
              <w:jc w:val="both"/>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投标人针对本项目建立应急响应方案，故障分级标准、故障处理流程、应急响应预案的启动及后期处理</w:t>
            </w:r>
            <w:r>
              <w:rPr>
                <w:rFonts w:hint="eastAsia" w:ascii="宋体" w:hAnsi="宋体" w:eastAsia="宋体" w:cs="仿宋"/>
                <w:color w:val="auto"/>
                <w:kern w:val="0"/>
                <w:sz w:val="24"/>
                <w:szCs w:val="24"/>
                <w:highlight w:val="none"/>
                <w:lang w:val="en-US" w:eastAsia="zh-CN"/>
              </w:rPr>
              <w:t>，根据提供内容的完整性、针对性进行打分。（得分：5、4、3、2、1、0）</w:t>
            </w:r>
          </w:p>
        </w:tc>
        <w:tc>
          <w:tcPr>
            <w:tcW w:w="573" w:type="dxa"/>
            <w:vAlign w:val="center"/>
          </w:tcPr>
          <w:p w14:paraId="0CAEFB40">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933" w:type="dxa"/>
            <w:shd w:val="clear" w:color="auto" w:fill="auto"/>
            <w:vAlign w:val="center"/>
          </w:tcPr>
          <w:p w14:paraId="00A77669">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主观分</w:t>
            </w:r>
          </w:p>
        </w:tc>
        <w:tc>
          <w:tcPr>
            <w:tcW w:w="1867" w:type="dxa"/>
            <w:vAlign w:val="center"/>
          </w:tcPr>
          <w:p w14:paraId="046A4422">
            <w:pPr>
              <w:snapToGrid w:val="0"/>
              <w:spacing w:line="360" w:lineRule="auto"/>
              <w:jc w:val="center"/>
              <w:rPr>
                <w:rFonts w:cs="仿宋_GB2312" w:asciiTheme="minorEastAsia" w:hAnsiTheme="minorEastAsia" w:eastAsiaTheme="minorEastAsia"/>
                <w:color w:val="auto"/>
                <w:sz w:val="24"/>
                <w:highlight w:val="none"/>
              </w:rPr>
            </w:pPr>
          </w:p>
        </w:tc>
      </w:tr>
      <w:tr w14:paraId="331D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14:paraId="4F9AB24C">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13</w:t>
            </w:r>
          </w:p>
        </w:tc>
        <w:tc>
          <w:tcPr>
            <w:tcW w:w="6694" w:type="dxa"/>
            <w:shd w:val="clear" w:color="auto" w:fill="auto"/>
            <w:vAlign w:val="center"/>
          </w:tcPr>
          <w:p w14:paraId="22FECE1B">
            <w:pPr>
              <w:snapToGrid w:val="0"/>
              <w:spacing w:line="360" w:lineRule="auto"/>
              <w:jc w:val="both"/>
              <w:rPr>
                <w:rFonts w:hint="eastAsia" w:ascii="宋体" w:hAnsi="宋体" w:eastAsia="宋体" w:cs="仿宋"/>
                <w:color w:val="auto"/>
                <w:kern w:val="0"/>
                <w:sz w:val="24"/>
                <w:szCs w:val="24"/>
                <w:highlight w:val="none"/>
                <w:lang w:val="en-US" w:eastAsia="zh-CN" w:bidi="ar-SA"/>
              </w:rPr>
            </w:pPr>
            <w:r>
              <w:rPr>
                <w:rFonts w:hint="eastAsia" w:ascii="宋体" w:hAnsi="宋体" w:eastAsia="宋体" w:cs="仿宋"/>
                <w:color w:val="auto"/>
                <w:kern w:val="0"/>
                <w:sz w:val="24"/>
                <w:szCs w:val="24"/>
                <w:highlight w:val="none"/>
              </w:rPr>
              <w:t>投标人</w:t>
            </w:r>
            <w:r>
              <w:rPr>
                <w:rFonts w:hint="eastAsia" w:ascii="宋体" w:hAnsi="宋体" w:eastAsia="宋体" w:cs="仿宋"/>
                <w:color w:val="auto"/>
                <w:kern w:val="0"/>
                <w:sz w:val="24"/>
                <w:szCs w:val="24"/>
                <w:highlight w:val="none"/>
                <w:lang w:val="en-US" w:eastAsia="zh-CN"/>
              </w:rPr>
              <w:t>针对本</w:t>
            </w:r>
            <w:r>
              <w:rPr>
                <w:rFonts w:hint="eastAsia" w:ascii="宋体" w:hAnsi="宋体" w:eastAsia="宋体" w:cs="仿宋"/>
                <w:color w:val="auto"/>
                <w:kern w:val="0"/>
                <w:sz w:val="24"/>
                <w:szCs w:val="24"/>
                <w:highlight w:val="none"/>
              </w:rPr>
              <w:t>项目</w:t>
            </w:r>
            <w:r>
              <w:rPr>
                <w:rFonts w:hint="eastAsia" w:ascii="宋体" w:hAnsi="宋体" w:eastAsia="宋体" w:cs="仿宋"/>
                <w:color w:val="auto"/>
                <w:kern w:val="0"/>
                <w:sz w:val="24"/>
                <w:szCs w:val="24"/>
                <w:highlight w:val="none"/>
                <w:lang w:val="en-US" w:eastAsia="zh-CN"/>
              </w:rPr>
              <w:t>提供的重大活动的保障方案，根据提供内容的完整性、针对性进行打分。（得分：5、4、3、2、1、0）</w:t>
            </w:r>
          </w:p>
        </w:tc>
        <w:tc>
          <w:tcPr>
            <w:tcW w:w="573" w:type="dxa"/>
            <w:vAlign w:val="center"/>
          </w:tcPr>
          <w:p w14:paraId="5A58ED7A">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933" w:type="dxa"/>
            <w:vAlign w:val="center"/>
          </w:tcPr>
          <w:p w14:paraId="59688A65">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867" w:type="dxa"/>
            <w:vAlign w:val="center"/>
          </w:tcPr>
          <w:p w14:paraId="7156B95D">
            <w:pPr>
              <w:snapToGrid w:val="0"/>
              <w:spacing w:line="360" w:lineRule="auto"/>
              <w:jc w:val="center"/>
              <w:rPr>
                <w:rFonts w:cs="仿宋_GB2312" w:asciiTheme="minorEastAsia" w:hAnsiTheme="minorEastAsia" w:eastAsiaTheme="minorEastAsia"/>
                <w:color w:val="auto"/>
                <w:sz w:val="24"/>
                <w:highlight w:val="none"/>
              </w:rPr>
            </w:pPr>
          </w:p>
        </w:tc>
      </w:tr>
      <w:tr w14:paraId="190B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14:paraId="27834D95">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14</w:t>
            </w:r>
          </w:p>
        </w:tc>
        <w:tc>
          <w:tcPr>
            <w:tcW w:w="6694" w:type="dxa"/>
          </w:tcPr>
          <w:p w14:paraId="4860A286">
            <w:pPr>
              <w:snapToGrid w:val="0"/>
              <w:spacing w:line="360" w:lineRule="auto"/>
              <w:jc w:val="both"/>
              <w:rPr>
                <w:rFonts w:hint="eastAsia" w:cs="仿宋_GB2312" w:asciiTheme="minorEastAsia" w:hAnsiTheme="minorEastAsia" w:eastAsiaTheme="minorEastAsia"/>
                <w:color w:val="auto"/>
                <w:sz w:val="24"/>
                <w:highlight w:val="none"/>
                <w:lang w:val="en-US" w:eastAsia="zh-CN"/>
              </w:rPr>
            </w:pPr>
            <w:r>
              <w:rPr>
                <w:rFonts w:hint="eastAsia" w:ascii="宋体" w:hAnsi="宋体" w:eastAsia="宋体" w:cs="仿宋"/>
                <w:color w:val="auto"/>
                <w:kern w:val="0"/>
                <w:sz w:val="24"/>
                <w:szCs w:val="24"/>
                <w:highlight w:val="none"/>
              </w:rPr>
              <w:t>投标人</w:t>
            </w:r>
            <w:r>
              <w:rPr>
                <w:rFonts w:hint="eastAsia" w:ascii="宋体" w:hAnsi="宋体" w:eastAsia="宋体" w:cs="仿宋"/>
                <w:color w:val="auto"/>
                <w:kern w:val="0"/>
                <w:sz w:val="24"/>
                <w:szCs w:val="24"/>
                <w:highlight w:val="none"/>
                <w:lang w:val="en-US" w:eastAsia="zh-CN"/>
              </w:rPr>
              <w:t>针对本</w:t>
            </w:r>
            <w:r>
              <w:rPr>
                <w:rFonts w:hint="eastAsia" w:ascii="宋体" w:hAnsi="宋体" w:eastAsia="宋体" w:cs="仿宋"/>
                <w:color w:val="auto"/>
                <w:kern w:val="0"/>
                <w:sz w:val="24"/>
                <w:szCs w:val="24"/>
                <w:highlight w:val="none"/>
              </w:rPr>
              <w:t>项目</w:t>
            </w:r>
            <w:r>
              <w:rPr>
                <w:rFonts w:hint="eastAsia" w:ascii="宋体" w:hAnsi="宋体" w:eastAsia="宋体" w:cs="仿宋"/>
                <w:color w:val="auto"/>
                <w:kern w:val="0"/>
                <w:sz w:val="24"/>
                <w:szCs w:val="24"/>
                <w:highlight w:val="none"/>
                <w:lang w:val="en-US" w:eastAsia="zh-CN"/>
              </w:rPr>
              <w:t>提供的</w:t>
            </w:r>
            <w:r>
              <w:rPr>
                <w:rFonts w:hint="eastAsia" w:cs="仿宋_GB2312" w:asciiTheme="minorEastAsia" w:hAnsiTheme="minorEastAsia" w:eastAsiaTheme="minorEastAsia"/>
                <w:color w:val="auto"/>
                <w:sz w:val="24"/>
                <w:highlight w:val="none"/>
                <w:lang w:val="en-US" w:eastAsia="zh-CN"/>
              </w:rPr>
              <w:t>项目维保档案制度以及报表台账等制度：档案及台账资料的建立与管理方案内容</w:t>
            </w:r>
            <w:r>
              <w:rPr>
                <w:rFonts w:hint="eastAsia" w:ascii="宋体" w:hAnsi="宋体" w:eastAsia="宋体" w:cs="仿宋"/>
                <w:color w:val="auto"/>
                <w:kern w:val="0"/>
                <w:sz w:val="24"/>
                <w:szCs w:val="24"/>
                <w:highlight w:val="none"/>
                <w:lang w:val="en-US" w:eastAsia="zh-CN"/>
              </w:rPr>
              <w:t>，根据提供内容的完整性、针对性进行打分。（得分：5、4、3、2、1、0）</w:t>
            </w:r>
          </w:p>
        </w:tc>
        <w:tc>
          <w:tcPr>
            <w:tcW w:w="573" w:type="dxa"/>
            <w:vAlign w:val="center"/>
          </w:tcPr>
          <w:p w14:paraId="0C364DE6">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933" w:type="dxa"/>
            <w:vAlign w:val="center"/>
          </w:tcPr>
          <w:p w14:paraId="6A237BC8">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867" w:type="dxa"/>
            <w:vAlign w:val="center"/>
          </w:tcPr>
          <w:p w14:paraId="5FA1FAD1">
            <w:pPr>
              <w:snapToGrid w:val="0"/>
              <w:spacing w:line="360" w:lineRule="auto"/>
              <w:jc w:val="center"/>
              <w:rPr>
                <w:rFonts w:cs="仿宋_GB2312" w:asciiTheme="minorEastAsia" w:hAnsiTheme="minorEastAsia" w:eastAsiaTheme="minorEastAsia"/>
                <w:color w:val="auto"/>
                <w:sz w:val="24"/>
                <w:highlight w:val="none"/>
              </w:rPr>
            </w:pPr>
          </w:p>
        </w:tc>
      </w:tr>
      <w:tr w14:paraId="546D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14:paraId="5C5506A7">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15</w:t>
            </w:r>
          </w:p>
        </w:tc>
        <w:tc>
          <w:tcPr>
            <w:tcW w:w="6694" w:type="dxa"/>
          </w:tcPr>
          <w:p w14:paraId="2C5BA208">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］的计算公式计算。</w:t>
            </w:r>
          </w:p>
          <w:p w14:paraId="4ADC17FE">
            <w:pPr>
              <w:widowControl/>
              <w:shd w:val="clear" w:color="auto" w:fill="FFFFFF"/>
              <w:adjustRightInd/>
              <w:spacing w:after="225" w:line="315" w:lineRule="atLeast"/>
              <w:ind w:firstLine="420"/>
              <w:jc w:val="left"/>
              <w:rPr>
                <w:rFonts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tc>
        <w:tc>
          <w:tcPr>
            <w:tcW w:w="573" w:type="dxa"/>
            <w:vAlign w:val="center"/>
          </w:tcPr>
          <w:p w14:paraId="695BA13C">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933" w:type="dxa"/>
            <w:vAlign w:val="center"/>
          </w:tcPr>
          <w:p w14:paraId="7D0AD58D">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w:t>
            </w:r>
          </w:p>
        </w:tc>
        <w:tc>
          <w:tcPr>
            <w:tcW w:w="1867" w:type="dxa"/>
            <w:vAlign w:val="center"/>
          </w:tcPr>
          <w:p w14:paraId="52B5A744">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bookmarkEnd w:id="521"/>
    </w:tbl>
    <w:p w14:paraId="2E128B68">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5"/>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5" w:name="第五部分"/>
      <w:bookmarkStart w:id="396"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027BB869">
      <w:pPr>
        <w:spacing w:line="360" w:lineRule="auto"/>
        <w:ind w:left="720" w:leftChars="343" w:firstLine="1084" w:firstLineChars="300"/>
        <w:outlineLvl w:val="0"/>
        <w:rPr>
          <w:rFonts w:ascii="宋体" w:hAnsi="宋体" w:cs="宋体"/>
          <w:b/>
          <w:color w:val="auto"/>
          <w:sz w:val="36"/>
          <w:szCs w:val="36"/>
          <w:highlight w:val="none"/>
        </w:rPr>
      </w:pPr>
    </w:p>
    <w:p w14:paraId="6D191506">
      <w:pPr>
        <w:spacing w:line="360" w:lineRule="auto"/>
        <w:ind w:left="720" w:leftChars="343" w:firstLine="1084" w:firstLineChars="300"/>
        <w:outlineLvl w:val="0"/>
        <w:rPr>
          <w:rFonts w:ascii="宋体" w:hAnsi="宋体" w:cs="宋体"/>
          <w:b/>
          <w:color w:val="auto"/>
          <w:sz w:val="36"/>
          <w:szCs w:val="36"/>
          <w:highlight w:val="none"/>
        </w:rPr>
      </w:pPr>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3"/>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600"/>
        <w:spacing w:before="120" w:line="22" w:lineRule="atLeast"/>
        <w:rPr>
          <w:rFonts w:ascii="宋体" w:hAnsi="宋体" w:eastAsia="宋体" w:cs="宋体"/>
          <w:color w:val="auto"/>
          <w:szCs w:val="24"/>
          <w:highlight w:val="none"/>
        </w:rPr>
      </w:pPr>
    </w:p>
    <w:p w14:paraId="5912128F">
      <w:pPr>
        <w:pStyle w:val="600"/>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杭州市临平区数据资源管理局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临平区数据资源管理局视频会议运维保障服务项目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杭州市临平区数据资源管理局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7" w:name="_Toc15367"/>
      <w:bookmarkStart w:id="398" w:name="_Toc19273"/>
      <w:bookmarkStart w:id="399" w:name="_Toc22967"/>
      <w:bookmarkStart w:id="400" w:name="_Toc20421"/>
      <w:bookmarkStart w:id="401"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7"/>
      <w:bookmarkEnd w:id="398"/>
      <w:bookmarkEnd w:id="399"/>
      <w:bookmarkEnd w:id="400"/>
      <w:bookmarkEnd w:id="401"/>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2" w:name="_Toc6311"/>
      <w:bookmarkStart w:id="403" w:name="_Toc22185"/>
      <w:bookmarkStart w:id="404" w:name="_Toc6773"/>
      <w:bookmarkStart w:id="405" w:name="_Toc2918"/>
      <w:bookmarkStart w:id="406"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2"/>
      <w:bookmarkEnd w:id="403"/>
      <w:bookmarkEnd w:id="404"/>
      <w:bookmarkEnd w:id="405"/>
      <w:bookmarkEnd w:id="406"/>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7" w:name="_Toc13918"/>
      <w:bookmarkStart w:id="408" w:name="_Toc21124"/>
      <w:bookmarkStart w:id="409" w:name="_Toc1386"/>
      <w:bookmarkStart w:id="410" w:name="_Toc5635"/>
      <w:bookmarkStart w:id="411"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7"/>
      <w:bookmarkEnd w:id="408"/>
      <w:bookmarkEnd w:id="409"/>
      <w:bookmarkEnd w:id="410"/>
      <w:bookmarkEnd w:id="411"/>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1"/>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1"/>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1"/>
              <w:spacing w:line="560" w:lineRule="exact"/>
              <w:ind w:firstLine="200"/>
              <w:jc w:val="center"/>
              <w:rPr>
                <w:rFonts w:hAnsi="宋体"/>
                <w:color w:val="auto"/>
                <w:sz w:val="24"/>
                <w:szCs w:val="24"/>
                <w:highlight w:val="none"/>
              </w:rPr>
            </w:pPr>
          </w:p>
        </w:tc>
        <w:tc>
          <w:tcPr>
            <w:tcW w:w="3402" w:type="dxa"/>
            <w:vAlign w:val="center"/>
          </w:tcPr>
          <w:p w14:paraId="66BDB431">
            <w:pPr>
              <w:pStyle w:val="321"/>
              <w:spacing w:line="560" w:lineRule="exact"/>
              <w:ind w:firstLine="200"/>
              <w:jc w:val="center"/>
              <w:rPr>
                <w:rFonts w:hAnsi="宋体"/>
                <w:color w:val="auto"/>
                <w:sz w:val="24"/>
                <w:szCs w:val="24"/>
                <w:highlight w:val="none"/>
              </w:rPr>
            </w:pPr>
          </w:p>
        </w:tc>
        <w:tc>
          <w:tcPr>
            <w:tcW w:w="2552" w:type="dxa"/>
            <w:vAlign w:val="center"/>
          </w:tcPr>
          <w:p w14:paraId="0EC443E3">
            <w:pPr>
              <w:pStyle w:val="321"/>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1"/>
              <w:spacing w:line="560" w:lineRule="exact"/>
              <w:ind w:firstLine="200"/>
              <w:jc w:val="center"/>
              <w:rPr>
                <w:rFonts w:hAnsi="宋体"/>
                <w:color w:val="auto"/>
                <w:sz w:val="24"/>
                <w:szCs w:val="24"/>
                <w:highlight w:val="none"/>
              </w:rPr>
            </w:pPr>
          </w:p>
        </w:tc>
        <w:tc>
          <w:tcPr>
            <w:tcW w:w="3402" w:type="dxa"/>
            <w:vAlign w:val="center"/>
          </w:tcPr>
          <w:p w14:paraId="26CA5BD6">
            <w:pPr>
              <w:pStyle w:val="321"/>
              <w:spacing w:line="560" w:lineRule="exact"/>
              <w:ind w:firstLine="200"/>
              <w:jc w:val="center"/>
              <w:rPr>
                <w:rFonts w:hAnsi="宋体"/>
                <w:color w:val="auto"/>
                <w:sz w:val="24"/>
                <w:szCs w:val="24"/>
                <w:highlight w:val="none"/>
              </w:rPr>
            </w:pPr>
          </w:p>
        </w:tc>
        <w:tc>
          <w:tcPr>
            <w:tcW w:w="2552" w:type="dxa"/>
            <w:vAlign w:val="center"/>
          </w:tcPr>
          <w:p w14:paraId="0258EB1E">
            <w:pPr>
              <w:pStyle w:val="321"/>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1"/>
              <w:spacing w:line="560" w:lineRule="exact"/>
              <w:ind w:firstLine="200"/>
              <w:jc w:val="center"/>
              <w:rPr>
                <w:rFonts w:hAnsi="宋体"/>
                <w:color w:val="auto"/>
                <w:sz w:val="24"/>
                <w:szCs w:val="24"/>
                <w:highlight w:val="none"/>
              </w:rPr>
            </w:pPr>
          </w:p>
        </w:tc>
        <w:tc>
          <w:tcPr>
            <w:tcW w:w="3402" w:type="dxa"/>
            <w:vAlign w:val="center"/>
          </w:tcPr>
          <w:p w14:paraId="637D5711">
            <w:pPr>
              <w:pStyle w:val="321"/>
              <w:spacing w:line="560" w:lineRule="exact"/>
              <w:ind w:firstLine="200"/>
              <w:jc w:val="center"/>
              <w:rPr>
                <w:rFonts w:hAnsi="宋体"/>
                <w:color w:val="auto"/>
                <w:sz w:val="24"/>
                <w:szCs w:val="24"/>
                <w:highlight w:val="none"/>
              </w:rPr>
            </w:pPr>
          </w:p>
        </w:tc>
        <w:tc>
          <w:tcPr>
            <w:tcW w:w="2552" w:type="dxa"/>
            <w:vAlign w:val="center"/>
          </w:tcPr>
          <w:p w14:paraId="42D0E712">
            <w:pPr>
              <w:pStyle w:val="321"/>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1"/>
              <w:spacing w:line="560" w:lineRule="exact"/>
              <w:ind w:firstLine="200"/>
              <w:jc w:val="center"/>
              <w:rPr>
                <w:rFonts w:hAnsi="宋体"/>
                <w:color w:val="auto"/>
                <w:sz w:val="24"/>
                <w:szCs w:val="24"/>
                <w:highlight w:val="none"/>
              </w:rPr>
            </w:pPr>
          </w:p>
        </w:tc>
        <w:tc>
          <w:tcPr>
            <w:tcW w:w="3402" w:type="dxa"/>
            <w:vAlign w:val="center"/>
          </w:tcPr>
          <w:p w14:paraId="14D192BB">
            <w:pPr>
              <w:pStyle w:val="321"/>
              <w:spacing w:line="560" w:lineRule="exact"/>
              <w:ind w:firstLine="200"/>
              <w:jc w:val="center"/>
              <w:rPr>
                <w:rFonts w:hAnsi="宋体"/>
                <w:color w:val="auto"/>
                <w:sz w:val="24"/>
                <w:szCs w:val="24"/>
                <w:highlight w:val="none"/>
              </w:rPr>
            </w:pPr>
          </w:p>
        </w:tc>
        <w:tc>
          <w:tcPr>
            <w:tcW w:w="2552" w:type="dxa"/>
            <w:vAlign w:val="center"/>
          </w:tcPr>
          <w:p w14:paraId="0E5769EB">
            <w:pPr>
              <w:pStyle w:val="321"/>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1"/>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2" w:name="_Toc30158"/>
      <w:bookmarkStart w:id="413" w:name="_Toc14993"/>
      <w:bookmarkStart w:id="414" w:name="_Toc26916"/>
      <w:bookmarkStart w:id="415" w:name="_Toc3654"/>
      <w:bookmarkStart w:id="416"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2"/>
    <w:bookmarkEnd w:id="413"/>
    <w:bookmarkEnd w:id="414"/>
    <w:bookmarkEnd w:id="415"/>
    <w:bookmarkEnd w:id="416"/>
    <w:p w14:paraId="2F5CCC91">
      <w:pPr>
        <w:pStyle w:val="961"/>
        <w:spacing w:before="0" w:beforeAutospacing="0" w:after="0" w:afterAutospacing="0" w:line="360" w:lineRule="auto"/>
        <w:ind w:firstLine="480"/>
        <w:rPr>
          <w:b/>
          <w:color w:val="auto"/>
          <w:highlight w:val="none"/>
        </w:rPr>
      </w:pPr>
      <w:bookmarkStart w:id="417" w:name="_Toc22618"/>
      <w:bookmarkStart w:id="418" w:name="_Toc1814"/>
      <w:bookmarkStart w:id="419" w:name="_Toc10340"/>
      <w:bookmarkStart w:id="420" w:name="_Toc11108"/>
      <w:bookmarkStart w:id="421" w:name="_Toc4760"/>
      <w:bookmarkStart w:id="422" w:name="_Toc3625"/>
      <w:bookmarkStart w:id="423" w:name="_Toc31421"/>
      <w:bookmarkStart w:id="424" w:name="_Toc8772"/>
      <w:r>
        <w:rPr>
          <w:rFonts w:hint="eastAsia"/>
          <w:b/>
          <w:color w:val="auto"/>
          <w:highlight w:val="none"/>
        </w:rPr>
        <w:t>1.4履约保证金</w:t>
      </w:r>
    </w:p>
    <w:p w14:paraId="74D47AFB">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7"/>
      <w:bookmarkEnd w:id="418"/>
      <w:bookmarkEnd w:id="419"/>
      <w:r>
        <w:rPr>
          <w:rFonts w:hint="eastAsia" w:ascii="宋体" w:hAnsi="宋体" w:cs="宋体"/>
          <w:b/>
          <w:color w:val="auto"/>
          <w:sz w:val="24"/>
          <w:highlight w:val="none"/>
        </w:rPr>
        <w:t>预付款</w:t>
      </w:r>
    </w:p>
    <w:p w14:paraId="7C829B0B">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0"/>
      <w:bookmarkEnd w:id="421"/>
      <w:bookmarkEnd w:id="422"/>
      <w:bookmarkEnd w:id="423"/>
      <w:bookmarkEnd w:id="424"/>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5" w:name="_Toc8586"/>
      <w:bookmarkStart w:id="426" w:name="_Toc2375"/>
      <w:bookmarkStart w:id="427" w:name="_Toc3079"/>
      <w:bookmarkStart w:id="428" w:name="_Toc5698"/>
      <w:bookmarkStart w:id="429" w:name="_Toc24662"/>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5"/>
      <w:bookmarkEnd w:id="426"/>
      <w:bookmarkEnd w:id="427"/>
      <w:bookmarkEnd w:id="428"/>
      <w:bookmarkEnd w:id="429"/>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30" w:name="_Toc26807"/>
      <w:bookmarkStart w:id="431" w:name="_Toc30329"/>
      <w:bookmarkStart w:id="432" w:name="_Toc18683"/>
      <w:bookmarkStart w:id="433" w:name="_Toc32454"/>
      <w:bookmarkStart w:id="434"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0"/>
    <w:bookmarkEnd w:id="431"/>
    <w:bookmarkEnd w:id="432"/>
    <w:bookmarkEnd w:id="433"/>
    <w:bookmarkEnd w:id="434"/>
    <w:p w14:paraId="1A3040A7">
      <w:pPr>
        <w:spacing w:line="560" w:lineRule="exact"/>
        <w:ind w:firstLine="482" w:firstLineChars="200"/>
        <w:outlineLvl w:val="0"/>
        <w:rPr>
          <w:rFonts w:ascii="宋体" w:hAnsi="宋体" w:cs="宋体"/>
          <w:b/>
          <w:color w:val="auto"/>
          <w:sz w:val="24"/>
          <w:highlight w:val="none"/>
        </w:rPr>
      </w:pPr>
      <w:bookmarkStart w:id="435" w:name="_Toc16021"/>
      <w:bookmarkStart w:id="436" w:name="_Toc28375"/>
      <w:bookmarkStart w:id="437" w:name="_Toc15583"/>
      <w:r>
        <w:rPr>
          <w:rFonts w:hint="eastAsia" w:ascii="宋体" w:hAnsi="宋体" w:cs="宋体"/>
          <w:b/>
          <w:color w:val="auto"/>
          <w:sz w:val="24"/>
          <w:highlight w:val="none"/>
        </w:rPr>
        <w:t>1.9合同争议的解决</w:t>
      </w:r>
      <w:bookmarkEnd w:id="435"/>
      <w:bookmarkEnd w:id="436"/>
      <w:bookmarkEnd w:id="437"/>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38" w:name="_Toc11173"/>
      <w:bookmarkStart w:id="439" w:name="_Toc7245"/>
      <w:bookmarkStart w:id="440" w:name="_Toc15322"/>
      <w:r>
        <w:rPr>
          <w:rFonts w:hint="eastAsia" w:ascii="宋体" w:hAnsi="宋体" w:cs="宋体"/>
          <w:b/>
          <w:color w:val="auto"/>
          <w:sz w:val="24"/>
          <w:highlight w:val="none"/>
        </w:rPr>
        <w:t>2.0 合同生效</w:t>
      </w:r>
      <w:bookmarkEnd w:id="438"/>
      <w:bookmarkEnd w:id="439"/>
      <w:bookmarkEnd w:id="440"/>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3"/>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41" w:name="_Toc31297"/>
      <w:bookmarkStart w:id="442" w:name="_Toc25079"/>
      <w:bookmarkStart w:id="443" w:name="_Toc5228"/>
      <w:bookmarkStart w:id="444" w:name="_Toc14021"/>
      <w:bookmarkStart w:id="445" w:name="_Toc19680"/>
      <w:r>
        <w:rPr>
          <w:rFonts w:ascii="宋体" w:hAnsi="宋体"/>
          <w:b/>
          <w:color w:val="auto"/>
          <w:sz w:val="24"/>
          <w:highlight w:val="none"/>
        </w:rPr>
        <w:t>2.1 定义</w:t>
      </w:r>
      <w:bookmarkEnd w:id="441"/>
      <w:bookmarkEnd w:id="442"/>
      <w:bookmarkEnd w:id="443"/>
      <w:bookmarkEnd w:id="444"/>
      <w:bookmarkEnd w:id="445"/>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6" w:name="_Toc16752"/>
      <w:bookmarkStart w:id="447" w:name="_Toc3769"/>
      <w:bookmarkStart w:id="448" w:name="_Toc19539"/>
      <w:bookmarkStart w:id="449" w:name="_Toc23289"/>
      <w:bookmarkStart w:id="450" w:name="_Toc31402"/>
      <w:r>
        <w:rPr>
          <w:rFonts w:ascii="宋体" w:hAnsi="宋体"/>
          <w:b/>
          <w:color w:val="auto"/>
          <w:sz w:val="24"/>
          <w:highlight w:val="none"/>
        </w:rPr>
        <w:t>2.2 技术规范</w:t>
      </w:r>
      <w:bookmarkEnd w:id="446"/>
      <w:bookmarkEnd w:id="447"/>
      <w:bookmarkEnd w:id="448"/>
      <w:bookmarkEnd w:id="449"/>
      <w:bookmarkEnd w:id="450"/>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51" w:name="_Toc4133"/>
      <w:bookmarkStart w:id="452" w:name="_Toc27945"/>
      <w:bookmarkStart w:id="453" w:name="_Toc9161"/>
      <w:bookmarkStart w:id="454" w:name="_Toc12412"/>
      <w:bookmarkStart w:id="455" w:name="_Toc13673"/>
      <w:r>
        <w:rPr>
          <w:rFonts w:ascii="宋体" w:hAnsi="宋体"/>
          <w:b/>
          <w:color w:val="auto"/>
          <w:sz w:val="24"/>
          <w:highlight w:val="none"/>
        </w:rPr>
        <w:t>2.3 知识产权</w:t>
      </w:r>
      <w:bookmarkEnd w:id="451"/>
      <w:bookmarkEnd w:id="452"/>
      <w:bookmarkEnd w:id="453"/>
      <w:bookmarkEnd w:id="454"/>
      <w:bookmarkEnd w:id="455"/>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6" w:name="_Toc26555"/>
      <w:bookmarkStart w:id="457" w:name="_Toc32670"/>
      <w:bookmarkStart w:id="458" w:name="_Toc22011"/>
      <w:bookmarkStart w:id="459" w:name="_Toc15447"/>
      <w:bookmarkStart w:id="460" w:name="_Toc31233"/>
      <w:r>
        <w:rPr>
          <w:rFonts w:ascii="宋体" w:hAnsi="宋体"/>
          <w:b/>
          <w:color w:val="auto"/>
          <w:sz w:val="24"/>
          <w:highlight w:val="none"/>
        </w:rPr>
        <w:t>2.5 结算方式和付款条件</w:t>
      </w:r>
      <w:bookmarkEnd w:id="456"/>
      <w:bookmarkEnd w:id="457"/>
      <w:bookmarkEnd w:id="458"/>
      <w:bookmarkEnd w:id="459"/>
      <w:bookmarkEnd w:id="460"/>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61" w:name="_Toc16163"/>
      <w:bookmarkStart w:id="462" w:name="_Toc13467"/>
      <w:bookmarkStart w:id="463" w:name="_Toc30507"/>
      <w:bookmarkStart w:id="464" w:name="_Toc13154"/>
      <w:bookmarkStart w:id="465" w:name="_Toc18990"/>
      <w:r>
        <w:rPr>
          <w:rFonts w:ascii="宋体" w:hAnsi="宋体"/>
          <w:b/>
          <w:color w:val="auto"/>
          <w:sz w:val="24"/>
          <w:highlight w:val="none"/>
        </w:rPr>
        <w:t>2.6 技术资料和保密义务</w:t>
      </w:r>
      <w:bookmarkEnd w:id="461"/>
      <w:bookmarkEnd w:id="462"/>
      <w:bookmarkEnd w:id="463"/>
      <w:bookmarkEnd w:id="464"/>
      <w:bookmarkEnd w:id="465"/>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6"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6"/>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7"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7"/>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8"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8"/>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9" w:name="_Toc42"/>
      <w:bookmarkStart w:id="470" w:name="_Toc21830"/>
      <w:bookmarkStart w:id="471" w:name="_Toc23368"/>
      <w:bookmarkStart w:id="472" w:name="_Toc26689"/>
      <w:bookmarkStart w:id="473" w:name="_Toc10663"/>
      <w:r>
        <w:rPr>
          <w:rFonts w:ascii="宋体" w:hAnsi="宋体"/>
          <w:b/>
          <w:color w:val="auto"/>
          <w:sz w:val="24"/>
          <w:highlight w:val="none"/>
        </w:rPr>
        <w:t>2.10 合同转让和分包</w:t>
      </w:r>
      <w:bookmarkEnd w:id="469"/>
      <w:bookmarkEnd w:id="470"/>
      <w:bookmarkEnd w:id="471"/>
      <w:bookmarkEnd w:id="472"/>
      <w:bookmarkEnd w:id="473"/>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4" w:name="_Toc32494"/>
      <w:bookmarkStart w:id="475" w:name="_Toc26633"/>
      <w:bookmarkStart w:id="476" w:name="_Toc4720"/>
      <w:bookmarkStart w:id="477" w:name="_Toc25571"/>
      <w:bookmarkStart w:id="478" w:name="_Toc14371"/>
      <w:r>
        <w:rPr>
          <w:rFonts w:ascii="宋体" w:hAnsi="宋体"/>
          <w:b/>
          <w:color w:val="auto"/>
          <w:sz w:val="24"/>
          <w:highlight w:val="none"/>
        </w:rPr>
        <w:t>2.11 不可抗力</w:t>
      </w:r>
      <w:bookmarkEnd w:id="474"/>
      <w:bookmarkEnd w:id="475"/>
      <w:bookmarkEnd w:id="476"/>
      <w:bookmarkEnd w:id="477"/>
      <w:bookmarkEnd w:id="478"/>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9" w:name="_Toc24465"/>
      <w:bookmarkStart w:id="480" w:name="_Toc3638"/>
      <w:bookmarkStart w:id="481" w:name="_Toc25783"/>
      <w:bookmarkStart w:id="482" w:name="_Toc14115"/>
      <w:bookmarkStart w:id="483" w:name="_Toc23854"/>
      <w:r>
        <w:rPr>
          <w:rFonts w:ascii="宋体" w:hAnsi="宋体"/>
          <w:b/>
          <w:color w:val="auto"/>
          <w:sz w:val="24"/>
          <w:highlight w:val="none"/>
        </w:rPr>
        <w:t>2.12 税费</w:t>
      </w:r>
      <w:bookmarkEnd w:id="479"/>
      <w:bookmarkEnd w:id="480"/>
      <w:bookmarkEnd w:id="481"/>
      <w:bookmarkEnd w:id="482"/>
      <w:bookmarkEnd w:id="483"/>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4" w:name="_Toc25525"/>
      <w:bookmarkStart w:id="485" w:name="_Toc7315"/>
      <w:bookmarkStart w:id="486" w:name="_Toc30105"/>
      <w:bookmarkStart w:id="487" w:name="_Toc26883"/>
      <w:bookmarkStart w:id="488" w:name="_Toc14814"/>
      <w:r>
        <w:rPr>
          <w:rFonts w:ascii="宋体" w:hAnsi="宋体"/>
          <w:b/>
          <w:color w:val="auto"/>
          <w:sz w:val="24"/>
          <w:highlight w:val="none"/>
        </w:rPr>
        <w:t>2.13 乙方破产</w:t>
      </w:r>
      <w:bookmarkEnd w:id="484"/>
      <w:bookmarkEnd w:id="485"/>
      <w:bookmarkEnd w:id="486"/>
      <w:bookmarkEnd w:id="487"/>
      <w:bookmarkEnd w:id="488"/>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9" w:name="_Toc2016"/>
      <w:bookmarkStart w:id="490" w:name="_Toc1123"/>
      <w:bookmarkStart w:id="491" w:name="_Toc23323"/>
      <w:r>
        <w:rPr>
          <w:rFonts w:ascii="宋体" w:hAnsi="宋体"/>
          <w:b/>
          <w:color w:val="auto"/>
          <w:sz w:val="24"/>
          <w:highlight w:val="none"/>
        </w:rPr>
        <w:t>2.14 合同中止、终止</w:t>
      </w:r>
      <w:bookmarkEnd w:id="489"/>
      <w:bookmarkEnd w:id="490"/>
      <w:bookmarkEnd w:id="491"/>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2" w:name="_Toc1969"/>
      <w:bookmarkStart w:id="493" w:name="_Toc14525"/>
      <w:bookmarkStart w:id="494" w:name="_Toc17363"/>
      <w:r>
        <w:rPr>
          <w:rFonts w:ascii="宋体" w:hAnsi="宋体"/>
          <w:b/>
          <w:color w:val="auto"/>
          <w:sz w:val="24"/>
          <w:highlight w:val="none"/>
        </w:rPr>
        <w:t>2.15 检验和验收</w:t>
      </w:r>
      <w:bookmarkEnd w:id="492"/>
      <w:bookmarkEnd w:id="493"/>
      <w:bookmarkEnd w:id="494"/>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5" w:name="_Toc9808"/>
      <w:bookmarkStart w:id="496" w:name="_Toc25198"/>
      <w:bookmarkStart w:id="497" w:name="_Toc12666"/>
      <w:bookmarkStart w:id="498" w:name="_Toc31892"/>
      <w:bookmarkStart w:id="499" w:name="_Toc2308"/>
      <w:r>
        <w:rPr>
          <w:rFonts w:ascii="宋体" w:hAnsi="宋体"/>
          <w:b/>
          <w:color w:val="auto"/>
          <w:sz w:val="24"/>
          <w:highlight w:val="none"/>
        </w:rPr>
        <w:t>2.16 通知和送达</w:t>
      </w:r>
      <w:bookmarkEnd w:id="495"/>
      <w:bookmarkEnd w:id="496"/>
      <w:bookmarkEnd w:id="497"/>
      <w:bookmarkEnd w:id="498"/>
      <w:bookmarkEnd w:id="499"/>
    </w:p>
    <w:p w14:paraId="2D57AD58">
      <w:pPr>
        <w:spacing w:line="560" w:lineRule="exact"/>
        <w:ind w:firstLine="480" w:firstLineChars="200"/>
        <w:rPr>
          <w:rFonts w:ascii="宋体" w:hAnsi="宋体"/>
          <w:color w:val="auto"/>
          <w:sz w:val="24"/>
          <w:highlight w:val="none"/>
        </w:rPr>
      </w:pPr>
      <w:bookmarkStart w:id="500" w:name="_Toc27674"/>
      <w:bookmarkStart w:id="501"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0"/>
      <w:bookmarkEnd w:id="501"/>
    </w:p>
    <w:p w14:paraId="79494EF1">
      <w:pPr>
        <w:spacing w:line="560" w:lineRule="exact"/>
        <w:ind w:firstLine="482" w:firstLineChars="200"/>
        <w:outlineLvl w:val="0"/>
        <w:rPr>
          <w:rFonts w:ascii="宋体" w:hAnsi="宋体"/>
          <w:b/>
          <w:color w:val="auto"/>
          <w:sz w:val="24"/>
          <w:highlight w:val="none"/>
        </w:rPr>
      </w:pPr>
      <w:bookmarkStart w:id="502" w:name="_Toc5063"/>
      <w:bookmarkStart w:id="503" w:name="_Toc20808"/>
      <w:bookmarkStart w:id="504" w:name="_Toc27644"/>
      <w:bookmarkStart w:id="505" w:name="_Toc12254"/>
      <w:bookmarkStart w:id="506"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2"/>
      <w:bookmarkEnd w:id="503"/>
      <w:bookmarkEnd w:id="504"/>
      <w:bookmarkEnd w:id="505"/>
      <w:bookmarkEnd w:id="506"/>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7" w:name="_Toc30599"/>
      <w:bookmarkStart w:id="508" w:name="_Toc18540"/>
      <w:bookmarkStart w:id="509" w:name="_Toc4355"/>
      <w:r>
        <w:rPr>
          <w:rFonts w:hint="eastAsia" w:ascii="宋体" w:hAnsi="宋体" w:cs="宋体"/>
          <w:b/>
          <w:color w:val="auto"/>
          <w:sz w:val="24"/>
          <w:highlight w:val="none"/>
        </w:rPr>
        <w:t>2.18 计量单位</w:t>
      </w:r>
      <w:bookmarkEnd w:id="507"/>
      <w:bookmarkEnd w:id="508"/>
      <w:bookmarkEnd w:id="509"/>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0" w:name="_Toc331685784"/>
      <w:r>
        <w:rPr>
          <w:rFonts w:hint="eastAsia" w:ascii="宋体" w:hAnsi="宋体" w:cs="宋体"/>
          <w:b/>
          <w:color w:val="auto"/>
          <w:sz w:val="24"/>
          <w:highlight w:val="none"/>
        </w:rPr>
        <w:t xml:space="preserve"> </w:t>
      </w:r>
      <w:bookmarkEnd w:id="510"/>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265D86D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9D774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杭州市临平区数据资源管理局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临平区数据资源管理局视频会议运维保障服务项目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HZZR-F250523N</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杭州市临平区数据资源管理局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临平区数据资源管理局视频会议运维保障服务项目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HZZR-F250523N</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1" w:name="_Hlk101257010"/>
      <w:r>
        <w:rPr>
          <w:rFonts w:hint="eastAsia" w:ascii="宋体" w:hAnsi="宋体" w:cs="宋体"/>
          <w:color w:val="auto"/>
          <w:sz w:val="24"/>
          <w:highlight w:val="none"/>
        </w:rPr>
        <w:t>（如果有)</w:t>
      </w:r>
      <w:bookmarkEnd w:id="511"/>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spacing w:line="360" w:lineRule="auto"/>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5E5C633B">
      <w:pPr>
        <w:jc w:val="center"/>
        <w:rPr>
          <w:rFonts w:ascii="宋体" w:hAnsi="宋体" w:cs="宋体"/>
          <w:b/>
          <w:color w:val="auto"/>
          <w:kern w:val="0"/>
          <w:sz w:val="32"/>
          <w:szCs w:val="32"/>
          <w:highlight w:val="none"/>
        </w:rPr>
      </w:pPr>
    </w:p>
    <w:p w14:paraId="77FA20D5">
      <w:pPr>
        <w:jc w:val="center"/>
        <w:rPr>
          <w:rFonts w:ascii="宋体" w:hAnsi="宋体" w:cs="宋体"/>
          <w:b/>
          <w:color w:val="auto"/>
          <w:kern w:val="0"/>
          <w:sz w:val="32"/>
          <w:szCs w:val="32"/>
          <w:highlight w:val="none"/>
        </w:rPr>
      </w:pPr>
    </w:p>
    <w:p w14:paraId="183C1BB7">
      <w:pPr>
        <w:jc w:val="center"/>
        <w:rPr>
          <w:rFonts w:ascii="宋体" w:hAnsi="宋体" w:cs="宋体"/>
          <w:b/>
          <w:color w:val="auto"/>
          <w:kern w:val="0"/>
          <w:sz w:val="32"/>
          <w:szCs w:val="32"/>
          <w:highlight w:val="none"/>
        </w:rPr>
      </w:pPr>
    </w:p>
    <w:p w14:paraId="7F5C9859">
      <w:pPr>
        <w:jc w:val="center"/>
        <w:rPr>
          <w:rFonts w:ascii="宋体" w:hAnsi="宋体" w:cs="宋体"/>
          <w:b/>
          <w:color w:val="auto"/>
          <w:kern w:val="0"/>
          <w:sz w:val="32"/>
          <w:szCs w:val="32"/>
          <w:highlight w:val="none"/>
        </w:rPr>
      </w:pPr>
    </w:p>
    <w:p w14:paraId="25CD7C21">
      <w:pPr>
        <w:jc w:val="center"/>
        <w:rPr>
          <w:rFonts w:ascii="宋体" w:hAnsi="宋体" w:cs="宋体"/>
          <w:b/>
          <w:color w:val="auto"/>
          <w:kern w:val="0"/>
          <w:sz w:val="32"/>
          <w:szCs w:val="32"/>
          <w:highlight w:val="none"/>
        </w:rPr>
      </w:pPr>
    </w:p>
    <w:p w14:paraId="4C0D5AB7">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杭州市临平区数据资源管理局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临平区数据资源管理局视频会议运维保障服务项目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HZZR-F250523N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杭州市临平区数据资源管理局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临平区数据资源管理局视频会议运维保障服务项目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HZZR-F250523N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33E83A8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0"/>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2AB2D19C">
      <w:pPr>
        <w:jc w:val="center"/>
        <w:rPr>
          <w:rFonts w:ascii="宋体" w:hAnsi="宋体" w:cs="宋体"/>
          <w:b/>
          <w:color w:val="auto"/>
          <w:kern w:val="0"/>
          <w:sz w:val="32"/>
          <w:szCs w:val="32"/>
          <w:highlight w:val="none"/>
        </w:rPr>
      </w:pPr>
    </w:p>
    <w:p w14:paraId="13903142">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0"/>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杭州市临平区数据资源管理局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1"/>
        <w:rPr>
          <w:rFonts w:hint="eastAsia"/>
          <w:color w:val="auto"/>
          <w:highlight w:val="none"/>
        </w:rPr>
      </w:pPr>
    </w:p>
    <w:p w14:paraId="4DA9F2CD">
      <w:pPr>
        <w:pStyle w:val="81"/>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杭州市临平区数据资源管理局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临平区数据资源管理局视频会议运维保障服务项目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HZZR-F250523N</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1"/>
        <w:rPr>
          <w:rFonts w:hint="eastAsia" w:ascii="宋体" w:hAnsi="宋体" w:cs="宋体"/>
          <w:b/>
          <w:color w:val="auto"/>
          <w:sz w:val="24"/>
          <w:highlight w:val="none"/>
        </w:rPr>
      </w:pPr>
    </w:p>
    <w:p w14:paraId="1AA2EA6C">
      <w:pPr>
        <w:pStyle w:val="81"/>
        <w:rPr>
          <w:rFonts w:hint="eastAsia" w:ascii="宋体" w:hAnsi="宋体" w:cs="宋体"/>
          <w:b/>
          <w:color w:val="auto"/>
          <w:sz w:val="24"/>
          <w:highlight w:val="none"/>
        </w:rPr>
      </w:pPr>
    </w:p>
    <w:p w14:paraId="4AF87534">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2" w:name="OLE_LINK14"/>
      <w:bookmarkStart w:id="513" w:name="OLE_LINK13"/>
      <w:r>
        <w:rPr>
          <w:rFonts w:hint="eastAsia" w:ascii="宋体" w:hAnsi="宋体" w:cs="宋体"/>
          <w:b/>
          <w:color w:val="auto"/>
          <w:spacing w:val="6"/>
          <w:sz w:val="32"/>
          <w:szCs w:val="32"/>
          <w:highlight w:val="none"/>
        </w:rPr>
        <w:t>残疾人福利性单位声明函</w:t>
      </w:r>
    </w:p>
    <w:bookmarkEnd w:id="512"/>
    <w:bookmarkEnd w:id="513"/>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临平区数据资源管理局视频会议运维保障服务项目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695BDA0">
      <w:pPr>
        <w:spacing w:line="360" w:lineRule="auto"/>
        <w:rPr>
          <w:rFonts w:ascii="宋体" w:hAnsi="宋体" w:cs="宋体"/>
          <w:b/>
          <w:color w:val="auto"/>
          <w:sz w:val="24"/>
          <w:highlight w:val="none"/>
        </w:rPr>
      </w:pPr>
    </w:p>
    <w:p w14:paraId="53485D10">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70D88092">
      <w:pPr>
        <w:spacing w:line="360" w:lineRule="auto"/>
        <w:jc w:val="left"/>
        <w:rPr>
          <w:rFonts w:hint="eastAsia" w:ascii="宋体" w:hAnsi="宋体" w:cs="宋体"/>
          <w:b/>
          <w:color w:val="auto"/>
          <w:spacing w:val="6"/>
          <w:sz w:val="32"/>
          <w:szCs w:val="32"/>
          <w:highlight w:val="none"/>
        </w:rPr>
      </w:pPr>
    </w:p>
    <w:p w14:paraId="5C322106">
      <w:pPr>
        <w:spacing w:line="360" w:lineRule="auto"/>
        <w:jc w:val="left"/>
        <w:rPr>
          <w:rFonts w:hint="eastAsia" w:ascii="宋体" w:hAnsi="宋体" w:cs="宋体"/>
          <w:b/>
          <w:color w:val="auto"/>
          <w:spacing w:val="6"/>
          <w:sz w:val="32"/>
          <w:szCs w:val="32"/>
          <w:highlight w:val="none"/>
        </w:rPr>
      </w:pPr>
    </w:p>
    <w:p w14:paraId="54B07856">
      <w:pPr>
        <w:spacing w:line="360" w:lineRule="auto"/>
        <w:jc w:val="left"/>
        <w:rPr>
          <w:rFonts w:hint="eastAsia" w:ascii="宋体" w:hAnsi="宋体" w:cs="宋体"/>
          <w:b/>
          <w:color w:val="auto"/>
          <w:spacing w:val="6"/>
          <w:sz w:val="32"/>
          <w:szCs w:val="32"/>
          <w:highlight w:val="none"/>
        </w:rPr>
      </w:pPr>
    </w:p>
    <w:p w14:paraId="3A583849">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71072A40">
      <w:pPr>
        <w:autoSpaceDE w:val="0"/>
        <w:autoSpaceDN w:val="0"/>
        <w:jc w:val="center"/>
        <w:rPr>
          <w:rFonts w:hint="eastAsia" w:ascii="宋体" w:hAnsi="宋体" w:cs="宋体"/>
          <w:b/>
          <w:color w:val="auto"/>
          <w:spacing w:val="6"/>
          <w:sz w:val="32"/>
          <w:szCs w:val="32"/>
          <w:highlight w:val="none"/>
        </w:rPr>
      </w:pPr>
    </w:p>
    <w:p w14:paraId="085A4E1D">
      <w:pPr>
        <w:autoSpaceDE w:val="0"/>
        <w:autoSpaceDN w:val="0"/>
        <w:jc w:val="center"/>
        <w:rPr>
          <w:rFonts w:hint="eastAsia" w:ascii="宋体" w:hAnsi="宋体" w:cs="宋体"/>
          <w:b/>
          <w:color w:val="auto"/>
          <w:spacing w:val="6"/>
          <w:sz w:val="32"/>
          <w:szCs w:val="32"/>
          <w:highlight w:val="none"/>
        </w:rPr>
      </w:pPr>
    </w:p>
    <w:p w14:paraId="6FB66A2B">
      <w:pPr>
        <w:autoSpaceDE w:val="0"/>
        <w:autoSpaceDN w:val="0"/>
        <w:jc w:val="center"/>
        <w:rPr>
          <w:rFonts w:hint="eastAsia" w:ascii="宋体" w:hAnsi="宋体" w:cs="宋体"/>
          <w:b/>
          <w:color w:val="auto"/>
          <w:spacing w:val="6"/>
          <w:sz w:val="32"/>
          <w:szCs w:val="32"/>
          <w:highlight w:val="none"/>
        </w:rPr>
      </w:pPr>
    </w:p>
    <w:p w14:paraId="4922F617">
      <w:pPr>
        <w:autoSpaceDE w:val="0"/>
        <w:autoSpaceDN w:val="0"/>
        <w:jc w:val="center"/>
        <w:rPr>
          <w:rFonts w:hint="eastAsia" w:ascii="宋体" w:hAnsi="宋体" w:cs="宋体"/>
          <w:b/>
          <w:color w:val="auto"/>
          <w:spacing w:val="6"/>
          <w:sz w:val="32"/>
          <w:szCs w:val="32"/>
          <w:highlight w:val="none"/>
        </w:rPr>
      </w:pPr>
    </w:p>
    <w:p w14:paraId="4EF4E1F7">
      <w:pPr>
        <w:autoSpaceDE w:val="0"/>
        <w:autoSpaceDN w:val="0"/>
        <w:jc w:val="center"/>
        <w:rPr>
          <w:rFonts w:hint="eastAsia" w:ascii="宋体" w:hAnsi="宋体" w:cs="宋体"/>
          <w:b/>
          <w:color w:val="auto"/>
          <w:spacing w:val="6"/>
          <w:sz w:val="32"/>
          <w:szCs w:val="32"/>
          <w:highlight w:val="none"/>
        </w:rPr>
      </w:pPr>
    </w:p>
    <w:p w14:paraId="456BA977">
      <w:pPr>
        <w:autoSpaceDE w:val="0"/>
        <w:autoSpaceDN w:val="0"/>
        <w:jc w:val="center"/>
        <w:rPr>
          <w:rFonts w:hint="eastAsia"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杭州市临平区数据资源管理局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杭州中瑞招标代理有限公司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临平区数据资源管理局视频会议运维保障服务项目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HZZR-F250523N</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21270B1B">
      <w:pPr>
        <w:autoSpaceDE w:val="0"/>
        <w:autoSpaceDN w:val="0"/>
        <w:jc w:val="center"/>
        <w:rPr>
          <w:rFonts w:hint="eastAsia" w:ascii="宋体" w:hAnsi="宋体" w:cs="宋体"/>
          <w:b/>
          <w:color w:val="auto"/>
          <w:spacing w:val="6"/>
          <w:sz w:val="32"/>
          <w:szCs w:val="32"/>
          <w:highlight w:val="none"/>
        </w:rPr>
      </w:pPr>
    </w:p>
    <w:p w14:paraId="30380308">
      <w:pPr>
        <w:autoSpaceDE w:val="0"/>
        <w:autoSpaceDN w:val="0"/>
        <w:jc w:val="center"/>
        <w:rPr>
          <w:rFonts w:hint="eastAsia" w:ascii="宋体" w:hAnsi="宋体" w:cs="宋体"/>
          <w:b/>
          <w:color w:val="auto"/>
          <w:spacing w:val="6"/>
          <w:sz w:val="32"/>
          <w:szCs w:val="32"/>
          <w:highlight w:val="none"/>
        </w:rPr>
      </w:pPr>
    </w:p>
    <w:p w14:paraId="10C1B16B">
      <w:pPr>
        <w:autoSpaceDE w:val="0"/>
        <w:autoSpaceDN w:val="0"/>
        <w:jc w:val="center"/>
        <w:rPr>
          <w:rFonts w:hint="eastAsia" w:ascii="宋体" w:hAnsi="宋体" w:cs="宋体"/>
          <w:b/>
          <w:color w:val="auto"/>
          <w:spacing w:val="6"/>
          <w:sz w:val="32"/>
          <w:szCs w:val="32"/>
          <w:highlight w:val="none"/>
        </w:rPr>
      </w:pPr>
    </w:p>
    <w:p w14:paraId="5826E957">
      <w:pPr>
        <w:autoSpaceDE w:val="0"/>
        <w:autoSpaceDN w:val="0"/>
        <w:jc w:val="center"/>
        <w:rPr>
          <w:rFonts w:hint="eastAsia" w:ascii="宋体" w:hAnsi="宋体" w:cs="宋体"/>
          <w:b/>
          <w:color w:val="auto"/>
          <w:spacing w:val="6"/>
          <w:sz w:val="32"/>
          <w:szCs w:val="32"/>
          <w:highlight w:val="none"/>
        </w:rPr>
      </w:pPr>
    </w:p>
    <w:p w14:paraId="671CE5E9">
      <w:pPr>
        <w:autoSpaceDE w:val="0"/>
        <w:autoSpaceDN w:val="0"/>
        <w:jc w:val="center"/>
        <w:rPr>
          <w:rFonts w:hint="eastAsia" w:ascii="宋体" w:hAnsi="宋体" w:cs="宋体"/>
          <w:b/>
          <w:color w:val="auto"/>
          <w:spacing w:val="6"/>
          <w:sz w:val="32"/>
          <w:szCs w:val="32"/>
          <w:highlight w:val="none"/>
        </w:rPr>
      </w:pPr>
    </w:p>
    <w:p w14:paraId="14E45CFE">
      <w:pPr>
        <w:autoSpaceDE w:val="0"/>
        <w:autoSpaceDN w:val="0"/>
        <w:jc w:val="center"/>
        <w:rPr>
          <w:rFonts w:hint="eastAsia"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临平区数据资源管理局视频会议运维保障服务项目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HZZR-F250523N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5"/>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6"/>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728095AB">
      <w:pPr>
        <w:autoSpaceDE w:val="0"/>
        <w:autoSpaceDN w:val="0"/>
        <w:jc w:val="center"/>
        <w:rPr>
          <w:rFonts w:ascii="宋体" w:hAnsi="宋体" w:cs="宋体"/>
          <w:b/>
          <w:color w:val="auto"/>
          <w:spacing w:val="6"/>
          <w:sz w:val="32"/>
          <w:szCs w:val="32"/>
          <w:highlight w:val="none"/>
        </w:rPr>
      </w:pPr>
    </w:p>
    <w:p w14:paraId="10C03F7B">
      <w:pPr>
        <w:autoSpaceDE w:val="0"/>
        <w:autoSpaceDN w:val="0"/>
        <w:jc w:val="center"/>
        <w:rPr>
          <w:rFonts w:ascii="宋体" w:hAnsi="宋体" w:cs="宋体"/>
          <w:b/>
          <w:color w:val="auto"/>
          <w:spacing w:val="6"/>
          <w:sz w:val="32"/>
          <w:szCs w:val="32"/>
          <w:highlight w:val="none"/>
        </w:rPr>
      </w:pPr>
    </w:p>
    <w:p w14:paraId="031711AD">
      <w:pPr>
        <w:autoSpaceDE w:val="0"/>
        <w:autoSpaceDN w:val="0"/>
        <w:jc w:val="center"/>
        <w:rPr>
          <w:rFonts w:ascii="宋体" w:hAnsi="宋体" w:cs="宋体"/>
          <w:b/>
          <w:color w:val="auto"/>
          <w:spacing w:val="6"/>
          <w:sz w:val="32"/>
          <w:szCs w:val="32"/>
          <w:highlight w:val="none"/>
        </w:rPr>
      </w:pPr>
    </w:p>
    <w:p w14:paraId="1F1C6075">
      <w:pPr>
        <w:autoSpaceDE w:val="0"/>
        <w:autoSpaceDN w:val="0"/>
        <w:jc w:val="center"/>
        <w:rPr>
          <w:rFonts w:ascii="宋体" w:hAnsi="宋体" w:cs="宋体"/>
          <w:b/>
          <w:color w:val="auto"/>
          <w:spacing w:val="6"/>
          <w:sz w:val="32"/>
          <w:szCs w:val="32"/>
          <w:highlight w:val="none"/>
        </w:rPr>
      </w:pPr>
    </w:p>
    <w:p w14:paraId="11F2F112">
      <w:pPr>
        <w:autoSpaceDE w:val="0"/>
        <w:autoSpaceDN w:val="0"/>
        <w:jc w:val="center"/>
        <w:rPr>
          <w:rFonts w:ascii="宋体" w:hAnsi="宋体" w:cs="宋体"/>
          <w:b/>
          <w:color w:val="auto"/>
          <w:spacing w:val="6"/>
          <w:sz w:val="32"/>
          <w:szCs w:val="32"/>
          <w:highlight w:val="none"/>
        </w:rPr>
      </w:pPr>
    </w:p>
    <w:p w14:paraId="1313635E">
      <w:pPr>
        <w:autoSpaceDE w:val="0"/>
        <w:autoSpaceDN w:val="0"/>
        <w:jc w:val="center"/>
        <w:rPr>
          <w:rFonts w:ascii="宋体" w:hAnsi="宋体" w:cs="宋体"/>
          <w:b/>
          <w:color w:val="auto"/>
          <w:spacing w:val="6"/>
          <w:sz w:val="32"/>
          <w:szCs w:val="32"/>
          <w:highlight w:val="none"/>
        </w:rPr>
      </w:pPr>
    </w:p>
    <w:p w14:paraId="4A22D74B">
      <w:pPr>
        <w:snapToGrid w:val="0"/>
        <w:spacing w:line="360" w:lineRule="auto"/>
        <w:rPr>
          <w:rFonts w:hint="eastAsia" w:ascii="宋体" w:hAnsi="宋体" w:cs="宋体"/>
          <w:b/>
          <w:color w:val="auto"/>
          <w:spacing w:val="6"/>
          <w:sz w:val="32"/>
          <w:szCs w:val="32"/>
          <w:highlight w:val="none"/>
        </w:rPr>
      </w:pPr>
    </w:p>
    <w:p w14:paraId="1EA60D8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临平区数据资源管理局视频会议运维保障服务项目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HZZR-F250523N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7E1CDAA0">
      <w:pPr>
        <w:autoSpaceDE w:val="0"/>
        <w:autoSpaceDN w:val="0"/>
        <w:jc w:val="center"/>
        <w:rPr>
          <w:rFonts w:ascii="宋体" w:hAnsi="宋体" w:cs="宋体"/>
          <w:b/>
          <w:color w:val="auto"/>
          <w:spacing w:val="6"/>
          <w:sz w:val="32"/>
          <w:szCs w:val="32"/>
          <w:highlight w:val="none"/>
        </w:rPr>
      </w:pPr>
    </w:p>
    <w:p w14:paraId="5B64BDA3">
      <w:pPr>
        <w:autoSpaceDE w:val="0"/>
        <w:autoSpaceDN w:val="0"/>
        <w:jc w:val="center"/>
        <w:rPr>
          <w:rFonts w:ascii="宋体" w:hAnsi="宋体" w:cs="宋体"/>
          <w:b/>
          <w:color w:val="auto"/>
          <w:spacing w:val="6"/>
          <w:sz w:val="32"/>
          <w:szCs w:val="32"/>
          <w:highlight w:val="none"/>
        </w:rPr>
      </w:pPr>
    </w:p>
    <w:p w14:paraId="70DD7D9E">
      <w:pPr>
        <w:autoSpaceDE w:val="0"/>
        <w:autoSpaceDN w:val="0"/>
        <w:jc w:val="center"/>
        <w:rPr>
          <w:rFonts w:ascii="宋体" w:hAnsi="宋体" w:cs="宋体"/>
          <w:b/>
          <w:color w:val="auto"/>
          <w:spacing w:val="6"/>
          <w:sz w:val="32"/>
          <w:szCs w:val="32"/>
          <w:highlight w:val="none"/>
        </w:rPr>
      </w:pPr>
    </w:p>
    <w:p w14:paraId="49D6F3C0">
      <w:pPr>
        <w:autoSpaceDE w:val="0"/>
        <w:autoSpaceDN w:val="0"/>
        <w:jc w:val="center"/>
        <w:rPr>
          <w:rFonts w:ascii="宋体" w:hAnsi="宋体" w:cs="宋体"/>
          <w:b/>
          <w:color w:val="auto"/>
          <w:spacing w:val="6"/>
          <w:sz w:val="32"/>
          <w:szCs w:val="32"/>
          <w:highlight w:val="none"/>
        </w:rPr>
      </w:pPr>
    </w:p>
    <w:p w14:paraId="5CB7EAC1">
      <w:pPr>
        <w:autoSpaceDE w:val="0"/>
        <w:autoSpaceDN w:val="0"/>
        <w:jc w:val="center"/>
        <w:rPr>
          <w:rFonts w:ascii="宋体" w:hAnsi="宋体" w:cs="宋体"/>
          <w:b/>
          <w:color w:val="auto"/>
          <w:spacing w:val="6"/>
          <w:sz w:val="32"/>
          <w:szCs w:val="32"/>
          <w:highlight w:val="none"/>
        </w:rPr>
      </w:pPr>
    </w:p>
    <w:p w14:paraId="5B15A449">
      <w:pPr>
        <w:autoSpaceDE w:val="0"/>
        <w:autoSpaceDN w:val="0"/>
        <w:jc w:val="center"/>
        <w:rPr>
          <w:rFonts w:ascii="宋体" w:hAnsi="宋体" w:cs="宋体"/>
          <w:b/>
          <w:color w:val="auto"/>
          <w:spacing w:val="6"/>
          <w:sz w:val="32"/>
          <w:szCs w:val="32"/>
          <w:highlight w:val="none"/>
        </w:rPr>
      </w:pPr>
    </w:p>
    <w:p w14:paraId="35D26D9D">
      <w:pPr>
        <w:autoSpaceDE w:val="0"/>
        <w:autoSpaceDN w:val="0"/>
        <w:jc w:val="both"/>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杭州市临平区数据资源管理局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临平区数据资源管理局视频会议运维保障服务项目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szCs w:val="24"/>
          <w:highlight w:val="none"/>
          <w:u w:val="single"/>
        </w:rPr>
        <w:t>临平区数据资源管理局视频会议运维保障服务项目</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软件和信息技术服务</w:t>
      </w:r>
      <w:r>
        <w:rPr>
          <w:rFonts w:hint="eastAsia" w:ascii="宋体" w:hAnsi="宋体" w:cs="宋体"/>
          <w:color w:val="auto"/>
          <w:sz w:val="24"/>
          <w:highlight w:val="none"/>
          <w:u w:val="single"/>
        </w:rPr>
        <w:t>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color w:val="auto"/>
          <w:sz w:val="24"/>
          <w:szCs w:val="24"/>
          <w:highlight w:val="none"/>
          <w:u w:val="single"/>
        </w:rPr>
        <w:t>临平区数据资源管理局视频会议运维保障服务项目</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软件和信息技术服务</w:t>
      </w:r>
      <w:r>
        <w:rPr>
          <w:rFonts w:hint="eastAsia" w:ascii="宋体" w:hAnsi="宋体" w:cs="宋体"/>
          <w:color w:val="auto"/>
          <w:sz w:val="24"/>
          <w:highlight w:val="none"/>
          <w:u w:val="single"/>
        </w:rPr>
        <w:t>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0"/>
      <w:framePr w:wrap="around" w:vAnchor="text" w:hAnchor="margin" w:xAlign="right" w:y="1"/>
      <w:rPr>
        <w:rStyle w:val="73"/>
      </w:rPr>
    </w:pPr>
    <w:r>
      <w:fldChar w:fldCharType="begin"/>
    </w:r>
    <w:r>
      <w:rPr>
        <w:rStyle w:val="73"/>
      </w:rPr>
      <w:instrText xml:space="preserve">PAGE  </w:instrText>
    </w:r>
    <w:r>
      <w:fldChar w:fldCharType="end"/>
    </w:r>
  </w:p>
  <w:p w14:paraId="65FC6C0A">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91899912"/>
    <w:bookmarkStart w:id="518" w:name="_Toc36110187"/>
    <w:bookmarkStart w:id="519" w:name="_Toc131845147"/>
    <w:bookmarkStart w:id="520" w:name="_Toc164085800"/>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0"/>
      <w:framePr w:wrap="around" w:vAnchor="text" w:hAnchor="margin" w:xAlign="right" w:y="1"/>
      <w:rPr>
        <w:rStyle w:val="73"/>
      </w:rPr>
    </w:pPr>
    <w:r>
      <w:fldChar w:fldCharType="begin"/>
    </w:r>
    <w:r>
      <w:rPr>
        <w:rStyle w:val="73"/>
      </w:rPr>
      <w:instrText xml:space="preserve">PAGE  </w:instrText>
    </w:r>
    <w:r>
      <w:fldChar w:fldCharType="end"/>
    </w:r>
  </w:p>
  <w:p w14:paraId="5E0900A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1"/>
      <w:pBdr>
        <w:bottom w:val="single" w:color="auto" w:sz="6" w:space="4"/>
      </w:pBdr>
      <w:jc w:val="right"/>
    </w:pPr>
    <w:r>
      <w:t></w:t>
    </w:r>
    <w:r>
      <w:rPr>
        <w:rFonts w:hint="eastAsia"/>
      </w:rPr>
      <w:t xml:space="preserve">             </w:t>
    </w:r>
    <w:r>
      <w:t>杭州市政府采购公开招标文件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1"/>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1"/>
    </w:pPr>
    <w:r>
      <w:t></w:t>
    </w:r>
    <w:r>
      <w:rPr>
        <w:rFonts w:hint="eastAsia"/>
      </w:rPr>
      <w:t xml:space="preserve">         </w:t>
    </w:r>
  </w:p>
  <w:p w14:paraId="6F97612A">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1"/>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1"/>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02F5E"/>
    <w:multiLevelType w:val="singleLevel"/>
    <w:tmpl w:val="1F502F5E"/>
    <w:lvl w:ilvl="0" w:tentative="0">
      <w:start w:val="1"/>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63DA19F6"/>
    <w:multiLevelType w:val="singleLevel"/>
    <w:tmpl w:val="63DA19F6"/>
    <w:lvl w:ilvl="0" w:tentative="0">
      <w:start w:val="2"/>
      <w:numFmt w:val="decimal"/>
      <w:suff w:val="nothing"/>
      <w:lvlText w:val="%1、"/>
      <w:lvlJc w:val="left"/>
    </w:lvl>
  </w:abstractNum>
  <w:abstractNum w:abstractNumId="3">
    <w:nsid w:val="70440BBE"/>
    <w:multiLevelType w:val="multilevel"/>
    <w:tmpl w:val="70440BBE"/>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311782"/>
    <w:rsid w:val="154A6454"/>
    <w:rsid w:val="15762120"/>
    <w:rsid w:val="15B208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484530"/>
    <w:rsid w:val="258B00E2"/>
    <w:rsid w:val="25A917A6"/>
    <w:rsid w:val="25BE27CC"/>
    <w:rsid w:val="25F74A5C"/>
    <w:rsid w:val="2628662C"/>
    <w:rsid w:val="262D45DE"/>
    <w:rsid w:val="26871DC8"/>
    <w:rsid w:val="26877F76"/>
    <w:rsid w:val="26A53EF9"/>
    <w:rsid w:val="26A94201"/>
    <w:rsid w:val="26AC274F"/>
    <w:rsid w:val="27044A29"/>
    <w:rsid w:val="271D34C8"/>
    <w:rsid w:val="276142BF"/>
    <w:rsid w:val="27783712"/>
    <w:rsid w:val="27907362"/>
    <w:rsid w:val="27E50BA9"/>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9A325B"/>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D60063"/>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AF4549"/>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5B49BA"/>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7D076C"/>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8E2081"/>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3003EA"/>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1D4F43"/>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C71E7B"/>
    <w:rsid w:val="7AD05746"/>
    <w:rsid w:val="7B257FFD"/>
    <w:rsid w:val="7B273D20"/>
    <w:rsid w:val="7B343476"/>
    <w:rsid w:val="7B5A2978"/>
    <w:rsid w:val="7B5A7E4C"/>
    <w:rsid w:val="7B667AF9"/>
    <w:rsid w:val="7B7468F8"/>
    <w:rsid w:val="7BA9702E"/>
    <w:rsid w:val="7BEE0103"/>
    <w:rsid w:val="7C0A0FE4"/>
    <w:rsid w:val="7C160E9A"/>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next w:val="1"/>
    <w:qFormat/>
    <w:uiPriority w:val="0"/>
    <w:pPr>
      <w:widowControl w:val="0"/>
      <w:ind w:left="2940" w:leftChars="1400"/>
      <w:jc w:val="both"/>
    </w:pPr>
    <w:rPr>
      <w:rFonts w:ascii="Times New Roman" w:hAnsi="Times New Roman" w:eastAsia="宋体" w:cs="Times New Roman"/>
      <w:kern w:val="2"/>
      <w:sz w:val="21"/>
      <w:szCs w:val="24"/>
      <w:lang w:val="en-US" w:eastAsia="zh-CN" w:bidi="ar-SA"/>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7"/>
    <w:qFormat/>
    <w:uiPriority w:val="0"/>
    <w:rPr>
      <w:b/>
      <w:bCs/>
    </w:rPr>
  </w:style>
  <w:style w:type="paragraph" w:styleId="61">
    <w:name w:val="Body Text First Indent"/>
    <w:basedOn w:val="24"/>
    <w:link w:val="322"/>
    <w:qFormat/>
    <w:uiPriority w:val="0"/>
    <w:pPr>
      <w:ind w:firstLine="420"/>
    </w:pPr>
    <w:rPr>
      <w:rFonts w:hAnsi="Calibri" w:cs="Times New Roman"/>
      <w:snapToGrid/>
      <w:szCs w:val="20"/>
    </w:rPr>
  </w:style>
  <w:style w:type="paragraph" w:styleId="62">
    <w:name w:val="Body Text First Indent 2"/>
    <w:basedOn w:val="25"/>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24336</Words>
  <Characters>25743</Characters>
  <Lines>281</Lines>
  <Paragraphs>79</Paragraphs>
  <TotalTime>6</TotalTime>
  <ScaleCrop>false</ScaleCrop>
  <LinksUpToDate>false</LinksUpToDate>
  <CharactersWithSpaces>26450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35039</dc:creator>
  <cp:lastModifiedBy>MR.BEAR</cp:lastModifiedBy>
  <cp:lastPrinted>2021-12-28T03:06:00Z</cp:lastPrinted>
  <dcterms:modified xsi:type="dcterms:W3CDTF">2025-06-27T08:08:18Z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eyJoZGlkIjoiNWI0NGM5NDhjZmMwMjc2ZGZhMzlkODE5ZjkyOWJiOGEiLCJ1c2VySWQiOiI0NDc1NjU3ODQifQ==</vt:lpwstr>
  </property>
</Properties>
</file>