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ind w:firstLine="0"/>
        <w:rPr>
          <w:rFonts w:hint="eastAsia" w:ascii="宋体" w:hAnsi="宋体" w:eastAsia="宋体" w:cs="宋体"/>
          <w:b/>
          <w:bCs/>
          <w:color w:val="auto"/>
          <w:spacing w:val="6"/>
          <w:sz w:val="44"/>
          <w:szCs w:val="44"/>
        </w:rPr>
      </w:pPr>
      <w:bookmarkStart w:id="164" w:name="_GoBack"/>
      <w:bookmarkEnd w:id="164"/>
    </w:p>
    <w:p>
      <w:pPr>
        <w:pStyle w:val="32"/>
        <w:ind w:firstLine="0"/>
        <w:jc w:val="center"/>
        <w:rPr>
          <w:rFonts w:hint="eastAsia" w:ascii="宋体" w:hAnsi="宋体" w:eastAsia="宋体" w:cs="宋体"/>
          <w:b/>
          <w:bCs/>
          <w:color w:val="auto"/>
          <w:spacing w:val="6"/>
          <w:sz w:val="48"/>
          <w:szCs w:val="48"/>
        </w:rPr>
      </w:pPr>
      <w:r>
        <w:rPr>
          <w:rFonts w:hint="eastAsia" w:ascii="宋体" w:hAnsi="宋体" w:eastAsia="宋体" w:cs="宋体"/>
          <w:b/>
          <w:bCs/>
          <w:color w:val="auto"/>
          <w:spacing w:val="6"/>
          <w:sz w:val="48"/>
          <w:szCs w:val="48"/>
        </w:rPr>
        <w:t>临平区公共物资仓储管理中心服务外包</w:t>
      </w:r>
    </w:p>
    <w:p>
      <w:pPr>
        <w:pStyle w:val="32"/>
        <w:ind w:firstLine="0"/>
        <w:jc w:val="center"/>
        <w:rPr>
          <w:rFonts w:hint="eastAsia" w:ascii="宋体" w:hAnsi="宋体" w:eastAsia="宋体" w:cs="宋体"/>
          <w:b/>
          <w:bCs/>
          <w:color w:val="auto"/>
          <w:spacing w:val="6"/>
          <w:sz w:val="44"/>
          <w:szCs w:val="44"/>
        </w:rPr>
      </w:pPr>
      <w:r>
        <w:rPr>
          <w:rFonts w:hint="eastAsia" w:ascii="宋体" w:hAnsi="宋体" w:eastAsia="宋体" w:cs="宋体"/>
          <w:b/>
          <w:bCs/>
          <w:color w:val="auto"/>
          <w:spacing w:val="6"/>
          <w:sz w:val="48"/>
          <w:szCs w:val="48"/>
        </w:rPr>
        <w:t>采购项目</w:t>
      </w:r>
    </w:p>
    <w:p>
      <w:pPr>
        <w:pStyle w:val="32"/>
        <w:jc w:val="center"/>
        <w:rPr>
          <w:rFonts w:hint="eastAsia" w:ascii="宋体" w:hAnsi="宋体" w:eastAsia="宋体" w:cs="宋体"/>
          <w:b/>
          <w:bCs/>
          <w:color w:val="auto"/>
          <w:spacing w:val="6"/>
          <w:sz w:val="44"/>
          <w:szCs w:val="44"/>
        </w:rPr>
      </w:pPr>
    </w:p>
    <w:p>
      <w:pPr>
        <w:pStyle w:val="32"/>
        <w:jc w:val="center"/>
        <w:rPr>
          <w:rFonts w:hint="eastAsia" w:ascii="宋体" w:hAnsi="宋体" w:eastAsia="宋体" w:cs="宋体"/>
          <w:b/>
          <w:bCs/>
          <w:color w:val="auto"/>
          <w:spacing w:val="6"/>
          <w:sz w:val="44"/>
          <w:szCs w:val="44"/>
        </w:rPr>
      </w:pPr>
    </w:p>
    <w:p>
      <w:pPr>
        <w:pStyle w:val="32"/>
        <w:jc w:val="center"/>
        <w:rPr>
          <w:rFonts w:hint="eastAsia" w:ascii="宋体" w:hAnsi="宋体" w:eastAsia="宋体" w:cs="宋体"/>
          <w:b/>
          <w:bCs/>
          <w:color w:val="auto"/>
          <w:spacing w:val="6"/>
          <w:sz w:val="44"/>
          <w:szCs w:val="44"/>
        </w:rPr>
      </w:pPr>
    </w:p>
    <w:p>
      <w:pPr>
        <w:pStyle w:val="32"/>
        <w:jc w:val="center"/>
        <w:rPr>
          <w:rFonts w:hint="eastAsia" w:ascii="宋体" w:hAnsi="宋体" w:eastAsia="宋体" w:cs="宋体"/>
          <w:b/>
          <w:bCs/>
          <w:color w:val="auto"/>
          <w:spacing w:val="6"/>
          <w:sz w:val="44"/>
          <w:szCs w:val="44"/>
        </w:rPr>
      </w:pPr>
    </w:p>
    <w:p>
      <w:pPr>
        <w:pStyle w:val="32"/>
        <w:jc w:val="center"/>
        <w:rPr>
          <w:rFonts w:hint="eastAsia" w:ascii="宋体" w:hAnsi="宋体" w:eastAsia="宋体" w:cs="宋体"/>
          <w:b/>
          <w:bCs/>
          <w:color w:val="auto"/>
          <w:spacing w:val="6"/>
          <w:sz w:val="44"/>
          <w:szCs w:val="44"/>
        </w:rPr>
      </w:pPr>
    </w:p>
    <w:p>
      <w:pPr>
        <w:pStyle w:val="32"/>
        <w:jc w:val="center"/>
        <w:rPr>
          <w:rFonts w:hint="eastAsia" w:ascii="宋体" w:hAnsi="宋体" w:eastAsia="宋体" w:cs="宋体"/>
          <w:b/>
          <w:bCs/>
          <w:color w:val="auto"/>
          <w:spacing w:val="6"/>
          <w:sz w:val="44"/>
          <w:szCs w:val="44"/>
        </w:rPr>
      </w:pPr>
    </w:p>
    <w:p>
      <w:pPr>
        <w:jc w:val="center"/>
        <w:rPr>
          <w:rFonts w:hint="eastAsia" w:ascii="宋体" w:hAnsi="宋体" w:cs="宋体"/>
          <w:b/>
          <w:bCs/>
          <w:color w:val="auto"/>
          <w:sz w:val="84"/>
          <w:szCs w:val="84"/>
        </w:rPr>
      </w:pPr>
      <w:r>
        <w:rPr>
          <w:rFonts w:hint="eastAsia" w:ascii="宋体" w:hAnsi="宋体" w:cs="宋体"/>
          <w:b/>
          <w:bCs/>
          <w:color w:val="auto"/>
          <w:sz w:val="84"/>
          <w:szCs w:val="84"/>
        </w:rPr>
        <w:t>公开招标文件</w:t>
      </w:r>
    </w:p>
    <w:p>
      <w:pPr>
        <w:widowControl/>
        <w:spacing w:line="600" w:lineRule="exact"/>
        <w:ind w:right="-2"/>
        <w:jc w:val="center"/>
        <w:rPr>
          <w:rFonts w:hint="eastAsia" w:ascii="宋体" w:hAnsi="宋体" w:cs="宋体"/>
          <w:b/>
          <w:color w:val="auto"/>
          <w:sz w:val="52"/>
          <w:szCs w:val="52"/>
        </w:rPr>
      </w:pPr>
      <w:r>
        <w:rPr>
          <w:rFonts w:hint="eastAsia" w:ascii="宋体" w:hAnsi="宋体" w:cs="宋体"/>
          <w:b/>
          <w:color w:val="auto"/>
          <w:sz w:val="52"/>
          <w:szCs w:val="52"/>
        </w:rPr>
        <w:t>（线上电子招投标）</w:t>
      </w:r>
    </w:p>
    <w:p>
      <w:pPr>
        <w:shd w:val="clear" w:color="auto" w:fill="FFFFFF"/>
        <w:snapToGrid w:val="0"/>
        <w:spacing w:line="600" w:lineRule="exact"/>
        <w:jc w:val="center"/>
        <w:rPr>
          <w:rFonts w:ascii="宋体" w:hAnsi="宋体" w:cs="宋体"/>
          <w:b/>
          <w:bCs/>
          <w:color w:val="auto"/>
          <w:sz w:val="32"/>
          <w:szCs w:val="32"/>
        </w:rPr>
      </w:pPr>
      <w:r>
        <w:rPr>
          <w:rFonts w:hint="eastAsia" w:ascii="宋体" w:hAnsi="宋体" w:cs="宋体"/>
          <w:b/>
          <w:bCs/>
          <w:color w:val="auto"/>
          <w:sz w:val="32"/>
          <w:szCs w:val="32"/>
        </w:rPr>
        <w:t xml:space="preserve">招标编号： </w:t>
      </w:r>
      <w:r>
        <w:rPr>
          <w:rFonts w:hint="eastAsia" w:ascii="宋体" w:hAnsi="宋体" w:cs="宋体"/>
          <w:b/>
          <w:bCs/>
          <w:color w:val="auto"/>
          <w:sz w:val="36"/>
          <w:szCs w:val="36"/>
          <w:lang w:eastAsia="zh-CN"/>
        </w:rPr>
        <w:t>HZSYZFCG-2021-012</w:t>
      </w:r>
      <w:r>
        <w:rPr>
          <w:rFonts w:hint="eastAsia" w:ascii="宋体" w:hAnsi="宋体" w:cs="宋体"/>
          <w:b/>
          <w:bCs/>
          <w:color w:val="auto"/>
          <w:sz w:val="32"/>
          <w:szCs w:val="32"/>
        </w:rPr>
        <w:t xml:space="preserve">   </w:t>
      </w:r>
    </w:p>
    <w:p>
      <w:pPr>
        <w:pStyle w:val="32"/>
        <w:jc w:val="center"/>
        <w:rPr>
          <w:rFonts w:hint="eastAsia" w:ascii="宋体" w:hAnsi="宋体" w:eastAsia="宋体" w:cs="宋体"/>
          <w:b/>
          <w:bCs/>
          <w:color w:val="auto"/>
          <w:spacing w:val="6"/>
          <w:sz w:val="44"/>
          <w:szCs w:val="44"/>
        </w:rPr>
      </w:pPr>
    </w:p>
    <w:p>
      <w:pPr>
        <w:pStyle w:val="32"/>
        <w:jc w:val="center"/>
        <w:rPr>
          <w:rFonts w:hint="eastAsia" w:ascii="宋体" w:hAnsi="宋体" w:eastAsia="宋体" w:cs="宋体"/>
          <w:b/>
          <w:bCs/>
          <w:color w:val="auto"/>
          <w:spacing w:val="6"/>
          <w:sz w:val="44"/>
          <w:szCs w:val="44"/>
        </w:rPr>
      </w:pPr>
    </w:p>
    <w:p>
      <w:pPr>
        <w:pStyle w:val="32"/>
        <w:jc w:val="center"/>
        <w:rPr>
          <w:rFonts w:hint="eastAsia" w:ascii="宋体" w:hAnsi="宋体" w:eastAsia="宋体" w:cs="宋体"/>
          <w:b/>
          <w:bCs/>
          <w:color w:val="auto"/>
          <w:spacing w:val="6"/>
          <w:sz w:val="44"/>
          <w:szCs w:val="44"/>
        </w:rPr>
      </w:pPr>
    </w:p>
    <w:p>
      <w:pPr>
        <w:pStyle w:val="32"/>
        <w:jc w:val="center"/>
        <w:rPr>
          <w:rFonts w:hint="eastAsia" w:ascii="宋体" w:hAnsi="宋体" w:eastAsia="宋体" w:cs="宋体"/>
          <w:b/>
          <w:bCs/>
          <w:color w:val="auto"/>
          <w:spacing w:val="6"/>
          <w:sz w:val="44"/>
          <w:szCs w:val="44"/>
        </w:rPr>
      </w:pPr>
    </w:p>
    <w:p>
      <w:pPr>
        <w:jc w:val="center"/>
        <w:rPr>
          <w:rFonts w:hint="eastAsia" w:ascii="宋体" w:hAnsi="宋体" w:cs="宋体"/>
          <w:b/>
          <w:bCs/>
          <w:color w:val="auto"/>
          <w:sz w:val="28"/>
          <w:szCs w:val="28"/>
        </w:rPr>
      </w:pPr>
    </w:p>
    <w:p>
      <w:pPr>
        <w:jc w:val="center"/>
        <w:rPr>
          <w:rFonts w:hint="eastAsia" w:ascii="宋体" w:hAnsi="宋体" w:cs="宋体"/>
          <w:b/>
          <w:bCs/>
          <w:color w:val="auto"/>
          <w:sz w:val="28"/>
          <w:szCs w:val="28"/>
        </w:rPr>
      </w:pPr>
    </w:p>
    <w:p>
      <w:pPr>
        <w:jc w:val="center"/>
        <w:rPr>
          <w:rFonts w:hint="eastAsia" w:ascii="宋体" w:hAnsi="宋体" w:cs="宋体"/>
          <w:b/>
          <w:bCs/>
          <w:color w:val="auto"/>
          <w:sz w:val="28"/>
          <w:szCs w:val="28"/>
        </w:rPr>
      </w:pPr>
    </w:p>
    <w:p>
      <w:pPr>
        <w:jc w:val="center"/>
        <w:rPr>
          <w:rFonts w:hint="eastAsia" w:ascii="宋体" w:hAnsi="宋体" w:cs="宋体"/>
          <w:b/>
          <w:bCs/>
          <w:color w:val="auto"/>
          <w:sz w:val="28"/>
          <w:szCs w:val="28"/>
        </w:rPr>
      </w:pPr>
    </w:p>
    <w:p>
      <w:pPr>
        <w:spacing w:line="360" w:lineRule="auto"/>
        <w:jc w:val="center"/>
        <w:rPr>
          <w:rFonts w:hint="eastAsia" w:ascii="宋体" w:hAnsi="宋体" w:cs="宋体"/>
          <w:b/>
          <w:bCs/>
          <w:color w:val="auto"/>
          <w:sz w:val="28"/>
          <w:szCs w:val="28"/>
        </w:rPr>
      </w:pPr>
      <w:r>
        <w:rPr>
          <w:rFonts w:hint="eastAsia" w:ascii="宋体" w:hAnsi="宋体" w:cs="宋体"/>
          <w:b/>
          <w:bCs/>
          <w:color w:val="auto"/>
          <w:sz w:val="28"/>
          <w:szCs w:val="28"/>
        </w:rPr>
        <w:t>招标人：杭州市临平区机关事务服务中心</w:t>
      </w:r>
    </w:p>
    <w:p>
      <w:pPr>
        <w:spacing w:line="360" w:lineRule="auto"/>
        <w:jc w:val="center"/>
        <w:rPr>
          <w:rFonts w:hint="eastAsia" w:ascii="宋体" w:hAnsi="宋体" w:cs="宋体"/>
          <w:b/>
          <w:bCs/>
          <w:color w:val="auto"/>
          <w:sz w:val="28"/>
          <w:szCs w:val="28"/>
        </w:rPr>
      </w:pPr>
      <w:r>
        <w:rPr>
          <w:rFonts w:hint="eastAsia" w:ascii="宋体" w:hAnsi="宋体" w:cs="宋体"/>
          <w:b/>
          <w:bCs/>
          <w:color w:val="auto"/>
          <w:sz w:val="28"/>
          <w:szCs w:val="28"/>
        </w:rPr>
        <w:t>招标代理机构：杭州</w:t>
      </w:r>
      <w:r>
        <w:rPr>
          <w:rFonts w:hint="eastAsia" w:ascii="宋体" w:hAnsi="宋体" w:cs="宋体"/>
          <w:b/>
          <w:bCs/>
          <w:color w:val="auto"/>
          <w:sz w:val="28"/>
          <w:szCs w:val="28"/>
          <w:lang w:val="en-US" w:eastAsia="zh-CN"/>
        </w:rPr>
        <w:t>溯远</w:t>
      </w:r>
      <w:r>
        <w:rPr>
          <w:rFonts w:hint="eastAsia" w:ascii="宋体" w:hAnsi="宋体" w:cs="宋体"/>
          <w:b/>
          <w:bCs/>
          <w:color w:val="auto"/>
          <w:sz w:val="28"/>
          <w:szCs w:val="28"/>
          <w:lang w:val="en-US" w:eastAsia="zh-CN"/>
        </w:rPr>
        <w:t>工程咨询</w:t>
      </w:r>
      <w:r>
        <w:rPr>
          <w:rFonts w:hint="eastAsia" w:ascii="宋体" w:hAnsi="宋体" w:cs="宋体"/>
          <w:b/>
          <w:bCs/>
          <w:color w:val="auto"/>
          <w:sz w:val="28"/>
          <w:szCs w:val="28"/>
        </w:rPr>
        <w:t>有限公司</w:t>
      </w:r>
    </w:p>
    <w:p>
      <w:pPr>
        <w:spacing w:line="360" w:lineRule="auto"/>
        <w:jc w:val="center"/>
        <w:rPr>
          <w:rFonts w:hint="eastAsia" w:ascii="宋体" w:hAnsi="宋体" w:cs="宋体"/>
          <w:b/>
          <w:bCs/>
          <w:color w:val="auto"/>
          <w:sz w:val="28"/>
          <w:szCs w:val="28"/>
        </w:rPr>
      </w:pPr>
      <w:r>
        <w:rPr>
          <w:rFonts w:hint="eastAsia" w:ascii="宋体" w:hAnsi="宋体" w:cs="宋体"/>
          <w:b/>
          <w:bCs/>
          <w:color w:val="auto"/>
          <w:sz w:val="28"/>
          <w:szCs w:val="28"/>
        </w:rPr>
        <w:t>二O二一年</w:t>
      </w:r>
      <w:r>
        <w:rPr>
          <w:rFonts w:hint="eastAsia" w:ascii="宋体" w:hAnsi="宋体" w:cs="宋体"/>
          <w:b/>
          <w:bCs/>
          <w:color w:val="auto"/>
          <w:sz w:val="28"/>
          <w:szCs w:val="28"/>
          <w:lang w:val="en-US" w:eastAsia="zh-CN"/>
        </w:rPr>
        <w:t>十二</w:t>
      </w:r>
      <w:r>
        <w:rPr>
          <w:rFonts w:hint="eastAsia" w:ascii="宋体" w:hAnsi="宋体" w:cs="宋体"/>
          <w:b/>
          <w:bCs/>
          <w:color w:val="auto"/>
          <w:sz w:val="28"/>
          <w:szCs w:val="28"/>
        </w:rPr>
        <w:t>月</w:t>
      </w:r>
    </w:p>
    <w:p>
      <w:pPr>
        <w:jc w:val="center"/>
        <w:rPr>
          <w:rFonts w:hint="eastAsia" w:ascii="宋体" w:hAnsi="宋体" w:cs="宋体"/>
          <w:b/>
          <w:bCs/>
          <w:color w:val="auto"/>
          <w:sz w:val="32"/>
          <w:szCs w:val="32"/>
        </w:rPr>
        <w:sectPr>
          <w:footerReference r:id="rId3" w:type="default"/>
          <w:pgSz w:w="11906" w:h="16838"/>
          <w:pgMar w:top="1531" w:right="1304" w:bottom="1531" w:left="1361" w:header="851" w:footer="1304" w:gutter="0"/>
          <w:cols w:space="720" w:num="1"/>
          <w:docGrid w:linePitch="312" w:charSpace="0"/>
        </w:sectPr>
      </w:pPr>
    </w:p>
    <w:p>
      <w:pPr>
        <w:jc w:val="center"/>
        <w:rPr>
          <w:rFonts w:hint="eastAsia" w:ascii="宋体" w:hAnsi="宋体" w:cs="宋体"/>
          <w:b/>
          <w:bCs/>
          <w:color w:val="auto"/>
          <w:sz w:val="32"/>
          <w:szCs w:val="32"/>
        </w:rPr>
      </w:pPr>
      <w:r>
        <w:rPr>
          <w:rFonts w:hint="eastAsia" w:ascii="宋体" w:hAnsi="宋体" w:cs="宋体"/>
          <w:b/>
          <w:bCs/>
          <w:color w:val="auto"/>
          <w:sz w:val="32"/>
          <w:szCs w:val="32"/>
        </w:rPr>
        <w:t>目  录</w:t>
      </w:r>
    </w:p>
    <w:p>
      <w:pPr>
        <w:pStyle w:val="54"/>
        <w:tabs>
          <w:tab w:val="right" w:leader="dot" w:pos="8948"/>
        </w:tabs>
        <w:spacing w:line="600" w:lineRule="exact"/>
        <w:rPr>
          <w:rFonts w:hint="eastAsia" w:ascii="宋体" w:hAnsi="宋体" w:cs="宋体"/>
          <w:b w:val="0"/>
          <w:caps w:val="0"/>
          <w:color w:val="auto"/>
          <w:sz w:val="24"/>
          <w:szCs w:val="24"/>
          <w:lang/>
        </w:rPr>
      </w:pPr>
      <w:r>
        <w:rPr>
          <w:rFonts w:hint="eastAsia" w:ascii="宋体" w:hAnsi="宋体" w:cs="宋体"/>
          <w:b w:val="0"/>
          <w:caps w:val="0"/>
          <w:smallCaps/>
          <w:color w:val="auto"/>
          <w:sz w:val="24"/>
          <w:szCs w:val="24"/>
        </w:rPr>
        <w:fldChar w:fldCharType="begin"/>
      </w:r>
      <w:r>
        <w:rPr>
          <w:rFonts w:hint="eastAsia" w:ascii="宋体" w:hAnsi="宋体" w:cs="宋体"/>
          <w:b w:val="0"/>
          <w:caps w:val="0"/>
          <w:smallCaps/>
          <w:color w:val="auto"/>
          <w:sz w:val="24"/>
          <w:szCs w:val="24"/>
        </w:rPr>
        <w:instrText xml:space="preserve"> TOC \o "1-2" \h \z \u </w:instrText>
      </w:r>
      <w:r>
        <w:rPr>
          <w:rFonts w:hint="eastAsia" w:ascii="宋体" w:hAnsi="宋体" w:cs="宋体"/>
          <w:b w:val="0"/>
          <w:caps w:val="0"/>
          <w:smallCaps/>
          <w:color w:val="auto"/>
          <w:sz w:val="24"/>
          <w:szCs w:val="24"/>
        </w:rPr>
        <w:fldChar w:fldCharType="separate"/>
      </w:r>
      <w:r>
        <w:rPr>
          <w:rFonts w:hint="eastAsia" w:ascii="宋体" w:hAnsi="宋体" w:cs="宋体"/>
          <w:b w:val="0"/>
          <w:color w:val="auto"/>
          <w:sz w:val="24"/>
          <w:szCs w:val="24"/>
          <w:lang/>
        </w:rPr>
        <w:fldChar w:fldCharType="begin"/>
      </w:r>
      <w:r>
        <w:rPr>
          <w:rFonts w:hint="eastAsia" w:ascii="宋体" w:hAnsi="宋体" w:cs="宋体"/>
          <w:b w:val="0"/>
          <w:color w:val="auto"/>
          <w:sz w:val="24"/>
          <w:szCs w:val="24"/>
          <w:lang/>
        </w:rPr>
        <w:instrText xml:space="preserve"> HYPERLINK \l "_Toc33194385" </w:instrText>
      </w:r>
      <w:r>
        <w:rPr>
          <w:rFonts w:hint="eastAsia" w:ascii="宋体" w:hAnsi="宋体" w:cs="宋体"/>
          <w:b w:val="0"/>
          <w:color w:val="auto"/>
          <w:sz w:val="24"/>
          <w:szCs w:val="24"/>
          <w:lang/>
        </w:rPr>
        <w:fldChar w:fldCharType="separate"/>
      </w:r>
      <w:r>
        <w:rPr>
          <w:rFonts w:hint="eastAsia" w:ascii="宋体" w:hAnsi="宋体" w:cs="宋体"/>
          <w:b w:val="0"/>
          <w:color w:val="auto"/>
          <w:sz w:val="24"/>
          <w:szCs w:val="24"/>
          <w:lang/>
        </w:rPr>
        <w:t>第一部分  招标公告</w:t>
      </w:r>
      <w:r>
        <w:rPr>
          <w:rFonts w:hint="eastAsia" w:ascii="宋体" w:hAnsi="宋体" w:cs="宋体"/>
          <w:b w:val="0"/>
          <w:color w:val="auto"/>
          <w:sz w:val="24"/>
          <w:szCs w:val="24"/>
          <w:lang/>
        </w:rPr>
        <w:tab/>
      </w:r>
      <w:r>
        <w:rPr>
          <w:rFonts w:hint="eastAsia" w:ascii="宋体" w:hAnsi="宋体" w:cs="宋体"/>
          <w:b w:val="0"/>
          <w:color w:val="auto"/>
          <w:sz w:val="24"/>
          <w:szCs w:val="24"/>
          <w:lang/>
        </w:rPr>
        <w:fldChar w:fldCharType="begin"/>
      </w:r>
      <w:r>
        <w:rPr>
          <w:rFonts w:hint="eastAsia" w:ascii="宋体" w:hAnsi="宋体" w:cs="宋体"/>
          <w:b w:val="0"/>
          <w:color w:val="auto"/>
          <w:sz w:val="24"/>
          <w:szCs w:val="24"/>
          <w:lang/>
        </w:rPr>
        <w:instrText xml:space="preserve"> PAGEREF _Toc33194385 \h </w:instrText>
      </w:r>
      <w:r>
        <w:rPr>
          <w:rFonts w:hint="eastAsia" w:ascii="宋体" w:hAnsi="宋体" w:cs="宋体"/>
          <w:b w:val="0"/>
          <w:color w:val="auto"/>
          <w:sz w:val="24"/>
          <w:szCs w:val="24"/>
          <w:lang/>
        </w:rPr>
        <w:fldChar w:fldCharType="separate"/>
      </w:r>
      <w:r>
        <w:rPr>
          <w:rFonts w:hint="eastAsia" w:ascii="宋体" w:hAnsi="宋体" w:cs="宋体"/>
          <w:b w:val="0"/>
          <w:color w:val="auto"/>
          <w:sz w:val="24"/>
          <w:szCs w:val="24"/>
          <w:lang/>
        </w:rPr>
        <w:t>3</w:t>
      </w:r>
      <w:r>
        <w:rPr>
          <w:rFonts w:hint="eastAsia" w:ascii="宋体" w:hAnsi="宋体" w:cs="宋体"/>
          <w:b w:val="0"/>
          <w:color w:val="auto"/>
          <w:sz w:val="24"/>
          <w:szCs w:val="24"/>
          <w:lang/>
        </w:rPr>
        <w:fldChar w:fldCharType="end"/>
      </w:r>
      <w:r>
        <w:rPr>
          <w:rFonts w:hint="eastAsia" w:ascii="宋体" w:hAnsi="宋体" w:cs="宋体"/>
          <w:b w:val="0"/>
          <w:color w:val="auto"/>
          <w:sz w:val="24"/>
          <w:szCs w:val="24"/>
          <w:lang/>
        </w:rPr>
        <w:fldChar w:fldCharType="end"/>
      </w:r>
    </w:p>
    <w:p>
      <w:pPr>
        <w:pStyle w:val="54"/>
        <w:tabs>
          <w:tab w:val="right" w:leader="dot" w:pos="8948"/>
        </w:tabs>
        <w:spacing w:line="600" w:lineRule="exact"/>
        <w:rPr>
          <w:rFonts w:hint="eastAsia" w:ascii="宋体" w:hAnsi="宋体" w:cs="宋体"/>
          <w:b w:val="0"/>
          <w:caps w:val="0"/>
          <w:color w:val="auto"/>
          <w:sz w:val="24"/>
          <w:szCs w:val="24"/>
          <w:lang/>
        </w:rPr>
      </w:pPr>
      <w:r>
        <w:rPr>
          <w:rFonts w:hint="eastAsia" w:ascii="宋体" w:hAnsi="宋体" w:cs="宋体"/>
          <w:b w:val="0"/>
          <w:color w:val="auto"/>
          <w:sz w:val="24"/>
          <w:szCs w:val="24"/>
          <w:lang/>
        </w:rPr>
        <w:fldChar w:fldCharType="begin"/>
      </w:r>
      <w:r>
        <w:rPr>
          <w:rFonts w:hint="eastAsia" w:ascii="宋体" w:hAnsi="宋体" w:cs="宋体"/>
          <w:b w:val="0"/>
          <w:color w:val="auto"/>
          <w:sz w:val="24"/>
          <w:szCs w:val="24"/>
          <w:lang/>
        </w:rPr>
        <w:instrText xml:space="preserve"> HYPERLINK \l "_Toc33194386" </w:instrText>
      </w:r>
      <w:r>
        <w:rPr>
          <w:rFonts w:hint="eastAsia" w:ascii="宋体" w:hAnsi="宋体" w:cs="宋体"/>
          <w:b w:val="0"/>
          <w:color w:val="auto"/>
          <w:sz w:val="24"/>
          <w:szCs w:val="24"/>
          <w:lang/>
        </w:rPr>
        <w:fldChar w:fldCharType="separate"/>
      </w:r>
      <w:r>
        <w:rPr>
          <w:rFonts w:hint="eastAsia" w:ascii="宋体" w:hAnsi="宋体" w:cs="宋体"/>
          <w:b w:val="0"/>
          <w:color w:val="auto"/>
          <w:sz w:val="24"/>
          <w:szCs w:val="24"/>
          <w:lang/>
        </w:rPr>
        <w:t>第二部分  编制和提交投标文件须知</w:t>
      </w:r>
      <w:r>
        <w:rPr>
          <w:rFonts w:hint="eastAsia" w:ascii="宋体" w:hAnsi="宋体" w:cs="宋体"/>
          <w:b w:val="0"/>
          <w:color w:val="auto"/>
          <w:sz w:val="24"/>
          <w:szCs w:val="24"/>
          <w:lang/>
        </w:rPr>
        <w:tab/>
      </w:r>
      <w:r>
        <w:rPr>
          <w:rFonts w:hint="eastAsia" w:ascii="宋体" w:hAnsi="宋体" w:cs="宋体"/>
          <w:b w:val="0"/>
          <w:color w:val="auto"/>
          <w:sz w:val="24"/>
          <w:szCs w:val="24"/>
          <w:lang/>
        </w:rPr>
        <w:fldChar w:fldCharType="begin"/>
      </w:r>
      <w:r>
        <w:rPr>
          <w:rFonts w:hint="eastAsia" w:ascii="宋体" w:hAnsi="宋体" w:cs="宋体"/>
          <w:b w:val="0"/>
          <w:color w:val="auto"/>
          <w:sz w:val="24"/>
          <w:szCs w:val="24"/>
          <w:lang/>
        </w:rPr>
        <w:instrText xml:space="preserve"> PAGEREF _Toc33194386 \h </w:instrText>
      </w:r>
      <w:r>
        <w:rPr>
          <w:rFonts w:hint="eastAsia" w:ascii="宋体" w:hAnsi="宋体" w:cs="宋体"/>
          <w:b w:val="0"/>
          <w:color w:val="auto"/>
          <w:sz w:val="24"/>
          <w:szCs w:val="24"/>
          <w:lang/>
        </w:rPr>
        <w:fldChar w:fldCharType="separate"/>
      </w:r>
      <w:r>
        <w:rPr>
          <w:rFonts w:hint="eastAsia" w:ascii="宋体" w:hAnsi="宋体" w:cs="宋体"/>
          <w:b w:val="0"/>
          <w:color w:val="auto"/>
          <w:sz w:val="24"/>
          <w:szCs w:val="24"/>
          <w:lang/>
        </w:rPr>
        <w:t>8</w:t>
      </w:r>
      <w:r>
        <w:rPr>
          <w:rFonts w:hint="eastAsia" w:ascii="宋体" w:hAnsi="宋体" w:cs="宋体"/>
          <w:b w:val="0"/>
          <w:color w:val="auto"/>
          <w:sz w:val="24"/>
          <w:szCs w:val="24"/>
          <w:lang/>
        </w:rPr>
        <w:fldChar w:fldCharType="end"/>
      </w:r>
      <w:r>
        <w:rPr>
          <w:rFonts w:hint="eastAsia" w:ascii="宋体" w:hAnsi="宋体" w:cs="宋体"/>
          <w:b w:val="0"/>
          <w:color w:val="auto"/>
          <w:sz w:val="24"/>
          <w:szCs w:val="24"/>
          <w:lang/>
        </w:rPr>
        <w:fldChar w:fldCharType="end"/>
      </w:r>
    </w:p>
    <w:p>
      <w:pPr>
        <w:pStyle w:val="66"/>
        <w:tabs>
          <w:tab w:val="right" w:leader="dot" w:pos="8948"/>
        </w:tabs>
        <w:spacing w:line="600" w:lineRule="exact"/>
        <w:ind w:left="0" w:firstLine="480" w:firstLineChars="200"/>
        <w:rPr>
          <w:rFonts w:hint="eastAsia" w:ascii="宋体" w:hAnsi="宋体" w:cs="宋体"/>
          <w:bCs/>
          <w:smallCaps w:val="0"/>
          <w:color w:val="auto"/>
          <w:sz w:val="24"/>
          <w:szCs w:val="24"/>
          <w:lang/>
        </w:rPr>
      </w:pPr>
      <w:r>
        <w:rPr>
          <w:rFonts w:hint="eastAsia" w:ascii="宋体" w:hAnsi="宋体" w:cs="宋体"/>
          <w:bCs/>
          <w:color w:val="auto"/>
          <w:sz w:val="24"/>
          <w:szCs w:val="24"/>
          <w:lang/>
        </w:rPr>
        <w:fldChar w:fldCharType="begin"/>
      </w:r>
      <w:r>
        <w:rPr>
          <w:rFonts w:hint="eastAsia" w:ascii="宋体" w:hAnsi="宋体" w:cs="宋体"/>
          <w:bCs/>
          <w:color w:val="auto"/>
          <w:sz w:val="24"/>
          <w:szCs w:val="24"/>
          <w:lang/>
        </w:rPr>
        <w:instrText xml:space="preserve"> HYPERLINK \l "_Toc33194387" </w:instrText>
      </w:r>
      <w:r>
        <w:rPr>
          <w:rFonts w:hint="eastAsia" w:ascii="宋体" w:hAnsi="宋体" w:cs="宋体"/>
          <w:bCs/>
          <w:color w:val="auto"/>
          <w:sz w:val="24"/>
          <w:szCs w:val="24"/>
          <w:lang/>
        </w:rPr>
        <w:fldChar w:fldCharType="separate"/>
      </w:r>
      <w:r>
        <w:rPr>
          <w:rFonts w:hint="eastAsia" w:ascii="宋体" w:hAnsi="宋体" w:cs="宋体"/>
          <w:bCs/>
          <w:color w:val="auto"/>
          <w:sz w:val="24"/>
          <w:szCs w:val="24"/>
          <w:lang/>
        </w:rPr>
        <w:t>前 附 表</w:t>
      </w:r>
      <w:r>
        <w:rPr>
          <w:rFonts w:hint="eastAsia" w:ascii="宋体" w:hAnsi="宋体" w:cs="宋体"/>
          <w:bCs/>
          <w:color w:val="auto"/>
          <w:sz w:val="24"/>
          <w:szCs w:val="24"/>
          <w:lang/>
        </w:rPr>
        <w:tab/>
      </w:r>
      <w:r>
        <w:rPr>
          <w:rFonts w:hint="eastAsia" w:ascii="宋体" w:hAnsi="宋体" w:cs="宋体"/>
          <w:bCs/>
          <w:color w:val="auto"/>
          <w:sz w:val="24"/>
          <w:szCs w:val="24"/>
          <w:lang/>
        </w:rPr>
        <w:fldChar w:fldCharType="begin"/>
      </w:r>
      <w:r>
        <w:rPr>
          <w:rFonts w:hint="eastAsia" w:ascii="宋体" w:hAnsi="宋体" w:cs="宋体"/>
          <w:bCs/>
          <w:color w:val="auto"/>
          <w:sz w:val="24"/>
          <w:szCs w:val="24"/>
          <w:lang/>
        </w:rPr>
        <w:instrText xml:space="preserve"> PAGEREF _Toc33194387 \h </w:instrText>
      </w:r>
      <w:r>
        <w:rPr>
          <w:rFonts w:hint="eastAsia" w:ascii="宋体" w:hAnsi="宋体" w:cs="宋体"/>
          <w:bCs/>
          <w:color w:val="auto"/>
          <w:sz w:val="24"/>
          <w:szCs w:val="24"/>
          <w:lang/>
        </w:rPr>
        <w:fldChar w:fldCharType="separate"/>
      </w:r>
      <w:r>
        <w:rPr>
          <w:rFonts w:hint="eastAsia" w:ascii="宋体" w:hAnsi="宋体" w:cs="宋体"/>
          <w:bCs/>
          <w:color w:val="auto"/>
          <w:sz w:val="24"/>
          <w:szCs w:val="24"/>
          <w:lang/>
        </w:rPr>
        <w:t>8</w:t>
      </w:r>
      <w:r>
        <w:rPr>
          <w:rFonts w:hint="eastAsia" w:ascii="宋体" w:hAnsi="宋体" w:cs="宋体"/>
          <w:bCs/>
          <w:color w:val="auto"/>
          <w:sz w:val="24"/>
          <w:szCs w:val="24"/>
          <w:lang/>
        </w:rPr>
        <w:fldChar w:fldCharType="end"/>
      </w:r>
      <w:r>
        <w:rPr>
          <w:rFonts w:hint="eastAsia" w:ascii="宋体" w:hAnsi="宋体" w:cs="宋体"/>
          <w:bCs/>
          <w:color w:val="auto"/>
          <w:sz w:val="24"/>
          <w:szCs w:val="24"/>
          <w:lang/>
        </w:rPr>
        <w:fldChar w:fldCharType="end"/>
      </w:r>
    </w:p>
    <w:p>
      <w:pPr>
        <w:pStyle w:val="66"/>
        <w:tabs>
          <w:tab w:val="right" w:leader="dot" w:pos="8948"/>
        </w:tabs>
        <w:spacing w:line="600" w:lineRule="exact"/>
        <w:ind w:left="0" w:firstLine="480" w:firstLineChars="200"/>
        <w:rPr>
          <w:rFonts w:hint="eastAsia" w:ascii="宋体" w:hAnsi="宋体" w:cs="宋体"/>
          <w:bCs/>
          <w:smallCaps w:val="0"/>
          <w:color w:val="auto"/>
          <w:sz w:val="24"/>
          <w:szCs w:val="24"/>
          <w:lang/>
        </w:rPr>
      </w:pPr>
      <w:r>
        <w:rPr>
          <w:rFonts w:hint="eastAsia" w:ascii="宋体" w:hAnsi="宋体" w:cs="宋体"/>
          <w:bCs/>
          <w:color w:val="auto"/>
          <w:sz w:val="24"/>
          <w:szCs w:val="24"/>
          <w:lang/>
        </w:rPr>
        <w:fldChar w:fldCharType="begin"/>
      </w:r>
      <w:r>
        <w:rPr>
          <w:rFonts w:hint="eastAsia" w:ascii="宋体" w:hAnsi="宋体" w:cs="宋体"/>
          <w:bCs/>
          <w:color w:val="auto"/>
          <w:sz w:val="24"/>
          <w:szCs w:val="24"/>
          <w:lang/>
        </w:rPr>
        <w:instrText xml:space="preserve"> HYPERLINK \l "_Toc33194388" </w:instrText>
      </w:r>
      <w:r>
        <w:rPr>
          <w:rFonts w:hint="eastAsia" w:ascii="宋体" w:hAnsi="宋体" w:cs="宋体"/>
          <w:bCs/>
          <w:color w:val="auto"/>
          <w:sz w:val="24"/>
          <w:szCs w:val="24"/>
          <w:lang/>
        </w:rPr>
        <w:fldChar w:fldCharType="separate"/>
      </w:r>
      <w:r>
        <w:rPr>
          <w:rFonts w:hint="eastAsia" w:ascii="宋体" w:hAnsi="宋体" w:cs="宋体"/>
          <w:bCs/>
          <w:color w:val="auto"/>
          <w:sz w:val="24"/>
          <w:szCs w:val="24"/>
          <w:lang/>
        </w:rPr>
        <w:t>一、总 则</w:t>
      </w:r>
      <w:r>
        <w:rPr>
          <w:rFonts w:hint="eastAsia" w:ascii="宋体" w:hAnsi="宋体" w:cs="宋体"/>
          <w:bCs/>
          <w:color w:val="auto"/>
          <w:sz w:val="24"/>
          <w:szCs w:val="24"/>
          <w:lang/>
        </w:rPr>
        <w:tab/>
      </w:r>
      <w:r>
        <w:rPr>
          <w:rFonts w:hint="eastAsia" w:ascii="宋体" w:hAnsi="宋体" w:cs="宋体"/>
          <w:bCs/>
          <w:color w:val="auto"/>
          <w:sz w:val="24"/>
          <w:szCs w:val="24"/>
          <w:lang/>
        </w:rPr>
        <w:fldChar w:fldCharType="begin"/>
      </w:r>
      <w:r>
        <w:rPr>
          <w:rFonts w:hint="eastAsia" w:ascii="宋体" w:hAnsi="宋体" w:cs="宋体"/>
          <w:bCs/>
          <w:color w:val="auto"/>
          <w:sz w:val="24"/>
          <w:szCs w:val="24"/>
          <w:lang/>
        </w:rPr>
        <w:instrText xml:space="preserve"> PAGEREF _Toc33194388 \h </w:instrText>
      </w:r>
      <w:r>
        <w:rPr>
          <w:rFonts w:hint="eastAsia" w:ascii="宋体" w:hAnsi="宋体" w:cs="宋体"/>
          <w:bCs/>
          <w:color w:val="auto"/>
          <w:sz w:val="24"/>
          <w:szCs w:val="24"/>
          <w:lang/>
        </w:rPr>
        <w:fldChar w:fldCharType="separate"/>
      </w:r>
      <w:r>
        <w:rPr>
          <w:rFonts w:hint="eastAsia" w:ascii="宋体" w:hAnsi="宋体" w:cs="宋体"/>
          <w:bCs/>
          <w:color w:val="auto"/>
          <w:sz w:val="24"/>
          <w:szCs w:val="24"/>
          <w:lang/>
        </w:rPr>
        <w:t>14</w:t>
      </w:r>
      <w:r>
        <w:rPr>
          <w:rFonts w:hint="eastAsia" w:ascii="宋体" w:hAnsi="宋体" w:cs="宋体"/>
          <w:bCs/>
          <w:color w:val="auto"/>
          <w:sz w:val="24"/>
          <w:szCs w:val="24"/>
          <w:lang/>
        </w:rPr>
        <w:fldChar w:fldCharType="end"/>
      </w:r>
      <w:r>
        <w:rPr>
          <w:rFonts w:hint="eastAsia" w:ascii="宋体" w:hAnsi="宋体" w:cs="宋体"/>
          <w:bCs/>
          <w:color w:val="auto"/>
          <w:sz w:val="24"/>
          <w:szCs w:val="24"/>
          <w:lang/>
        </w:rPr>
        <w:fldChar w:fldCharType="end"/>
      </w:r>
    </w:p>
    <w:p>
      <w:pPr>
        <w:pStyle w:val="66"/>
        <w:tabs>
          <w:tab w:val="right" w:leader="dot" w:pos="8948"/>
        </w:tabs>
        <w:spacing w:line="600" w:lineRule="exact"/>
        <w:ind w:left="0" w:firstLine="480" w:firstLineChars="200"/>
        <w:rPr>
          <w:rFonts w:hint="eastAsia" w:ascii="宋体" w:hAnsi="宋体" w:cs="宋体"/>
          <w:bCs/>
          <w:smallCaps w:val="0"/>
          <w:color w:val="auto"/>
          <w:sz w:val="24"/>
          <w:szCs w:val="24"/>
          <w:lang/>
        </w:rPr>
      </w:pPr>
      <w:r>
        <w:rPr>
          <w:rFonts w:hint="eastAsia" w:ascii="宋体" w:hAnsi="宋体" w:cs="宋体"/>
          <w:bCs/>
          <w:color w:val="auto"/>
          <w:sz w:val="24"/>
          <w:szCs w:val="24"/>
          <w:lang/>
        </w:rPr>
        <w:fldChar w:fldCharType="begin"/>
      </w:r>
      <w:r>
        <w:rPr>
          <w:rFonts w:hint="eastAsia" w:ascii="宋体" w:hAnsi="宋体" w:cs="宋体"/>
          <w:bCs/>
          <w:color w:val="auto"/>
          <w:sz w:val="24"/>
          <w:szCs w:val="24"/>
          <w:lang/>
        </w:rPr>
        <w:instrText xml:space="preserve"> HYPERLINK \l "_Toc33194389" </w:instrText>
      </w:r>
      <w:r>
        <w:rPr>
          <w:rFonts w:hint="eastAsia" w:ascii="宋体" w:hAnsi="宋体" w:cs="宋体"/>
          <w:bCs/>
          <w:color w:val="auto"/>
          <w:sz w:val="24"/>
          <w:szCs w:val="24"/>
          <w:lang/>
        </w:rPr>
        <w:fldChar w:fldCharType="separate"/>
      </w:r>
      <w:r>
        <w:rPr>
          <w:rFonts w:hint="eastAsia" w:ascii="宋体" w:hAnsi="宋体" w:cs="宋体"/>
          <w:bCs/>
          <w:color w:val="auto"/>
          <w:sz w:val="24"/>
          <w:szCs w:val="24"/>
          <w:lang/>
        </w:rPr>
        <w:t>二、招标文件</w:t>
      </w:r>
      <w:r>
        <w:rPr>
          <w:rFonts w:hint="eastAsia" w:ascii="宋体" w:hAnsi="宋体" w:cs="宋体"/>
          <w:bCs/>
          <w:color w:val="auto"/>
          <w:sz w:val="24"/>
          <w:szCs w:val="24"/>
          <w:lang/>
        </w:rPr>
        <w:tab/>
      </w:r>
      <w:r>
        <w:rPr>
          <w:rFonts w:hint="eastAsia" w:ascii="宋体" w:hAnsi="宋体" w:cs="宋体"/>
          <w:bCs/>
          <w:color w:val="auto"/>
          <w:sz w:val="24"/>
          <w:szCs w:val="24"/>
          <w:lang/>
        </w:rPr>
        <w:fldChar w:fldCharType="begin"/>
      </w:r>
      <w:r>
        <w:rPr>
          <w:rFonts w:hint="eastAsia" w:ascii="宋体" w:hAnsi="宋体" w:cs="宋体"/>
          <w:bCs/>
          <w:color w:val="auto"/>
          <w:sz w:val="24"/>
          <w:szCs w:val="24"/>
          <w:lang/>
        </w:rPr>
        <w:instrText xml:space="preserve"> PAGEREF _Toc33194389 \h </w:instrText>
      </w:r>
      <w:r>
        <w:rPr>
          <w:rFonts w:hint="eastAsia" w:ascii="宋体" w:hAnsi="宋体" w:cs="宋体"/>
          <w:bCs/>
          <w:color w:val="auto"/>
          <w:sz w:val="24"/>
          <w:szCs w:val="24"/>
          <w:lang/>
        </w:rPr>
        <w:fldChar w:fldCharType="separate"/>
      </w:r>
      <w:r>
        <w:rPr>
          <w:rFonts w:hint="eastAsia" w:ascii="宋体" w:hAnsi="宋体" w:cs="宋体"/>
          <w:bCs/>
          <w:color w:val="auto"/>
          <w:sz w:val="24"/>
          <w:szCs w:val="24"/>
          <w:lang/>
        </w:rPr>
        <w:t>15</w:t>
      </w:r>
      <w:r>
        <w:rPr>
          <w:rFonts w:hint="eastAsia" w:ascii="宋体" w:hAnsi="宋体" w:cs="宋体"/>
          <w:bCs/>
          <w:color w:val="auto"/>
          <w:sz w:val="24"/>
          <w:szCs w:val="24"/>
          <w:lang/>
        </w:rPr>
        <w:fldChar w:fldCharType="end"/>
      </w:r>
      <w:r>
        <w:rPr>
          <w:rFonts w:hint="eastAsia" w:ascii="宋体" w:hAnsi="宋体" w:cs="宋体"/>
          <w:bCs/>
          <w:color w:val="auto"/>
          <w:sz w:val="24"/>
          <w:szCs w:val="24"/>
          <w:lang/>
        </w:rPr>
        <w:fldChar w:fldCharType="end"/>
      </w:r>
    </w:p>
    <w:p>
      <w:pPr>
        <w:pStyle w:val="66"/>
        <w:tabs>
          <w:tab w:val="right" w:leader="dot" w:pos="8948"/>
        </w:tabs>
        <w:spacing w:line="600" w:lineRule="exact"/>
        <w:ind w:left="0" w:firstLine="480" w:firstLineChars="200"/>
        <w:rPr>
          <w:rFonts w:hint="eastAsia" w:ascii="宋体" w:hAnsi="宋体" w:cs="宋体"/>
          <w:bCs/>
          <w:smallCaps w:val="0"/>
          <w:color w:val="auto"/>
          <w:sz w:val="24"/>
          <w:szCs w:val="24"/>
          <w:lang/>
        </w:rPr>
      </w:pPr>
      <w:r>
        <w:rPr>
          <w:rFonts w:hint="eastAsia" w:ascii="宋体" w:hAnsi="宋体" w:cs="宋体"/>
          <w:bCs/>
          <w:color w:val="auto"/>
          <w:sz w:val="24"/>
          <w:szCs w:val="24"/>
          <w:lang/>
        </w:rPr>
        <w:fldChar w:fldCharType="begin"/>
      </w:r>
      <w:r>
        <w:rPr>
          <w:rFonts w:hint="eastAsia" w:ascii="宋体" w:hAnsi="宋体" w:cs="宋体"/>
          <w:bCs/>
          <w:color w:val="auto"/>
          <w:sz w:val="24"/>
          <w:szCs w:val="24"/>
          <w:lang/>
        </w:rPr>
        <w:instrText xml:space="preserve"> HYPERLINK \l "_Toc33194390" </w:instrText>
      </w:r>
      <w:r>
        <w:rPr>
          <w:rFonts w:hint="eastAsia" w:ascii="宋体" w:hAnsi="宋体" w:cs="宋体"/>
          <w:bCs/>
          <w:color w:val="auto"/>
          <w:sz w:val="24"/>
          <w:szCs w:val="24"/>
          <w:lang/>
        </w:rPr>
        <w:fldChar w:fldCharType="separate"/>
      </w:r>
      <w:r>
        <w:rPr>
          <w:rFonts w:hint="eastAsia" w:ascii="宋体" w:hAnsi="宋体" w:cs="宋体"/>
          <w:bCs/>
          <w:color w:val="auto"/>
          <w:sz w:val="24"/>
          <w:szCs w:val="24"/>
          <w:lang/>
        </w:rPr>
        <w:t>三、投标文件</w:t>
      </w:r>
      <w:r>
        <w:rPr>
          <w:rFonts w:hint="eastAsia" w:ascii="宋体" w:hAnsi="宋体" w:cs="宋体"/>
          <w:bCs/>
          <w:color w:val="auto"/>
          <w:sz w:val="24"/>
          <w:szCs w:val="24"/>
          <w:lang/>
        </w:rPr>
        <w:tab/>
      </w:r>
      <w:r>
        <w:rPr>
          <w:rFonts w:hint="eastAsia" w:ascii="宋体" w:hAnsi="宋体" w:cs="宋体"/>
          <w:bCs/>
          <w:color w:val="auto"/>
          <w:sz w:val="24"/>
          <w:szCs w:val="24"/>
          <w:lang/>
        </w:rPr>
        <w:fldChar w:fldCharType="begin"/>
      </w:r>
      <w:r>
        <w:rPr>
          <w:rFonts w:hint="eastAsia" w:ascii="宋体" w:hAnsi="宋体" w:cs="宋体"/>
          <w:bCs/>
          <w:color w:val="auto"/>
          <w:sz w:val="24"/>
          <w:szCs w:val="24"/>
          <w:lang/>
        </w:rPr>
        <w:instrText xml:space="preserve"> PAGEREF _Toc33194390 \h </w:instrText>
      </w:r>
      <w:r>
        <w:rPr>
          <w:rFonts w:hint="eastAsia" w:ascii="宋体" w:hAnsi="宋体" w:cs="宋体"/>
          <w:bCs/>
          <w:color w:val="auto"/>
          <w:sz w:val="24"/>
          <w:szCs w:val="24"/>
          <w:lang/>
        </w:rPr>
        <w:fldChar w:fldCharType="separate"/>
      </w:r>
      <w:r>
        <w:rPr>
          <w:rFonts w:hint="eastAsia" w:ascii="宋体" w:hAnsi="宋体" w:cs="宋体"/>
          <w:bCs/>
          <w:color w:val="auto"/>
          <w:sz w:val="24"/>
          <w:szCs w:val="24"/>
          <w:lang/>
        </w:rPr>
        <w:t>17</w:t>
      </w:r>
      <w:r>
        <w:rPr>
          <w:rFonts w:hint="eastAsia" w:ascii="宋体" w:hAnsi="宋体" w:cs="宋体"/>
          <w:bCs/>
          <w:color w:val="auto"/>
          <w:sz w:val="24"/>
          <w:szCs w:val="24"/>
          <w:lang/>
        </w:rPr>
        <w:fldChar w:fldCharType="end"/>
      </w:r>
      <w:r>
        <w:rPr>
          <w:rFonts w:hint="eastAsia" w:ascii="宋体" w:hAnsi="宋体" w:cs="宋体"/>
          <w:bCs/>
          <w:color w:val="auto"/>
          <w:sz w:val="24"/>
          <w:szCs w:val="24"/>
          <w:lang/>
        </w:rPr>
        <w:fldChar w:fldCharType="end"/>
      </w:r>
    </w:p>
    <w:p>
      <w:pPr>
        <w:pStyle w:val="66"/>
        <w:tabs>
          <w:tab w:val="right" w:leader="dot" w:pos="8948"/>
        </w:tabs>
        <w:spacing w:line="600" w:lineRule="exact"/>
        <w:ind w:left="0" w:firstLine="480" w:firstLineChars="200"/>
        <w:rPr>
          <w:rFonts w:hint="eastAsia" w:ascii="宋体" w:hAnsi="宋体" w:cs="宋体"/>
          <w:bCs/>
          <w:smallCaps w:val="0"/>
          <w:color w:val="auto"/>
          <w:sz w:val="24"/>
          <w:szCs w:val="24"/>
          <w:lang/>
        </w:rPr>
      </w:pPr>
      <w:r>
        <w:rPr>
          <w:rFonts w:hint="eastAsia" w:ascii="宋体" w:hAnsi="宋体" w:cs="宋体"/>
          <w:bCs/>
          <w:color w:val="auto"/>
          <w:sz w:val="24"/>
          <w:szCs w:val="24"/>
          <w:lang/>
        </w:rPr>
        <w:fldChar w:fldCharType="begin"/>
      </w:r>
      <w:r>
        <w:rPr>
          <w:rFonts w:hint="eastAsia" w:ascii="宋体" w:hAnsi="宋体" w:cs="宋体"/>
          <w:bCs/>
          <w:color w:val="auto"/>
          <w:sz w:val="24"/>
          <w:szCs w:val="24"/>
          <w:lang/>
        </w:rPr>
        <w:instrText xml:space="preserve"> HYPERLINK \l "_Toc33194391" </w:instrText>
      </w:r>
      <w:r>
        <w:rPr>
          <w:rFonts w:hint="eastAsia" w:ascii="宋体" w:hAnsi="宋体" w:cs="宋体"/>
          <w:bCs/>
          <w:color w:val="auto"/>
          <w:sz w:val="24"/>
          <w:szCs w:val="24"/>
          <w:lang/>
        </w:rPr>
        <w:fldChar w:fldCharType="separate"/>
      </w:r>
      <w:r>
        <w:rPr>
          <w:rFonts w:hint="eastAsia" w:ascii="宋体" w:hAnsi="宋体" w:cs="宋体"/>
          <w:bCs/>
          <w:color w:val="auto"/>
          <w:sz w:val="24"/>
          <w:szCs w:val="24"/>
          <w:lang/>
        </w:rPr>
        <w:t>四、投标</w:t>
      </w:r>
      <w:r>
        <w:rPr>
          <w:rFonts w:hint="eastAsia" w:ascii="宋体" w:hAnsi="宋体" w:cs="宋体"/>
          <w:bCs/>
          <w:color w:val="auto"/>
          <w:sz w:val="24"/>
          <w:szCs w:val="24"/>
          <w:lang/>
        </w:rPr>
        <w:tab/>
      </w:r>
      <w:r>
        <w:rPr>
          <w:rFonts w:hint="eastAsia" w:ascii="宋体" w:hAnsi="宋体" w:cs="宋体"/>
          <w:bCs/>
          <w:color w:val="auto"/>
          <w:sz w:val="24"/>
          <w:szCs w:val="24"/>
          <w:lang/>
        </w:rPr>
        <w:fldChar w:fldCharType="begin"/>
      </w:r>
      <w:r>
        <w:rPr>
          <w:rFonts w:hint="eastAsia" w:ascii="宋体" w:hAnsi="宋体" w:cs="宋体"/>
          <w:bCs/>
          <w:color w:val="auto"/>
          <w:sz w:val="24"/>
          <w:szCs w:val="24"/>
          <w:lang/>
        </w:rPr>
        <w:instrText xml:space="preserve"> PAGEREF _Toc33194391 \h </w:instrText>
      </w:r>
      <w:r>
        <w:rPr>
          <w:rFonts w:hint="eastAsia" w:ascii="宋体" w:hAnsi="宋体" w:cs="宋体"/>
          <w:bCs/>
          <w:color w:val="auto"/>
          <w:sz w:val="24"/>
          <w:szCs w:val="24"/>
          <w:lang/>
        </w:rPr>
        <w:fldChar w:fldCharType="separate"/>
      </w:r>
      <w:r>
        <w:rPr>
          <w:rFonts w:hint="eastAsia" w:ascii="宋体" w:hAnsi="宋体" w:cs="宋体"/>
          <w:bCs/>
          <w:color w:val="auto"/>
          <w:sz w:val="24"/>
          <w:szCs w:val="24"/>
          <w:lang/>
        </w:rPr>
        <w:t>20</w:t>
      </w:r>
      <w:r>
        <w:rPr>
          <w:rFonts w:hint="eastAsia" w:ascii="宋体" w:hAnsi="宋体" w:cs="宋体"/>
          <w:bCs/>
          <w:color w:val="auto"/>
          <w:sz w:val="24"/>
          <w:szCs w:val="24"/>
          <w:lang/>
        </w:rPr>
        <w:fldChar w:fldCharType="end"/>
      </w:r>
      <w:r>
        <w:rPr>
          <w:rFonts w:hint="eastAsia" w:ascii="宋体" w:hAnsi="宋体" w:cs="宋体"/>
          <w:bCs/>
          <w:color w:val="auto"/>
          <w:sz w:val="24"/>
          <w:szCs w:val="24"/>
          <w:lang/>
        </w:rPr>
        <w:fldChar w:fldCharType="end"/>
      </w:r>
    </w:p>
    <w:p>
      <w:pPr>
        <w:pStyle w:val="66"/>
        <w:tabs>
          <w:tab w:val="right" w:leader="dot" w:pos="8948"/>
        </w:tabs>
        <w:spacing w:line="600" w:lineRule="exact"/>
        <w:ind w:left="0" w:firstLine="480" w:firstLineChars="200"/>
        <w:rPr>
          <w:rFonts w:hint="eastAsia" w:ascii="宋体" w:hAnsi="宋体" w:cs="宋体"/>
          <w:bCs/>
          <w:smallCaps w:val="0"/>
          <w:color w:val="auto"/>
          <w:sz w:val="24"/>
          <w:szCs w:val="24"/>
          <w:lang/>
        </w:rPr>
      </w:pPr>
      <w:r>
        <w:rPr>
          <w:rFonts w:hint="eastAsia" w:ascii="宋体" w:hAnsi="宋体" w:cs="宋体"/>
          <w:bCs/>
          <w:color w:val="auto"/>
          <w:sz w:val="24"/>
          <w:szCs w:val="24"/>
          <w:lang/>
        </w:rPr>
        <w:fldChar w:fldCharType="begin"/>
      </w:r>
      <w:r>
        <w:rPr>
          <w:rFonts w:hint="eastAsia" w:ascii="宋体" w:hAnsi="宋体" w:cs="宋体"/>
          <w:bCs/>
          <w:color w:val="auto"/>
          <w:sz w:val="24"/>
          <w:szCs w:val="24"/>
          <w:lang/>
        </w:rPr>
        <w:instrText xml:space="preserve"> HYPERLINK \l "_Toc33194392" </w:instrText>
      </w:r>
      <w:r>
        <w:rPr>
          <w:rFonts w:hint="eastAsia" w:ascii="宋体" w:hAnsi="宋体" w:cs="宋体"/>
          <w:bCs/>
          <w:color w:val="auto"/>
          <w:sz w:val="24"/>
          <w:szCs w:val="24"/>
          <w:lang/>
        </w:rPr>
        <w:fldChar w:fldCharType="separate"/>
      </w:r>
      <w:r>
        <w:rPr>
          <w:rFonts w:hint="eastAsia" w:ascii="宋体" w:hAnsi="宋体" w:cs="宋体"/>
          <w:bCs/>
          <w:color w:val="auto"/>
          <w:sz w:val="24"/>
          <w:szCs w:val="24"/>
          <w:lang/>
        </w:rPr>
        <w:t>五、开 标</w:t>
      </w:r>
      <w:r>
        <w:rPr>
          <w:rFonts w:hint="eastAsia" w:ascii="宋体" w:hAnsi="宋体" w:cs="宋体"/>
          <w:bCs/>
          <w:color w:val="auto"/>
          <w:sz w:val="24"/>
          <w:szCs w:val="24"/>
          <w:lang/>
        </w:rPr>
        <w:tab/>
      </w:r>
      <w:r>
        <w:rPr>
          <w:rFonts w:hint="eastAsia" w:ascii="宋体" w:hAnsi="宋体" w:cs="宋体"/>
          <w:bCs/>
          <w:color w:val="auto"/>
          <w:sz w:val="24"/>
          <w:szCs w:val="24"/>
          <w:lang/>
        </w:rPr>
        <w:fldChar w:fldCharType="begin"/>
      </w:r>
      <w:r>
        <w:rPr>
          <w:rFonts w:hint="eastAsia" w:ascii="宋体" w:hAnsi="宋体" w:cs="宋体"/>
          <w:bCs/>
          <w:color w:val="auto"/>
          <w:sz w:val="24"/>
          <w:szCs w:val="24"/>
          <w:lang/>
        </w:rPr>
        <w:instrText xml:space="preserve"> PAGEREF _Toc33194392 \h </w:instrText>
      </w:r>
      <w:r>
        <w:rPr>
          <w:rFonts w:hint="eastAsia" w:ascii="宋体" w:hAnsi="宋体" w:cs="宋体"/>
          <w:bCs/>
          <w:color w:val="auto"/>
          <w:sz w:val="24"/>
          <w:szCs w:val="24"/>
          <w:lang/>
        </w:rPr>
        <w:fldChar w:fldCharType="separate"/>
      </w:r>
      <w:r>
        <w:rPr>
          <w:rFonts w:hint="eastAsia" w:ascii="宋体" w:hAnsi="宋体" w:cs="宋体"/>
          <w:bCs/>
          <w:color w:val="auto"/>
          <w:sz w:val="24"/>
          <w:szCs w:val="24"/>
          <w:lang/>
        </w:rPr>
        <w:t>21</w:t>
      </w:r>
      <w:r>
        <w:rPr>
          <w:rFonts w:hint="eastAsia" w:ascii="宋体" w:hAnsi="宋体" w:cs="宋体"/>
          <w:bCs/>
          <w:color w:val="auto"/>
          <w:sz w:val="24"/>
          <w:szCs w:val="24"/>
          <w:lang/>
        </w:rPr>
        <w:fldChar w:fldCharType="end"/>
      </w:r>
      <w:r>
        <w:rPr>
          <w:rFonts w:hint="eastAsia" w:ascii="宋体" w:hAnsi="宋体" w:cs="宋体"/>
          <w:bCs/>
          <w:color w:val="auto"/>
          <w:sz w:val="24"/>
          <w:szCs w:val="24"/>
          <w:lang/>
        </w:rPr>
        <w:fldChar w:fldCharType="end"/>
      </w:r>
    </w:p>
    <w:p>
      <w:pPr>
        <w:pStyle w:val="66"/>
        <w:tabs>
          <w:tab w:val="right" w:leader="dot" w:pos="8948"/>
        </w:tabs>
        <w:spacing w:line="600" w:lineRule="exact"/>
        <w:ind w:left="0" w:firstLine="480" w:firstLineChars="200"/>
        <w:rPr>
          <w:rFonts w:hint="eastAsia" w:ascii="宋体" w:hAnsi="宋体" w:cs="宋体"/>
          <w:bCs/>
          <w:smallCaps w:val="0"/>
          <w:color w:val="auto"/>
          <w:sz w:val="24"/>
          <w:szCs w:val="24"/>
          <w:lang/>
        </w:rPr>
      </w:pPr>
      <w:r>
        <w:rPr>
          <w:rFonts w:hint="eastAsia" w:ascii="宋体" w:hAnsi="宋体" w:cs="宋体"/>
          <w:bCs/>
          <w:color w:val="auto"/>
          <w:sz w:val="24"/>
          <w:szCs w:val="24"/>
          <w:lang/>
        </w:rPr>
        <w:fldChar w:fldCharType="begin"/>
      </w:r>
      <w:r>
        <w:rPr>
          <w:rFonts w:hint="eastAsia" w:ascii="宋体" w:hAnsi="宋体" w:cs="宋体"/>
          <w:bCs/>
          <w:color w:val="auto"/>
          <w:sz w:val="24"/>
          <w:szCs w:val="24"/>
          <w:lang/>
        </w:rPr>
        <w:instrText xml:space="preserve"> HYPERLINK \l "_Toc33194394" </w:instrText>
      </w:r>
      <w:r>
        <w:rPr>
          <w:rFonts w:hint="eastAsia" w:ascii="宋体" w:hAnsi="宋体" w:cs="宋体"/>
          <w:bCs/>
          <w:color w:val="auto"/>
          <w:sz w:val="24"/>
          <w:szCs w:val="24"/>
          <w:lang/>
        </w:rPr>
        <w:fldChar w:fldCharType="separate"/>
      </w:r>
      <w:r>
        <w:rPr>
          <w:rFonts w:hint="eastAsia" w:ascii="宋体" w:hAnsi="宋体" w:cs="宋体"/>
          <w:bCs/>
          <w:color w:val="auto"/>
          <w:sz w:val="24"/>
          <w:szCs w:val="24"/>
          <w:lang/>
        </w:rPr>
        <w:t>六、评 标</w:t>
      </w:r>
      <w:r>
        <w:rPr>
          <w:rFonts w:hint="eastAsia" w:ascii="宋体" w:hAnsi="宋体" w:cs="宋体"/>
          <w:bCs/>
          <w:color w:val="auto"/>
          <w:sz w:val="24"/>
          <w:szCs w:val="24"/>
          <w:lang/>
        </w:rPr>
        <w:tab/>
      </w:r>
      <w:r>
        <w:rPr>
          <w:rFonts w:hint="eastAsia" w:ascii="宋体" w:hAnsi="宋体" w:cs="宋体"/>
          <w:bCs/>
          <w:color w:val="auto"/>
          <w:sz w:val="24"/>
          <w:szCs w:val="24"/>
          <w:lang/>
        </w:rPr>
        <w:fldChar w:fldCharType="begin"/>
      </w:r>
      <w:r>
        <w:rPr>
          <w:rFonts w:hint="eastAsia" w:ascii="宋体" w:hAnsi="宋体" w:cs="宋体"/>
          <w:bCs/>
          <w:color w:val="auto"/>
          <w:sz w:val="24"/>
          <w:szCs w:val="24"/>
          <w:lang/>
        </w:rPr>
        <w:instrText xml:space="preserve"> PAGEREF _Toc33194394 \h </w:instrText>
      </w:r>
      <w:r>
        <w:rPr>
          <w:rFonts w:hint="eastAsia" w:ascii="宋体" w:hAnsi="宋体" w:cs="宋体"/>
          <w:bCs/>
          <w:color w:val="auto"/>
          <w:sz w:val="24"/>
          <w:szCs w:val="24"/>
          <w:lang/>
        </w:rPr>
        <w:fldChar w:fldCharType="separate"/>
      </w:r>
      <w:r>
        <w:rPr>
          <w:rFonts w:hint="eastAsia" w:ascii="宋体" w:hAnsi="宋体" w:cs="宋体"/>
          <w:bCs/>
          <w:color w:val="auto"/>
          <w:sz w:val="24"/>
          <w:szCs w:val="24"/>
          <w:lang/>
        </w:rPr>
        <w:t>23</w:t>
      </w:r>
      <w:r>
        <w:rPr>
          <w:rFonts w:hint="eastAsia" w:ascii="宋体" w:hAnsi="宋体" w:cs="宋体"/>
          <w:bCs/>
          <w:color w:val="auto"/>
          <w:sz w:val="24"/>
          <w:szCs w:val="24"/>
          <w:lang/>
        </w:rPr>
        <w:fldChar w:fldCharType="end"/>
      </w:r>
      <w:r>
        <w:rPr>
          <w:rFonts w:hint="eastAsia" w:ascii="宋体" w:hAnsi="宋体" w:cs="宋体"/>
          <w:bCs/>
          <w:color w:val="auto"/>
          <w:sz w:val="24"/>
          <w:szCs w:val="24"/>
          <w:lang/>
        </w:rPr>
        <w:fldChar w:fldCharType="end"/>
      </w:r>
    </w:p>
    <w:p>
      <w:pPr>
        <w:pStyle w:val="66"/>
        <w:tabs>
          <w:tab w:val="right" w:leader="dot" w:pos="8948"/>
        </w:tabs>
        <w:spacing w:line="600" w:lineRule="exact"/>
        <w:ind w:left="0" w:firstLine="480" w:firstLineChars="200"/>
        <w:rPr>
          <w:rFonts w:hint="eastAsia" w:ascii="宋体" w:hAnsi="宋体" w:cs="宋体"/>
          <w:bCs/>
          <w:smallCaps w:val="0"/>
          <w:color w:val="auto"/>
          <w:sz w:val="24"/>
          <w:szCs w:val="24"/>
          <w:lang/>
        </w:rPr>
      </w:pPr>
      <w:r>
        <w:rPr>
          <w:rFonts w:hint="eastAsia" w:ascii="宋体" w:hAnsi="宋体" w:cs="宋体"/>
          <w:bCs/>
          <w:color w:val="auto"/>
          <w:sz w:val="24"/>
          <w:szCs w:val="24"/>
          <w:lang/>
        </w:rPr>
        <w:fldChar w:fldCharType="begin"/>
      </w:r>
      <w:r>
        <w:rPr>
          <w:rFonts w:hint="eastAsia" w:ascii="宋体" w:hAnsi="宋体" w:cs="宋体"/>
          <w:bCs/>
          <w:color w:val="auto"/>
          <w:sz w:val="24"/>
          <w:szCs w:val="24"/>
          <w:lang/>
        </w:rPr>
        <w:instrText xml:space="preserve"> HYPERLINK \l "_Toc33194399" </w:instrText>
      </w:r>
      <w:r>
        <w:rPr>
          <w:rFonts w:hint="eastAsia" w:ascii="宋体" w:hAnsi="宋体" w:cs="宋体"/>
          <w:bCs/>
          <w:color w:val="auto"/>
          <w:sz w:val="24"/>
          <w:szCs w:val="24"/>
          <w:lang/>
        </w:rPr>
        <w:fldChar w:fldCharType="separate"/>
      </w:r>
      <w:r>
        <w:rPr>
          <w:rFonts w:hint="eastAsia" w:ascii="宋体" w:hAnsi="宋体" w:cs="宋体"/>
          <w:bCs/>
          <w:color w:val="auto"/>
          <w:sz w:val="24"/>
          <w:szCs w:val="24"/>
          <w:lang/>
        </w:rPr>
        <w:t>七、合同签订及其他</w:t>
      </w:r>
      <w:r>
        <w:rPr>
          <w:rFonts w:hint="eastAsia" w:ascii="宋体" w:hAnsi="宋体" w:cs="宋体"/>
          <w:bCs/>
          <w:color w:val="auto"/>
          <w:sz w:val="24"/>
          <w:szCs w:val="24"/>
          <w:lang/>
        </w:rPr>
        <w:tab/>
      </w:r>
      <w:r>
        <w:rPr>
          <w:rFonts w:hint="eastAsia" w:ascii="宋体" w:hAnsi="宋体" w:cs="宋体"/>
          <w:bCs/>
          <w:color w:val="auto"/>
          <w:sz w:val="24"/>
          <w:szCs w:val="24"/>
          <w:lang/>
        </w:rPr>
        <w:fldChar w:fldCharType="begin"/>
      </w:r>
      <w:r>
        <w:rPr>
          <w:rFonts w:hint="eastAsia" w:ascii="宋体" w:hAnsi="宋体" w:cs="宋体"/>
          <w:bCs/>
          <w:color w:val="auto"/>
          <w:sz w:val="24"/>
          <w:szCs w:val="24"/>
          <w:lang/>
        </w:rPr>
        <w:instrText xml:space="preserve"> PAGEREF _Toc33194399 \h </w:instrText>
      </w:r>
      <w:r>
        <w:rPr>
          <w:rFonts w:hint="eastAsia" w:ascii="宋体" w:hAnsi="宋体" w:cs="宋体"/>
          <w:bCs/>
          <w:color w:val="auto"/>
          <w:sz w:val="24"/>
          <w:szCs w:val="24"/>
          <w:lang/>
        </w:rPr>
        <w:fldChar w:fldCharType="separate"/>
      </w:r>
      <w:r>
        <w:rPr>
          <w:rFonts w:hint="eastAsia" w:ascii="宋体" w:hAnsi="宋体" w:cs="宋体"/>
          <w:bCs/>
          <w:color w:val="auto"/>
          <w:sz w:val="24"/>
          <w:szCs w:val="24"/>
          <w:lang/>
        </w:rPr>
        <w:t>33</w:t>
      </w:r>
      <w:r>
        <w:rPr>
          <w:rFonts w:hint="eastAsia" w:ascii="宋体" w:hAnsi="宋体" w:cs="宋体"/>
          <w:bCs/>
          <w:color w:val="auto"/>
          <w:sz w:val="24"/>
          <w:szCs w:val="24"/>
          <w:lang/>
        </w:rPr>
        <w:fldChar w:fldCharType="end"/>
      </w:r>
      <w:r>
        <w:rPr>
          <w:rFonts w:hint="eastAsia" w:ascii="宋体" w:hAnsi="宋体" w:cs="宋体"/>
          <w:bCs/>
          <w:color w:val="auto"/>
          <w:sz w:val="24"/>
          <w:szCs w:val="24"/>
          <w:lang/>
        </w:rPr>
        <w:fldChar w:fldCharType="end"/>
      </w:r>
    </w:p>
    <w:p>
      <w:pPr>
        <w:pStyle w:val="54"/>
        <w:tabs>
          <w:tab w:val="right" w:leader="dot" w:pos="8948"/>
        </w:tabs>
        <w:spacing w:line="600" w:lineRule="exact"/>
        <w:rPr>
          <w:rFonts w:hint="eastAsia" w:ascii="宋体" w:hAnsi="宋体" w:cs="宋体"/>
          <w:b w:val="0"/>
          <w:caps w:val="0"/>
          <w:color w:val="auto"/>
          <w:sz w:val="24"/>
          <w:szCs w:val="24"/>
        </w:rPr>
      </w:pPr>
      <w:r>
        <w:rPr>
          <w:rFonts w:hint="eastAsia" w:ascii="宋体" w:hAnsi="宋体" w:cs="宋体"/>
          <w:b w:val="0"/>
          <w:color w:val="auto"/>
          <w:sz w:val="24"/>
          <w:szCs w:val="24"/>
          <w:lang/>
        </w:rPr>
        <w:fldChar w:fldCharType="begin"/>
      </w:r>
      <w:r>
        <w:rPr>
          <w:rFonts w:hint="eastAsia" w:ascii="宋体" w:hAnsi="宋体" w:cs="宋体"/>
          <w:b w:val="0"/>
          <w:color w:val="auto"/>
          <w:sz w:val="24"/>
          <w:szCs w:val="24"/>
          <w:lang/>
        </w:rPr>
        <w:instrText xml:space="preserve"> HYPERLINK \l "_Toc33194400" </w:instrText>
      </w:r>
      <w:r>
        <w:rPr>
          <w:rFonts w:hint="eastAsia" w:ascii="宋体" w:hAnsi="宋体" w:cs="宋体"/>
          <w:b w:val="0"/>
          <w:color w:val="auto"/>
          <w:sz w:val="24"/>
          <w:szCs w:val="24"/>
          <w:lang/>
        </w:rPr>
        <w:fldChar w:fldCharType="separate"/>
      </w:r>
      <w:r>
        <w:rPr>
          <w:rFonts w:hint="eastAsia" w:ascii="宋体" w:hAnsi="宋体" w:cs="宋体"/>
          <w:b w:val="0"/>
          <w:color w:val="auto"/>
          <w:sz w:val="24"/>
          <w:szCs w:val="24"/>
          <w:lang/>
        </w:rPr>
        <w:t>第三部分  项目技术规范和服务要求</w:t>
      </w:r>
      <w:r>
        <w:rPr>
          <w:rFonts w:hint="eastAsia" w:ascii="宋体" w:hAnsi="宋体" w:cs="宋体"/>
          <w:b w:val="0"/>
          <w:color w:val="auto"/>
          <w:sz w:val="24"/>
          <w:szCs w:val="24"/>
          <w:lang/>
        </w:rPr>
        <w:tab/>
      </w:r>
      <w:r>
        <w:rPr>
          <w:rFonts w:hint="eastAsia" w:ascii="宋体" w:hAnsi="宋体" w:cs="宋体"/>
          <w:b w:val="0"/>
          <w:color w:val="auto"/>
          <w:sz w:val="24"/>
          <w:szCs w:val="24"/>
        </w:rPr>
        <w:t>4</w:t>
      </w:r>
      <w:r>
        <w:rPr>
          <w:rFonts w:hint="eastAsia" w:ascii="宋体" w:hAnsi="宋体" w:cs="宋体"/>
          <w:b w:val="0"/>
          <w:color w:val="auto"/>
          <w:sz w:val="24"/>
          <w:szCs w:val="24"/>
          <w:lang/>
        </w:rPr>
        <w:fldChar w:fldCharType="end"/>
      </w:r>
      <w:r>
        <w:rPr>
          <w:rFonts w:hint="eastAsia" w:ascii="宋体" w:hAnsi="宋体" w:cs="宋体"/>
          <w:b w:val="0"/>
          <w:color w:val="auto"/>
          <w:sz w:val="24"/>
          <w:szCs w:val="24"/>
        </w:rPr>
        <w:t>1</w:t>
      </w:r>
    </w:p>
    <w:p>
      <w:pPr>
        <w:pStyle w:val="54"/>
        <w:tabs>
          <w:tab w:val="right" w:leader="dot" w:pos="8948"/>
        </w:tabs>
        <w:spacing w:line="600" w:lineRule="exact"/>
        <w:rPr>
          <w:rFonts w:hint="eastAsia" w:ascii="宋体" w:hAnsi="宋体" w:cs="宋体"/>
          <w:b w:val="0"/>
          <w:caps w:val="0"/>
          <w:color w:val="auto"/>
          <w:sz w:val="24"/>
          <w:szCs w:val="24"/>
        </w:rPr>
      </w:pPr>
      <w:r>
        <w:rPr>
          <w:rFonts w:hint="eastAsia" w:ascii="宋体" w:hAnsi="宋体" w:cs="宋体"/>
          <w:b w:val="0"/>
          <w:color w:val="auto"/>
          <w:sz w:val="24"/>
          <w:szCs w:val="24"/>
          <w:lang/>
        </w:rPr>
        <w:fldChar w:fldCharType="begin"/>
      </w:r>
      <w:r>
        <w:rPr>
          <w:rFonts w:hint="eastAsia" w:ascii="宋体" w:hAnsi="宋体" w:cs="宋体"/>
          <w:b w:val="0"/>
          <w:color w:val="auto"/>
          <w:sz w:val="24"/>
          <w:szCs w:val="24"/>
          <w:lang/>
        </w:rPr>
        <w:instrText xml:space="preserve"> HYPERLINK \l "_Toc33194401" </w:instrText>
      </w:r>
      <w:r>
        <w:rPr>
          <w:rFonts w:hint="eastAsia" w:ascii="宋体" w:hAnsi="宋体" w:cs="宋体"/>
          <w:b w:val="0"/>
          <w:color w:val="auto"/>
          <w:sz w:val="24"/>
          <w:szCs w:val="24"/>
          <w:lang/>
        </w:rPr>
        <w:fldChar w:fldCharType="separate"/>
      </w:r>
      <w:r>
        <w:rPr>
          <w:rFonts w:hint="eastAsia" w:ascii="宋体" w:hAnsi="宋体" w:cs="宋体"/>
          <w:b w:val="0"/>
          <w:color w:val="auto"/>
          <w:sz w:val="24"/>
          <w:szCs w:val="24"/>
          <w:lang/>
        </w:rPr>
        <w:t>第四部分  合同主要条款</w:t>
      </w:r>
      <w:r>
        <w:rPr>
          <w:rFonts w:hint="eastAsia" w:ascii="宋体" w:hAnsi="宋体" w:cs="宋体"/>
          <w:b w:val="0"/>
          <w:color w:val="auto"/>
          <w:sz w:val="24"/>
          <w:szCs w:val="24"/>
          <w:lang/>
        </w:rPr>
        <w:tab/>
      </w:r>
      <w:r>
        <w:rPr>
          <w:rFonts w:hint="eastAsia" w:ascii="宋体" w:hAnsi="宋体" w:cs="宋体"/>
          <w:b w:val="0"/>
          <w:color w:val="auto"/>
          <w:sz w:val="24"/>
          <w:szCs w:val="24"/>
        </w:rPr>
        <w:t>7</w:t>
      </w:r>
      <w:r>
        <w:rPr>
          <w:rFonts w:hint="eastAsia" w:ascii="宋体" w:hAnsi="宋体" w:cs="宋体"/>
          <w:b w:val="0"/>
          <w:color w:val="auto"/>
          <w:sz w:val="24"/>
          <w:szCs w:val="24"/>
          <w:lang/>
        </w:rPr>
        <w:fldChar w:fldCharType="end"/>
      </w:r>
      <w:r>
        <w:rPr>
          <w:rFonts w:hint="eastAsia" w:ascii="宋体" w:hAnsi="宋体" w:cs="宋体"/>
          <w:b w:val="0"/>
          <w:color w:val="auto"/>
          <w:sz w:val="24"/>
          <w:szCs w:val="24"/>
        </w:rPr>
        <w:t>8</w:t>
      </w:r>
    </w:p>
    <w:p>
      <w:pPr>
        <w:pStyle w:val="54"/>
        <w:tabs>
          <w:tab w:val="right" w:leader="dot" w:pos="8948"/>
        </w:tabs>
        <w:spacing w:line="600" w:lineRule="exact"/>
        <w:rPr>
          <w:rFonts w:hint="eastAsia" w:ascii="宋体" w:hAnsi="宋体" w:cs="宋体"/>
          <w:b w:val="0"/>
          <w:caps w:val="0"/>
          <w:color w:val="auto"/>
          <w:sz w:val="24"/>
          <w:szCs w:val="24"/>
        </w:rPr>
      </w:pPr>
      <w:r>
        <w:rPr>
          <w:rFonts w:hint="eastAsia" w:ascii="宋体" w:hAnsi="宋体" w:cs="宋体"/>
          <w:b w:val="0"/>
          <w:color w:val="auto"/>
          <w:sz w:val="24"/>
          <w:szCs w:val="24"/>
          <w:lang/>
        </w:rPr>
        <w:fldChar w:fldCharType="begin"/>
      </w:r>
      <w:r>
        <w:rPr>
          <w:rFonts w:hint="eastAsia" w:ascii="宋体" w:hAnsi="宋体" w:cs="宋体"/>
          <w:b w:val="0"/>
          <w:color w:val="auto"/>
          <w:sz w:val="24"/>
          <w:szCs w:val="24"/>
          <w:lang/>
        </w:rPr>
        <w:instrText xml:space="preserve"> HYPERLINK \l "_Toc33194402" </w:instrText>
      </w:r>
      <w:r>
        <w:rPr>
          <w:rFonts w:hint="eastAsia" w:ascii="宋体" w:hAnsi="宋体" w:cs="宋体"/>
          <w:b w:val="0"/>
          <w:color w:val="auto"/>
          <w:sz w:val="24"/>
          <w:szCs w:val="24"/>
          <w:lang/>
        </w:rPr>
        <w:fldChar w:fldCharType="separate"/>
      </w:r>
      <w:r>
        <w:rPr>
          <w:rFonts w:hint="eastAsia" w:ascii="宋体" w:hAnsi="宋体" w:cs="宋体"/>
          <w:b w:val="0"/>
          <w:color w:val="auto"/>
          <w:sz w:val="24"/>
          <w:szCs w:val="24"/>
          <w:lang/>
        </w:rPr>
        <w:t>第五部分  应提交的有关格式范例</w:t>
      </w:r>
      <w:r>
        <w:rPr>
          <w:rFonts w:hint="eastAsia" w:ascii="宋体" w:hAnsi="宋体" w:cs="宋体"/>
          <w:b w:val="0"/>
          <w:color w:val="auto"/>
          <w:sz w:val="24"/>
          <w:szCs w:val="24"/>
          <w:lang/>
        </w:rPr>
        <w:tab/>
      </w:r>
      <w:r>
        <w:rPr>
          <w:rFonts w:hint="eastAsia" w:ascii="宋体" w:hAnsi="宋体" w:cs="宋体"/>
          <w:b w:val="0"/>
          <w:color w:val="auto"/>
          <w:sz w:val="24"/>
          <w:szCs w:val="24"/>
        </w:rPr>
        <w:t>8</w:t>
      </w:r>
      <w:r>
        <w:rPr>
          <w:rFonts w:hint="eastAsia" w:ascii="宋体" w:hAnsi="宋体" w:cs="宋体"/>
          <w:b w:val="0"/>
          <w:color w:val="auto"/>
          <w:sz w:val="24"/>
          <w:szCs w:val="24"/>
          <w:lang/>
        </w:rPr>
        <w:fldChar w:fldCharType="end"/>
      </w:r>
      <w:r>
        <w:rPr>
          <w:rFonts w:hint="eastAsia" w:ascii="宋体" w:hAnsi="宋体" w:cs="宋体"/>
          <w:b w:val="0"/>
          <w:color w:val="auto"/>
          <w:sz w:val="24"/>
          <w:szCs w:val="24"/>
        </w:rPr>
        <w:t>6</w:t>
      </w:r>
    </w:p>
    <w:p>
      <w:pPr>
        <w:pStyle w:val="54"/>
        <w:tabs>
          <w:tab w:val="right" w:leader="dot" w:pos="8948"/>
        </w:tabs>
        <w:spacing w:line="600" w:lineRule="exact"/>
        <w:ind w:firstLine="480" w:firstLineChars="200"/>
        <w:rPr>
          <w:rFonts w:hint="eastAsia" w:ascii="宋体" w:hAnsi="宋体" w:cs="宋体"/>
          <w:b w:val="0"/>
          <w:caps w:val="0"/>
          <w:color w:val="auto"/>
          <w:sz w:val="24"/>
          <w:szCs w:val="24"/>
        </w:rPr>
      </w:pPr>
      <w:r>
        <w:rPr>
          <w:rFonts w:hint="eastAsia" w:ascii="宋体" w:hAnsi="宋体" w:cs="宋体"/>
          <w:b w:val="0"/>
          <w:color w:val="auto"/>
          <w:sz w:val="24"/>
          <w:szCs w:val="24"/>
          <w:lang/>
        </w:rPr>
        <w:fldChar w:fldCharType="begin"/>
      </w:r>
      <w:r>
        <w:rPr>
          <w:rFonts w:hint="eastAsia" w:ascii="宋体" w:hAnsi="宋体" w:cs="宋体"/>
          <w:b w:val="0"/>
          <w:color w:val="auto"/>
          <w:sz w:val="24"/>
          <w:szCs w:val="24"/>
          <w:lang/>
        </w:rPr>
        <w:instrText xml:space="preserve"> HYPERLINK \l "_Toc33194403" </w:instrText>
      </w:r>
      <w:r>
        <w:rPr>
          <w:rFonts w:hint="eastAsia" w:ascii="宋体" w:hAnsi="宋体" w:cs="宋体"/>
          <w:b w:val="0"/>
          <w:color w:val="auto"/>
          <w:sz w:val="24"/>
          <w:szCs w:val="24"/>
          <w:lang/>
        </w:rPr>
        <w:fldChar w:fldCharType="separate"/>
      </w:r>
      <w:r>
        <w:rPr>
          <w:rFonts w:hint="eastAsia" w:ascii="宋体" w:hAnsi="宋体" w:cs="宋体"/>
          <w:b w:val="0"/>
          <w:color w:val="auto"/>
          <w:sz w:val="24"/>
          <w:szCs w:val="24"/>
          <w:lang/>
        </w:rPr>
        <w:t>资格文件</w:t>
      </w:r>
      <w:r>
        <w:rPr>
          <w:rFonts w:hint="eastAsia" w:ascii="宋体" w:hAnsi="宋体" w:cs="宋体"/>
          <w:b w:val="0"/>
          <w:color w:val="auto"/>
          <w:sz w:val="24"/>
          <w:szCs w:val="24"/>
          <w:lang/>
        </w:rPr>
        <w:tab/>
      </w:r>
      <w:r>
        <w:rPr>
          <w:rFonts w:hint="eastAsia" w:ascii="宋体" w:hAnsi="宋体" w:cs="宋体"/>
          <w:b w:val="0"/>
          <w:color w:val="auto"/>
          <w:sz w:val="24"/>
          <w:szCs w:val="24"/>
        </w:rPr>
        <w:t>8</w:t>
      </w:r>
      <w:r>
        <w:rPr>
          <w:rFonts w:hint="eastAsia" w:ascii="宋体" w:hAnsi="宋体" w:cs="宋体"/>
          <w:b w:val="0"/>
          <w:color w:val="auto"/>
          <w:sz w:val="24"/>
          <w:szCs w:val="24"/>
          <w:lang/>
        </w:rPr>
        <w:fldChar w:fldCharType="end"/>
      </w:r>
      <w:r>
        <w:rPr>
          <w:rFonts w:hint="eastAsia" w:ascii="宋体" w:hAnsi="宋体" w:cs="宋体"/>
          <w:b w:val="0"/>
          <w:color w:val="auto"/>
          <w:sz w:val="24"/>
          <w:szCs w:val="24"/>
        </w:rPr>
        <w:t>7</w:t>
      </w:r>
    </w:p>
    <w:p>
      <w:pPr>
        <w:pStyle w:val="66"/>
        <w:tabs>
          <w:tab w:val="right" w:leader="dot" w:pos="8948"/>
        </w:tabs>
        <w:spacing w:line="600" w:lineRule="exact"/>
        <w:ind w:left="0" w:firstLine="480" w:firstLineChars="200"/>
        <w:rPr>
          <w:rFonts w:hint="eastAsia" w:ascii="宋体" w:hAnsi="宋体" w:cs="宋体"/>
          <w:bCs/>
          <w:smallCaps w:val="0"/>
          <w:color w:val="auto"/>
          <w:sz w:val="24"/>
          <w:szCs w:val="24"/>
        </w:rPr>
      </w:pPr>
      <w:r>
        <w:rPr>
          <w:rFonts w:hint="eastAsia" w:ascii="宋体" w:hAnsi="宋体" w:cs="宋体"/>
          <w:bCs/>
          <w:color w:val="auto"/>
          <w:sz w:val="24"/>
          <w:szCs w:val="24"/>
          <w:lang/>
        </w:rPr>
        <w:fldChar w:fldCharType="begin"/>
      </w:r>
      <w:r>
        <w:rPr>
          <w:rFonts w:hint="eastAsia" w:ascii="宋体" w:hAnsi="宋体" w:cs="宋体"/>
          <w:bCs/>
          <w:color w:val="auto"/>
          <w:sz w:val="24"/>
          <w:szCs w:val="24"/>
          <w:lang/>
        </w:rPr>
        <w:instrText xml:space="preserve"> HYPERLINK \l "_Toc33194407" </w:instrText>
      </w:r>
      <w:r>
        <w:rPr>
          <w:rFonts w:hint="eastAsia" w:ascii="宋体" w:hAnsi="宋体" w:cs="宋体"/>
          <w:bCs/>
          <w:color w:val="auto"/>
          <w:sz w:val="24"/>
          <w:szCs w:val="24"/>
          <w:lang/>
        </w:rPr>
        <w:fldChar w:fldCharType="separate"/>
      </w:r>
      <w:r>
        <w:rPr>
          <w:rFonts w:hint="eastAsia" w:ascii="宋体" w:hAnsi="宋体" w:cs="宋体"/>
          <w:bCs/>
          <w:color w:val="auto"/>
          <w:kern w:val="0"/>
          <w:sz w:val="24"/>
          <w:szCs w:val="24"/>
          <w:lang/>
        </w:rPr>
        <w:t>报价文件</w:t>
      </w:r>
      <w:r>
        <w:rPr>
          <w:rFonts w:hint="eastAsia" w:ascii="宋体" w:hAnsi="宋体" w:cs="宋体"/>
          <w:bCs/>
          <w:color w:val="auto"/>
          <w:sz w:val="24"/>
          <w:szCs w:val="24"/>
          <w:lang/>
        </w:rPr>
        <w:tab/>
      </w:r>
      <w:r>
        <w:rPr>
          <w:rFonts w:hint="eastAsia" w:ascii="宋体" w:hAnsi="宋体" w:cs="宋体"/>
          <w:bCs/>
          <w:color w:val="auto"/>
          <w:sz w:val="24"/>
          <w:szCs w:val="24"/>
        </w:rPr>
        <w:t>9</w:t>
      </w:r>
      <w:r>
        <w:rPr>
          <w:rFonts w:hint="eastAsia" w:ascii="宋体" w:hAnsi="宋体" w:cs="宋体"/>
          <w:bCs/>
          <w:color w:val="auto"/>
          <w:sz w:val="24"/>
          <w:szCs w:val="24"/>
          <w:lang/>
        </w:rPr>
        <w:fldChar w:fldCharType="end"/>
      </w:r>
      <w:r>
        <w:rPr>
          <w:rFonts w:hint="eastAsia" w:ascii="宋体" w:hAnsi="宋体" w:cs="宋体"/>
          <w:bCs/>
          <w:color w:val="auto"/>
          <w:sz w:val="24"/>
          <w:szCs w:val="24"/>
        </w:rPr>
        <w:t>3</w:t>
      </w:r>
    </w:p>
    <w:p>
      <w:pPr>
        <w:pStyle w:val="54"/>
        <w:tabs>
          <w:tab w:val="right" w:leader="dot" w:pos="8948"/>
        </w:tabs>
        <w:spacing w:line="600" w:lineRule="exact"/>
        <w:ind w:firstLine="480" w:firstLineChars="200"/>
        <w:rPr>
          <w:rFonts w:hint="eastAsia" w:ascii="宋体" w:hAnsi="宋体" w:cs="宋体"/>
          <w:b w:val="0"/>
          <w:caps w:val="0"/>
          <w:color w:val="auto"/>
          <w:sz w:val="24"/>
          <w:szCs w:val="24"/>
          <w:lang/>
        </w:rPr>
      </w:pPr>
      <w:r>
        <w:rPr>
          <w:rFonts w:hint="eastAsia" w:ascii="宋体" w:hAnsi="宋体" w:cs="宋体"/>
          <w:b w:val="0"/>
          <w:color w:val="auto"/>
          <w:sz w:val="24"/>
          <w:szCs w:val="24"/>
          <w:lang/>
        </w:rPr>
        <w:fldChar w:fldCharType="begin"/>
      </w:r>
      <w:r>
        <w:rPr>
          <w:rFonts w:hint="eastAsia" w:ascii="宋体" w:hAnsi="宋体" w:cs="宋体"/>
          <w:b w:val="0"/>
          <w:color w:val="auto"/>
          <w:sz w:val="24"/>
          <w:szCs w:val="24"/>
          <w:lang/>
        </w:rPr>
        <w:instrText xml:space="preserve"> HYPERLINK \l "_Toc33194408" </w:instrText>
      </w:r>
      <w:r>
        <w:rPr>
          <w:rFonts w:hint="eastAsia" w:ascii="宋体" w:hAnsi="宋体" w:cs="宋体"/>
          <w:b w:val="0"/>
          <w:color w:val="auto"/>
          <w:sz w:val="24"/>
          <w:szCs w:val="24"/>
          <w:lang/>
        </w:rPr>
        <w:fldChar w:fldCharType="separate"/>
      </w:r>
      <w:r>
        <w:rPr>
          <w:rFonts w:hint="eastAsia" w:ascii="宋体" w:hAnsi="宋体" w:cs="宋体"/>
          <w:b w:val="0"/>
          <w:color w:val="auto"/>
          <w:sz w:val="24"/>
          <w:szCs w:val="24"/>
          <w:lang/>
        </w:rPr>
        <w:t>商务技术文件</w:t>
      </w:r>
      <w:r>
        <w:rPr>
          <w:rFonts w:hint="eastAsia" w:ascii="宋体" w:hAnsi="宋体" w:cs="宋体"/>
          <w:b w:val="0"/>
          <w:color w:val="auto"/>
          <w:sz w:val="24"/>
          <w:szCs w:val="24"/>
          <w:lang/>
        </w:rPr>
        <w:tab/>
      </w:r>
      <w:r>
        <w:rPr>
          <w:rFonts w:hint="eastAsia" w:ascii="宋体" w:hAnsi="宋体" w:cs="宋体"/>
          <w:b w:val="0"/>
          <w:color w:val="auto"/>
          <w:sz w:val="24"/>
          <w:szCs w:val="24"/>
          <w:lang/>
        </w:rPr>
        <w:fldChar w:fldCharType="begin"/>
      </w:r>
      <w:r>
        <w:rPr>
          <w:rFonts w:hint="eastAsia" w:ascii="宋体" w:hAnsi="宋体" w:cs="宋体"/>
          <w:b w:val="0"/>
          <w:color w:val="auto"/>
          <w:sz w:val="24"/>
          <w:szCs w:val="24"/>
          <w:lang/>
        </w:rPr>
        <w:instrText xml:space="preserve"> PAGEREF _Toc33194408 \h </w:instrText>
      </w:r>
      <w:r>
        <w:rPr>
          <w:rFonts w:hint="eastAsia" w:ascii="宋体" w:hAnsi="宋体" w:cs="宋体"/>
          <w:b w:val="0"/>
          <w:color w:val="auto"/>
          <w:sz w:val="24"/>
          <w:szCs w:val="24"/>
          <w:lang/>
        </w:rPr>
        <w:fldChar w:fldCharType="separate"/>
      </w:r>
      <w:r>
        <w:rPr>
          <w:rFonts w:hint="eastAsia" w:ascii="宋体" w:hAnsi="宋体" w:cs="宋体"/>
          <w:b w:val="0"/>
          <w:color w:val="auto"/>
          <w:sz w:val="24"/>
          <w:szCs w:val="24"/>
          <w:lang/>
        </w:rPr>
        <w:t>61</w:t>
      </w:r>
      <w:r>
        <w:rPr>
          <w:rFonts w:hint="eastAsia" w:ascii="宋体" w:hAnsi="宋体" w:cs="宋体"/>
          <w:b w:val="0"/>
          <w:color w:val="auto"/>
          <w:sz w:val="24"/>
          <w:szCs w:val="24"/>
          <w:lang/>
        </w:rPr>
        <w:fldChar w:fldCharType="end"/>
      </w:r>
      <w:r>
        <w:rPr>
          <w:rFonts w:hint="eastAsia" w:ascii="宋体" w:hAnsi="宋体" w:cs="宋体"/>
          <w:b w:val="0"/>
          <w:color w:val="auto"/>
          <w:sz w:val="24"/>
          <w:szCs w:val="24"/>
          <w:lang/>
        </w:rPr>
        <w:fldChar w:fldCharType="end"/>
      </w:r>
    </w:p>
    <w:p>
      <w:pPr>
        <w:pStyle w:val="66"/>
        <w:tabs>
          <w:tab w:val="right" w:leader="dot" w:pos="8958"/>
        </w:tabs>
        <w:snapToGrid w:val="0"/>
        <w:spacing w:line="600" w:lineRule="exact"/>
        <w:rPr>
          <w:rFonts w:hint="eastAsia" w:ascii="宋体" w:hAnsi="宋体" w:cs="宋体"/>
          <w:bCs/>
          <w:color w:val="auto"/>
          <w:sz w:val="24"/>
          <w:szCs w:val="24"/>
        </w:rPr>
      </w:pPr>
      <w:r>
        <w:rPr>
          <w:rFonts w:hint="eastAsia" w:ascii="宋体" w:hAnsi="宋体" w:cs="宋体"/>
          <w:bCs/>
          <w:color w:val="auto"/>
          <w:sz w:val="24"/>
          <w:szCs w:val="24"/>
        </w:rPr>
        <w:fldChar w:fldCharType="end"/>
      </w:r>
    </w:p>
    <w:p>
      <w:pPr>
        <w:jc w:val="center"/>
        <w:rPr>
          <w:rFonts w:hint="eastAsia" w:ascii="宋体" w:hAnsi="宋体" w:cs="宋体"/>
          <w:bCs/>
          <w:color w:val="auto"/>
          <w:sz w:val="28"/>
          <w:szCs w:val="28"/>
        </w:rPr>
        <w:sectPr>
          <w:pgSz w:w="11906" w:h="16838"/>
          <w:pgMar w:top="1531" w:right="1304" w:bottom="1531" w:left="1361" w:header="851" w:footer="1304" w:gutter="0"/>
          <w:cols w:space="720" w:num="1"/>
          <w:docGrid w:linePitch="312" w:charSpace="0"/>
        </w:sectPr>
      </w:pPr>
      <w:bookmarkStart w:id="0" w:name="_Toc33194385"/>
      <w:bookmarkStart w:id="1" w:name="_Toc354996693"/>
    </w:p>
    <w:bookmarkEnd w:id="0"/>
    <w:bookmarkEnd w:id="1"/>
    <w:p>
      <w:pPr>
        <w:pageBreakBefore/>
        <w:numPr>
          <w:ilvl w:val="0"/>
          <w:numId w:val="8"/>
        </w:numPr>
        <w:shd w:val="clear" w:color="auto" w:fill="FFFFFF"/>
        <w:snapToGrid w:val="0"/>
        <w:spacing w:line="360" w:lineRule="auto"/>
        <w:jc w:val="center"/>
        <w:outlineLvl w:val="0"/>
        <w:rPr>
          <w:rFonts w:hint="eastAsia" w:ascii="宋体" w:hAnsi="宋体" w:cs="宋体"/>
          <w:b/>
          <w:bCs/>
          <w:color w:val="auto"/>
          <w:sz w:val="32"/>
          <w:szCs w:val="32"/>
        </w:rPr>
      </w:pPr>
      <w:r>
        <w:rPr>
          <w:rFonts w:hint="eastAsia" w:ascii="宋体" w:hAnsi="宋体" w:cs="宋体"/>
          <w:b/>
          <w:bCs/>
          <w:color w:val="auto"/>
          <w:sz w:val="32"/>
          <w:szCs w:val="32"/>
        </w:rPr>
        <w:t>招标公告</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olor w:val="auto"/>
          <w:sz w:val="28"/>
          <w:szCs w:val="28"/>
        </w:rPr>
      </w:pPr>
      <w:r>
        <w:rPr>
          <w:rFonts w:hint="eastAsia" w:ascii="仿宋" w:hAnsi="仿宋" w:eastAsia="仿宋"/>
          <w:color w:val="auto"/>
          <w:sz w:val="28"/>
          <w:szCs w:val="28"/>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临平区公共物资仓储管理中心服务外包采购项目招标项目的潜在投标人应在政采云平台（http://zfcg.czt.zj.gov.cn）获取招标文件，并于</w:t>
      </w:r>
      <w:r>
        <w:rPr>
          <w:rFonts w:hint="eastAsia" w:ascii="仿宋" w:hAnsi="仿宋" w:eastAsia="仿宋"/>
          <w:color w:val="auto"/>
          <w:sz w:val="28"/>
          <w:szCs w:val="28"/>
          <w:u w:val="single"/>
        </w:rPr>
        <w:t>2021</w:t>
      </w:r>
      <w:r>
        <w:rPr>
          <w:rFonts w:hint="eastAsia" w:ascii="仿宋" w:hAnsi="仿宋" w:eastAsia="仿宋"/>
          <w:bCs/>
          <w:color w:val="auto"/>
          <w:sz w:val="28"/>
          <w:szCs w:val="28"/>
          <w:u w:val="single"/>
        </w:rPr>
        <w:t>年12月</w:t>
      </w:r>
      <w:r>
        <w:rPr>
          <w:rFonts w:hint="eastAsia" w:ascii="仿宋" w:hAnsi="仿宋" w:eastAsia="仿宋"/>
          <w:bCs/>
          <w:color w:val="auto"/>
          <w:sz w:val="28"/>
          <w:szCs w:val="28"/>
          <w:u w:val="single"/>
          <w:lang w:val="en-US" w:eastAsia="zh-CN"/>
        </w:rPr>
        <w:t>2</w:t>
      </w:r>
      <w:r>
        <w:rPr>
          <w:rFonts w:hint="eastAsia" w:ascii="仿宋" w:hAnsi="仿宋" w:eastAsia="仿宋"/>
          <w:bCs/>
          <w:color w:val="auto"/>
          <w:sz w:val="28"/>
          <w:szCs w:val="28"/>
          <w:u w:val="single"/>
          <w:lang w:val="en-US" w:eastAsia="zh-CN"/>
        </w:rPr>
        <w:t>2</w:t>
      </w:r>
      <w:r>
        <w:rPr>
          <w:rFonts w:hint="eastAsia" w:ascii="仿宋" w:hAnsi="仿宋" w:eastAsia="仿宋"/>
          <w:bCs/>
          <w:color w:val="auto"/>
          <w:sz w:val="28"/>
          <w:szCs w:val="28"/>
          <w:u w:val="single"/>
        </w:rPr>
        <w:t>日09点00分（</w:t>
      </w:r>
      <w:r>
        <w:rPr>
          <w:rFonts w:hint="eastAsia" w:ascii="仿宋" w:hAnsi="仿宋" w:eastAsia="仿宋"/>
          <w:bCs/>
          <w:color w:val="auto"/>
          <w:sz w:val="28"/>
          <w:szCs w:val="28"/>
        </w:rPr>
        <w:t>北京时间）前递交投标</w:t>
      </w:r>
      <w:r>
        <w:rPr>
          <w:rFonts w:ascii="仿宋" w:hAnsi="仿宋" w:eastAsia="仿宋"/>
          <w:bCs/>
          <w:color w:val="auto"/>
          <w:sz w:val="28"/>
          <w:szCs w:val="28"/>
        </w:rPr>
        <w:t>文件</w:t>
      </w:r>
      <w:r>
        <w:rPr>
          <w:rFonts w:hint="eastAsia" w:ascii="仿宋" w:hAnsi="仿宋" w:eastAsia="仿宋"/>
          <w:color w:val="auto"/>
          <w:sz w:val="28"/>
          <w:szCs w:val="28"/>
        </w:rPr>
        <w:t>。</w:t>
      </w:r>
    </w:p>
    <w:p>
      <w:pPr>
        <w:spacing w:line="360" w:lineRule="auto"/>
        <w:rPr>
          <w:color w:val="auto"/>
          <w:sz w:val="28"/>
          <w:szCs w:val="28"/>
        </w:rPr>
      </w:pPr>
    </w:p>
    <w:p>
      <w:pPr>
        <w:pStyle w:val="5"/>
        <w:numPr>
          <w:ilvl w:val="0"/>
          <w:numId w:val="0"/>
        </w:numPr>
        <w:tabs>
          <w:tab w:val="left" w:pos="1110"/>
          <w:tab w:val="clear" w:pos="706"/>
        </w:tabs>
        <w:spacing w:line="360" w:lineRule="auto"/>
        <w:ind w:left="560"/>
        <w:rPr>
          <w:rFonts w:ascii="黑体" w:hAnsi="黑体" w:cs="宋体"/>
          <w:b w:val="0"/>
          <w:color w:val="auto"/>
          <w:sz w:val="28"/>
          <w:szCs w:val="28"/>
        </w:rPr>
      </w:pPr>
      <w:bookmarkStart w:id="2" w:name="_Toc28359002"/>
      <w:bookmarkStart w:id="3" w:name="_Toc35393790"/>
      <w:bookmarkStart w:id="4" w:name="_Toc35393621"/>
      <w:bookmarkStart w:id="5" w:name="_Toc28359079"/>
      <w:bookmarkStart w:id="6" w:name="_Hlk24379207"/>
      <w:r>
        <w:rPr>
          <w:rFonts w:hint="eastAsia" w:ascii="黑体" w:hAnsi="黑体" w:cs="宋体"/>
          <w:b w:val="0"/>
          <w:color w:val="auto"/>
          <w:sz w:val="28"/>
          <w:szCs w:val="28"/>
        </w:rPr>
        <w:t>一、项目基本情况</w:t>
      </w:r>
      <w:bookmarkEnd w:id="2"/>
      <w:bookmarkEnd w:id="3"/>
      <w:bookmarkEnd w:id="4"/>
      <w:bookmarkEnd w:id="5"/>
    </w:p>
    <w:p>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s="Times New Roman"/>
          <w:color w:val="auto"/>
          <w:sz w:val="28"/>
          <w:szCs w:val="28"/>
          <w:lang w:eastAsia="zh-CN"/>
        </w:rPr>
        <w:t>HZSYZFCG-2021-012</w:t>
      </w:r>
      <w:r>
        <w:rPr>
          <w:rFonts w:hint="eastAsia" w:ascii="仿宋" w:hAnsi="仿宋" w:eastAsia="仿宋" w:cs="Times New Roman"/>
          <w:color w:val="auto"/>
          <w:sz w:val="28"/>
          <w:szCs w:val="28"/>
        </w:rPr>
        <w:t xml:space="preserve"> </w:t>
      </w:r>
    </w:p>
    <w:p>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项目名称：临平区公共物资仓储管理中心服务外包采购项目</w:t>
      </w:r>
    </w:p>
    <w:bookmarkEnd w:id="6"/>
    <w:p>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预算金额：597万元（三年）</w:t>
      </w:r>
    </w:p>
    <w:p>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最高限价：597万元（三年）</w:t>
      </w:r>
    </w:p>
    <w:p>
      <w:pPr>
        <w:spacing w:line="360" w:lineRule="auto"/>
        <w:ind w:firstLine="560" w:firstLineChars="200"/>
        <w:rPr>
          <w:rFonts w:ascii="仿宋" w:hAnsi="仿宋" w:eastAsia="仿宋"/>
          <w:color w:val="auto"/>
          <w:sz w:val="28"/>
          <w:szCs w:val="28"/>
          <w:u w:val="single"/>
        </w:rPr>
      </w:pPr>
      <w:r>
        <w:rPr>
          <w:rFonts w:hint="eastAsia" w:ascii="仿宋" w:hAnsi="仿宋" w:eastAsia="仿宋"/>
          <w:color w:val="auto"/>
          <w:sz w:val="28"/>
          <w:szCs w:val="28"/>
        </w:rPr>
        <w:t>采购需求：详见招标文件第三部分“项目技术规范和服务要求”</w:t>
      </w:r>
    </w:p>
    <w:p>
      <w:pPr>
        <w:spacing w:line="360" w:lineRule="auto"/>
        <w:ind w:firstLine="560" w:firstLineChars="200"/>
        <w:rPr>
          <w:rFonts w:ascii="仿宋" w:hAnsi="仿宋" w:eastAsia="仿宋"/>
          <w:color w:val="auto"/>
          <w:sz w:val="28"/>
          <w:szCs w:val="28"/>
          <w:u w:val="single"/>
        </w:rPr>
      </w:pPr>
      <w:r>
        <w:rPr>
          <w:rFonts w:hint="eastAsia" w:ascii="仿宋" w:hAnsi="仿宋" w:eastAsia="仿宋"/>
          <w:color w:val="auto"/>
          <w:sz w:val="28"/>
          <w:szCs w:val="28"/>
        </w:rPr>
        <w:t>合同履行期限：1年</w:t>
      </w:r>
    </w:p>
    <w:p>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本</w:t>
      </w:r>
      <w:r>
        <w:rPr>
          <w:rFonts w:hint="eastAsia" w:ascii="仿宋" w:hAnsi="仿宋" w:eastAsia="仿宋" w:cs="仿宋"/>
          <w:color w:val="auto"/>
          <w:sz w:val="28"/>
          <w:szCs w:val="28"/>
        </w:rPr>
        <w:t>项目（否）接受</w:t>
      </w:r>
      <w:r>
        <w:rPr>
          <w:rFonts w:hint="eastAsia" w:ascii="仿宋" w:hAnsi="仿宋" w:eastAsia="仿宋"/>
          <w:color w:val="auto"/>
          <w:sz w:val="28"/>
          <w:szCs w:val="28"/>
        </w:rPr>
        <w:t>联合体投标。</w:t>
      </w:r>
    </w:p>
    <w:p>
      <w:pPr>
        <w:pStyle w:val="5"/>
        <w:numPr>
          <w:ilvl w:val="0"/>
          <w:numId w:val="0"/>
        </w:numPr>
        <w:tabs>
          <w:tab w:val="left" w:pos="1110"/>
          <w:tab w:val="clear" w:pos="706"/>
        </w:tabs>
        <w:ind w:left="560"/>
        <w:rPr>
          <w:rFonts w:ascii="黑体" w:hAnsi="黑体" w:cs="宋体"/>
          <w:b w:val="0"/>
          <w:color w:val="auto"/>
          <w:sz w:val="28"/>
          <w:szCs w:val="28"/>
        </w:rPr>
      </w:pPr>
      <w:bookmarkStart w:id="7" w:name="_Toc35393791"/>
      <w:bookmarkStart w:id="8" w:name="_Toc35393622"/>
      <w:bookmarkStart w:id="9" w:name="_Toc28359003"/>
      <w:bookmarkStart w:id="10" w:name="_Toc28359080"/>
      <w:r>
        <w:rPr>
          <w:rFonts w:hint="eastAsia" w:ascii="黑体" w:hAnsi="黑体" w:cs="宋体"/>
          <w:b w:val="0"/>
          <w:color w:val="auto"/>
          <w:sz w:val="28"/>
          <w:szCs w:val="28"/>
        </w:rPr>
        <w:t>二、申请人的资格要求：</w:t>
      </w:r>
      <w:bookmarkEnd w:id="7"/>
      <w:bookmarkEnd w:id="8"/>
      <w:bookmarkEnd w:id="9"/>
      <w:bookmarkEnd w:id="10"/>
    </w:p>
    <w:p>
      <w:pPr>
        <w:pStyle w:val="5"/>
        <w:numPr>
          <w:ilvl w:val="0"/>
          <w:numId w:val="0"/>
        </w:numPr>
        <w:tabs>
          <w:tab w:val="left" w:pos="1110"/>
          <w:tab w:val="clear" w:pos="706"/>
        </w:tabs>
        <w:ind w:left="560"/>
        <w:rPr>
          <w:rFonts w:hint="eastAsia" w:ascii="仿宋" w:hAnsi="仿宋" w:eastAsia="仿宋" w:cs="仿宋"/>
          <w:b w:val="0"/>
          <w:color w:val="auto"/>
          <w:sz w:val="28"/>
          <w:szCs w:val="28"/>
        </w:rPr>
      </w:pPr>
      <w:bookmarkStart w:id="11" w:name="_Toc35393623"/>
      <w:bookmarkStart w:id="12" w:name="_Toc28359081"/>
      <w:bookmarkStart w:id="13" w:name="_Toc35393792"/>
      <w:bookmarkStart w:id="14" w:name="_Toc28359004"/>
      <w:r>
        <w:rPr>
          <w:rFonts w:hint="eastAsia" w:ascii="仿宋" w:hAnsi="仿宋" w:eastAsia="仿宋" w:cs="仿宋"/>
          <w:b w:val="0"/>
          <w:color w:val="auto"/>
          <w:sz w:val="28"/>
          <w:szCs w:val="28"/>
        </w:rPr>
        <w:t>1.</w:t>
      </w:r>
    </w:p>
    <w:p>
      <w:pPr>
        <w:pStyle w:val="5"/>
        <w:numPr>
          <w:ilvl w:val="0"/>
          <w:numId w:val="0"/>
        </w:numPr>
        <w:tabs>
          <w:tab w:val="left" w:pos="1110"/>
          <w:tab w:val="clear" w:pos="706"/>
        </w:tabs>
        <w:ind w:left="560"/>
        <w:rPr>
          <w:rFonts w:hint="eastAsia" w:ascii="仿宋" w:hAnsi="仿宋" w:eastAsia="仿宋" w:cs="仿宋"/>
          <w:b w:val="0"/>
          <w:color w:val="auto"/>
          <w:sz w:val="28"/>
          <w:szCs w:val="28"/>
        </w:rPr>
      </w:pPr>
      <w:r>
        <w:rPr>
          <w:rFonts w:hint="eastAsia" w:ascii="仿宋" w:hAnsi="仿宋" w:eastAsia="仿宋" w:cs="仿宋"/>
          <w:b w:val="0"/>
          <w:color w:val="auto"/>
          <w:sz w:val="28"/>
          <w:szCs w:val="28"/>
        </w:rPr>
        <w:t>①满足《中华人民共和国政府采购法》第二十二条规定；未被“信用中国”（www.creditchina.gov.cn)、中国政府采购网（www.ccgp.gov.cn）列入失信被执行人、重大税收违法案件当事人名单、政府采购严重违法失信行为记录名单。</w:t>
      </w:r>
    </w:p>
    <w:p>
      <w:pPr>
        <w:pStyle w:val="5"/>
        <w:numPr>
          <w:ilvl w:val="0"/>
          <w:numId w:val="0"/>
        </w:numPr>
        <w:tabs>
          <w:tab w:val="left" w:pos="1110"/>
          <w:tab w:val="clear" w:pos="706"/>
        </w:tabs>
        <w:ind w:left="560"/>
        <w:rPr>
          <w:rFonts w:ascii="仿宋" w:hAnsi="仿宋" w:eastAsia="仿宋" w:cs="仿宋"/>
          <w:b w:val="0"/>
          <w:color w:val="auto"/>
          <w:sz w:val="28"/>
          <w:szCs w:val="28"/>
        </w:rPr>
      </w:pPr>
      <w:r>
        <w:rPr>
          <w:rFonts w:hint="eastAsia" w:ascii="仿宋" w:hAnsi="仿宋" w:eastAsia="仿宋" w:cs="仿宋"/>
          <w:b w:val="0"/>
          <w:color w:val="auto"/>
          <w:sz w:val="28"/>
          <w:szCs w:val="28"/>
        </w:rPr>
        <w:t>②本项目不允许分包、转包，谢绝联合体投标。</w:t>
      </w:r>
    </w:p>
    <w:p>
      <w:pPr>
        <w:pStyle w:val="5"/>
        <w:numPr>
          <w:ilvl w:val="0"/>
          <w:numId w:val="0"/>
        </w:numPr>
        <w:tabs>
          <w:tab w:val="left" w:pos="1110"/>
          <w:tab w:val="clear" w:pos="706"/>
        </w:tabs>
        <w:ind w:left="560"/>
        <w:rPr>
          <w:rFonts w:hint="eastAsia" w:ascii="仿宋" w:hAnsi="仿宋" w:eastAsia="仿宋" w:cs="仿宋"/>
          <w:b w:val="0"/>
          <w:color w:val="auto"/>
          <w:sz w:val="28"/>
          <w:szCs w:val="28"/>
        </w:rPr>
      </w:pPr>
      <w:r>
        <w:rPr>
          <w:rFonts w:hint="eastAsia" w:ascii="仿宋" w:hAnsi="仿宋" w:eastAsia="仿宋" w:cs="仿宋"/>
          <w:b w:val="0"/>
          <w:color w:val="auto"/>
          <w:sz w:val="28"/>
          <w:szCs w:val="28"/>
        </w:rPr>
        <w:t xml:space="preserve">2.落实政府采购政策需满足的资格要求：无 </w:t>
      </w:r>
    </w:p>
    <w:p>
      <w:pPr>
        <w:pStyle w:val="5"/>
        <w:numPr>
          <w:ilvl w:val="0"/>
          <w:numId w:val="0"/>
        </w:numPr>
        <w:tabs>
          <w:tab w:val="left" w:pos="1110"/>
          <w:tab w:val="clear" w:pos="706"/>
        </w:tabs>
        <w:ind w:left="560"/>
        <w:rPr>
          <w:rFonts w:hint="eastAsia" w:ascii="黑体" w:hAnsi="黑体" w:eastAsia="仿宋" w:cs="宋体"/>
          <w:b w:val="0"/>
          <w:color w:val="auto"/>
          <w:sz w:val="28"/>
          <w:szCs w:val="28"/>
        </w:rPr>
      </w:pPr>
      <w:r>
        <w:rPr>
          <w:rFonts w:hint="eastAsia" w:ascii="仿宋" w:hAnsi="仿宋" w:eastAsia="仿宋" w:cs="仿宋"/>
          <w:b w:val="0"/>
          <w:color w:val="auto"/>
          <w:sz w:val="28"/>
          <w:szCs w:val="28"/>
        </w:rPr>
        <w:t>3.本项目的特定资格要求：（1）单位负责人为同一人或者存在直接控股、管理关系的不同供应商，不得参加同一合同项下的政府采购活动承诺函；（2）投标供应商没有失信记录承诺函,（3）供应商未被列入失信被执行人名单、重大税收违法案件当事人名单、政府采购严重违法失信行为记录名单，信用信息以信用中国网站（www.creditchina.gov.cn）、中国政府采购网（www.ccgp.gov.cn）公布为准；(4)公益一类事业单位、使用事业编制且由财政拨款保障的群团组织，不作为政府购买服务的购买主体和承接主体。</w:t>
      </w:r>
    </w:p>
    <w:p>
      <w:pPr>
        <w:pStyle w:val="5"/>
        <w:numPr>
          <w:ilvl w:val="0"/>
          <w:numId w:val="0"/>
        </w:numPr>
        <w:tabs>
          <w:tab w:val="left" w:pos="1110"/>
          <w:tab w:val="clear" w:pos="706"/>
        </w:tabs>
        <w:ind w:left="560"/>
        <w:rPr>
          <w:rFonts w:ascii="黑体" w:hAnsi="黑体" w:cs="宋体"/>
          <w:b w:val="0"/>
          <w:color w:val="auto"/>
          <w:sz w:val="28"/>
          <w:szCs w:val="28"/>
        </w:rPr>
      </w:pPr>
      <w:r>
        <w:rPr>
          <w:rFonts w:hint="eastAsia" w:ascii="黑体" w:hAnsi="黑体" w:cs="宋体"/>
          <w:b w:val="0"/>
          <w:color w:val="auto"/>
          <w:sz w:val="28"/>
          <w:szCs w:val="28"/>
        </w:rPr>
        <w:t>三、获取招标文件</w:t>
      </w:r>
      <w:bookmarkEnd w:id="11"/>
      <w:bookmarkEnd w:id="12"/>
      <w:bookmarkEnd w:id="13"/>
      <w:bookmarkEnd w:id="14"/>
    </w:p>
    <w:p>
      <w:pPr>
        <w:spacing w:line="360" w:lineRule="auto"/>
        <w:ind w:firstLine="540"/>
        <w:rPr>
          <w:rFonts w:ascii="仿宋" w:hAnsi="仿宋" w:eastAsia="仿宋" w:cs="宋体"/>
          <w:color w:val="auto"/>
          <w:sz w:val="28"/>
          <w:szCs w:val="28"/>
        </w:rPr>
      </w:pPr>
      <w:r>
        <w:rPr>
          <w:rFonts w:hint="eastAsia" w:ascii="仿宋" w:hAnsi="仿宋" w:eastAsia="仿宋" w:cs="宋体"/>
          <w:color w:val="auto"/>
          <w:sz w:val="28"/>
          <w:szCs w:val="28"/>
        </w:rPr>
        <w:t>时间：</w:t>
      </w:r>
      <w:r>
        <w:rPr>
          <w:rFonts w:hint="eastAsia" w:ascii="仿宋" w:hAnsi="仿宋" w:eastAsia="仿宋" w:cs="宋体"/>
          <w:color w:val="auto"/>
          <w:sz w:val="28"/>
          <w:szCs w:val="28"/>
          <w:u w:val="single"/>
        </w:rPr>
        <w:t>2021年</w:t>
      </w:r>
      <w:r>
        <w:rPr>
          <w:rFonts w:hint="eastAsia" w:ascii="仿宋" w:hAnsi="仿宋" w:eastAsia="仿宋" w:cs="宋体"/>
          <w:color w:val="auto"/>
          <w:sz w:val="28"/>
          <w:szCs w:val="28"/>
          <w:u w:val="single"/>
          <w:lang w:val="en-US" w:eastAsia="zh-CN"/>
        </w:rPr>
        <w:t>12</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2</w:t>
      </w:r>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rPr>
        <w:t xml:space="preserve">2021年 </w:t>
      </w:r>
      <w:r>
        <w:rPr>
          <w:rFonts w:hint="eastAsia" w:ascii="仿宋" w:hAnsi="仿宋" w:eastAsia="仿宋" w:cs="宋体"/>
          <w:color w:val="auto"/>
          <w:sz w:val="28"/>
          <w:szCs w:val="28"/>
          <w:u w:val="single"/>
          <w:lang w:val="en-US" w:eastAsia="zh-CN"/>
        </w:rPr>
        <w:t>12</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22</w:t>
      </w:r>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，每天上午</w:t>
      </w:r>
      <w:r>
        <w:rPr>
          <w:rFonts w:hint="eastAsia" w:ascii="仿宋" w:hAnsi="仿宋" w:eastAsia="仿宋" w:cs="宋体"/>
          <w:color w:val="auto"/>
          <w:sz w:val="28"/>
          <w:szCs w:val="28"/>
          <w:u w:val="single"/>
        </w:rPr>
        <w:t>00:00</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rPr>
        <w:t>12:00</w:t>
      </w:r>
      <w:r>
        <w:rPr>
          <w:rFonts w:hint="eastAsia" w:ascii="仿宋" w:hAnsi="仿宋" w:eastAsia="仿宋" w:cs="宋体"/>
          <w:color w:val="auto"/>
          <w:sz w:val="28"/>
          <w:szCs w:val="28"/>
        </w:rPr>
        <w:t>，下午</w:t>
      </w:r>
      <w:r>
        <w:rPr>
          <w:rFonts w:hint="eastAsia" w:ascii="仿宋" w:hAnsi="仿宋" w:eastAsia="仿宋" w:cs="宋体"/>
          <w:color w:val="auto"/>
          <w:sz w:val="28"/>
          <w:szCs w:val="28"/>
          <w:u w:val="single"/>
        </w:rPr>
        <w:t>12:00</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rPr>
        <w:t>23:59</w:t>
      </w:r>
      <w:r>
        <w:rPr>
          <w:rFonts w:hint="eastAsia" w:ascii="仿宋" w:hAnsi="仿宋" w:eastAsia="仿宋" w:cs="宋体"/>
          <w:color w:val="auto"/>
          <w:sz w:val="28"/>
          <w:szCs w:val="28"/>
        </w:rPr>
        <w:t>（北京时间，</w:t>
      </w:r>
      <w:r>
        <w:rPr>
          <w:rFonts w:ascii="仿宋" w:hAnsi="仿宋" w:eastAsia="仿宋" w:cs="宋体"/>
          <w:color w:val="auto"/>
          <w:sz w:val="28"/>
          <w:szCs w:val="28"/>
        </w:rPr>
        <w:t>法定节假日</w:t>
      </w:r>
      <w:r>
        <w:rPr>
          <w:rFonts w:hint="eastAsia" w:ascii="仿宋" w:hAnsi="仿宋" w:eastAsia="仿宋" w:cs="宋体"/>
          <w:color w:val="auto"/>
          <w:sz w:val="28"/>
          <w:szCs w:val="28"/>
        </w:rPr>
        <w:t>除外）</w:t>
      </w:r>
    </w:p>
    <w:p>
      <w:pPr>
        <w:spacing w:line="360" w:lineRule="auto"/>
        <w:ind w:firstLine="540"/>
        <w:rPr>
          <w:rFonts w:ascii="仿宋" w:hAnsi="仿宋" w:eastAsia="仿宋" w:cs="宋体"/>
          <w:color w:val="auto"/>
          <w:sz w:val="28"/>
          <w:szCs w:val="28"/>
          <w:u w:val="single"/>
        </w:rPr>
      </w:pPr>
      <w:r>
        <w:rPr>
          <w:rFonts w:hint="eastAsia" w:ascii="仿宋" w:hAnsi="仿宋" w:eastAsia="仿宋" w:cs="宋体"/>
          <w:color w:val="auto"/>
          <w:sz w:val="28"/>
          <w:szCs w:val="28"/>
        </w:rPr>
        <w:t>地点：政采云平台（http://zfcg.czt.zj.gov.cn）</w:t>
      </w:r>
    </w:p>
    <w:p>
      <w:pPr>
        <w:spacing w:line="360" w:lineRule="auto"/>
        <w:ind w:firstLine="540"/>
        <w:rPr>
          <w:rFonts w:ascii="仿宋" w:hAnsi="仿宋" w:eastAsia="仿宋" w:cs="宋体"/>
          <w:color w:val="auto"/>
          <w:sz w:val="28"/>
          <w:szCs w:val="28"/>
          <w:u w:val="single"/>
        </w:rPr>
      </w:pPr>
      <w:r>
        <w:rPr>
          <w:rFonts w:hint="eastAsia" w:ascii="仿宋" w:hAnsi="仿宋" w:eastAsia="仿宋" w:cs="宋体"/>
          <w:color w:val="auto"/>
          <w:sz w:val="28"/>
          <w:szCs w:val="28"/>
        </w:rPr>
        <w:t>方式：本项目招标文件实行“政府采购云平台”在线获取，不提供招标文件纸质版。供应商获取招标文件前应先完成“政府采购云平台”的账号注册。</w:t>
      </w:r>
    </w:p>
    <w:p>
      <w:pPr>
        <w:spacing w:line="360" w:lineRule="auto"/>
        <w:ind w:firstLine="540"/>
        <w:rPr>
          <w:rFonts w:ascii="仿宋" w:hAnsi="仿宋" w:eastAsia="仿宋" w:cs="宋体"/>
          <w:color w:val="auto"/>
          <w:sz w:val="28"/>
          <w:szCs w:val="28"/>
        </w:rPr>
      </w:pPr>
      <w:r>
        <w:rPr>
          <w:rFonts w:hint="eastAsia" w:ascii="仿宋" w:hAnsi="仿宋" w:eastAsia="仿宋" w:cs="宋体"/>
          <w:color w:val="auto"/>
          <w:sz w:val="28"/>
          <w:szCs w:val="28"/>
        </w:rPr>
        <w:t>售价：0元</w:t>
      </w:r>
    </w:p>
    <w:p>
      <w:pPr>
        <w:pStyle w:val="5"/>
        <w:keepNext w:val="0"/>
        <w:keepLines w:val="0"/>
        <w:numPr>
          <w:ilvl w:val="0"/>
          <w:numId w:val="0"/>
        </w:numPr>
        <w:tabs>
          <w:tab w:val="left" w:pos="1110"/>
          <w:tab w:val="clear" w:pos="706"/>
        </w:tabs>
        <w:spacing w:line="240" w:lineRule="auto"/>
        <w:ind w:left="560"/>
        <w:rPr>
          <w:rFonts w:ascii="黑体" w:hAnsi="黑体" w:cs="宋体"/>
          <w:b w:val="0"/>
          <w:color w:val="auto"/>
          <w:sz w:val="28"/>
          <w:szCs w:val="28"/>
        </w:rPr>
      </w:pPr>
      <w:bookmarkStart w:id="15" w:name="_Toc28359082"/>
      <w:bookmarkStart w:id="16" w:name="_Toc28359005"/>
      <w:bookmarkStart w:id="17" w:name="_Toc35393624"/>
      <w:bookmarkStart w:id="18" w:name="_Toc35393793"/>
      <w:r>
        <w:rPr>
          <w:rFonts w:hint="eastAsia" w:ascii="黑体" w:hAnsi="黑体" w:cs="宋体"/>
          <w:b w:val="0"/>
          <w:color w:val="auto"/>
          <w:sz w:val="28"/>
          <w:szCs w:val="28"/>
        </w:rPr>
        <w:t>四、提交投标文件</w:t>
      </w:r>
      <w:bookmarkEnd w:id="15"/>
      <w:bookmarkEnd w:id="16"/>
      <w:r>
        <w:rPr>
          <w:rFonts w:hint="eastAsia" w:ascii="黑体" w:hAnsi="黑体" w:cs="宋体"/>
          <w:b w:val="0"/>
          <w:color w:val="auto"/>
          <w:sz w:val="28"/>
          <w:szCs w:val="28"/>
        </w:rPr>
        <w:t>截止时间、开标时间和地点</w:t>
      </w:r>
      <w:bookmarkEnd w:id="17"/>
      <w:bookmarkEnd w:id="18"/>
    </w:p>
    <w:p>
      <w:pPr>
        <w:spacing w:line="360" w:lineRule="auto"/>
        <w:rPr>
          <w:rFonts w:ascii="仿宋" w:hAnsi="仿宋" w:eastAsia="仿宋"/>
          <w:bCs/>
          <w:color w:val="auto"/>
          <w:sz w:val="28"/>
          <w:szCs w:val="28"/>
          <w:u w:val="single"/>
        </w:rPr>
      </w:pPr>
      <w:r>
        <w:rPr>
          <w:rFonts w:hint="eastAsia" w:ascii="黑体" w:hAnsi="黑体" w:cs="宋体"/>
          <w:color w:val="auto"/>
          <w:sz w:val="28"/>
          <w:szCs w:val="28"/>
        </w:rPr>
        <w:t>时间：</w:t>
      </w:r>
      <w:r>
        <w:rPr>
          <w:rFonts w:hint="eastAsia" w:ascii="仿宋" w:hAnsi="仿宋" w:eastAsia="仿宋"/>
          <w:bCs/>
          <w:color w:val="auto"/>
          <w:sz w:val="28"/>
          <w:szCs w:val="28"/>
          <w:u w:val="single"/>
        </w:rPr>
        <w:t>2021年</w:t>
      </w:r>
      <w:r>
        <w:rPr>
          <w:rFonts w:hint="eastAsia" w:ascii="仿宋" w:hAnsi="仿宋" w:eastAsia="仿宋"/>
          <w:bCs/>
          <w:color w:val="auto"/>
          <w:sz w:val="28"/>
          <w:szCs w:val="28"/>
          <w:u w:val="single"/>
          <w:lang w:val="en-US" w:eastAsia="zh-CN"/>
        </w:rPr>
        <w:t>1</w:t>
      </w:r>
      <w:r>
        <w:rPr>
          <w:rFonts w:hint="eastAsia" w:ascii="仿宋" w:hAnsi="仿宋" w:eastAsia="仿宋"/>
          <w:bCs/>
          <w:color w:val="auto"/>
          <w:sz w:val="28"/>
          <w:szCs w:val="28"/>
          <w:u w:val="single"/>
          <w:lang w:val="en-US" w:eastAsia="zh-CN"/>
        </w:rPr>
        <w:t>2</w:t>
      </w:r>
      <w:r>
        <w:rPr>
          <w:rFonts w:hint="eastAsia" w:ascii="仿宋" w:hAnsi="仿宋" w:eastAsia="仿宋"/>
          <w:bCs/>
          <w:color w:val="auto"/>
          <w:sz w:val="28"/>
          <w:szCs w:val="28"/>
          <w:u w:val="single"/>
        </w:rPr>
        <w:t>月</w:t>
      </w:r>
      <w:r>
        <w:rPr>
          <w:rFonts w:hint="eastAsia" w:ascii="仿宋" w:hAnsi="仿宋" w:eastAsia="仿宋"/>
          <w:bCs/>
          <w:color w:val="auto"/>
          <w:sz w:val="28"/>
          <w:szCs w:val="28"/>
          <w:u w:val="single"/>
          <w:lang w:val="en-US" w:eastAsia="zh-CN"/>
        </w:rPr>
        <w:t>2</w:t>
      </w:r>
      <w:r>
        <w:rPr>
          <w:rFonts w:hint="eastAsia" w:ascii="仿宋" w:hAnsi="仿宋" w:eastAsia="仿宋"/>
          <w:bCs/>
          <w:color w:val="auto"/>
          <w:sz w:val="28"/>
          <w:szCs w:val="28"/>
          <w:u w:val="single"/>
          <w:lang w:val="en-US" w:eastAsia="zh-CN"/>
        </w:rPr>
        <w:t>2</w:t>
      </w:r>
      <w:r>
        <w:rPr>
          <w:rFonts w:hint="eastAsia" w:ascii="仿宋" w:hAnsi="仿宋" w:eastAsia="仿宋"/>
          <w:bCs/>
          <w:color w:val="auto"/>
          <w:sz w:val="28"/>
          <w:szCs w:val="28"/>
          <w:u w:val="single"/>
        </w:rPr>
        <w:t>日09点00分</w:t>
      </w:r>
      <w:r>
        <w:rPr>
          <w:rFonts w:hint="eastAsia" w:ascii="仿宋" w:hAnsi="仿宋" w:eastAsia="仿宋"/>
          <w:bCs/>
          <w:color w:val="auto"/>
          <w:sz w:val="28"/>
          <w:szCs w:val="28"/>
        </w:rPr>
        <w:t>（北京时间）</w:t>
      </w:r>
    </w:p>
    <w:p>
      <w:pPr>
        <w:spacing w:line="360" w:lineRule="auto"/>
        <w:rPr>
          <w:rFonts w:hint="eastAsia" w:ascii="仿宋" w:hAnsi="仿宋" w:eastAsia="仿宋" w:cs="仿宋"/>
          <w:b w:val="0"/>
          <w:bCs w:val="0"/>
          <w:color w:val="auto"/>
          <w:sz w:val="28"/>
          <w:szCs w:val="28"/>
        </w:rPr>
      </w:pPr>
      <w:r>
        <w:rPr>
          <w:rFonts w:hint="eastAsia" w:ascii="黑体" w:hAnsi="黑体" w:eastAsia="宋体" w:cs="宋体"/>
          <w:color w:val="auto"/>
          <w:sz w:val="28"/>
          <w:szCs w:val="28"/>
        </w:rPr>
        <w:t>地点：</w:t>
      </w:r>
      <w:r>
        <w:rPr>
          <w:rFonts w:hint="eastAsia" w:ascii="仿宋" w:hAnsi="仿宋" w:eastAsia="仿宋" w:cs="仿宋"/>
          <w:b w:val="0"/>
          <w:bCs w:val="0"/>
          <w:color w:val="auto"/>
          <w:sz w:val="28"/>
          <w:szCs w:val="28"/>
        </w:rPr>
        <w:t>电子加密响应文件：政府采购云平台（www.zcygov.cn）在线递交；</w:t>
      </w:r>
    </w:p>
    <w:p>
      <w:pPr>
        <w:spacing w:line="360" w:lineRule="auto"/>
        <w:ind w:firstLine="840" w:firstLineChars="3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地点：杭州市临平区东湖街道振兴东路38号1幢601室；</w:t>
      </w:r>
    </w:p>
    <w:p>
      <w:pPr>
        <w:spacing w:line="360" w:lineRule="auto"/>
        <w:ind w:firstLine="840" w:firstLineChars="3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电子备份响应文件（如提供）：邮寄</w:t>
      </w:r>
      <w:r>
        <w:rPr>
          <w:rFonts w:hint="eastAsia" w:ascii="仿宋" w:hAnsi="仿宋" w:eastAsia="仿宋" w:cs="仿宋"/>
          <w:b w:val="0"/>
          <w:bCs w:val="0"/>
          <w:color w:val="auto"/>
          <w:sz w:val="28"/>
          <w:szCs w:val="28"/>
          <w:lang w:eastAsia="zh-CN"/>
        </w:rPr>
        <w:t>杭州溯远工程咨询有限公司</w:t>
      </w:r>
      <w:r>
        <w:rPr>
          <w:rFonts w:hint="eastAsia" w:ascii="仿宋" w:hAnsi="仿宋" w:eastAsia="仿宋" w:cs="仿宋"/>
          <w:b w:val="0"/>
          <w:bCs w:val="0"/>
          <w:color w:val="auto"/>
          <w:sz w:val="28"/>
          <w:szCs w:val="28"/>
        </w:rPr>
        <w:t>（杭州市临平区东湖街道振兴东路38号1幢601室</w:t>
      </w:r>
      <w:r>
        <w:rPr>
          <w:rFonts w:hint="eastAsia" w:ascii="仿宋" w:hAnsi="仿宋" w:eastAsia="仿宋" w:cs="仿宋"/>
          <w:b w:val="0"/>
          <w:bCs w:val="0"/>
          <w:color w:val="auto"/>
          <w:sz w:val="28"/>
          <w:szCs w:val="28"/>
          <w:lang w:val="en-US" w:eastAsia="zh-CN"/>
        </w:rPr>
        <w:t>胡敏强</w:t>
      </w:r>
      <w:r>
        <w:rPr>
          <w:rFonts w:hint="eastAsia" w:ascii="仿宋" w:hAnsi="仿宋" w:eastAsia="仿宋" w:cs="仿宋"/>
          <w:b w:val="0"/>
          <w:bCs w:val="0"/>
          <w:color w:val="auto"/>
          <w:sz w:val="28"/>
          <w:szCs w:val="28"/>
        </w:rPr>
        <w:t>收）。</w:t>
      </w:r>
    </w:p>
    <w:p>
      <w:pPr>
        <w:rPr>
          <w:rFonts w:ascii="仿宋" w:hAnsi="仿宋" w:eastAsia="仿宋"/>
          <w:bCs/>
          <w:color w:val="auto"/>
          <w:sz w:val="28"/>
          <w:szCs w:val="28"/>
          <w:u w:val="single"/>
        </w:rPr>
      </w:pPr>
    </w:p>
    <w:p>
      <w:pPr>
        <w:pStyle w:val="5"/>
        <w:numPr>
          <w:ilvl w:val="0"/>
          <w:numId w:val="0"/>
        </w:numPr>
        <w:tabs>
          <w:tab w:val="left" w:pos="1110"/>
          <w:tab w:val="clear" w:pos="706"/>
        </w:tabs>
        <w:ind w:left="560"/>
        <w:rPr>
          <w:rFonts w:ascii="黑体" w:hAnsi="黑体" w:cs="宋体"/>
          <w:b w:val="0"/>
          <w:color w:val="auto"/>
          <w:sz w:val="28"/>
          <w:szCs w:val="28"/>
        </w:rPr>
      </w:pPr>
      <w:bookmarkStart w:id="19" w:name="_Toc28359007"/>
      <w:bookmarkStart w:id="20" w:name="_Toc35393625"/>
      <w:bookmarkStart w:id="21" w:name="_Toc28359084"/>
      <w:bookmarkStart w:id="22" w:name="_Toc35393794"/>
      <w:r>
        <w:rPr>
          <w:rFonts w:hint="eastAsia" w:ascii="黑体" w:hAnsi="黑体" w:cs="宋体"/>
          <w:b w:val="0"/>
          <w:color w:val="auto"/>
          <w:sz w:val="28"/>
          <w:szCs w:val="28"/>
        </w:rPr>
        <w:t>五、公告期限</w:t>
      </w:r>
      <w:bookmarkEnd w:id="19"/>
      <w:bookmarkEnd w:id="20"/>
      <w:bookmarkEnd w:id="21"/>
      <w:bookmarkEnd w:id="22"/>
    </w:p>
    <w:p>
      <w:pPr>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自本公告发布之日起5个工作日。</w:t>
      </w:r>
    </w:p>
    <w:p>
      <w:pPr>
        <w:pStyle w:val="5"/>
        <w:numPr>
          <w:ilvl w:val="0"/>
          <w:numId w:val="9"/>
        </w:numPr>
        <w:tabs>
          <w:tab w:val="left" w:pos="1110"/>
          <w:tab w:val="clear" w:pos="706"/>
        </w:tabs>
        <w:rPr>
          <w:rFonts w:hint="eastAsia" w:ascii="黑体" w:hAnsi="黑体" w:cs="宋体"/>
          <w:b w:val="0"/>
          <w:color w:val="auto"/>
          <w:sz w:val="28"/>
          <w:szCs w:val="28"/>
        </w:rPr>
      </w:pPr>
      <w:bookmarkStart w:id="23" w:name="_Toc35393626"/>
      <w:bookmarkStart w:id="24" w:name="_Toc35393795"/>
      <w:r>
        <w:rPr>
          <w:rFonts w:hint="eastAsia" w:ascii="黑体" w:hAnsi="黑体" w:cs="宋体"/>
          <w:b w:val="0"/>
          <w:color w:val="auto"/>
          <w:sz w:val="28"/>
          <w:szCs w:val="28"/>
        </w:rPr>
        <w:t>其他补充事宜</w:t>
      </w:r>
      <w:bookmarkEnd w:id="23"/>
      <w:bookmarkEnd w:id="24"/>
    </w:p>
    <w:p>
      <w:pPr>
        <w:spacing w:line="360" w:lineRule="auto"/>
        <w:ind w:firstLine="540"/>
        <w:rPr>
          <w:rFonts w:hint="eastAsia" w:ascii="仿宋" w:hAnsi="仿宋" w:eastAsia="仿宋" w:cs="宋体"/>
          <w:color w:val="auto"/>
          <w:sz w:val="28"/>
          <w:szCs w:val="28"/>
        </w:rPr>
      </w:pPr>
      <w:r>
        <w:rPr>
          <w:rFonts w:hint="eastAsia" w:ascii="仿宋" w:hAnsi="仿宋" w:eastAsia="仿宋" w:cs="宋体"/>
          <w:color w:val="auto"/>
          <w:sz w:val="28"/>
          <w:szCs w:val="28"/>
        </w:rPr>
        <w:t xml:space="preserve">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540"/>
        <w:rPr>
          <w:color w:val="auto"/>
        </w:rPr>
      </w:pPr>
      <w:r>
        <w:rPr>
          <w:rFonts w:hint="eastAsia" w:ascii="仿宋" w:hAnsi="仿宋" w:eastAsia="仿宋" w:cs="宋体"/>
          <w:color w:val="auto"/>
          <w:sz w:val="28"/>
          <w:szCs w:val="28"/>
        </w:rPr>
        <w:t xml:space="preserve">    2.其他事项：无</w:t>
      </w:r>
    </w:p>
    <w:p>
      <w:pPr>
        <w:pStyle w:val="5"/>
        <w:numPr>
          <w:ilvl w:val="0"/>
          <w:numId w:val="0"/>
        </w:numPr>
        <w:tabs>
          <w:tab w:val="left" w:pos="1110"/>
          <w:tab w:val="clear" w:pos="706"/>
        </w:tabs>
        <w:ind w:left="560"/>
        <w:rPr>
          <w:rFonts w:ascii="黑体" w:hAnsi="黑体" w:cs="宋体"/>
          <w:b w:val="0"/>
          <w:color w:val="auto"/>
          <w:sz w:val="28"/>
          <w:szCs w:val="28"/>
        </w:rPr>
      </w:pPr>
      <w:bookmarkStart w:id="25" w:name="_Toc28359085"/>
      <w:bookmarkStart w:id="26" w:name="_Toc28359008"/>
      <w:bookmarkStart w:id="27" w:name="_Toc35393796"/>
      <w:bookmarkStart w:id="28" w:name="_Toc35393627"/>
      <w:r>
        <w:rPr>
          <w:rFonts w:hint="eastAsia" w:ascii="黑体" w:hAnsi="黑体" w:cs="宋体"/>
          <w:b w:val="0"/>
          <w:color w:val="auto"/>
          <w:sz w:val="28"/>
          <w:szCs w:val="28"/>
        </w:rPr>
        <w:t>七、对本次招标提出询问，请按</w:t>
      </w:r>
      <w:r>
        <w:rPr>
          <w:rFonts w:ascii="黑体" w:hAnsi="黑体" w:cs="宋体"/>
          <w:b w:val="0"/>
          <w:color w:val="auto"/>
          <w:sz w:val="28"/>
          <w:szCs w:val="28"/>
        </w:rPr>
        <w:t>以下方式</w:t>
      </w:r>
      <w:r>
        <w:rPr>
          <w:rFonts w:hint="eastAsia" w:ascii="黑体" w:hAnsi="黑体" w:cs="宋体"/>
          <w:b w:val="0"/>
          <w:color w:val="auto"/>
          <w:sz w:val="28"/>
          <w:szCs w:val="28"/>
        </w:rPr>
        <w:t>联系。</w:t>
      </w:r>
      <w:bookmarkEnd w:id="25"/>
      <w:bookmarkEnd w:id="26"/>
      <w:bookmarkEnd w:id="27"/>
      <w:bookmarkEnd w:id="28"/>
    </w:p>
    <w:p>
      <w:pPr>
        <w:widowControl/>
        <w:jc w:val="left"/>
        <w:rPr>
          <w:rFonts w:ascii="仿宋_GB2312" w:eastAsia="仿宋_GB2312"/>
          <w:color w:val="auto"/>
          <w:sz w:val="28"/>
          <w:szCs w:val="28"/>
        </w:rPr>
      </w:pPr>
      <w:r>
        <w:rPr>
          <w:rFonts w:hint="eastAsia" w:ascii="仿宋" w:hAnsi="仿宋" w:eastAsia="仿宋" w:cs="宋体"/>
          <w:color w:val="auto"/>
          <w:sz w:val="28"/>
          <w:szCs w:val="28"/>
        </w:rPr>
        <w:t>　　　1.采购人信息</w:t>
      </w:r>
    </w:p>
    <w:p>
      <w:pPr>
        <w:spacing w:line="360" w:lineRule="auto"/>
        <w:ind w:firstLine="840" w:firstLineChars="300"/>
        <w:rPr>
          <w:rFonts w:hint="eastAsia" w:ascii="仿宋" w:hAnsi="仿宋" w:eastAsia="仿宋" w:cs="宋体"/>
          <w:color w:val="auto"/>
          <w:sz w:val="28"/>
          <w:szCs w:val="28"/>
        </w:rPr>
      </w:pPr>
      <w:r>
        <w:rPr>
          <w:rFonts w:hint="eastAsia" w:ascii="仿宋" w:hAnsi="仿宋" w:eastAsia="仿宋"/>
          <w:color w:val="auto"/>
          <w:sz w:val="28"/>
          <w:szCs w:val="28"/>
        </w:rPr>
        <w:t>名 称</w:t>
      </w:r>
      <w:r>
        <w:rPr>
          <w:rFonts w:hint="eastAsia" w:ascii="仿宋" w:hAnsi="仿宋" w:eastAsia="仿宋" w:cs="宋体"/>
          <w:color w:val="auto"/>
          <w:sz w:val="28"/>
          <w:szCs w:val="28"/>
        </w:rPr>
        <w:t>：杭州市临平区机关事务服务中心</w:t>
      </w:r>
    </w:p>
    <w:p>
      <w:pPr>
        <w:spacing w:line="360" w:lineRule="auto"/>
        <w:ind w:firstLine="840" w:firstLineChars="300"/>
        <w:rPr>
          <w:rFonts w:ascii="仿宋" w:hAnsi="仿宋" w:eastAsia="仿宋" w:cs="宋体"/>
          <w:color w:val="auto"/>
          <w:sz w:val="28"/>
          <w:szCs w:val="28"/>
        </w:rPr>
      </w:pPr>
      <w:r>
        <w:rPr>
          <w:rFonts w:hint="eastAsia" w:ascii="仿宋" w:hAnsi="仿宋" w:eastAsia="仿宋" w:cs="宋体"/>
          <w:color w:val="auto"/>
          <w:sz w:val="28"/>
          <w:szCs w:val="28"/>
        </w:rPr>
        <w:t>地 址：杭州市临平区临平街道西大街33号</w:t>
      </w:r>
    </w:p>
    <w:p>
      <w:pPr>
        <w:spacing w:line="360" w:lineRule="auto"/>
        <w:ind w:firstLine="840" w:firstLineChars="300"/>
        <w:jc w:val="left"/>
        <w:rPr>
          <w:rFonts w:hint="eastAsia" w:ascii="仿宋" w:hAnsi="仿宋" w:eastAsia="仿宋"/>
          <w:color w:val="auto"/>
          <w:sz w:val="28"/>
          <w:szCs w:val="28"/>
        </w:rPr>
      </w:pPr>
      <w:r>
        <w:rPr>
          <w:rFonts w:hint="eastAsia" w:ascii="仿宋" w:hAnsi="仿宋" w:eastAsia="仿宋"/>
          <w:color w:val="auto"/>
          <w:sz w:val="28"/>
          <w:szCs w:val="28"/>
        </w:rPr>
        <w:t>项目联系人：</w:t>
      </w:r>
      <w:bookmarkStart w:id="29" w:name="_Toc28359086"/>
      <w:bookmarkStart w:id="30" w:name="_Toc28359009"/>
      <w:r>
        <w:rPr>
          <w:rFonts w:hint="eastAsia" w:ascii="仿宋" w:hAnsi="仿宋" w:eastAsia="仿宋"/>
          <w:color w:val="auto"/>
          <w:sz w:val="28"/>
          <w:szCs w:val="28"/>
        </w:rPr>
        <w:t>孙钢</w:t>
      </w:r>
    </w:p>
    <w:p>
      <w:pPr>
        <w:spacing w:line="360" w:lineRule="auto"/>
        <w:ind w:firstLine="840" w:firstLineChars="300"/>
        <w:jc w:val="left"/>
        <w:rPr>
          <w:rFonts w:hint="eastAsia" w:ascii="仿宋" w:hAnsi="仿宋" w:eastAsia="仿宋"/>
          <w:color w:val="auto"/>
          <w:sz w:val="28"/>
          <w:szCs w:val="28"/>
        </w:rPr>
      </w:pPr>
      <w:r>
        <w:rPr>
          <w:rFonts w:hint="eastAsia" w:ascii="仿宋" w:hAnsi="仿宋" w:eastAsia="仿宋"/>
          <w:color w:val="auto"/>
          <w:sz w:val="28"/>
          <w:szCs w:val="28"/>
        </w:rPr>
        <w:t>联系电话：13567108370</w:t>
      </w:r>
    </w:p>
    <w:p>
      <w:pPr>
        <w:spacing w:line="360" w:lineRule="auto"/>
        <w:ind w:firstLine="840" w:firstLineChars="300"/>
        <w:jc w:val="left"/>
        <w:rPr>
          <w:rFonts w:hint="eastAsia" w:ascii="仿宋" w:hAnsi="仿宋" w:eastAsia="仿宋"/>
          <w:color w:val="auto"/>
          <w:sz w:val="28"/>
          <w:szCs w:val="28"/>
        </w:rPr>
      </w:pPr>
      <w:r>
        <w:rPr>
          <w:rFonts w:ascii="仿宋" w:hAnsi="仿宋" w:eastAsia="仿宋"/>
          <w:color w:val="auto"/>
          <w:sz w:val="28"/>
          <w:szCs w:val="28"/>
        </w:rPr>
        <w:t>质疑联系人：</w:t>
      </w:r>
      <w:r>
        <w:rPr>
          <w:rFonts w:hint="eastAsia" w:ascii="仿宋" w:hAnsi="仿宋" w:eastAsia="仿宋"/>
          <w:color w:val="auto"/>
          <w:sz w:val="28"/>
          <w:szCs w:val="28"/>
        </w:rPr>
        <w:t>李杰</w:t>
      </w:r>
    </w:p>
    <w:p>
      <w:pPr>
        <w:spacing w:line="360" w:lineRule="auto"/>
        <w:ind w:firstLine="840" w:firstLineChars="300"/>
        <w:jc w:val="left"/>
        <w:rPr>
          <w:rFonts w:ascii="仿宋" w:hAnsi="仿宋" w:eastAsia="仿宋"/>
          <w:color w:val="auto"/>
          <w:sz w:val="28"/>
          <w:szCs w:val="28"/>
        </w:rPr>
      </w:pPr>
      <w:r>
        <w:rPr>
          <w:rFonts w:ascii="仿宋" w:hAnsi="仿宋" w:eastAsia="仿宋"/>
          <w:color w:val="auto"/>
          <w:sz w:val="28"/>
          <w:szCs w:val="28"/>
        </w:rPr>
        <w:t>质疑联系方式：13675861942</w:t>
      </w:r>
    </w:p>
    <w:p>
      <w:pPr>
        <w:spacing w:line="360" w:lineRule="auto"/>
        <w:ind w:left="1129" w:leftChars="371" w:hanging="350" w:hangingChars="125"/>
        <w:jc w:val="left"/>
        <w:rPr>
          <w:rFonts w:ascii="仿宋" w:hAnsi="仿宋" w:eastAsia="仿宋"/>
          <w:color w:val="auto"/>
          <w:sz w:val="28"/>
          <w:szCs w:val="28"/>
        </w:rPr>
      </w:pPr>
      <w:r>
        <w:rPr>
          <w:rFonts w:hint="eastAsia" w:ascii="仿宋" w:hAnsi="仿宋" w:eastAsia="仿宋" w:cs="宋体"/>
          <w:color w:val="auto"/>
          <w:sz w:val="28"/>
          <w:szCs w:val="28"/>
        </w:rPr>
        <w:t>2.采购代理机构信息</w:t>
      </w:r>
      <w:bookmarkEnd w:id="29"/>
      <w:bookmarkEnd w:id="30"/>
    </w:p>
    <w:p>
      <w:pPr>
        <w:spacing w:line="360" w:lineRule="auto"/>
        <w:ind w:firstLine="840" w:firstLineChars="300"/>
        <w:jc w:val="left"/>
        <w:rPr>
          <w:rFonts w:ascii="仿宋" w:hAnsi="仿宋" w:eastAsia="仿宋" w:cs="Times New Roman"/>
          <w:color w:val="auto"/>
          <w:sz w:val="28"/>
          <w:szCs w:val="28"/>
          <w:lang w:val="zh-CN"/>
        </w:rPr>
      </w:pPr>
      <w:r>
        <w:rPr>
          <w:rFonts w:hint="eastAsia" w:ascii="仿宋" w:hAnsi="仿宋" w:eastAsia="仿宋" w:cs="Times New Roman"/>
          <w:color w:val="auto"/>
          <w:sz w:val="28"/>
          <w:szCs w:val="28"/>
          <w:lang w:val="zh-CN"/>
        </w:rPr>
        <w:t>名称：杭州溯远工程咨询有限公司；</w:t>
      </w:r>
    </w:p>
    <w:p>
      <w:pPr>
        <w:spacing w:line="360" w:lineRule="auto"/>
        <w:ind w:firstLine="840" w:firstLineChars="300"/>
        <w:jc w:val="left"/>
        <w:rPr>
          <w:rFonts w:ascii="仿宋" w:hAnsi="仿宋" w:eastAsia="仿宋" w:cs="Times New Roman"/>
          <w:color w:val="auto"/>
          <w:sz w:val="28"/>
          <w:szCs w:val="28"/>
          <w:lang w:val="zh-CN"/>
        </w:rPr>
      </w:pPr>
      <w:r>
        <w:rPr>
          <w:rFonts w:hint="eastAsia" w:ascii="仿宋" w:hAnsi="仿宋" w:eastAsia="仿宋" w:cs="Times New Roman"/>
          <w:color w:val="auto"/>
          <w:sz w:val="28"/>
          <w:szCs w:val="28"/>
          <w:lang w:val="zh-CN"/>
        </w:rPr>
        <w:t>地点：</w:t>
      </w:r>
      <w:r>
        <w:rPr>
          <w:rFonts w:hint="eastAsia" w:ascii="仿宋" w:hAnsi="仿宋" w:eastAsia="仿宋" w:cs="Times New Roman"/>
          <w:color w:val="auto"/>
          <w:sz w:val="28"/>
          <w:szCs w:val="28"/>
        </w:rPr>
        <w:t>杭州市临平区东湖街道振兴东路</w:t>
      </w:r>
      <w:r>
        <w:rPr>
          <w:rFonts w:ascii="仿宋" w:hAnsi="仿宋" w:eastAsia="仿宋" w:cs="Times New Roman"/>
          <w:color w:val="auto"/>
          <w:sz w:val="28"/>
          <w:szCs w:val="28"/>
        </w:rPr>
        <w:t>38号1幢</w:t>
      </w:r>
      <w:r>
        <w:rPr>
          <w:rFonts w:hint="eastAsia" w:ascii="仿宋" w:hAnsi="仿宋" w:eastAsia="仿宋" w:cs="Times New Roman"/>
          <w:color w:val="auto"/>
          <w:sz w:val="28"/>
          <w:szCs w:val="28"/>
        </w:rPr>
        <w:t>601</w:t>
      </w:r>
      <w:r>
        <w:rPr>
          <w:rFonts w:ascii="仿宋" w:hAnsi="仿宋" w:eastAsia="仿宋" w:cs="Times New Roman"/>
          <w:color w:val="auto"/>
          <w:sz w:val="28"/>
          <w:szCs w:val="28"/>
        </w:rPr>
        <w:t>室</w:t>
      </w:r>
    </w:p>
    <w:p>
      <w:pPr>
        <w:spacing w:line="360" w:lineRule="auto"/>
        <w:ind w:firstLine="840" w:firstLineChars="300"/>
        <w:jc w:val="left"/>
        <w:rPr>
          <w:rFonts w:ascii="仿宋" w:hAnsi="仿宋" w:eastAsia="仿宋" w:cs="Times New Roman"/>
          <w:color w:val="auto"/>
          <w:sz w:val="28"/>
          <w:szCs w:val="28"/>
          <w:lang w:val="zh-CN"/>
        </w:rPr>
      </w:pPr>
      <w:r>
        <w:rPr>
          <w:rFonts w:hint="eastAsia" w:ascii="仿宋" w:hAnsi="仿宋" w:eastAsia="仿宋" w:cs="Times New Roman"/>
          <w:color w:val="auto"/>
          <w:sz w:val="28"/>
          <w:szCs w:val="28"/>
          <w:lang w:val="zh-CN"/>
        </w:rPr>
        <w:t>联系人：</w:t>
      </w:r>
      <w:r>
        <w:rPr>
          <w:rFonts w:hint="eastAsia" w:ascii="仿宋" w:hAnsi="仿宋" w:eastAsia="仿宋" w:cs="Times New Roman"/>
          <w:color w:val="auto"/>
          <w:sz w:val="28"/>
          <w:szCs w:val="28"/>
          <w:lang w:val="en-US" w:eastAsia="zh-CN"/>
        </w:rPr>
        <w:t>胡敏强</w:t>
      </w:r>
      <w:r>
        <w:rPr>
          <w:rFonts w:hint="eastAsia" w:ascii="仿宋" w:hAnsi="仿宋" w:eastAsia="仿宋" w:cs="Times New Roman"/>
          <w:color w:val="auto"/>
          <w:sz w:val="28"/>
          <w:szCs w:val="28"/>
          <w:lang w:val="zh-CN"/>
        </w:rPr>
        <w:t>；</w:t>
      </w:r>
    </w:p>
    <w:p>
      <w:pPr>
        <w:spacing w:line="360" w:lineRule="auto"/>
        <w:ind w:firstLine="840" w:firstLineChars="300"/>
        <w:jc w:val="left"/>
        <w:rPr>
          <w:rFonts w:ascii="仿宋" w:hAnsi="仿宋" w:eastAsia="仿宋" w:cs="Times New Roman"/>
          <w:color w:val="auto"/>
          <w:sz w:val="28"/>
          <w:szCs w:val="28"/>
          <w:lang w:val="zh-CN"/>
        </w:rPr>
      </w:pPr>
      <w:r>
        <w:rPr>
          <w:rFonts w:hint="eastAsia" w:ascii="仿宋" w:hAnsi="仿宋" w:eastAsia="仿宋" w:cs="Times New Roman"/>
          <w:color w:val="auto"/>
          <w:sz w:val="28"/>
          <w:szCs w:val="28"/>
          <w:lang w:val="zh-CN"/>
        </w:rPr>
        <w:t>联系电话：</w:t>
      </w:r>
      <w:r>
        <w:rPr>
          <w:rFonts w:hint="eastAsia" w:ascii="仿宋" w:hAnsi="仿宋" w:eastAsia="仿宋" w:cs="Times New Roman"/>
          <w:color w:val="auto"/>
          <w:sz w:val="28"/>
          <w:szCs w:val="28"/>
          <w:lang w:val="en-US" w:eastAsia="zh-CN"/>
        </w:rPr>
        <w:t>15868138881</w:t>
      </w:r>
      <w:r>
        <w:rPr>
          <w:rFonts w:hint="eastAsia" w:ascii="仿宋" w:hAnsi="仿宋" w:eastAsia="仿宋" w:cs="Times New Roman"/>
          <w:color w:val="auto"/>
          <w:sz w:val="28"/>
          <w:szCs w:val="28"/>
          <w:lang w:val="zh-CN"/>
        </w:rPr>
        <w:t>；</w:t>
      </w:r>
    </w:p>
    <w:p>
      <w:pPr>
        <w:spacing w:line="360" w:lineRule="auto"/>
        <w:ind w:firstLine="840" w:firstLineChars="300"/>
        <w:jc w:val="left"/>
        <w:rPr>
          <w:rFonts w:hint="eastAsia" w:ascii="仿宋" w:hAnsi="仿宋" w:eastAsia="仿宋" w:cs="Times New Roman"/>
          <w:color w:val="auto"/>
          <w:sz w:val="28"/>
          <w:szCs w:val="28"/>
          <w:lang w:val="zh-CN"/>
        </w:rPr>
      </w:pPr>
      <w:r>
        <w:rPr>
          <w:rFonts w:hint="eastAsia" w:ascii="仿宋" w:hAnsi="仿宋" w:eastAsia="仿宋" w:cs="Times New Roman"/>
          <w:color w:val="auto"/>
          <w:sz w:val="28"/>
          <w:szCs w:val="28"/>
        </w:rPr>
        <w:t>3.</w:t>
      </w:r>
      <w:r>
        <w:rPr>
          <w:rFonts w:hint="eastAsia" w:ascii="仿宋" w:hAnsi="仿宋" w:eastAsia="仿宋" w:cs="Times New Roman"/>
          <w:color w:val="auto"/>
          <w:sz w:val="28"/>
          <w:szCs w:val="28"/>
          <w:lang w:val="zh-CN"/>
        </w:rPr>
        <w:t>同级政府采购监督管理部门</w:t>
      </w:r>
    </w:p>
    <w:p>
      <w:pPr>
        <w:spacing w:line="360" w:lineRule="auto"/>
        <w:ind w:firstLine="840" w:firstLineChars="300"/>
        <w:jc w:val="left"/>
        <w:rPr>
          <w:rFonts w:hint="eastAsia" w:ascii="仿宋" w:hAnsi="仿宋" w:eastAsia="仿宋" w:cs="Times New Roman"/>
          <w:color w:val="auto"/>
          <w:sz w:val="28"/>
          <w:szCs w:val="28"/>
          <w:lang w:val="zh-CN"/>
        </w:rPr>
      </w:pPr>
      <w:r>
        <w:rPr>
          <w:rFonts w:hint="eastAsia" w:ascii="仿宋" w:hAnsi="仿宋" w:eastAsia="仿宋" w:cs="Times New Roman"/>
          <w:color w:val="auto"/>
          <w:sz w:val="28"/>
          <w:szCs w:val="28"/>
          <w:lang w:val="zh-CN"/>
        </w:rPr>
        <w:t>同级政府采购监督管理部门：杭州市</w:t>
      </w:r>
      <w:r>
        <w:rPr>
          <w:rFonts w:hint="eastAsia" w:ascii="仿宋" w:hAnsi="仿宋" w:eastAsia="仿宋" w:cs="Times New Roman"/>
          <w:color w:val="auto"/>
          <w:sz w:val="28"/>
          <w:szCs w:val="28"/>
          <w:lang w:val="en-US" w:eastAsia="zh-CN"/>
        </w:rPr>
        <w:t>临平</w:t>
      </w:r>
      <w:r>
        <w:rPr>
          <w:rFonts w:hint="eastAsia" w:ascii="仿宋" w:hAnsi="仿宋" w:eastAsia="仿宋" w:cs="Times New Roman"/>
          <w:color w:val="auto"/>
          <w:sz w:val="28"/>
          <w:szCs w:val="28"/>
          <w:lang w:val="zh-CN"/>
        </w:rPr>
        <w:t>区财政局；</w:t>
      </w:r>
    </w:p>
    <w:p>
      <w:pPr>
        <w:spacing w:line="360" w:lineRule="auto"/>
        <w:ind w:firstLine="840" w:firstLineChars="300"/>
        <w:jc w:val="left"/>
        <w:rPr>
          <w:rFonts w:ascii="仿宋" w:hAnsi="仿宋" w:eastAsia="仿宋" w:cs="Times New Roman"/>
          <w:color w:val="auto"/>
          <w:sz w:val="28"/>
          <w:szCs w:val="28"/>
        </w:rPr>
      </w:pPr>
      <w:r>
        <w:rPr>
          <w:rFonts w:hint="eastAsia" w:ascii="仿宋" w:hAnsi="仿宋" w:eastAsia="仿宋" w:cs="Times New Roman"/>
          <w:color w:val="auto"/>
          <w:sz w:val="28"/>
          <w:szCs w:val="28"/>
        </w:rPr>
        <w:t>联系人 ： 江女士 </w:t>
      </w:r>
    </w:p>
    <w:p>
      <w:pPr>
        <w:spacing w:line="360" w:lineRule="auto"/>
        <w:ind w:firstLine="840" w:firstLineChars="300"/>
        <w:jc w:val="left"/>
        <w:rPr>
          <w:rFonts w:ascii="仿宋" w:hAnsi="仿宋" w:eastAsia="仿宋" w:cs="Times New Roman"/>
          <w:color w:val="auto"/>
          <w:sz w:val="28"/>
          <w:szCs w:val="28"/>
        </w:rPr>
      </w:pPr>
      <w:r>
        <w:rPr>
          <w:rFonts w:hint="eastAsia" w:ascii="仿宋" w:hAnsi="仿宋" w:eastAsia="仿宋" w:cs="Times New Roman"/>
          <w:color w:val="auto"/>
          <w:sz w:val="28"/>
          <w:szCs w:val="28"/>
        </w:rPr>
        <w:t> 监督投诉电话：0571-</w:t>
      </w:r>
      <w:r>
        <w:rPr>
          <w:rFonts w:ascii="仿宋" w:hAnsi="仿宋" w:eastAsia="仿宋" w:cs="Times New Roman"/>
          <w:color w:val="auto"/>
          <w:sz w:val="28"/>
          <w:szCs w:val="28"/>
        </w:rPr>
        <w:t>891</w:t>
      </w:r>
      <w:r>
        <w:rPr>
          <w:rFonts w:hint="eastAsia" w:ascii="仿宋" w:hAnsi="仿宋" w:eastAsia="仿宋" w:cs="Times New Roman"/>
          <w:color w:val="auto"/>
          <w:sz w:val="28"/>
          <w:szCs w:val="28"/>
        </w:rPr>
        <w:t>208.4</w:t>
      </w:r>
      <w:r>
        <w:rPr>
          <w:rFonts w:ascii="仿宋" w:hAnsi="仿宋" w:eastAsia="仿宋" w:cs="Times New Roman"/>
          <w:color w:val="auto"/>
          <w:sz w:val="28"/>
          <w:szCs w:val="28"/>
        </w:rPr>
        <w:t>312</w:t>
      </w:r>
      <w:r>
        <w:rPr>
          <w:rFonts w:hint="eastAsia" w:ascii="仿宋" w:hAnsi="仿宋" w:eastAsia="仿宋" w:cs="Times New Roman"/>
          <w:color w:val="auto"/>
          <w:sz w:val="28"/>
          <w:szCs w:val="28"/>
        </w:rPr>
        <w:t> </w:t>
      </w:r>
    </w:p>
    <w:p>
      <w:pPr>
        <w:spacing w:line="360" w:lineRule="auto"/>
        <w:ind w:firstLine="840" w:firstLineChars="300"/>
        <w:jc w:val="left"/>
        <w:rPr>
          <w:rFonts w:hint="eastAsia" w:ascii="仿宋" w:hAnsi="仿宋" w:eastAsia="仿宋" w:cs="Times New Roman"/>
          <w:color w:val="auto"/>
          <w:sz w:val="28"/>
          <w:szCs w:val="28"/>
        </w:rPr>
      </w:pPr>
      <w:r>
        <w:rPr>
          <w:rFonts w:hint="eastAsia" w:ascii="仿宋" w:hAnsi="仿宋" w:eastAsia="仿宋" w:cs="Times New Roman"/>
          <w:color w:val="auto"/>
          <w:sz w:val="28"/>
          <w:szCs w:val="28"/>
        </w:rPr>
        <w:t>地址：杭州市临平区临平东湖中路236号临平财税大楼</w:t>
      </w:r>
    </w:p>
    <w:p>
      <w:pPr>
        <w:pStyle w:val="41"/>
        <w:spacing w:line="360" w:lineRule="auto"/>
        <w:ind w:firstLine="840" w:firstLineChars="300"/>
        <w:rPr>
          <w:rFonts w:hint="eastAsia" w:ascii="仿宋" w:hAnsi="仿宋" w:eastAsia="仿宋"/>
          <w:color w:val="auto"/>
          <w:sz w:val="28"/>
          <w:szCs w:val="28"/>
        </w:rPr>
      </w:pPr>
    </w:p>
    <w:p>
      <w:pPr>
        <w:widowControl/>
        <w:shd w:val="clear" w:color="auto" w:fill="FFFFFF"/>
        <w:spacing w:before="120" w:line="315" w:lineRule="atLeast"/>
        <w:jc w:val="left"/>
        <w:rPr>
          <w:rFonts w:hint="eastAsia" w:ascii="仿宋" w:hAnsi="仿宋" w:eastAsia="仿宋" w:cs="仿宋"/>
          <w:color w:val="auto"/>
          <w:kern w:val="0"/>
          <w:sz w:val="18"/>
          <w:szCs w:val="18"/>
          <w:shd w:val="clear" w:color="auto" w:fill="FFFFFF"/>
          <w:lang w:bidi="ar"/>
        </w:rPr>
      </w:pPr>
    </w:p>
    <w:p>
      <w:pPr>
        <w:widowControl/>
        <w:shd w:val="clear" w:color="auto" w:fill="FFFFFF"/>
        <w:spacing w:before="120" w:line="315" w:lineRule="atLeast"/>
        <w:ind w:firstLine="420"/>
        <w:jc w:val="left"/>
        <w:rPr>
          <w:rFonts w:hint="eastAsia" w:ascii="仿宋" w:hAnsi="仿宋" w:eastAsia="仿宋" w:cs="仿宋"/>
          <w:color w:val="auto"/>
          <w:kern w:val="0"/>
          <w:sz w:val="18"/>
          <w:szCs w:val="18"/>
          <w:shd w:val="clear" w:color="auto" w:fill="FFFFFF"/>
          <w:lang w:bidi="ar"/>
        </w:rPr>
      </w:pPr>
    </w:p>
    <w:p>
      <w:pPr>
        <w:widowControl/>
        <w:shd w:val="clear" w:color="auto" w:fill="FFFFFF"/>
        <w:spacing w:before="120" w:line="315" w:lineRule="atLeast"/>
        <w:ind w:firstLine="420"/>
        <w:jc w:val="left"/>
        <w:rPr>
          <w:rFonts w:ascii="仿宋" w:hAnsi="仿宋" w:eastAsia="仿宋" w:cs="仿宋"/>
          <w:color w:val="auto"/>
          <w:sz w:val="18"/>
          <w:szCs w:val="18"/>
        </w:rPr>
      </w:pPr>
      <w:r>
        <w:rPr>
          <w:rFonts w:hint="eastAsia" w:ascii="仿宋" w:hAnsi="仿宋" w:eastAsia="仿宋" w:cs="仿宋"/>
          <w:color w:val="auto"/>
          <w:kern w:val="0"/>
          <w:sz w:val="18"/>
          <w:szCs w:val="18"/>
          <w:shd w:val="clear" w:color="auto" w:fill="FFFFFF"/>
          <w:lang w:bidi="ar"/>
        </w:rPr>
        <w:t>若对项目采购电子交易系统操作有疑问，可登录政采云（https://www.zcygov.cn/），点击右侧咨询小采，获取采小蜜智能服务管家帮助，或拨打政采云服务热线400-881-7190获取热线服务帮助。       </w:t>
      </w:r>
    </w:p>
    <w:p>
      <w:pPr>
        <w:shd w:val="clear" w:color="auto" w:fill="FFFFFF"/>
        <w:snapToGrid w:val="0"/>
        <w:spacing w:line="600" w:lineRule="exact"/>
        <w:jc w:val="center"/>
        <w:rPr>
          <w:rFonts w:hint="eastAsia" w:ascii="宋体" w:hAnsi="宋体" w:cs="宋体"/>
          <w:color w:val="auto"/>
          <w:sz w:val="24"/>
        </w:rPr>
        <w:sectPr>
          <w:pgSz w:w="11906" w:h="16838"/>
          <w:pgMar w:top="1531" w:right="1304" w:bottom="1531" w:left="1361" w:header="851" w:footer="1304" w:gutter="0"/>
          <w:cols w:space="720" w:num="1"/>
          <w:docGrid w:linePitch="312" w:charSpace="0"/>
        </w:sectPr>
      </w:pPr>
      <w:r>
        <w:rPr>
          <w:rFonts w:hint="eastAsia" w:ascii="仿宋" w:hAnsi="仿宋" w:eastAsia="仿宋" w:cs="仿宋"/>
          <w:color w:val="auto"/>
          <w:kern w:val="0"/>
          <w:sz w:val="18"/>
          <w:szCs w:val="18"/>
          <w:shd w:val="clear" w:color="auto" w:fill="FFFFFF"/>
          <w:lang w:bidi="ar"/>
        </w:rPr>
        <w:t>CA问题联系电话（人工）：汇信CA 400-888-4636；天谷CA 400-087-8198。</w:t>
      </w:r>
    </w:p>
    <w:p>
      <w:pPr>
        <w:spacing w:before="157" w:beforeLines="50" w:after="157" w:afterLines="50"/>
        <w:jc w:val="center"/>
        <w:rPr>
          <w:rFonts w:hint="eastAsia" w:ascii="宋体" w:hAnsi="宋体" w:cs="宋体"/>
          <w:b/>
          <w:bCs/>
          <w:color w:val="auto"/>
          <w:sz w:val="28"/>
          <w:szCs w:val="28"/>
        </w:rPr>
      </w:pPr>
      <w:bookmarkStart w:id="31" w:name="_Hlt74649545"/>
      <w:bookmarkEnd w:id="31"/>
      <w:bookmarkStart w:id="32" w:name="_Hlt74707423"/>
      <w:bookmarkEnd w:id="32"/>
      <w:bookmarkStart w:id="33" w:name="_Hlt74729822"/>
      <w:bookmarkEnd w:id="33"/>
      <w:bookmarkStart w:id="34" w:name="_Hlt74728647"/>
      <w:bookmarkEnd w:id="34"/>
      <w:bookmarkStart w:id="35" w:name="_Toc33194386"/>
      <w:bookmarkStart w:id="36" w:name="_Toc354996694"/>
      <w:bookmarkStart w:id="37" w:name="_Toc225840107"/>
      <w:r>
        <w:rPr>
          <w:rFonts w:hint="eastAsia" w:ascii="宋体" w:hAnsi="宋体" w:cs="宋体"/>
          <w:b/>
          <w:bCs/>
          <w:color w:val="auto"/>
          <w:sz w:val="28"/>
          <w:szCs w:val="28"/>
        </w:rPr>
        <w:t>第二部分  编制和提交投标文件须知</w:t>
      </w:r>
      <w:bookmarkEnd w:id="35"/>
      <w:bookmarkEnd w:id="36"/>
    </w:p>
    <w:p>
      <w:pPr>
        <w:spacing w:before="157" w:beforeLines="50" w:after="157" w:afterLines="50"/>
        <w:jc w:val="center"/>
        <w:rPr>
          <w:rFonts w:hint="eastAsia" w:ascii="宋体" w:hAnsi="宋体" w:cs="宋体"/>
          <w:b/>
          <w:bCs/>
          <w:color w:val="auto"/>
          <w:sz w:val="28"/>
          <w:szCs w:val="28"/>
        </w:rPr>
      </w:pPr>
      <w:bookmarkStart w:id="38" w:name="_Toc33194387"/>
      <w:bookmarkStart w:id="39" w:name="_Toc233618971"/>
      <w:bookmarkStart w:id="40" w:name="_Toc354996695"/>
      <w:r>
        <w:rPr>
          <w:rFonts w:hint="eastAsia" w:ascii="宋体" w:hAnsi="宋体" w:cs="宋体"/>
          <w:b/>
          <w:bCs/>
          <w:color w:val="auto"/>
          <w:sz w:val="28"/>
          <w:szCs w:val="28"/>
        </w:rPr>
        <w:t>前 附 表</w:t>
      </w:r>
      <w:bookmarkEnd w:id="38"/>
      <w:bookmarkEnd w:id="39"/>
      <w:bookmarkEnd w:id="40"/>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28" w:type="dxa"/>
        </w:tblCellMar>
      </w:tblPr>
      <w:tblGrid>
        <w:gridCol w:w="784"/>
        <w:gridCol w:w="1365"/>
        <w:gridCol w:w="73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tblHeader/>
          <w:jc w:val="center"/>
        </w:trPr>
        <w:tc>
          <w:tcPr>
            <w:tcW w:w="784" w:type="dxa"/>
            <w:tcBorders>
              <w:top w:val="single" w:color="000000" w:sz="8"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条款</w:t>
            </w:r>
          </w:p>
        </w:tc>
        <w:tc>
          <w:tcPr>
            <w:tcW w:w="8673" w:type="dxa"/>
            <w:gridSpan w:val="2"/>
            <w:tcBorders>
              <w:top w:val="single" w:color="000000" w:sz="8" w:space="0"/>
              <w:left w:val="single" w:color="000000" w:sz="2" w:space="0"/>
              <w:bottom w:val="single" w:color="000000" w:sz="2" w:space="0"/>
              <w:right w:val="single" w:color="000000" w:sz="8"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1</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center"/>
              <w:rPr>
                <w:rFonts w:hint="eastAsia" w:ascii="宋体" w:hAnsi="宋体" w:cs="宋体"/>
                <w:color w:val="auto"/>
                <w:sz w:val="24"/>
              </w:rPr>
            </w:pPr>
            <w:r>
              <w:rPr>
                <w:rFonts w:hint="eastAsia" w:ascii="宋体" w:hAnsi="宋体" w:cs="宋体"/>
                <w:color w:val="auto"/>
                <w:sz w:val="24"/>
              </w:rPr>
              <w:t>项目说明</w:t>
            </w:r>
          </w:p>
          <w:p>
            <w:pPr>
              <w:spacing w:line="600" w:lineRule="exact"/>
              <w:jc w:val="left"/>
              <w:rPr>
                <w:rFonts w:hint="eastAsia" w:ascii="宋体" w:hAnsi="宋体" w:cs="宋体"/>
                <w:color w:val="auto"/>
                <w:sz w:val="24"/>
              </w:rPr>
            </w:pPr>
            <w:r>
              <w:rPr>
                <w:rFonts w:hint="eastAsia" w:ascii="宋体" w:hAnsi="宋体" w:cs="宋体"/>
                <w:color w:val="auto"/>
                <w:sz w:val="24"/>
              </w:rPr>
              <w:t>一、项目名称：临平区公共物资仓储管理中心服务外包采购项目。</w:t>
            </w:r>
          </w:p>
          <w:p>
            <w:pPr>
              <w:spacing w:line="600" w:lineRule="exact"/>
              <w:jc w:val="left"/>
              <w:rPr>
                <w:rFonts w:hint="eastAsia" w:ascii="宋体" w:hAnsi="宋体" w:cs="宋体"/>
                <w:color w:val="auto"/>
                <w:sz w:val="24"/>
              </w:rPr>
            </w:pPr>
            <w:bookmarkStart w:id="41" w:name="_Hlt75139851"/>
            <w:bookmarkEnd w:id="41"/>
            <w:r>
              <w:rPr>
                <w:rFonts w:hint="eastAsia" w:ascii="宋体" w:hAnsi="宋体" w:cs="宋体"/>
                <w:color w:val="auto"/>
                <w:sz w:val="24"/>
              </w:rPr>
              <w:t>二、采购内容：物业服务。</w:t>
            </w:r>
          </w:p>
          <w:p>
            <w:pPr>
              <w:spacing w:line="600" w:lineRule="exact"/>
              <w:jc w:val="left"/>
              <w:rPr>
                <w:rFonts w:hint="eastAsia" w:ascii="宋体" w:hAnsi="宋体" w:cs="宋体"/>
                <w:color w:val="auto"/>
                <w:sz w:val="24"/>
              </w:rPr>
            </w:pPr>
            <w:r>
              <w:rPr>
                <w:rFonts w:hint="eastAsia" w:ascii="宋体" w:hAnsi="宋体" w:cs="宋体"/>
                <w:color w:val="auto"/>
                <w:sz w:val="24"/>
              </w:rPr>
              <w:t>三、项目实施地点：临平区范围内采购人指定地点。</w:t>
            </w:r>
          </w:p>
          <w:p>
            <w:pPr>
              <w:spacing w:line="600" w:lineRule="exact"/>
              <w:jc w:val="left"/>
              <w:rPr>
                <w:rFonts w:hint="eastAsia" w:ascii="宋体" w:hAnsi="宋体" w:cs="宋体"/>
                <w:color w:val="auto"/>
                <w:sz w:val="24"/>
              </w:rPr>
            </w:pPr>
            <w:r>
              <w:rPr>
                <w:rFonts w:hint="eastAsia" w:ascii="宋体" w:hAnsi="宋体" w:cs="宋体"/>
                <w:color w:val="auto"/>
                <w:sz w:val="24"/>
              </w:rPr>
              <w:t>四、主要功能和性能要求：详见第三部分——项目技术规范和服务要求。</w:t>
            </w:r>
          </w:p>
          <w:p>
            <w:pPr>
              <w:spacing w:line="600" w:lineRule="exact"/>
              <w:jc w:val="left"/>
              <w:rPr>
                <w:rFonts w:hint="eastAsia" w:ascii="宋体" w:hAnsi="宋体" w:cs="宋体"/>
                <w:color w:val="auto"/>
                <w:sz w:val="24"/>
              </w:rPr>
            </w:pPr>
            <w:r>
              <w:rPr>
                <w:rFonts w:hint="eastAsia" w:ascii="宋体" w:hAnsi="宋体" w:cs="宋体"/>
                <w:color w:val="auto"/>
                <w:sz w:val="24"/>
              </w:rPr>
              <w:t>五、服务期：1年 。</w:t>
            </w:r>
          </w:p>
          <w:p>
            <w:pPr>
              <w:spacing w:line="600" w:lineRule="exact"/>
              <w:jc w:val="left"/>
              <w:rPr>
                <w:rFonts w:hint="eastAsia" w:ascii="宋体" w:hAnsi="宋体" w:cs="宋体"/>
                <w:color w:val="auto"/>
                <w:sz w:val="24"/>
              </w:rPr>
            </w:pPr>
            <w:r>
              <w:rPr>
                <w:rFonts w:hint="eastAsia" w:ascii="宋体" w:hAnsi="宋体" w:cs="宋体"/>
                <w:color w:val="auto"/>
                <w:sz w:val="24"/>
              </w:rPr>
              <w:t>六、</w:t>
            </w:r>
            <w:r>
              <w:rPr>
                <w:rFonts w:hint="eastAsia" w:ascii="宋体" w:hAnsi="宋体" w:cs="宋体"/>
                <w:color w:val="auto"/>
                <w:sz w:val="24"/>
                <w:lang w:val="zh-CN"/>
              </w:rPr>
              <w:t>采购预算：人民币</w:t>
            </w:r>
            <w:r>
              <w:rPr>
                <w:rFonts w:hint="eastAsia" w:ascii="宋体" w:hAnsi="宋体" w:cs="宋体"/>
                <w:color w:val="auto"/>
                <w:sz w:val="24"/>
              </w:rPr>
              <w:t>597</w:t>
            </w:r>
            <w:r>
              <w:rPr>
                <w:rFonts w:hint="eastAsia" w:ascii="宋体" w:hAnsi="宋体" w:cs="宋体"/>
                <w:color w:val="auto"/>
                <w:sz w:val="24"/>
                <w:lang w:val="zh-CN"/>
              </w:rPr>
              <w:t>万元</w:t>
            </w:r>
            <w:r>
              <w:rPr>
                <w:rFonts w:hint="eastAsia" w:ascii="宋体" w:hAnsi="宋体" w:cs="宋体"/>
                <w:color w:val="auto"/>
                <w:sz w:val="24"/>
              </w:rPr>
              <w:t>（三年）</w:t>
            </w:r>
            <w:r>
              <w:rPr>
                <w:rFonts w:hint="eastAsia" w:ascii="宋体" w:hAnsi="宋体" w:cs="宋体"/>
                <w:color w:val="auto"/>
                <w:sz w:val="24"/>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2</w:t>
            </w:r>
          </w:p>
        </w:tc>
        <w:tc>
          <w:tcPr>
            <w:tcW w:w="1365"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合同名称</w:t>
            </w:r>
          </w:p>
        </w:tc>
        <w:tc>
          <w:tcPr>
            <w:tcW w:w="7308" w:type="dxa"/>
            <w:tcBorders>
              <w:top w:val="single" w:color="000000" w:sz="2" w:space="0"/>
              <w:left w:val="single" w:color="000000" w:sz="2" w:space="0"/>
              <w:bottom w:val="single" w:color="000000" w:sz="2" w:space="0"/>
              <w:right w:val="single" w:color="000000" w:sz="8" w:space="0"/>
            </w:tcBorders>
            <w:noWrap w:val="0"/>
            <w:vAlign w:val="center"/>
          </w:tcPr>
          <w:p>
            <w:pPr>
              <w:spacing w:line="600" w:lineRule="exact"/>
              <w:rPr>
                <w:rFonts w:hint="eastAsia" w:ascii="宋体" w:hAnsi="宋体" w:cs="宋体"/>
                <w:color w:val="auto"/>
                <w:sz w:val="24"/>
              </w:rPr>
            </w:pPr>
            <w:r>
              <w:rPr>
                <w:rFonts w:hint="eastAsia" w:ascii="宋体" w:hAnsi="宋体" w:cs="宋体"/>
                <w:color w:val="auto"/>
                <w:sz w:val="24"/>
              </w:rPr>
              <w:t>《临平区公共物资仓储管理中心服务外包采购项目合同》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3</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cs="宋体"/>
                <w:color w:val="auto"/>
                <w:sz w:val="24"/>
              </w:rPr>
            </w:pPr>
            <w:r>
              <w:rPr>
                <w:rFonts w:hint="eastAsia" w:ascii="宋体" w:hAnsi="宋体" w:cs="宋体"/>
                <w:color w:val="auto"/>
                <w:sz w:val="24"/>
                <w:lang w:val="zh-CN"/>
              </w:rPr>
              <w:t>投标</w:t>
            </w:r>
            <w:r>
              <w:rPr>
                <w:rFonts w:hint="eastAsia" w:ascii="宋体" w:hAnsi="宋体" w:cs="宋体"/>
                <w:color w:val="auto"/>
                <w:sz w:val="24"/>
              </w:rPr>
              <w:t>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4</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cs="宋体"/>
                <w:color w:val="auto"/>
                <w:sz w:val="24"/>
              </w:rPr>
            </w:pPr>
            <w:r>
              <w:rPr>
                <w:rFonts w:hint="eastAsia" w:ascii="宋体" w:hAnsi="宋体" w:cs="宋体"/>
                <w:color w:val="auto"/>
                <w:sz w:val="24"/>
              </w:rPr>
              <w:t>投标保证金数额：无。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5</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color w:val="auto"/>
                <w:sz w:val="24"/>
              </w:rPr>
            </w:pPr>
            <w:r>
              <w:rPr>
                <w:rFonts w:hint="eastAsia" w:ascii="宋体" w:hAnsi="宋体" w:cs="宋体"/>
                <w:b/>
                <w:color w:val="auto"/>
                <w:sz w:val="24"/>
              </w:rPr>
              <w:t>本项目招标代理费由中标单位支付，中标单位在领取中标通知书前需向招标代理机构支付招标代理服务费</w:t>
            </w:r>
            <w:r>
              <w:rPr>
                <w:rFonts w:hint="eastAsia" w:ascii="宋体" w:hAnsi="宋体" w:cs="宋体"/>
                <w:b/>
                <w:color w:val="auto"/>
                <w:sz w:val="24"/>
                <w:lang w:eastAsia="zh-CN"/>
              </w:rPr>
              <w:t>、</w:t>
            </w:r>
            <w:r>
              <w:rPr>
                <w:rFonts w:hint="eastAsia" w:ascii="宋体" w:hAnsi="宋体" w:eastAsia="宋体" w:cs="宋体"/>
                <w:b/>
                <w:color w:val="auto"/>
                <w:sz w:val="24"/>
              </w:rPr>
              <w:t>代理费用付款按《招标代理服务收费管理暂行办法》的通知（余计价格[2002]1980号）文件直接支付给分散采购招标代理单位，投标人在报价时应综合考虑该笔费用，但不单列进投标总价。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6</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color w:val="auto"/>
                <w:sz w:val="24"/>
              </w:rPr>
            </w:pPr>
            <w:r>
              <w:rPr>
                <w:rFonts w:hint="eastAsia" w:ascii="宋体" w:hAnsi="宋体" w:cs="宋体"/>
                <w:color w:val="auto"/>
                <w:sz w:val="24"/>
              </w:rPr>
              <w:t>投标文件的组成：</w:t>
            </w:r>
            <w:r>
              <w:rPr>
                <w:rFonts w:hint="eastAsia" w:ascii="宋体" w:hAnsi="宋体" w:cs="宋体"/>
                <w:b/>
                <w:bCs/>
                <w:color w:val="auto"/>
                <w:sz w:val="24"/>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7</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color w:val="auto"/>
                <w:sz w:val="24"/>
              </w:rPr>
            </w:pPr>
            <w:r>
              <w:rPr>
                <w:rFonts w:hint="eastAsia" w:ascii="宋体" w:hAnsi="宋体" w:cs="宋体"/>
                <w:color w:val="auto"/>
                <w:sz w:val="24"/>
              </w:rPr>
              <w:t>投标文件编制：供应商应先安装“政采云电子交易客户端”，并按照本招标文件和“政府采购云平台”的要求，通过“政采云电子交易客户端”编制并加密投标文件。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8</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cs="宋体"/>
                <w:color w:val="auto"/>
                <w:sz w:val="24"/>
              </w:rPr>
            </w:pPr>
            <w:r>
              <w:rPr>
                <w:rFonts w:hint="eastAsia" w:ascii="宋体" w:hAnsi="宋体" w:cs="宋体"/>
                <w:color w:val="auto"/>
                <w:sz w:val="24"/>
              </w:rPr>
              <w:t>投标文件的签章：电子签章。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9</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b/>
                <w:bCs/>
                <w:color w:val="auto"/>
                <w:sz w:val="24"/>
              </w:rPr>
            </w:pPr>
            <w:r>
              <w:rPr>
                <w:rFonts w:hint="eastAsia" w:ascii="宋体" w:hAnsi="宋体" w:cs="宋体"/>
                <w:color w:val="auto"/>
                <w:sz w:val="24"/>
              </w:rPr>
              <w:t>投标文件的形式：</w:t>
            </w:r>
            <w:r>
              <w:rPr>
                <w:rFonts w:hint="eastAsia" w:ascii="宋体" w:hAnsi="宋体" w:cs="宋体"/>
                <w:b/>
                <w:bCs/>
                <w:color w:val="auto"/>
                <w:sz w:val="24"/>
              </w:rPr>
              <w:t>☑电子投标文件（包括“电子加密投标文件”和“备份投标文件”，在投标文件编制完成后同时生成）；</w:t>
            </w:r>
          </w:p>
          <w:p>
            <w:pPr>
              <w:spacing w:line="600" w:lineRule="exact"/>
              <w:jc w:val="left"/>
              <w:rPr>
                <w:rFonts w:hint="eastAsia" w:ascii="宋体" w:hAnsi="宋体" w:cs="宋体"/>
                <w:b/>
                <w:bCs/>
                <w:color w:val="auto"/>
                <w:sz w:val="24"/>
              </w:rPr>
            </w:pPr>
            <w:r>
              <w:rPr>
                <w:rFonts w:hint="eastAsia" w:ascii="宋体" w:hAnsi="宋体" w:cs="宋体"/>
                <w:b/>
                <w:bCs/>
                <w:color w:val="auto"/>
                <w:sz w:val="24"/>
              </w:rPr>
              <w:t>（1）“电子加密投标文件”是指通过“政采云电子交易客户端”完成投标文件编制后生成并加密的数据电文形式的投标文件。</w:t>
            </w:r>
          </w:p>
          <w:p>
            <w:pPr>
              <w:spacing w:line="600" w:lineRule="exact"/>
              <w:jc w:val="left"/>
              <w:rPr>
                <w:rFonts w:hint="eastAsia" w:ascii="宋体" w:hAnsi="宋体" w:cs="宋体"/>
                <w:color w:val="auto"/>
                <w:sz w:val="24"/>
              </w:rPr>
            </w:pPr>
            <w:r>
              <w:rPr>
                <w:rFonts w:hint="eastAsia" w:ascii="宋体" w:hAnsi="宋体" w:cs="宋体"/>
                <w:b/>
                <w:bCs/>
                <w:color w:val="auto"/>
                <w:sz w:val="24"/>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10</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color w:val="auto"/>
                <w:sz w:val="24"/>
              </w:rPr>
            </w:pPr>
            <w:r>
              <w:rPr>
                <w:rFonts w:hint="eastAsia" w:ascii="宋体" w:hAnsi="宋体" w:cs="宋体"/>
                <w:color w:val="auto"/>
                <w:sz w:val="24"/>
              </w:rPr>
              <w:t>投标文件份数：</w:t>
            </w:r>
            <w:r>
              <w:rPr>
                <w:rFonts w:hint="eastAsia" w:ascii="宋体" w:hAnsi="宋体" w:cs="宋体"/>
                <w:b/>
                <w:bCs/>
                <w:color w:val="auto"/>
                <w:sz w:val="24"/>
              </w:rPr>
              <w:t>（1）“电子加密投标文件”：在线上传递交、一份。（2）“备份投标文件”：密封包装后（EMS邮寄形式）投标截止时间前递交、一份（邮寄地址：杭州市临平区）。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11</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color w:val="auto"/>
                <w:sz w:val="24"/>
              </w:rPr>
            </w:pPr>
            <w:r>
              <w:rPr>
                <w:rFonts w:hint="eastAsia" w:ascii="宋体" w:hAnsi="宋体" w:cs="宋体"/>
                <w:color w:val="auto"/>
                <w:sz w:val="24"/>
              </w:rPr>
              <w:t>投标文件的上传和递交：</w:t>
            </w:r>
          </w:p>
          <w:p>
            <w:pPr>
              <w:spacing w:line="600" w:lineRule="exact"/>
              <w:jc w:val="left"/>
              <w:rPr>
                <w:rFonts w:hint="eastAsia" w:ascii="宋体" w:hAnsi="宋体" w:cs="宋体"/>
                <w:b/>
                <w:bCs/>
                <w:color w:val="auto"/>
                <w:sz w:val="24"/>
              </w:rPr>
            </w:pPr>
            <w:r>
              <w:rPr>
                <w:rFonts w:hint="eastAsia" w:ascii="宋体" w:hAnsi="宋体" w:cs="宋体"/>
                <w:b/>
                <w:bCs/>
                <w:color w:val="auto"/>
                <w:sz w:val="24"/>
              </w:rPr>
              <w:t>（1）“电子加密投标文件”的上传、递交：</w:t>
            </w:r>
          </w:p>
          <w:p>
            <w:pPr>
              <w:spacing w:line="600" w:lineRule="exact"/>
              <w:jc w:val="left"/>
              <w:rPr>
                <w:rFonts w:hint="eastAsia" w:ascii="宋体" w:hAnsi="宋体" w:cs="宋体"/>
                <w:b/>
                <w:bCs/>
                <w:color w:val="auto"/>
                <w:sz w:val="24"/>
              </w:rPr>
            </w:pPr>
            <w:r>
              <w:rPr>
                <w:rFonts w:hint="eastAsia" w:ascii="宋体" w:hAnsi="宋体" w:cs="宋体"/>
                <w:b/>
                <w:bCs/>
                <w:color w:val="auto"/>
                <w:sz w:val="24"/>
              </w:rPr>
              <w:t>a.投标供应商应在投标截止时间前将“电子加密投标文件”成功上传递交至“政府采购云平台”，否则投标无效。</w:t>
            </w:r>
          </w:p>
          <w:p>
            <w:pPr>
              <w:spacing w:line="600" w:lineRule="exact"/>
              <w:jc w:val="left"/>
              <w:rPr>
                <w:rFonts w:hint="eastAsia" w:ascii="宋体" w:hAnsi="宋体" w:cs="宋体"/>
                <w:b/>
                <w:bCs/>
                <w:color w:val="auto"/>
                <w:sz w:val="24"/>
              </w:rPr>
            </w:pPr>
            <w:r>
              <w:rPr>
                <w:rFonts w:hint="eastAsia" w:ascii="宋体" w:hAnsi="宋体" w:cs="宋体"/>
                <w:b/>
                <w:bCs/>
                <w:color w:val="auto"/>
                <w:sz w:val="24"/>
              </w:rPr>
              <w:t>b.“电子加密投标文件”成功上传递交后，供应商可自行打印投标文件接收回执。</w:t>
            </w:r>
          </w:p>
          <w:p>
            <w:pPr>
              <w:spacing w:line="600" w:lineRule="exact"/>
              <w:jc w:val="left"/>
              <w:rPr>
                <w:rFonts w:hint="eastAsia" w:ascii="宋体" w:hAnsi="宋体" w:cs="宋体"/>
                <w:b/>
                <w:bCs/>
                <w:color w:val="auto"/>
                <w:sz w:val="24"/>
              </w:rPr>
            </w:pPr>
            <w:r>
              <w:rPr>
                <w:rFonts w:hint="eastAsia" w:ascii="宋体" w:hAnsi="宋体" w:cs="宋体"/>
                <w:b/>
                <w:bCs/>
                <w:color w:val="auto"/>
                <w:sz w:val="24"/>
              </w:rPr>
              <w:t>（2）“备份投标文件”的密封包装、递交：</w:t>
            </w:r>
          </w:p>
          <w:p>
            <w:pPr>
              <w:spacing w:line="600" w:lineRule="exact"/>
              <w:jc w:val="left"/>
              <w:rPr>
                <w:rFonts w:hint="eastAsia" w:ascii="宋体" w:hAnsi="宋体" w:cs="宋体"/>
                <w:b/>
                <w:bCs/>
                <w:color w:val="auto"/>
                <w:sz w:val="24"/>
              </w:rPr>
            </w:pPr>
            <w:r>
              <w:rPr>
                <w:rFonts w:hint="eastAsia" w:ascii="宋体" w:hAnsi="宋体" w:cs="宋体"/>
                <w:b/>
                <w:bCs/>
                <w:color w:val="auto"/>
                <w:sz w:val="24"/>
              </w:rPr>
              <w:t>a.投标供应商在“政府采购云平台”完成“电子加密投标文件”的上传递交后，还可以（EMS邮寄形式）在投标截止时间前递交以介质（U盘）存储的 “备份投标文件”（一份）；</w:t>
            </w:r>
          </w:p>
          <w:p>
            <w:pPr>
              <w:spacing w:line="600" w:lineRule="exact"/>
              <w:jc w:val="left"/>
              <w:rPr>
                <w:rFonts w:hint="eastAsia" w:ascii="宋体" w:hAnsi="宋体" w:cs="宋体"/>
                <w:b/>
                <w:bCs/>
                <w:color w:val="auto"/>
                <w:sz w:val="24"/>
              </w:rPr>
            </w:pPr>
            <w:r>
              <w:rPr>
                <w:rFonts w:hint="eastAsia" w:ascii="宋体" w:hAnsi="宋体" w:cs="宋体"/>
                <w:b/>
                <w:bCs/>
                <w:color w:val="auto"/>
                <w:sz w:val="24"/>
              </w:rPr>
              <w:t>b.“备份投标文件”应当密封包装，并在包装上标注投标项目名称、投标单位名称并加盖公章。没有密封包装或者逾期邮寄送达至投标地点的“备份投标文件”将不予接收；</w:t>
            </w:r>
          </w:p>
          <w:p>
            <w:pPr>
              <w:spacing w:line="600" w:lineRule="exact"/>
              <w:jc w:val="left"/>
              <w:rPr>
                <w:rFonts w:hint="eastAsia" w:ascii="宋体" w:hAnsi="宋体" w:cs="宋体"/>
                <w:color w:val="auto"/>
                <w:sz w:val="24"/>
              </w:rPr>
            </w:pPr>
            <w:r>
              <w:rPr>
                <w:rFonts w:hint="eastAsia" w:ascii="宋体" w:hAnsi="宋体" w:cs="宋体"/>
                <w:b/>
                <w:bCs/>
                <w:color w:val="auto"/>
                <w:sz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12</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color w:val="auto"/>
                <w:sz w:val="24"/>
              </w:rPr>
            </w:pPr>
            <w:r>
              <w:rPr>
                <w:rFonts w:hint="eastAsia" w:ascii="宋体" w:hAnsi="宋体" w:cs="宋体"/>
                <w:color w:val="auto"/>
                <w:sz w:val="24"/>
              </w:rPr>
              <w:t>电子加密投标文件的解密和异常情况处理：</w:t>
            </w:r>
          </w:p>
          <w:p>
            <w:pPr>
              <w:spacing w:line="600" w:lineRule="exact"/>
              <w:jc w:val="left"/>
              <w:rPr>
                <w:rFonts w:hint="eastAsia" w:ascii="宋体" w:hAnsi="宋体" w:cs="宋体"/>
                <w:color w:val="auto"/>
                <w:sz w:val="24"/>
              </w:rPr>
            </w:pPr>
            <w:r>
              <w:rPr>
                <w:rFonts w:hint="eastAsia" w:ascii="宋体" w:hAnsi="宋体" w:cs="宋体"/>
                <w:color w:val="auto"/>
                <w:sz w:val="24"/>
              </w:rPr>
              <w:t>（1）开标后，采购组织机构将向各投标供应商发出“电子加密投标文件”的解密通知，各投标供应商代表应当在接到解密通知后45分钟内自行完成“电子加密投标文件”的在线解密。</w:t>
            </w:r>
          </w:p>
          <w:p>
            <w:pPr>
              <w:spacing w:line="600" w:lineRule="exact"/>
              <w:jc w:val="left"/>
              <w:rPr>
                <w:rFonts w:hint="eastAsia" w:ascii="宋体" w:hAnsi="宋体" w:cs="宋体"/>
                <w:color w:val="auto"/>
                <w:sz w:val="24"/>
              </w:rPr>
            </w:pPr>
            <w:r>
              <w:rPr>
                <w:rFonts w:hint="eastAsia" w:ascii="宋体" w:hAnsi="宋体" w:cs="宋体"/>
                <w:color w:val="auto"/>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600" w:lineRule="exact"/>
              <w:jc w:val="left"/>
              <w:rPr>
                <w:rFonts w:hint="eastAsia" w:ascii="宋体" w:hAnsi="宋体" w:cs="宋体"/>
                <w:color w:val="auto"/>
                <w:sz w:val="24"/>
              </w:rPr>
            </w:pPr>
            <w:r>
              <w:rPr>
                <w:rFonts w:hint="eastAsia" w:ascii="宋体" w:hAnsi="宋体" w:cs="宋体"/>
                <w:color w:val="auto"/>
                <w:sz w:val="24"/>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13</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rPr>
                <w:rFonts w:hint="eastAsia" w:ascii="宋体" w:hAnsi="宋体" w:cs="宋体"/>
                <w:color w:val="auto"/>
                <w:sz w:val="24"/>
              </w:rPr>
            </w:pPr>
            <w:r>
              <w:rPr>
                <w:rFonts w:hint="eastAsia" w:ascii="宋体" w:hAnsi="宋体" w:cs="宋体"/>
                <w:color w:val="auto"/>
                <w:sz w:val="24"/>
              </w:rPr>
              <w:t>投标截止时间：详见公告。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14</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color w:val="auto"/>
                <w:sz w:val="24"/>
              </w:rPr>
            </w:pPr>
            <w:r>
              <w:rPr>
                <w:rFonts w:hint="eastAsia" w:ascii="宋体" w:hAnsi="宋体" w:cs="宋体"/>
                <w:color w:val="auto"/>
                <w:sz w:val="24"/>
              </w:rPr>
              <w:t>投标地点：详见公告。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auto" w:sz="4"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15</w:t>
            </w:r>
          </w:p>
        </w:tc>
        <w:tc>
          <w:tcPr>
            <w:tcW w:w="8673" w:type="dxa"/>
            <w:gridSpan w:val="2"/>
            <w:tcBorders>
              <w:top w:val="single" w:color="000000" w:sz="2" w:space="0"/>
              <w:left w:val="single" w:color="000000" w:sz="2" w:space="0"/>
              <w:bottom w:val="single" w:color="auto" w:sz="4" w:space="0"/>
              <w:right w:val="single" w:color="000000" w:sz="8" w:space="0"/>
            </w:tcBorders>
            <w:noWrap w:val="0"/>
            <w:vAlign w:val="center"/>
          </w:tcPr>
          <w:p>
            <w:pPr>
              <w:jc w:val="left"/>
              <w:rPr>
                <w:rFonts w:hint="eastAsia" w:ascii="宋体" w:hAnsi="宋体" w:cs="宋体"/>
                <w:color w:val="auto"/>
                <w:sz w:val="24"/>
              </w:rPr>
            </w:pPr>
            <w:r>
              <w:rPr>
                <w:rFonts w:hint="eastAsia" w:ascii="宋体" w:hAnsi="宋体" w:cs="宋体"/>
                <w:color w:val="auto"/>
                <w:sz w:val="24"/>
              </w:rPr>
              <w:t>开标时间和地点：同投标截止时间与地点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16</w:t>
            </w:r>
          </w:p>
        </w:tc>
        <w:tc>
          <w:tcPr>
            <w:tcW w:w="8673" w:type="dxa"/>
            <w:gridSpan w:val="2"/>
            <w:tcBorders>
              <w:top w:val="single" w:color="auto" w:sz="4" w:space="0"/>
              <w:left w:val="single" w:color="000000" w:sz="2" w:space="0"/>
              <w:bottom w:val="single" w:color="auto" w:sz="4" w:space="0"/>
              <w:right w:val="single" w:color="000000" w:sz="8" w:space="0"/>
            </w:tcBorders>
            <w:noWrap w:val="0"/>
            <w:vAlign w:val="center"/>
          </w:tcPr>
          <w:p>
            <w:pPr>
              <w:jc w:val="left"/>
              <w:rPr>
                <w:rFonts w:hint="eastAsia" w:ascii="宋体" w:hAnsi="宋体" w:cs="宋体"/>
                <w:color w:val="auto"/>
                <w:sz w:val="24"/>
              </w:rPr>
            </w:pPr>
            <w:r>
              <w:rPr>
                <w:rFonts w:hint="eastAsia" w:ascii="宋体" w:hAnsi="宋体" w:cs="宋体"/>
                <w:color w:val="auto"/>
                <w:sz w:val="24"/>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17</w:t>
            </w:r>
          </w:p>
        </w:tc>
        <w:tc>
          <w:tcPr>
            <w:tcW w:w="8673" w:type="dxa"/>
            <w:gridSpan w:val="2"/>
            <w:tcBorders>
              <w:top w:val="single" w:color="auto" w:sz="4" w:space="0"/>
              <w:left w:val="single" w:color="000000" w:sz="2" w:space="0"/>
              <w:bottom w:val="single" w:color="auto" w:sz="4" w:space="0"/>
              <w:right w:val="single" w:color="000000" w:sz="8" w:space="0"/>
            </w:tcBorders>
            <w:noWrap w:val="0"/>
            <w:vAlign w:val="center"/>
          </w:tcPr>
          <w:p>
            <w:pPr>
              <w:spacing w:line="600" w:lineRule="exact"/>
              <w:jc w:val="left"/>
              <w:rPr>
                <w:rFonts w:hint="eastAsia" w:ascii="宋体" w:hAnsi="宋体" w:cs="宋体"/>
                <w:color w:val="auto"/>
                <w:sz w:val="24"/>
              </w:rPr>
            </w:pPr>
            <w:r>
              <w:rPr>
                <w:rFonts w:hint="eastAsia" w:ascii="宋体" w:hAnsi="宋体" w:cs="宋体"/>
                <w:color w:val="auto"/>
                <w:sz w:val="24"/>
              </w:rPr>
              <w:t>1、投标截止后，在投标有效期内，投标人不能撤销投标文件。投标人强行撤销投标文件的，应按预算金额的2%赔偿对招标代理机构造成的损失。</w:t>
            </w:r>
          </w:p>
          <w:p>
            <w:pPr>
              <w:spacing w:line="600" w:lineRule="exact"/>
              <w:jc w:val="left"/>
              <w:rPr>
                <w:rFonts w:hint="eastAsia" w:ascii="宋体" w:hAnsi="宋体" w:cs="宋体"/>
                <w:color w:val="auto"/>
                <w:sz w:val="24"/>
              </w:rPr>
            </w:pPr>
            <w:r>
              <w:rPr>
                <w:rFonts w:hint="eastAsia" w:ascii="宋体" w:hAnsi="宋体" w:cs="宋体"/>
                <w:color w:val="auto"/>
                <w:sz w:val="24"/>
              </w:rPr>
              <w:t>2、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pPr>
              <w:spacing w:line="600" w:lineRule="exact"/>
              <w:jc w:val="left"/>
              <w:rPr>
                <w:rFonts w:hint="eastAsia" w:ascii="宋体" w:hAnsi="宋体" w:cs="宋体"/>
                <w:color w:val="auto"/>
                <w:sz w:val="24"/>
              </w:rPr>
            </w:pPr>
            <w:r>
              <w:rPr>
                <w:rFonts w:hint="eastAsia" w:ascii="宋体" w:hAnsi="宋体" w:cs="宋体"/>
                <w:color w:val="auto"/>
                <w:sz w:val="24"/>
              </w:rPr>
              <w:t>3、存在下列行为的，招标代理机构将其失信行为上报政府采购主管部门，由主管部门按有关规定对其违法失信行为记录进行公开：</w:t>
            </w:r>
          </w:p>
          <w:p>
            <w:pPr>
              <w:spacing w:line="600" w:lineRule="exact"/>
              <w:jc w:val="left"/>
              <w:rPr>
                <w:rFonts w:hint="eastAsia" w:ascii="宋体" w:hAnsi="宋体" w:cs="宋体"/>
                <w:color w:val="auto"/>
                <w:sz w:val="24"/>
              </w:rPr>
            </w:pPr>
            <w:r>
              <w:rPr>
                <w:rFonts w:hint="eastAsia" w:ascii="宋体" w:hAnsi="宋体" w:cs="宋体"/>
                <w:color w:val="auto"/>
                <w:sz w:val="24"/>
              </w:rPr>
              <w:t>（1）中标或者成交后，拒绝签订政府采购合同的；</w:t>
            </w:r>
          </w:p>
          <w:p>
            <w:pPr>
              <w:spacing w:line="600" w:lineRule="exact"/>
              <w:jc w:val="left"/>
              <w:rPr>
                <w:rFonts w:hint="eastAsia" w:ascii="宋体" w:hAnsi="宋体" w:cs="宋体"/>
                <w:color w:val="auto"/>
                <w:sz w:val="24"/>
              </w:rPr>
            </w:pPr>
            <w:r>
              <w:rPr>
                <w:rFonts w:hint="eastAsia" w:ascii="宋体" w:hAnsi="宋体" w:cs="宋体"/>
                <w:color w:val="auto"/>
                <w:sz w:val="24"/>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18</w:t>
            </w:r>
          </w:p>
        </w:tc>
        <w:tc>
          <w:tcPr>
            <w:tcW w:w="8673" w:type="dxa"/>
            <w:gridSpan w:val="2"/>
            <w:tcBorders>
              <w:top w:val="single" w:color="auto" w:sz="4" w:space="0"/>
              <w:left w:val="single" w:color="000000" w:sz="2" w:space="0"/>
              <w:bottom w:val="single" w:color="auto" w:sz="4" w:space="0"/>
              <w:right w:val="single" w:color="000000" w:sz="8" w:space="0"/>
            </w:tcBorders>
            <w:noWrap w:val="0"/>
            <w:vAlign w:val="center"/>
          </w:tcPr>
          <w:p>
            <w:pPr>
              <w:spacing w:line="600" w:lineRule="exact"/>
              <w:jc w:val="left"/>
              <w:rPr>
                <w:rFonts w:hint="eastAsia" w:ascii="宋体" w:hAnsi="宋体" w:cs="宋体"/>
                <w:color w:val="auto"/>
                <w:sz w:val="24"/>
              </w:rPr>
            </w:pPr>
            <w:r>
              <w:rPr>
                <w:rFonts w:hint="eastAsia" w:ascii="宋体" w:hAnsi="宋体" w:cs="宋体"/>
                <w:color w:val="auto"/>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19</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color w:val="auto"/>
                <w:sz w:val="24"/>
              </w:rPr>
            </w:pPr>
            <w:r>
              <w:rPr>
                <w:rFonts w:hint="eastAsia" w:ascii="宋体" w:hAnsi="宋体" w:cs="宋体"/>
                <w:color w:val="auto"/>
                <w:sz w:val="24"/>
              </w:rPr>
              <w:t>潜在供应商需在浙江政府采购网</w:t>
            </w:r>
            <w:r>
              <w:rPr>
                <w:rFonts w:hint="eastAsia" w:ascii="宋体" w:hAnsi="宋体" w:cs="宋体"/>
                <w:color w:val="auto"/>
                <w:sz w:val="24"/>
              </w:rPr>
              <w:drawing>
                <wp:inline distT="0" distB="0" distL="114300" distR="114300">
                  <wp:extent cx="189865" cy="142240"/>
                  <wp:effectExtent l="0" t="0" r="8255" b="10160"/>
                  <wp:docPr id="1" name="Picture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IMG_257"/>
                          <pic:cNvPicPr>
                            <a:picLocks noChangeAspect="1"/>
                          </pic:cNvPicPr>
                        </pic:nvPicPr>
                        <pic:blipFill>
                          <a:blip r:embed="rId6"/>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color w:val="auto"/>
                <w:sz w:val="24"/>
              </w:rPr>
              <w:t>http://www.ccgp-zhejiang.gov.cn/进行免费注册，具体详见浙江政府采购网供应商注册要求。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20</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color w:val="auto"/>
                <w:sz w:val="24"/>
              </w:rPr>
            </w:pPr>
            <w:r>
              <w:rPr>
                <w:rFonts w:hint="eastAsia" w:ascii="宋体" w:hAnsi="宋体" w:cs="宋体"/>
                <w:color w:val="auto"/>
                <w:sz w:val="24"/>
              </w:rPr>
              <w:t>1、本项目对符合财政扶持政策的中小企业（小型、微型）、监狱企业、残疾人福利性单位给予价格优惠扶持，价格优惠扶持见《第三章 评分办法》。</w:t>
            </w:r>
          </w:p>
          <w:p>
            <w:pPr>
              <w:spacing w:line="600" w:lineRule="exact"/>
              <w:jc w:val="left"/>
              <w:rPr>
                <w:rFonts w:hint="eastAsia" w:ascii="宋体" w:hAnsi="宋体" w:cs="宋体"/>
                <w:color w:val="auto"/>
                <w:sz w:val="24"/>
              </w:rPr>
            </w:pPr>
            <w:r>
              <w:rPr>
                <w:rFonts w:hint="eastAsia" w:ascii="宋体" w:hAnsi="宋体" w:cs="宋体"/>
                <w:color w:val="auto"/>
                <w:sz w:val="24"/>
              </w:rPr>
              <w:t>2、满足转发财政部 工业和信息化部关于印发《政府采购促进中小企业发展暂行办法》的通知（浙财采监[2012]11号）的规定的中小企业可享受优惠扶持。</w:t>
            </w:r>
          </w:p>
          <w:p>
            <w:pPr>
              <w:spacing w:line="600" w:lineRule="exact"/>
              <w:jc w:val="left"/>
              <w:rPr>
                <w:rFonts w:hint="eastAsia" w:ascii="宋体" w:hAnsi="宋体" w:cs="宋体"/>
                <w:color w:val="auto"/>
                <w:sz w:val="24"/>
              </w:rPr>
            </w:pPr>
            <w:r>
              <w:rPr>
                <w:rFonts w:hint="eastAsia" w:ascii="宋体" w:hAnsi="宋体" w:cs="宋体"/>
                <w:color w:val="auto"/>
                <w:sz w:val="24"/>
              </w:rPr>
              <w:t>满足关于政府采购支持监狱企业发展有关问题的通知（财库[2014]68号）的规定的供应商可享受优惠扶持。</w:t>
            </w:r>
          </w:p>
          <w:p>
            <w:pPr>
              <w:spacing w:line="600" w:lineRule="exact"/>
              <w:jc w:val="left"/>
              <w:rPr>
                <w:rFonts w:hint="eastAsia" w:ascii="宋体" w:hAnsi="宋体" w:cs="宋体"/>
                <w:color w:val="auto"/>
                <w:sz w:val="24"/>
              </w:rPr>
            </w:pPr>
            <w:r>
              <w:rPr>
                <w:rFonts w:hint="eastAsia" w:ascii="宋体" w:hAnsi="宋体" w:cs="宋体"/>
                <w:color w:val="auto"/>
                <w:sz w:val="24"/>
              </w:rPr>
              <w:t>满足关于促进残疾人就业政府采购政策的通知（财库[2017]141号）的规定的供应商可享受优惠扶持。</w:t>
            </w:r>
          </w:p>
          <w:p>
            <w:pPr>
              <w:spacing w:line="600" w:lineRule="exact"/>
              <w:jc w:val="left"/>
              <w:rPr>
                <w:rFonts w:hint="eastAsia" w:ascii="宋体" w:hAnsi="宋体" w:cs="宋体"/>
                <w:color w:val="auto"/>
                <w:sz w:val="24"/>
              </w:rPr>
            </w:pPr>
            <w:r>
              <w:rPr>
                <w:rFonts w:hint="eastAsia" w:ascii="宋体" w:hAnsi="宋体" w:cs="宋体"/>
                <w:color w:val="auto"/>
                <w:sz w:val="24"/>
              </w:rPr>
              <w:t>3、节能产品、环境标志产品的强制采购政策</w:t>
            </w:r>
          </w:p>
          <w:p>
            <w:pPr>
              <w:spacing w:line="600" w:lineRule="exact"/>
              <w:jc w:val="left"/>
              <w:rPr>
                <w:rFonts w:hint="eastAsia" w:ascii="宋体" w:hAnsi="宋体" w:cs="宋体"/>
                <w:color w:val="auto"/>
                <w:sz w:val="24"/>
              </w:rPr>
            </w:pPr>
            <w:r>
              <w:rPr>
                <w:rFonts w:hint="eastAsia" w:ascii="宋体" w:hAnsi="宋体" w:cs="宋体"/>
                <w:color w:val="auto"/>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spacing w:line="600" w:lineRule="exact"/>
              <w:jc w:val="left"/>
              <w:rPr>
                <w:rFonts w:hint="eastAsia" w:ascii="宋体" w:hAnsi="宋体" w:cs="宋体"/>
                <w:color w:val="auto"/>
                <w:sz w:val="24"/>
              </w:rPr>
            </w:pPr>
            <w:r>
              <w:rPr>
                <w:rFonts w:hint="eastAsia" w:ascii="宋体" w:hAnsi="宋体" w:cs="宋体"/>
                <w:color w:val="auto"/>
                <w:sz w:val="24"/>
              </w:rPr>
              <w:t>4、节能产品、环境标志产品的优先采购政策</w:t>
            </w:r>
          </w:p>
          <w:p>
            <w:pPr>
              <w:spacing w:line="600" w:lineRule="exact"/>
              <w:jc w:val="left"/>
              <w:rPr>
                <w:rFonts w:hint="eastAsia" w:ascii="宋体" w:hAnsi="宋体" w:cs="宋体"/>
                <w:color w:val="auto"/>
                <w:sz w:val="24"/>
              </w:rPr>
            </w:pPr>
            <w:r>
              <w:rPr>
                <w:rFonts w:hint="eastAsia" w:ascii="宋体" w:hAnsi="宋体" w:cs="宋体"/>
                <w:color w:val="auto"/>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21</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color w:val="auto"/>
                <w:sz w:val="24"/>
              </w:rPr>
            </w:pPr>
            <w:r>
              <w:rPr>
                <w:rFonts w:hint="eastAsia" w:ascii="宋体" w:hAnsi="宋体" w:cs="宋体"/>
                <w:color w:val="auto"/>
                <w:sz w:val="24"/>
              </w:rPr>
              <w:t>根据《关于在政府采购活动中查询及使用信用记录有关问题的通知》财库[2016]125号的规定：</w:t>
            </w:r>
          </w:p>
          <w:p>
            <w:pPr>
              <w:spacing w:line="600" w:lineRule="exact"/>
              <w:jc w:val="left"/>
              <w:rPr>
                <w:rFonts w:hint="eastAsia" w:ascii="宋体" w:hAnsi="宋体" w:cs="宋体"/>
                <w:color w:val="auto"/>
                <w:sz w:val="24"/>
              </w:rPr>
            </w:pPr>
            <w:r>
              <w:rPr>
                <w:rFonts w:hint="eastAsia" w:ascii="宋体" w:hAnsi="宋体" w:cs="宋体"/>
                <w:color w:val="auto"/>
                <w:sz w:val="24"/>
              </w:rPr>
              <w:t>（1）采购人或采购代理机构将对本项目供应商的信用记录进行查询。查询渠道为信用中国网站（www.creditchina.gov.cn）、中国政府采购网（www.ccgp.gov.cn）；</w:t>
            </w:r>
          </w:p>
          <w:p>
            <w:pPr>
              <w:spacing w:line="600" w:lineRule="exact"/>
              <w:jc w:val="left"/>
              <w:rPr>
                <w:rFonts w:hint="eastAsia" w:ascii="宋体" w:hAnsi="宋体" w:cs="宋体"/>
                <w:color w:val="auto"/>
                <w:sz w:val="24"/>
              </w:rPr>
            </w:pPr>
            <w:r>
              <w:rPr>
                <w:rFonts w:hint="eastAsia" w:ascii="宋体" w:hAnsi="宋体" w:cs="宋体"/>
                <w:color w:val="auto"/>
                <w:sz w:val="24"/>
              </w:rPr>
              <w:t>（2）截止时点：提交投标文件（响应文件）截止时间前3年内；</w:t>
            </w:r>
          </w:p>
          <w:p>
            <w:pPr>
              <w:spacing w:line="600" w:lineRule="exact"/>
              <w:jc w:val="left"/>
              <w:rPr>
                <w:rFonts w:hint="eastAsia" w:ascii="宋体" w:hAnsi="宋体" w:cs="宋体"/>
                <w:color w:val="auto"/>
                <w:sz w:val="24"/>
              </w:rPr>
            </w:pPr>
            <w:r>
              <w:rPr>
                <w:rFonts w:hint="eastAsia" w:ascii="宋体" w:hAnsi="宋体" w:cs="宋体"/>
                <w:color w:val="auto"/>
                <w:sz w:val="24"/>
              </w:rPr>
              <w:t>（3）查询记录和证据的留存：信用信息查询记录和证据以网页截图等方式留存。</w:t>
            </w:r>
          </w:p>
          <w:p>
            <w:pPr>
              <w:spacing w:line="600" w:lineRule="exact"/>
              <w:jc w:val="left"/>
              <w:rPr>
                <w:rFonts w:hint="eastAsia" w:ascii="宋体" w:hAnsi="宋体" w:cs="宋体"/>
                <w:color w:val="auto"/>
                <w:sz w:val="24"/>
              </w:rPr>
            </w:pPr>
            <w:r>
              <w:rPr>
                <w:rFonts w:hint="eastAsia" w:ascii="宋体" w:hAnsi="宋体" w:cs="宋体"/>
                <w:color w:val="auto"/>
                <w:sz w:val="24"/>
              </w:rPr>
              <w:t>（4）使用规则：被列入失信被执行人、重大税收违法案件当事人名单、政府采购严重违法失信行为记录名单及其它不符合《中华人民共和国政府采购法》第二十二条规定条件的，其投标将被拒绝。</w:t>
            </w:r>
          </w:p>
          <w:p>
            <w:pPr>
              <w:spacing w:line="600" w:lineRule="exact"/>
              <w:jc w:val="left"/>
              <w:rPr>
                <w:rFonts w:hint="eastAsia" w:ascii="宋体" w:hAnsi="宋体" w:cs="宋体"/>
                <w:color w:val="auto"/>
                <w:sz w:val="24"/>
              </w:rPr>
            </w:pPr>
            <w:r>
              <w:rPr>
                <w:rFonts w:hint="eastAsia" w:ascii="宋体" w:hAnsi="宋体" w:cs="宋体"/>
                <w:color w:val="auto"/>
                <w:sz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22</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color w:val="auto"/>
                <w:sz w:val="24"/>
              </w:rPr>
            </w:pPr>
            <w:r>
              <w:rPr>
                <w:rFonts w:hint="eastAsia" w:ascii="宋体" w:hAnsi="宋体" w:cs="宋体"/>
                <w:color w:val="auto"/>
                <w:sz w:val="24"/>
              </w:rPr>
              <w:t>中标单位在中标公示结束后再递交与电子加密投标文件内容一致的书面投标文件（正本一份，副本贰份）。</w:t>
            </w:r>
          </w:p>
        </w:tc>
      </w:tr>
    </w:tbl>
    <w:p>
      <w:pPr>
        <w:shd w:val="clear" w:color="auto" w:fill="FFFFFF"/>
        <w:snapToGrid w:val="0"/>
        <w:spacing w:line="600" w:lineRule="exact"/>
        <w:jc w:val="center"/>
        <w:outlineLvl w:val="1"/>
        <w:rPr>
          <w:rFonts w:hint="eastAsia" w:ascii="宋体" w:hAnsi="宋体" w:cs="宋体"/>
          <w:b/>
          <w:bCs/>
          <w:color w:val="auto"/>
          <w:sz w:val="24"/>
        </w:rPr>
      </w:pPr>
      <w:r>
        <w:rPr>
          <w:rFonts w:hint="eastAsia" w:ascii="宋体" w:hAnsi="宋体" w:cs="宋体"/>
          <w:color w:val="auto"/>
          <w:kern w:val="0"/>
          <w:sz w:val="24"/>
        </w:rPr>
        <w:br w:type="page"/>
      </w:r>
      <w:bookmarkEnd w:id="37"/>
      <w:bookmarkStart w:id="42" w:name="_Toc33194388"/>
      <w:bookmarkStart w:id="43" w:name="_Toc354996696"/>
      <w:bookmarkStart w:id="44" w:name="_Toc233618972"/>
      <w:bookmarkStart w:id="45" w:name="_Toc226106516"/>
      <w:bookmarkStart w:id="46" w:name="_Toc225840109"/>
      <w:bookmarkStart w:id="47" w:name="_Toc226106467"/>
      <w:bookmarkStart w:id="48" w:name="_Toc226521904"/>
      <w:r>
        <w:rPr>
          <w:rFonts w:hint="eastAsia" w:ascii="宋体" w:hAnsi="宋体" w:cs="宋体"/>
          <w:b/>
          <w:bCs/>
          <w:color w:val="auto"/>
          <w:sz w:val="24"/>
        </w:rPr>
        <w:t>一、总 则</w:t>
      </w:r>
      <w:bookmarkEnd w:id="42"/>
      <w:bookmarkEnd w:id="43"/>
      <w:bookmarkEnd w:id="44"/>
    </w:p>
    <w:p>
      <w:pPr>
        <w:snapToGrid w:val="0"/>
        <w:spacing w:line="600" w:lineRule="exact"/>
        <w:rPr>
          <w:rFonts w:hint="eastAsia" w:ascii="宋体" w:hAnsi="宋体" w:cs="宋体"/>
          <w:b/>
          <w:color w:val="auto"/>
          <w:sz w:val="24"/>
        </w:rPr>
      </w:pPr>
      <w:bookmarkStart w:id="49" w:name="_Toc91899872"/>
      <w:bookmarkStart w:id="50" w:name="_Hlt74730112"/>
      <w:bookmarkStart w:id="51" w:name="_Hlt74730208"/>
      <w:bookmarkStart w:id="52" w:name="_Toc233618973"/>
      <w:bookmarkStart w:id="53" w:name="_Toc354996697"/>
      <w:r>
        <w:rPr>
          <w:rFonts w:hint="eastAsia" w:ascii="宋体" w:hAnsi="宋体" w:cs="宋体"/>
          <w:b/>
          <w:color w:val="auto"/>
          <w:sz w:val="24"/>
        </w:rPr>
        <w:t>（一）项目说明</w:t>
      </w:r>
      <w:bookmarkEnd w:id="49"/>
    </w:p>
    <w:p>
      <w:pPr>
        <w:pStyle w:val="317"/>
        <w:snapToGrid w:val="0"/>
        <w:spacing w:line="600" w:lineRule="exact"/>
        <w:ind w:firstLine="480"/>
        <w:rPr>
          <w:rFonts w:hint="eastAsia"/>
          <w:color w:val="auto"/>
        </w:rPr>
      </w:pPr>
      <w:r>
        <w:rPr>
          <w:rFonts w:hint="eastAsia"/>
          <w:color w:val="auto"/>
        </w:rPr>
        <w:t>1、项目说明见投标须知前附表(以下称“前附表”)第1项所述。</w:t>
      </w:r>
    </w:p>
    <w:p>
      <w:pPr>
        <w:pStyle w:val="317"/>
        <w:tabs>
          <w:tab w:val="left" w:pos="6510"/>
        </w:tabs>
        <w:snapToGrid w:val="0"/>
        <w:spacing w:line="600" w:lineRule="exact"/>
        <w:ind w:firstLine="480"/>
        <w:rPr>
          <w:rFonts w:hint="eastAsia"/>
          <w:color w:val="auto"/>
        </w:rPr>
      </w:pPr>
      <w:r>
        <w:rPr>
          <w:rFonts w:hint="eastAsia"/>
          <w:color w:val="auto"/>
        </w:rPr>
        <w:t>2、采购单位杭州市临平区机关事务服务中心为本项目的招标人（合同中的甲方），杭州</w:t>
      </w:r>
      <w:r>
        <w:rPr>
          <w:rFonts w:hint="eastAsia"/>
          <w:color w:val="auto"/>
          <w:lang w:eastAsia="zh-CN"/>
        </w:rPr>
        <w:t>溯远</w:t>
      </w:r>
      <w:r>
        <w:rPr>
          <w:rFonts w:hint="eastAsia"/>
          <w:color w:val="auto"/>
        </w:rPr>
        <w:t>工程咨询代理有限公司为招标代理机构，临平区政府采购办公室为政府采购监督管理部门，自愿参加本次项目投标的法人、其他组织为投标人，经评审产生并经批准的投标人为中标人，签订合同后的中标人为供应商(合同中的乙方)。</w:t>
      </w:r>
    </w:p>
    <w:p>
      <w:pPr>
        <w:pStyle w:val="317"/>
        <w:snapToGrid w:val="0"/>
        <w:spacing w:line="600" w:lineRule="exact"/>
        <w:ind w:firstLine="480"/>
        <w:rPr>
          <w:rFonts w:hint="eastAsia"/>
          <w:color w:val="auto"/>
        </w:rPr>
      </w:pPr>
      <w:r>
        <w:rPr>
          <w:rFonts w:hint="eastAsia"/>
          <w:color w:val="auto"/>
        </w:rPr>
        <w:t>3、投标人一旦参与本次招标活动，即被视为接受了本招标文件的所有内容，如有任何异议，均已在答疑截止时间前提出。</w:t>
      </w:r>
    </w:p>
    <w:p>
      <w:pPr>
        <w:tabs>
          <w:tab w:val="left" w:pos="3780"/>
        </w:tabs>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cs="宋体"/>
          <w:color w:val="auto"/>
          <w:kern w:val="0"/>
          <w:sz w:val="24"/>
          <w:lang w:val="zh-CN"/>
        </w:rPr>
        <w:t>供应商</w:t>
      </w:r>
      <w:r>
        <w:rPr>
          <w:rFonts w:hint="eastAsia" w:ascii="宋体" w:hAnsi="宋体" w:cs="宋体"/>
          <w:color w:val="auto"/>
          <w:sz w:val="24"/>
        </w:rPr>
        <w:t>应承担相应后果，</w:t>
      </w:r>
      <w:r>
        <w:rPr>
          <w:rFonts w:hint="eastAsia" w:ascii="宋体" w:hAnsi="宋体" w:cs="宋体"/>
          <w:color w:val="auto"/>
          <w:kern w:val="0"/>
          <w:sz w:val="24"/>
          <w:lang w:val="zh-CN"/>
        </w:rPr>
        <w:t>并负责赔偿。</w:t>
      </w:r>
      <w:r>
        <w:rPr>
          <w:rFonts w:hint="eastAsia" w:ascii="宋体" w:hAnsi="宋体" w:cs="宋体"/>
          <w:color w:val="auto"/>
          <w:sz w:val="24"/>
        </w:rPr>
        <w:t>供应商为执行本项目合同而提供的技术资料等归招标人所有。</w:t>
      </w:r>
      <w:bookmarkStart w:id="54" w:name="_Toc91899873"/>
    </w:p>
    <w:p>
      <w:pPr>
        <w:tabs>
          <w:tab w:val="left" w:pos="3780"/>
        </w:tabs>
        <w:snapToGrid w:val="0"/>
        <w:spacing w:line="600" w:lineRule="exact"/>
        <w:rPr>
          <w:rFonts w:hint="eastAsia" w:ascii="宋体" w:hAnsi="宋体" w:cs="宋体"/>
          <w:b/>
          <w:color w:val="auto"/>
          <w:sz w:val="24"/>
        </w:rPr>
      </w:pPr>
      <w:r>
        <w:rPr>
          <w:rFonts w:hint="eastAsia" w:ascii="宋体" w:hAnsi="宋体" w:cs="宋体"/>
          <w:b/>
          <w:color w:val="auto"/>
          <w:sz w:val="24"/>
        </w:rPr>
        <w:t>（二）采购方式</w:t>
      </w:r>
      <w:bookmarkEnd w:id="54"/>
    </w:p>
    <w:p>
      <w:pPr>
        <w:pStyle w:val="317"/>
        <w:snapToGrid w:val="0"/>
        <w:spacing w:line="600" w:lineRule="exact"/>
        <w:ind w:firstLine="480"/>
        <w:rPr>
          <w:rFonts w:hint="eastAsia"/>
          <w:color w:val="auto"/>
        </w:rPr>
      </w:pPr>
      <w:r>
        <w:rPr>
          <w:rFonts w:hint="eastAsia"/>
          <w:color w:val="auto"/>
        </w:rPr>
        <w:t>公开招标。</w:t>
      </w:r>
      <w:bookmarkEnd w:id="50"/>
      <w:bookmarkEnd w:id="51"/>
      <w:bookmarkStart w:id="55" w:name="_Hlt68516771"/>
      <w:bookmarkEnd w:id="55"/>
      <w:bookmarkStart w:id="56" w:name="_Hlt74388212"/>
      <w:bookmarkEnd w:id="56"/>
    </w:p>
    <w:p>
      <w:pPr>
        <w:snapToGrid w:val="0"/>
        <w:spacing w:line="600" w:lineRule="exact"/>
        <w:rPr>
          <w:rFonts w:hint="eastAsia" w:ascii="宋体" w:hAnsi="宋体" w:cs="宋体"/>
          <w:b/>
          <w:color w:val="auto"/>
          <w:sz w:val="24"/>
        </w:rPr>
      </w:pPr>
      <w:bookmarkStart w:id="57" w:name="_Toc91899877"/>
      <w:bookmarkStart w:id="58" w:name="_Hlt74730303"/>
      <w:r>
        <w:rPr>
          <w:rFonts w:hint="eastAsia" w:ascii="宋体" w:hAnsi="宋体" w:cs="宋体"/>
          <w:b/>
          <w:color w:val="auto"/>
          <w:sz w:val="24"/>
        </w:rPr>
        <w:t>（三）</w:t>
      </w:r>
      <w:r>
        <w:rPr>
          <w:rFonts w:hint="eastAsia" w:ascii="宋体" w:hAnsi="宋体" w:cs="宋体"/>
          <w:b/>
          <w:color w:val="auto"/>
          <w:kern w:val="0"/>
          <w:sz w:val="24"/>
          <w:lang w:val="zh-CN"/>
        </w:rPr>
        <w:t>定义</w:t>
      </w:r>
    </w:p>
    <w:p>
      <w:pPr>
        <w:snapToGrid w:val="0"/>
        <w:spacing w:line="600" w:lineRule="exact"/>
        <w:ind w:firstLine="481"/>
        <w:rPr>
          <w:rFonts w:hint="eastAsia" w:ascii="宋体" w:hAnsi="宋体" w:cs="宋体"/>
          <w:color w:val="auto"/>
          <w:kern w:val="0"/>
          <w:sz w:val="24"/>
          <w:lang w:val="zh-CN"/>
        </w:rPr>
      </w:pPr>
      <w:r>
        <w:rPr>
          <w:rFonts w:hint="eastAsia" w:ascii="宋体" w:hAnsi="宋体" w:cs="宋体"/>
          <w:b/>
          <w:color w:val="auto"/>
          <w:kern w:val="0"/>
          <w:sz w:val="24"/>
          <w:lang w:val="zh-CN"/>
        </w:rPr>
        <w:t>1、合格的投标人应具备的资格要求，</w:t>
      </w:r>
      <w:r>
        <w:rPr>
          <w:rFonts w:hint="eastAsia" w:ascii="宋体" w:hAnsi="宋体" w:cs="宋体"/>
          <w:color w:val="auto"/>
          <w:kern w:val="0"/>
          <w:sz w:val="24"/>
          <w:lang w:val="zh-CN"/>
        </w:rPr>
        <w:t>见招标文件第一部分“招标公告”。</w:t>
      </w:r>
    </w:p>
    <w:p>
      <w:pPr>
        <w:tabs>
          <w:tab w:val="left" w:pos="0"/>
        </w:tabs>
        <w:autoSpaceDE w:val="0"/>
        <w:autoSpaceDN w:val="0"/>
        <w:snapToGrid w:val="0"/>
        <w:spacing w:line="600" w:lineRule="exact"/>
        <w:ind w:firstLine="482" w:firstLineChars="200"/>
        <w:rPr>
          <w:rFonts w:hint="eastAsia" w:ascii="宋体" w:hAnsi="宋体" w:cs="宋体"/>
          <w:b/>
          <w:color w:val="auto"/>
          <w:sz w:val="24"/>
        </w:rPr>
      </w:pPr>
      <w:r>
        <w:rPr>
          <w:rFonts w:hint="eastAsia" w:ascii="宋体" w:hAnsi="宋体" w:cs="宋体"/>
          <w:b/>
          <w:color w:val="auto"/>
          <w:sz w:val="24"/>
        </w:rPr>
        <w:t>2、内容</w:t>
      </w:r>
    </w:p>
    <w:p>
      <w:pPr>
        <w:spacing w:line="600" w:lineRule="exact"/>
        <w:ind w:firstLine="480" w:firstLineChars="200"/>
        <w:rPr>
          <w:rFonts w:hint="eastAsia" w:ascii="宋体" w:hAnsi="宋体" w:cs="宋体"/>
          <w:color w:val="auto"/>
          <w:sz w:val="24"/>
          <w:lang w:val="zh-CN"/>
        </w:rPr>
      </w:pPr>
      <w:r>
        <w:rPr>
          <w:rFonts w:hint="eastAsia" w:ascii="宋体" w:hAnsi="宋体" w:cs="宋体"/>
          <w:color w:val="auto"/>
          <w:sz w:val="24"/>
        </w:rPr>
        <w:t>本项目采购内容为服务范围内的物业服务，详见第三部分——项目技术规范和服务要求。</w:t>
      </w:r>
    </w:p>
    <w:p>
      <w:pPr>
        <w:pStyle w:val="41"/>
        <w:snapToGrid w:val="0"/>
        <w:spacing w:line="6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（四）投标费用</w:t>
      </w:r>
    </w:p>
    <w:p>
      <w:pPr>
        <w:snapToGrid w:val="0"/>
        <w:spacing w:line="600" w:lineRule="exact"/>
        <w:ind w:firstLine="523" w:firstLineChars="218"/>
        <w:rPr>
          <w:rFonts w:hint="eastAsia" w:ascii="宋体" w:hAnsi="宋体" w:cs="宋体"/>
          <w:color w:val="auto"/>
          <w:sz w:val="24"/>
          <w:lang w:val="zh-CN"/>
        </w:rPr>
      </w:pPr>
      <w:r>
        <w:rPr>
          <w:rFonts w:hint="eastAsia" w:ascii="宋体" w:hAnsi="宋体" w:cs="宋体"/>
          <w:color w:val="auto"/>
          <w:sz w:val="24"/>
        </w:rPr>
        <w:t>投标人需自行承担涉及投标的一切税、费用</w:t>
      </w:r>
      <w:r>
        <w:rPr>
          <w:rFonts w:hint="eastAsia" w:ascii="宋体" w:hAnsi="宋体" w:cs="宋体"/>
          <w:color w:val="auto"/>
          <w:sz w:val="24"/>
          <w:lang w:val="zh-CN"/>
        </w:rPr>
        <w:t>。</w:t>
      </w:r>
    </w:p>
    <w:bookmarkEnd w:id="57"/>
    <w:bookmarkEnd w:id="58"/>
    <w:p>
      <w:pPr>
        <w:shd w:val="clear" w:color="auto" w:fill="FFFFFF"/>
        <w:snapToGrid w:val="0"/>
        <w:spacing w:line="600" w:lineRule="exact"/>
        <w:jc w:val="center"/>
        <w:outlineLvl w:val="1"/>
        <w:rPr>
          <w:rFonts w:hint="eastAsia" w:ascii="宋体" w:hAnsi="宋体" w:cs="宋体"/>
          <w:b/>
          <w:bCs/>
          <w:color w:val="auto"/>
          <w:sz w:val="24"/>
        </w:rPr>
      </w:pPr>
      <w:bookmarkStart w:id="59" w:name="_Toc33194389"/>
      <w:r>
        <w:rPr>
          <w:rFonts w:hint="eastAsia" w:ascii="宋体" w:hAnsi="宋体" w:cs="宋体"/>
          <w:b/>
          <w:bCs/>
          <w:color w:val="auto"/>
          <w:sz w:val="24"/>
        </w:rPr>
        <w:t>二、招标文件</w:t>
      </w:r>
      <w:bookmarkEnd w:id="52"/>
      <w:bookmarkEnd w:id="53"/>
      <w:bookmarkEnd w:id="59"/>
    </w:p>
    <w:p>
      <w:pPr>
        <w:shd w:val="clear" w:color="auto" w:fill="FFFFFF"/>
        <w:snapToGrid w:val="0"/>
        <w:spacing w:line="600" w:lineRule="exact"/>
        <w:rPr>
          <w:rFonts w:hint="eastAsia" w:ascii="宋体" w:hAnsi="宋体" w:cs="宋体"/>
          <w:b/>
          <w:bCs/>
          <w:color w:val="auto"/>
          <w:sz w:val="24"/>
        </w:rPr>
      </w:pPr>
      <w:bookmarkStart w:id="60" w:name="_Toc91899880"/>
      <w:bookmarkStart w:id="61" w:name="_Hlt74730307"/>
      <w:r>
        <w:rPr>
          <w:rFonts w:hint="eastAsia" w:ascii="宋体" w:hAnsi="宋体" w:cs="宋体"/>
          <w:b/>
          <w:bCs/>
          <w:color w:val="auto"/>
          <w:sz w:val="24"/>
        </w:rPr>
        <w:t>（一）招标文件的构成</w:t>
      </w:r>
      <w:bookmarkEnd w:id="60"/>
    </w:p>
    <w:bookmarkEnd w:id="61"/>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1、招标文件包括下列文件及附件</w:t>
      </w:r>
    </w:p>
    <w:p>
      <w:pPr>
        <w:numPr>
          <w:ilvl w:val="0"/>
          <w:numId w:val="10"/>
        </w:numPr>
        <w:shd w:val="clear" w:color="auto" w:fill="FFFFFF"/>
        <w:snapToGrid w:val="0"/>
        <w:spacing w:line="600" w:lineRule="exact"/>
        <w:rPr>
          <w:rFonts w:hint="eastAsia" w:ascii="宋体" w:hAnsi="宋体" w:cs="宋体"/>
          <w:color w:val="auto"/>
          <w:sz w:val="24"/>
        </w:rPr>
      </w:pPr>
      <w:r>
        <w:rPr>
          <w:rFonts w:hint="eastAsia" w:ascii="宋体" w:hAnsi="宋体" w:cs="宋体"/>
          <w:color w:val="auto"/>
          <w:sz w:val="24"/>
        </w:rPr>
        <w:t>第一部分  招标公告</w:t>
      </w:r>
    </w:p>
    <w:p>
      <w:pPr>
        <w:numPr>
          <w:ilvl w:val="0"/>
          <w:numId w:val="10"/>
        </w:numPr>
        <w:shd w:val="clear" w:color="auto" w:fill="FFFFFF"/>
        <w:snapToGrid w:val="0"/>
        <w:spacing w:line="600" w:lineRule="exact"/>
        <w:rPr>
          <w:rFonts w:hint="eastAsia" w:ascii="宋体" w:hAnsi="宋体" w:cs="宋体"/>
          <w:color w:val="auto"/>
          <w:sz w:val="24"/>
        </w:rPr>
      </w:pPr>
      <w:r>
        <w:rPr>
          <w:rFonts w:hint="eastAsia" w:ascii="宋体" w:hAnsi="宋体" w:cs="宋体"/>
          <w:color w:val="auto"/>
          <w:sz w:val="24"/>
        </w:rPr>
        <w:t>第二部分  编制和提交投标文件须知</w:t>
      </w:r>
    </w:p>
    <w:p>
      <w:pPr>
        <w:numPr>
          <w:ilvl w:val="0"/>
          <w:numId w:val="10"/>
        </w:numPr>
        <w:shd w:val="clear" w:color="auto" w:fill="FFFFFF"/>
        <w:snapToGrid w:val="0"/>
        <w:spacing w:line="600" w:lineRule="exact"/>
        <w:rPr>
          <w:rFonts w:hint="eastAsia" w:ascii="宋体" w:hAnsi="宋体" w:cs="宋体"/>
          <w:color w:val="auto"/>
          <w:sz w:val="24"/>
        </w:rPr>
      </w:pPr>
      <w:r>
        <w:rPr>
          <w:rFonts w:hint="eastAsia" w:ascii="宋体" w:hAnsi="宋体" w:cs="宋体"/>
          <w:color w:val="auto"/>
          <w:sz w:val="24"/>
        </w:rPr>
        <w:t>第三部分  项目技术规范和服务要求</w:t>
      </w:r>
    </w:p>
    <w:p>
      <w:pPr>
        <w:numPr>
          <w:ilvl w:val="0"/>
          <w:numId w:val="10"/>
        </w:numPr>
        <w:shd w:val="clear" w:color="auto" w:fill="FFFFFF"/>
        <w:snapToGrid w:val="0"/>
        <w:spacing w:line="600" w:lineRule="exact"/>
        <w:rPr>
          <w:rFonts w:hint="eastAsia" w:ascii="宋体" w:hAnsi="宋体" w:cs="宋体"/>
          <w:color w:val="auto"/>
          <w:sz w:val="24"/>
        </w:rPr>
      </w:pPr>
      <w:r>
        <w:rPr>
          <w:rFonts w:hint="eastAsia" w:ascii="宋体" w:hAnsi="宋体" w:cs="宋体"/>
          <w:color w:val="auto"/>
          <w:sz w:val="24"/>
        </w:rPr>
        <w:t>第四部分  合同主要条款</w:t>
      </w:r>
    </w:p>
    <w:p>
      <w:pPr>
        <w:numPr>
          <w:ilvl w:val="0"/>
          <w:numId w:val="10"/>
        </w:numPr>
        <w:shd w:val="clear" w:color="auto" w:fill="FFFFFF"/>
        <w:snapToGrid w:val="0"/>
        <w:spacing w:line="600" w:lineRule="exact"/>
        <w:rPr>
          <w:rFonts w:hint="eastAsia" w:ascii="宋体" w:hAnsi="宋体" w:cs="宋体"/>
          <w:color w:val="auto"/>
          <w:sz w:val="24"/>
        </w:rPr>
      </w:pPr>
      <w:r>
        <w:rPr>
          <w:rFonts w:hint="eastAsia" w:ascii="宋体" w:hAnsi="宋体" w:cs="宋体"/>
          <w:color w:val="auto"/>
          <w:sz w:val="24"/>
        </w:rPr>
        <w:t>第五部分  应提交的有关格式范例</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2、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pPr>
        <w:pStyle w:val="41"/>
        <w:snapToGrid w:val="0"/>
        <w:spacing w:line="600" w:lineRule="exact"/>
        <w:rPr>
          <w:rFonts w:hint="eastAsia" w:ascii="宋体" w:hAnsi="宋体" w:eastAsia="宋体" w:cs="宋体"/>
          <w:color w:val="auto"/>
          <w:sz w:val="24"/>
          <w:szCs w:val="24"/>
        </w:rPr>
      </w:pPr>
      <w:r>
        <w:rPr>
          <w:rFonts w:hint="eastAsia" w:ascii="宋体" w:hAnsi="宋体" w:eastAsia="宋体" w:cs="宋体"/>
          <w:b/>
          <w:color w:val="auto"/>
          <w:sz w:val="24"/>
          <w:szCs w:val="24"/>
        </w:rPr>
        <w:t>（二）招标文件的澄清</w:t>
      </w:r>
    </w:p>
    <w:p>
      <w:pPr>
        <w:pStyle w:val="140"/>
        <w:snapToGrid w:val="0"/>
        <w:spacing w:before="0" w:line="600" w:lineRule="exact"/>
        <w:ind w:left="120" w:leftChars="57" w:firstLine="480"/>
        <w:rPr>
          <w:rFonts w:hint="eastAsia" w:ascii="宋体" w:hAnsi="宋体" w:eastAsia="宋体" w:cs="宋体"/>
          <w:color w:val="auto"/>
          <w:szCs w:val="24"/>
        </w:rPr>
      </w:pPr>
      <w:r>
        <w:rPr>
          <w:rFonts w:hint="eastAsia" w:ascii="宋体" w:hAnsi="宋体" w:eastAsia="宋体" w:cs="宋体"/>
          <w:color w:val="auto"/>
          <w:szCs w:val="24"/>
        </w:rPr>
        <w:t>1、供应商认为招标文件使自己的权益受到损害的，可以自获取招标文件之日（获取截止日之后收到招标文件的，以获取截止日为准）起7个工作日内，以书面形式向采购人和采购代理机构提出质疑。</w:t>
      </w:r>
    </w:p>
    <w:p>
      <w:pPr>
        <w:tabs>
          <w:tab w:val="left" w:pos="3780"/>
        </w:tabs>
        <w:snapToGrid w:val="0"/>
        <w:spacing w:line="600" w:lineRule="exact"/>
        <w:ind w:firstLine="600" w:firstLineChars="250"/>
        <w:rPr>
          <w:rFonts w:hint="eastAsia" w:ascii="宋体" w:hAnsi="宋体" w:cs="宋体"/>
          <w:color w:val="auto"/>
          <w:sz w:val="24"/>
        </w:rPr>
      </w:pPr>
      <w:r>
        <w:rPr>
          <w:rFonts w:hint="eastAsia" w:ascii="宋体" w:hAnsi="宋体" w:cs="宋体"/>
          <w:color w:val="auto"/>
          <w:sz w:val="24"/>
        </w:rPr>
        <w:t>2、投标人一旦参与本次采购活动，即被视为接受了本招标文件的所有内容，如有任何异议，均已在答疑截止时间前提出。</w:t>
      </w:r>
    </w:p>
    <w:p>
      <w:pPr>
        <w:shd w:val="clear" w:color="auto" w:fill="FFFFFF"/>
        <w:snapToGrid w:val="0"/>
        <w:spacing w:line="600" w:lineRule="exact"/>
        <w:rPr>
          <w:rFonts w:hint="eastAsia" w:ascii="宋体" w:hAnsi="宋体" w:cs="宋体"/>
          <w:b/>
          <w:bCs/>
          <w:color w:val="auto"/>
          <w:sz w:val="24"/>
        </w:rPr>
      </w:pPr>
      <w:r>
        <w:rPr>
          <w:rFonts w:hint="eastAsia" w:ascii="宋体" w:hAnsi="宋体" w:cs="宋体"/>
          <w:b/>
          <w:bCs/>
          <w:color w:val="auto"/>
          <w:sz w:val="24"/>
        </w:rPr>
        <w:t>（三）招标文件的修改</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1、招标文件澄清、答复、修改、补充的内容为招标文件的组成部分。当招标文件与招标文件的答复、澄清、修改、补充通知就同一内容的表述不一致时，以最后发出的文件为准。</w:t>
      </w:r>
    </w:p>
    <w:p>
      <w:pPr>
        <w:shd w:val="clear" w:color="auto" w:fill="FFFFFF"/>
        <w:snapToGrid w:val="0"/>
        <w:spacing w:line="600" w:lineRule="exact"/>
        <w:ind w:firstLine="480" w:firstLineChars="200"/>
        <w:rPr>
          <w:rFonts w:hint="eastAsia" w:ascii="宋体" w:hAnsi="宋体" w:cs="宋体"/>
          <w:color w:val="auto"/>
          <w:sz w:val="24"/>
          <w:lang w:val="zh-CN"/>
        </w:rPr>
      </w:pPr>
      <w:r>
        <w:rPr>
          <w:rFonts w:hint="eastAsia" w:ascii="宋体" w:hAnsi="宋体" w:cs="宋体"/>
          <w:color w:val="auto"/>
          <w:sz w:val="24"/>
        </w:rPr>
        <w:t>2、若有必要，招标代理机构将酌情延长递交投标文件的截止日期。</w:t>
      </w:r>
    </w:p>
    <w:p>
      <w:pPr>
        <w:shd w:val="clear" w:color="auto" w:fill="FFFFFF"/>
        <w:snapToGrid w:val="0"/>
        <w:spacing w:line="600" w:lineRule="exact"/>
        <w:rPr>
          <w:rFonts w:hint="eastAsia" w:ascii="宋体" w:hAnsi="宋体" w:cs="宋体"/>
          <w:b/>
          <w:bCs/>
          <w:color w:val="auto"/>
          <w:sz w:val="24"/>
        </w:rPr>
      </w:pPr>
      <w:r>
        <w:rPr>
          <w:rFonts w:hint="eastAsia" w:ascii="宋体" w:hAnsi="宋体" w:cs="宋体"/>
          <w:b/>
          <w:bCs/>
          <w:color w:val="auto"/>
          <w:sz w:val="24"/>
        </w:rPr>
        <w:t>（四）投标报价</w:t>
      </w:r>
    </w:p>
    <w:p>
      <w:pPr>
        <w:pStyle w:val="140"/>
        <w:snapToGrid w:val="0"/>
        <w:spacing w:before="0" w:line="600" w:lineRule="exact"/>
        <w:ind w:firstLine="480"/>
        <w:rPr>
          <w:rFonts w:hint="eastAsia" w:ascii="宋体" w:hAnsi="宋体" w:eastAsia="宋体" w:cs="宋体"/>
          <w:color w:val="auto"/>
          <w:szCs w:val="24"/>
        </w:rPr>
      </w:pPr>
      <w:r>
        <w:rPr>
          <w:rFonts w:hint="eastAsia" w:ascii="宋体" w:hAnsi="宋体" w:eastAsia="宋体" w:cs="宋体"/>
          <w:color w:val="auto"/>
          <w:szCs w:val="24"/>
        </w:rPr>
        <w:t>1、报价</w:t>
      </w:r>
    </w:p>
    <w:p>
      <w:pPr>
        <w:pStyle w:val="140"/>
        <w:snapToGrid w:val="0"/>
        <w:spacing w:before="0" w:line="600" w:lineRule="exact"/>
        <w:ind w:firstLine="480"/>
        <w:rPr>
          <w:rFonts w:hint="eastAsia" w:ascii="宋体" w:hAnsi="宋体" w:eastAsia="宋体" w:cs="宋体"/>
          <w:color w:val="auto"/>
          <w:szCs w:val="24"/>
        </w:rPr>
      </w:pPr>
      <w:r>
        <w:rPr>
          <w:rFonts w:hint="eastAsia" w:ascii="宋体" w:hAnsi="宋体" w:eastAsia="宋体" w:cs="宋体"/>
          <w:color w:val="auto"/>
          <w:szCs w:val="24"/>
        </w:rPr>
        <w:t>有关本项目所需的一切费用均计入报价。投标人应根据《开标一览表》填写相关内容。《开标一览表》是报价的唯一载体。</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2、其它费用处理</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招标文件未列明，而投标人认为必需的费用也需列入报价。投标人在投标报价中应充分考虑所有可能发生的费用，否则招标人将视投标总价中已包括所有费用。</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3、投标货币</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投标文件中价格全部采用人民币报价。报价应是唯一的，不接受有选择的报价。</w:t>
      </w:r>
    </w:p>
    <w:p>
      <w:pPr>
        <w:shd w:val="clear" w:color="auto" w:fill="FFFFFF"/>
        <w:snapToGrid w:val="0"/>
        <w:spacing w:line="600" w:lineRule="exact"/>
        <w:ind w:firstLine="480" w:firstLineChars="200"/>
        <w:textAlignment w:val="bottom"/>
        <w:rPr>
          <w:rFonts w:hint="eastAsia" w:ascii="宋体" w:hAnsi="宋体" w:cs="宋体"/>
          <w:color w:val="auto"/>
          <w:sz w:val="24"/>
        </w:rPr>
      </w:pPr>
      <w:r>
        <w:rPr>
          <w:rFonts w:hint="eastAsia" w:ascii="宋体" w:hAnsi="宋体" w:cs="宋体"/>
          <w:color w:val="auto"/>
          <w:sz w:val="24"/>
        </w:rPr>
        <w:t>4、投标人对在合同执行中，除上述费用及招标文件规定的由中标人负责的工作范围以外需要招标人协调或提供便利的工作应当在投标文件中说明。</w:t>
      </w:r>
    </w:p>
    <w:p>
      <w:pPr>
        <w:tabs>
          <w:tab w:val="left" w:pos="3780"/>
        </w:tabs>
        <w:snapToGrid w:val="0"/>
        <w:spacing w:line="60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5、其他注意事项：</w:t>
      </w:r>
    </w:p>
    <w:p>
      <w:pPr>
        <w:tabs>
          <w:tab w:val="left" w:pos="3780"/>
        </w:tabs>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 xml:space="preserve">    投标人在投标活动中提供任何虚假材料，其投标无效，并上报监管部门。</w:t>
      </w:r>
    </w:p>
    <w:p>
      <w:pPr>
        <w:snapToGrid w:val="0"/>
        <w:spacing w:line="600" w:lineRule="exact"/>
        <w:rPr>
          <w:rFonts w:hint="eastAsia" w:ascii="宋体" w:hAnsi="宋体" w:cs="宋体"/>
          <w:color w:val="auto"/>
          <w:sz w:val="24"/>
        </w:rPr>
      </w:pPr>
      <w:r>
        <w:rPr>
          <w:rFonts w:hint="eastAsia" w:ascii="宋体" w:hAnsi="宋体" w:cs="宋体"/>
          <w:color w:val="auto"/>
          <w:sz w:val="24"/>
        </w:rPr>
        <w:t xml:space="preserve">    6、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tabs>
          <w:tab w:val="left" w:pos="3780"/>
        </w:tabs>
        <w:snapToGrid w:val="0"/>
        <w:spacing w:line="600" w:lineRule="exact"/>
        <w:ind w:firstLine="532" w:firstLineChars="222"/>
        <w:rPr>
          <w:rFonts w:hint="eastAsia" w:ascii="宋体" w:hAnsi="宋体" w:cs="宋体"/>
          <w:color w:val="auto"/>
          <w:sz w:val="24"/>
        </w:rPr>
      </w:pPr>
      <w:r>
        <w:rPr>
          <w:rFonts w:hint="eastAsia" w:ascii="宋体" w:hAnsi="宋体" w:cs="宋体"/>
          <w:color w:val="auto"/>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残疾人福利性单位：符合《财政部 民政部 中国残疾人联合会关于促进残疾人就业政府采购政策的通知》（财库（2017）141号）的规定单位。</w:t>
      </w:r>
    </w:p>
    <w:p>
      <w:pPr>
        <w:snapToGrid w:val="0"/>
        <w:spacing w:line="600" w:lineRule="exact"/>
        <w:jc w:val="center"/>
        <w:rPr>
          <w:rFonts w:hint="eastAsia" w:ascii="宋体" w:hAnsi="宋体" w:cs="宋体"/>
          <w:b/>
          <w:bCs/>
          <w:color w:val="auto"/>
          <w:sz w:val="24"/>
        </w:rPr>
      </w:pPr>
      <w:bookmarkStart w:id="62" w:name="_Toc33194390"/>
    </w:p>
    <w:p>
      <w:pPr>
        <w:snapToGrid w:val="0"/>
        <w:spacing w:line="600" w:lineRule="exact"/>
        <w:jc w:val="center"/>
        <w:rPr>
          <w:rFonts w:hint="eastAsia" w:ascii="宋体" w:hAnsi="宋体" w:cs="宋体"/>
          <w:b/>
          <w:bCs/>
          <w:color w:val="auto"/>
          <w:sz w:val="24"/>
        </w:rPr>
      </w:pPr>
      <w:r>
        <w:rPr>
          <w:rFonts w:hint="eastAsia" w:ascii="宋体" w:hAnsi="宋体" w:cs="宋体"/>
          <w:b/>
          <w:bCs/>
          <w:color w:val="auto"/>
          <w:sz w:val="24"/>
        </w:rPr>
        <w:t>三、</w:t>
      </w:r>
      <w:bookmarkStart w:id="63" w:name="_Hlt75236011"/>
      <w:bookmarkEnd w:id="63"/>
      <w:bookmarkStart w:id="64" w:name="_Toc233618974"/>
      <w:bookmarkStart w:id="65" w:name="_Toc354996698"/>
      <w:bookmarkStart w:id="66" w:name="_Toc91899884"/>
      <w:r>
        <w:rPr>
          <w:rFonts w:hint="eastAsia" w:ascii="宋体" w:hAnsi="宋体" w:cs="宋体"/>
          <w:b/>
          <w:bCs/>
          <w:color w:val="auto"/>
          <w:sz w:val="24"/>
        </w:rPr>
        <w:t>投标文件</w:t>
      </w:r>
      <w:bookmarkEnd w:id="62"/>
      <w:bookmarkEnd w:id="64"/>
      <w:bookmarkEnd w:id="65"/>
      <w:bookmarkEnd w:id="66"/>
    </w:p>
    <w:p>
      <w:pPr>
        <w:shd w:val="clear" w:color="auto" w:fill="FFFFFF"/>
        <w:snapToGrid w:val="0"/>
        <w:spacing w:line="600" w:lineRule="exact"/>
        <w:rPr>
          <w:rFonts w:hint="eastAsia" w:ascii="宋体" w:hAnsi="宋体" w:cs="宋体"/>
          <w:b/>
          <w:bCs/>
          <w:color w:val="auto"/>
          <w:sz w:val="24"/>
        </w:rPr>
      </w:pPr>
      <w:r>
        <w:rPr>
          <w:rFonts w:hint="eastAsia" w:ascii="宋体" w:hAnsi="宋体" w:cs="宋体"/>
          <w:b/>
          <w:bCs/>
          <w:color w:val="auto"/>
          <w:sz w:val="24"/>
        </w:rPr>
        <w:t>（一）投标文件的语言</w:t>
      </w:r>
    </w:p>
    <w:p>
      <w:pPr>
        <w:shd w:val="clear" w:color="auto" w:fill="FFFFFF"/>
        <w:snapToGrid w:val="0"/>
        <w:spacing w:line="600" w:lineRule="exact"/>
        <w:ind w:firstLine="480" w:firstLineChars="200"/>
        <w:rPr>
          <w:rFonts w:hint="eastAsia"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140"/>
        <w:snapToGrid w:val="0"/>
        <w:spacing w:before="0" w:line="600" w:lineRule="exact"/>
        <w:ind w:firstLine="0" w:firstLineChars="0"/>
        <w:rPr>
          <w:rFonts w:hint="eastAsia" w:ascii="宋体" w:hAnsi="宋体" w:eastAsia="宋体" w:cs="宋体"/>
          <w:b/>
          <w:color w:val="auto"/>
          <w:szCs w:val="24"/>
        </w:rPr>
      </w:pPr>
      <w:bookmarkStart w:id="67" w:name="_Toc91899887"/>
      <w:r>
        <w:rPr>
          <w:rFonts w:hint="eastAsia" w:ascii="宋体" w:hAnsi="宋体" w:eastAsia="宋体" w:cs="宋体"/>
          <w:b/>
          <w:color w:val="auto"/>
          <w:szCs w:val="24"/>
        </w:rPr>
        <w:t>（二）投标文件的组成</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投标文件应当包括以下主要内容：资格文件、报价文件、商务技术文件。</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1、投标人的资格文件至少应包括以下内容： </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基本资格条件审查材料：</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【即证明其符合《中华人民共和国政府采购法》规定的供应商基本条件的有关资格证明文件。】</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包括：</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（1）营业执照(或事业法人登记证书或其它工商等登记证明材料；自然人参与政府采购，提供身份证)复印件； </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（2）最近一年财务报表(复印件，新成立的公司提供情况说明)；</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（3）具有履行合同所必需的场地、设备和专业技术能力的承诺函；</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（4）依法缴纳税收和社会保障资金的承诺函；</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（5）参加政府采购活动前3年内在经营活动中没有重大违法记录的声明函；</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（6）单位负责人为同一人或者存在直接控股、管理关系的不同供应商，不得参加同一合同项下的政府采购活动承诺函；</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（7）投标供应商没有失信记录承诺函；</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上述资格条件审查材料有一项不提供的，视为资格审查不通过。</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2、投标人的报价文件至少应包括以下内容： </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（1）投标响应函；</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（2）开标一览表；</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（3）报价明细清单；</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（4）中小企业声明函、监狱企业、残疾人福利性单位及其他相关的充分的证明材料。 </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3、投标人的商务技术文件至少应包括以下内容： </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（1）法定代表人授权委托书；</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（2）法定代表人及授权委托人的身份证(复印件加盖公章)；</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（3）技术偏离表；</w:t>
      </w:r>
    </w:p>
    <w:p>
      <w:pPr>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w:t>
      </w:r>
      <w:r>
        <w:rPr>
          <w:rFonts w:hint="eastAsia" w:ascii="宋体" w:hAnsi="宋体" w:cs="宋体"/>
          <w:color w:val="auto"/>
          <w:sz w:val="24"/>
        </w:rPr>
        <w:t>对应评分细则提供相关证明资料</w:t>
      </w:r>
      <w:r>
        <w:rPr>
          <w:rFonts w:hint="eastAsia" w:ascii="宋体" w:hAnsi="宋体" w:cs="宋体"/>
          <w:color w:val="auto"/>
          <w:kern w:val="0"/>
          <w:sz w:val="24"/>
        </w:rPr>
        <w:t>；</w:t>
      </w:r>
    </w:p>
    <w:p>
      <w:pPr>
        <w:snapToGrid w:val="0"/>
        <w:spacing w:line="600" w:lineRule="exact"/>
        <w:ind w:firstLine="482" w:firstLineChars="200"/>
        <w:rPr>
          <w:rFonts w:hint="eastAsia" w:ascii="宋体" w:hAnsi="宋体" w:cs="宋体"/>
          <w:b/>
          <w:bCs/>
          <w:color w:val="auto"/>
          <w:kern w:val="0"/>
          <w:sz w:val="24"/>
        </w:rPr>
      </w:pPr>
      <w:r>
        <w:rPr>
          <w:rFonts w:hint="eastAsia" w:ascii="宋体" w:hAnsi="宋体" w:cs="宋体"/>
          <w:b/>
          <w:bCs/>
          <w:color w:val="auto"/>
          <w:kern w:val="0"/>
          <w:sz w:val="24"/>
        </w:rPr>
        <w:t>投标文件中所需的各种证书、证件、证明资料如是复印件，须在复印件上加盖有效公章。</w:t>
      </w:r>
    </w:p>
    <w:p>
      <w:pPr>
        <w:snapToGrid w:val="0"/>
        <w:spacing w:line="600" w:lineRule="exact"/>
        <w:ind w:firstLine="482" w:firstLineChars="200"/>
        <w:rPr>
          <w:rFonts w:hint="eastAsia" w:ascii="宋体" w:hAnsi="宋体" w:cs="宋体"/>
          <w:b/>
          <w:bCs/>
          <w:color w:val="auto"/>
          <w:kern w:val="0"/>
          <w:sz w:val="24"/>
        </w:rPr>
      </w:pPr>
      <w:r>
        <w:rPr>
          <w:rFonts w:hint="eastAsia" w:ascii="宋体" w:hAnsi="宋体" w:cs="宋体"/>
          <w:b/>
          <w:bCs/>
          <w:color w:val="auto"/>
          <w:kern w:val="0"/>
          <w:sz w:val="24"/>
        </w:rPr>
        <w:t>投标人的投标文件必须按照招标文件要求制作。</w:t>
      </w:r>
    </w:p>
    <w:p>
      <w:pPr>
        <w:shd w:val="clear" w:color="auto" w:fill="FFFFFF"/>
        <w:snapToGrid w:val="0"/>
        <w:spacing w:line="600" w:lineRule="exact"/>
        <w:rPr>
          <w:rFonts w:hint="eastAsia" w:ascii="宋体" w:hAnsi="宋体" w:cs="宋体"/>
          <w:b/>
          <w:bCs/>
          <w:color w:val="auto"/>
          <w:sz w:val="24"/>
        </w:rPr>
      </w:pPr>
      <w:r>
        <w:rPr>
          <w:rFonts w:hint="eastAsia" w:ascii="宋体" w:hAnsi="宋体" w:cs="宋体"/>
          <w:b/>
          <w:bCs/>
          <w:color w:val="auto"/>
          <w:sz w:val="24"/>
        </w:rPr>
        <w:t>（三）投标有效期</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1、投标文件合格投递后，自投标截止日期起，至前附表所列的日期内有效。</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2、在原定投标有效期之前，如果出现特殊情况，招标代理机构可以以书面形式通知投标人延长投标有效期。</w:t>
      </w:r>
    </w:p>
    <w:p>
      <w:pPr>
        <w:shd w:val="clear" w:color="auto" w:fill="FFFFFF"/>
        <w:snapToGrid w:val="0"/>
        <w:spacing w:line="600" w:lineRule="exact"/>
        <w:rPr>
          <w:rFonts w:hint="eastAsia" w:ascii="宋体" w:hAnsi="宋体" w:cs="宋体"/>
          <w:b/>
          <w:bCs/>
          <w:color w:val="auto"/>
          <w:sz w:val="24"/>
        </w:rPr>
      </w:pPr>
      <w:r>
        <w:rPr>
          <w:rFonts w:hint="eastAsia" w:ascii="宋体" w:hAnsi="宋体" w:cs="宋体"/>
          <w:b/>
          <w:bCs/>
          <w:color w:val="auto"/>
          <w:sz w:val="24"/>
        </w:rPr>
        <w:t>（四）投标保证金</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无。</w:t>
      </w:r>
    </w:p>
    <w:p>
      <w:pPr>
        <w:spacing w:line="600" w:lineRule="exact"/>
        <w:rPr>
          <w:rFonts w:hint="eastAsia" w:ascii="宋体" w:hAnsi="宋体" w:cs="宋体"/>
          <w:b/>
          <w:bCs/>
          <w:color w:val="auto"/>
          <w:sz w:val="24"/>
        </w:rPr>
      </w:pPr>
      <w:r>
        <w:rPr>
          <w:rFonts w:hint="eastAsia" w:ascii="宋体" w:hAnsi="宋体" w:cs="宋体"/>
          <w:b/>
          <w:bCs/>
          <w:color w:val="auto"/>
          <w:sz w:val="24"/>
        </w:rPr>
        <w:t>（五）</w:t>
      </w:r>
      <w:bookmarkEnd w:id="67"/>
      <w:bookmarkStart w:id="68" w:name="_Hlt68072998"/>
      <w:bookmarkEnd w:id="68"/>
      <w:bookmarkStart w:id="69" w:name="_Hlt68403820"/>
      <w:bookmarkEnd w:id="69"/>
      <w:bookmarkStart w:id="70" w:name="_Hlt68073093"/>
      <w:bookmarkEnd w:id="70"/>
      <w:bookmarkStart w:id="71" w:name="_Toc233618975"/>
      <w:bookmarkStart w:id="72" w:name="_Toc91899892"/>
      <w:bookmarkStart w:id="73" w:name="_Toc86216991"/>
      <w:r>
        <w:rPr>
          <w:rFonts w:hint="eastAsia" w:ascii="宋体" w:hAnsi="宋体" w:cs="宋体"/>
          <w:b/>
          <w:bCs/>
          <w:color w:val="auto"/>
          <w:sz w:val="24"/>
        </w:rPr>
        <w:t>投标文件编制</w:t>
      </w:r>
    </w:p>
    <w:p>
      <w:pPr>
        <w:spacing w:line="600" w:lineRule="exact"/>
        <w:ind w:firstLine="482" w:firstLineChars="200"/>
        <w:rPr>
          <w:rFonts w:hint="eastAsia" w:ascii="宋体" w:hAnsi="宋体" w:cs="宋体"/>
          <w:b/>
          <w:color w:val="auto"/>
          <w:sz w:val="24"/>
        </w:rPr>
      </w:pPr>
      <w:r>
        <w:rPr>
          <w:rFonts w:hint="eastAsia" w:ascii="宋体" w:hAnsi="宋体" w:cs="宋体"/>
          <w:b/>
          <w:color w:val="auto"/>
          <w:kern w:val="0"/>
          <w:sz w:val="24"/>
        </w:rPr>
        <w:t>5.1</w:t>
      </w:r>
      <w:r>
        <w:rPr>
          <w:rFonts w:hint="eastAsia" w:ascii="宋体" w:hAnsi="宋体" w:cs="宋体"/>
          <w:b/>
          <w:color w:val="auto"/>
          <w:sz w:val="24"/>
        </w:rPr>
        <w:t>本项目通过“政府采购云平台（www.zcygov.cn）”实行在线投标响应（电子投标）。供应商应通过“政采云电子交易客户端”，并按照本招标文件和“政府采购云平台”的要求编制并加密投标文件。</w:t>
      </w:r>
    </w:p>
    <w:p>
      <w:pPr>
        <w:spacing w:line="600" w:lineRule="exact"/>
        <w:ind w:firstLine="422" w:firstLineChars="175"/>
        <w:rPr>
          <w:rFonts w:hint="eastAsia" w:ascii="宋体" w:hAnsi="宋体" w:cs="宋体"/>
          <w:b/>
          <w:color w:val="auto"/>
          <w:kern w:val="0"/>
          <w:sz w:val="24"/>
        </w:rPr>
      </w:pPr>
      <w:r>
        <w:rPr>
          <w:rFonts w:hint="eastAsia" w:ascii="宋体" w:hAnsi="宋体" w:cs="宋体"/>
          <w:b/>
          <w:color w:val="auto"/>
          <w:kern w:val="0"/>
          <w:sz w:val="24"/>
        </w:rPr>
        <w:t>5.2投标供应商应当按照本章节 “投标文件组成”规定的内容及顺序在“政采云电子交易客户端”编制投标文件。其中《资格文件》和《商务技术文件》中不得出现本项目投标报价，如因投标人原因提前泄露投标报价，是投标人的责任。</w:t>
      </w:r>
    </w:p>
    <w:p>
      <w:pPr>
        <w:spacing w:line="600" w:lineRule="exact"/>
        <w:ind w:firstLine="422" w:firstLineChars="175"/>
        <w:rPr>
          <w:rFonts w:hint="eastAsia" w:ascii="宋体" w:hAnsi="宋体" w:cs="宋体"/>
          <w:b/>
          <w:color w:val="auto"/>
          <w:sz w:val="24"/>
        </w:rPr>
      </w:pPr>
      <w:r>
        <w:rPr>
          <w:rFonts w:hint="eastAsia" w:ascii="宋体" w:hAnsi="宋体" w:cs="宋体"/>
          <w:b/>
          <w:color w:val="auto"/>
          <w:sz w:val="24"/>
        </w:rPr>
        <w:t>5.3本文件《第五部分  应提交的有关格式范例》中有提供格式的，投标供应商须参照格式进行编制（格式中要求提供相关证明材料的还需后附相关证明材料），并按格式要求在指定位置根据要求进行签章，否则视为未提供；本文件《第五部分  应提交的有关格式范例》未提供格式的，请各投标单位自行拟定格式，并加盖单位公章并由法定代表人或其授权代表签署（签字或盖章），否则视为未提供。</w:t>
      </w:r>
    </w:p>
    <w:p>
      <w:pPr>
        <w:spacing w:line="600" w:lineRule="exact"/>
        <w:ind w:firstLine="420" w:firstLineChars="175"/>
        <w:rPr>
          <w:rFonts w:hint="eastAsia" w:ascii="宋体" w:hAnsi="宋体" w:cs="宋体"/>
          <w:color w:val="auto"/>
          <w:kern w:val="0"/>
          <w:sz w:val="24"/>
        </w:rPr>
      </w:pPr>
      <w:r>
        <w:rPr>
          <w:rFonts w:hint="eastAsia" w:ascii="宋体" w:hAnsi="宋体" w:cs="宋体"/>
          <w:color w:val="auto"/>
          <w:kern w:val="0"/>
          <w:sz w:val="24"/>
        </w:rPr>
        <w:t>5.4《投标文件》内容不完整、编排混乱导致《投标文件》被误读、漏读或者查找不到相关内容的，是投标供应商的责任。</w:t>
      </w:r>
    </w:p>
    <w:p>
      <w:pPr>
        <w:spacing w:line="600" w:lineRule="exact"/>
        <w:ind w:firstLine="420" w:firstLineChars="175"/>
        <w:rPr>
          <w:rFonts w:hint="eastAsia" w:ascii="宋体" w:hAnsi="宋体" w:cs="宋体"/>
          <w:color w:val="auto"/>
          <w:kern w:val="0"/>
          <w:sz w:val="24"/>
        </w:rPr>
      </w:pPr>
      <w:r>
        <w:rPr>
          <w:rFonts w:hint="eastAsia" w:ascii="宋体" w:hAnsi="宋体" w:cs="宋体"/>
          <w:color w:val="auto"/>
          <w:kern w:val="0"/>
          <w:sz w:val="24"/>
        </w:rPr>
        <w:t>5.5《投标文件》因字迹潦草或表达不清所引起的后果由投标供应商负责。</w:t>
      </w:r>
    </w:p>
    <w:p>
      <w:pPr>
        <w:spacing w:line="600" w:lineRule="exact"/>
        <w:ind w:firstLine="420" w:firstLineChars="175"/>
        <w:rPr>
          <w:rFonts w:hint="eastAsia" w:ascii="宋体" w:hAnsi="宋体" w:cs="宋体"/>
          <w:color w:val="auto"/>
          <w:kern w:val="0"/>
          <w:sz w:val="24"/>
        </w:rPr>
      </w:pPr>
      <w:r>
        <w:rPr>
          <w:rFonts w:hint="eastAsia" w:ascii="宋体" w:hAnsi="宋体" w:cs="宋体"/>
          <w:color w:val="auto"/>
          <w:kern w:val="0"/>
          <w:sz w:val="24"/>
        </w:rPr>
        <w:t>5.6投标供应商没有按照本章节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（六）投标文件的签章</w:t>
      </w:r>
    </w:p>
    <w:p>
      <w:pPr>
        <w:spacing w:line="600" w:lineRule="exact"/>
        <w:ind w:firstLine="463" w:firstLineChars="192"/>
        <w:rPr>
          <w:rFonts w:hint="eastAsia" w:ascii="宋体" w:hAnsi="宋体" w:cs="宋体"/>
          <w:b/>
          <w:color w:val="auto"/>
          <w:kern w:val="0"/>
          <w:sz w:val="24"/>
        </w:rPr>
      </w:pPr>
      <w:r>
        <w:rPr>
          <w:rFonts w:hint="eastAsia" w:ascii="宋体" w:hAnsi="宋体" w:cs="宋体"/>
          <w:b/>
          <w:color w:val="auto"/>
          <w:kern w:val="0"/>
          <w:sz w:val="24"/>
        </w:rPr>
        <w:t>6.1《投标文件》的签章：</w:t>
      </w:r>
      <w:r>
        <w:rPr>
          <w:rFonts w:hint="eastAsia" w:ascii="宋体" w:hAnsi="宋体" w:cs="宋体"/>
          <w:b/>
          <w:color w:val="auto"/>
          <w:sz w:val="24"/>
        </w:rPr>
        <w:t>见《前附表》；</w:t>
      </w:r>
    </w:p>
    <w:p>
      <w:pPr>
        <w:spacing w:line="600" w:lineRule="exact"/>
        <w:ind w:firstLine="463" w:firstLineChars="192"/>
        <w:rPr>
          <w:rFonts w:hint="eastAsia" w:ascii="宋体" w:hAnsi="宋体" w:cs="宋体"/>
          <w:b/>
          <w:color w:val="auto"/>
          <w:kern w:val="0"/>
          <w:sz w:val="24"/>
        </w:rPr>
      </w:pPr>
      <w:r>
        <w:rPr>
          <w:rFonts w:hint="eastAsia" w:ascii="宋体" w:hAnsi="宋体" w:cs="宋体"/>
          <w:b/>
          <w:color w:val="auto"/>
          <w:kern w:val="0"/>
          <w:sz w:val="24"/>
        </w:rPr>
        <w:t>6.2《投标文件》应由投标供应商法定代表人或其授权代表签字（或盖章），并时加盖投标供应商公章。</w:t>
      </w:r>
    </w:p>
    <w:p>
      <w:pPr>
        <w:spacing w:line="600" w:lineRule="exact"/>
        <w:ind w:firstLine="424" w:firstLineChars="176"/>
        <w:rPr>
          <w:rFonts w:hint="eastAsia" w:ascii="宋体" w:hAnsi="宋体" w:cs="宋体"/>
          <w:color w:val="auto"/>
          <w:sz w:val="24"/>
        </w:rPr>
      </w:pPr>
      <w:r>
        <w:rPr>
          <w:rFonts w:hint="eastAsia" w:ascii="宋体" w:hAnsi="宋体" w:cs="宋体"/>
          <w:b/>
          <w:color w:val="auto"/>
          <w:kern w:val="0"/>
          <w:sz w:val="24"/>
        </w:rPr>
        <w:t>6.3电子签章操作指南详见采购公告附件</w:t>
      </w:r>
      <w:r>
        <w:rPr>
          <w:rFonts w:hint="eastAsia" w:ascii="宋体" w:hAnsi="宋体" w:cs="宋体"/>
          <w:b/>
          <w:color w:val="auto"/>
          <w:sz w:val="24"/>
        </w:rPr>
        <w:t>《供应商项目采购-电子招投标操作指南》</w:t>
      </w:r>
      <w:r>
        <w:rPr>
          <w:rFonts w:hint="eastAsia" w:ascii="宋体" w:hAnsi="宋体" w:cs="宋体"/>
          <w:color w:val="auto"/>
          <w:sz w:val="24"/>
        </w:rPr>
        <w:t>。</w:t>
      </w:r>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（七）投标文件的形式</w:t>
      </w:r>
    </w:p>
    <w:p>
      <w:pPr>
        <w:spacing w:line="600" w:lineRule="exact"/>
        <w:ind w:firstLine="424" w:firstLineChars="176"/>
        <w:rPr>
          <w:rFonts w:hint="eastAsia" w:ascii="宋体" w:hAnsi="宋体" w:cs="宋体"/>
          <w:color w:val="auto"/>
          <w:sz w:val="24"/>
        </w:rPr>
      </w:pPr>
      <w:r>
        <w:rPr>
          <w:rFonts w:hint="eastAsia" w:ascii="宋体" w:hAnsi="宋体" w:cs="宋体"/>
          <w:b/>
          <w:color w:val="auto"/>
          <w:sz w:val="24"/>
        </w:rPr>
        <w:t>7.1投标文件的形式：见《前附表》；</w:t>
      </w:r>
    </w:p>
    <w:p>
      <w:pPr>
        <w:spacing w:line="600" w:lineRule="exact"/>
        <w:ind w:firstLine="424" w:firstLineChars="176"/>
        <w:rPr>
          <w:rFonts w:hint="eastAsia" w:ascii="宋体" w:hAnsi="宋体" w:cs="宋体"/>
          <w:b/>
          <w:color w:val="auto"/>
          <w:sz w:val="24"/>
        </w:rPr>
      </w:pPr>
      <w:r>
        <w:rPr>
          <w:rFonts w:hint="eastAsia" w:ascii="宋体" w:hAnsi="宋体" w:cs="宋体"/>
          <w:b/>
          <w:color w:val="auto"/>
          <w:sz w:val="24"/>
        </w:rPr>
        <w:t>7.2“电子加密投标文件”：“电子加密投标文件”是指通过“政采云电子交易客户端”完成投标文件编制后生成并加密的数据电文形式的投标文件。</w:t>
      </w:r>
    </w:p>
    <w:p>
      <w:pPr>
        <w:spacing w:line="600" w:lineRule="exact"/>
        <w:ind w:firstLine="424" w:firstLineChars="176"/>
        <w:rPr>
          <w:rFonts w:hint="eastAsia" w:ascii="宋体" w:hAnsi="宋体" w:cs="宋体"/>
          <w:b/>
          <w:color w:val="auto"/>
          <w:sz w:val="24"/>
        </w:rPr>
      </w:pPr>
      <w:r>
        <w:rPr>
          <w:rFonts w:hint="eastAsia" w:ascii="宋体" w:hAnsi="宋体" w:cs="宋体"/>
          <w:b/>
          <w:color w:val="auto"/>
          <w:sz w:val="24"/>
        </w:rPr>
        <w:t>7.3“备份投标文件”：“备份投标文件”是指与“电子加密投标文件”同时生成的数据电文形式的电子文件（备份标书），其他方式编制的“备份投标文件”视为无效的“备份投标文件”。</w:t>
      </w:r>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（八）投标文件的份数</w:t>
      </w:r>
    </w:p>
    <w:p>
      <w:pPr>
        <w:spacing w:line="600" w:lineRule="exact"/>
        <w:ind w:firstLine="424" w:firstLineChars="176"/>
        <w:rPr>
          <w:rFonts w:hint="eastAsia" w:ascii="宋体" w:hAnsi="宋体" w:cs="宋体"/>
          <w:b/>
          <w:color w:val="auto"/>
          <w:kern w:val="0"/>
          <w:sz w:val="24"/>
        </w:rPr>
      </w:pPr>
      <w:r>
        <w:rPr>
          <w:rFonts w:hint="eastAsia" w:ascii="宋体" w:hAnsi="宋体" w:cs="宋体"/>
          <w:b/>
          <w:color w:val="auto"/>
          <w:sz w:val="24"/>
        </w:rPr>
        <w:t>8.1投标文件的份数：见《前附表》。</w:t>
      </w:r>
    </w:p>
    <w:p>
      <w:pPr>
        <w:shd w:val="clear" w:color="auto" w:fill="FFFFFF"/>
        <w:snapToGrid w:val="0"/>
        <w:spacing w:line="600" w:lineRule="exact"/>
        <w:rPr>
          <w:rFonts w:hint="eastAsia" w:ascii="宋体" w:hAnsi="宋体" w:cs="宋体"/>
          <w:b/>
          <w:bCs/>
          <w:color w:val="auto"/>
          <w:sz w:val="24"/>
        </w:rPr>
      </w:pPr>
    </w:p>
    <w:p>
      <w:pPr>
        <w:snapToGrid w:val="0"/>
        <w:spacing w:line="600" w:lineRule="exact"/>
        <w:jc w:val="center"/>
        <w:outlineLvl w:val="1"/>
        <w:rPr>
          <w:rFonts w:hint="eastAsia" w:ascii="宋体" w:hAnsi="宋体" w:cs="宋体"/>
          <w:b/>
          <w:color w:val="auto"/>
          <w:sz w:val="24"/>
        </w:rPr>
      </w:pPr>
      <w:bookmarkStart w:id="74" w:name="_Toc462229099"/>
      <w:bookmarkStart w:id="75" w:name="_Toc33194391"/>
      <w:bookmarkStart w:id="76" w:name="_Toc412730341"/>
      <w:bookmarkStart w:id="77" w:name="_Toc354996699"/>
      <w:r>
        <w:rPr>
          <w:rFonts w:hint="eastAsia" w:ascii="宋体" w:hAnsi="宋体" w:cs="宋体"/>
          <w:b/>
          <w:color w:val="auto"/>
          <w:sz w:val="24"/>
        </w:rPr>
        <w:t>四、投标</w:t>
      </w:r>
      <w:bookmarkEnd w:id="74"/>
      <w:bookmarkEnd w:id="75"/>
      <w:bookmarkEnd w:id="76"/>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（一）投标文件的上传和递交</w:t>
      </w:r>
    </w:p>
    <w:p>
      <w:pPr>
        <w:spacing w:line="600" w:lineRule="exact"/>
        <w:ind w:firstLine="426" w:firstLineChars="177"/>
        <w:rPr>
          <w:rFonts w:hint="eastAsia" w:ascii="宋体" w:hAnsi="宋体" w:cs="宋体"/>
          <w:b/>
          <w:color w:val="auto"/>
          <w:sz w:val="24"/>
        </w:rPr>
      </w:pPr>
      <w:r>
        <w:rPr>
          <w:rFonts w:hint="eastAsia" w:ascii="宋体" w:hAnsi="宋体" w:cs="宋体"/>
          <w:b/>
          <w:color w:val="auto"/>
          <w:kern w:val="0"/>
          <w:sz w:val="24"/>
        </w:rPr>
        <w:t>1.1“投标文件”的上传、递交：</w:t>
      </w:r>
      <w:r>
        <w:rPr>
          <w:rFonts w:hint="eastAsia" w:ascii="宋体" w:hAnsi="宋体" w:cs="宋体"/>
          <w:b/>
          <w:color w:val="auto"/>
          <w:sz w:val="24"/>
        </w:rPr>
        <w:t>见《前附表》。</w:t>
      </w:r>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（二）“电子加密投标文件”解密和异常情况处理</w:t>
      </w:r>
    </w:p>
    <w:p>
      <w:pPr>
        <w:spacing w:line="600" w:lineRule="exact"/>
        <w:ind w:firstLine="426" w:firstLineChars="177"/>
        <w:rPr>
          <w:rFonts w:hint="eastAsia" w:ascii="宋体" w:hAnsi="宋体" w:cs="宋体"/>
          <w:color w:val="auto"/>
          <w:sz w:val="24"/>
        </w:rPr>
      </w:pPr>
      <w:r>
        <w:rPr>
          <w:rFonts w:hint="eastAsia" w:ascii="宋体" w:hAnsi="宋体" w:cs="宋体"/>
          <w:b/>
          <w:color w:val="auto"/>
          <w:kern w:val="0"/>
          <w:sz w:val="24"/>
        </w:rPr>
        <w:t>2.1“电子加密投标文件”解密：</w:t>
      </w:r>
      <w:r>
        <w:rPr>
          <w:rFonts w:hint="eastAsia" w:ascii="宋体" w:hAnsi="宋体" w:cs="宋体"/>
          <w:b/>
          <w:color w:val="auto"/>
          <w:sz w:val="24"/>
        </w:rPr>
        <w:t>见《前附表》。</w:t>
      </w:r>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（三）投标文件的补充、修改或撤回</w:t>
      </w:r>
    </w:p>
    <w:p>
      <w:pPr>
        <w:spacing w:line="600" w:lineRule="exact"/>
        <w:ind w:firstLine="426" w:firstLineChars="177"/>
        <w:rPr>
          <w:rFonts w:hint="eastAsia" w:ascii="宋体" w:hAnsi="宋体" w:cs="宋体"/>
          <w:color w:val="auto"/>
          <w:kern w:val="0"/>
          <w:sz w:val="24"/>
        </w:rPr>
      </w:pPr>
      <w:r>
        <w:rPr>
          <w:rFonts w:hint="eastAsia" w:ascii="宋体" w:hAnsi="宋体" w:cs="宋体"/>
          <w:b/>
          <w:color w:val="auto"/>
          <w:kern w:val="0"/>
          <w:sz w:val="24"/>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600" w:lineRule="exact"/>
        <w:ind w:firstLine="426" w:firstLineChars="177"/>
        <w:rPr>
          <w:rFonts w:hint="eastAsia" w:ascii="宋体" w:hAnsi="宋体" w:cs="宋体"/>
          <w:b/>
          <w:color w:val="auto"/>
          <w:kern w:val="0"/>
          <w:sz w:val="24"/>
        </w:rPr>
      </w:pPr>
      <w:r>
        <w:rPr>
          <w:rFonts w:hint="eastAsia" w:ascii="宋体" w:hAnsi="宋体" w:cs="宋体"/>
          <w:b/>
          <w:color w:val="auto"/>
          <w:kern w:val="0"/>
          <w:sz w:val="24"/>
        </w:rPr>
        <w:t>3.2投标截止时间后，投标供应商不得撤回、修改《投标文件》。</w:t>
      </w:r>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（四）投标文件的备选方案</w:t>
      </w:r>
    </w:p>
    <w:p>
      <w:pPr>
        <w:spacing w:line="600" w:lineRule="exact"/>
        <w:ind w:firstLine="426" w:firstLineChars="177"/>
        <w:rPr>
          <w:rFonts w:hint="eastAsia" w:ascii="宋体" w:hAnsi="宋体" w:cs="宋体"/>
          <w:b/>
          <w:color w:val="auto"/>
          <w:sz w:val="24"/>
        </w:rPr>
      </w:pPr>
      <w:r>
        <w:rPr>
          <w:rFonts w:hint="eastAsia" w:ascii="宋体" w:hAnsi="宋体" w:cs="宋体"/>
          <w:b/>
          <w:color w:val="auto"/>
          <w:sz w:val="24"/>
        </w:rPr>
        <w:t>4.1投标供应商不得递交任何的</w:t>
      </w:r>
      <w:r>
        <w:rPr>
          <w:rFonts w:hint="eastAsia" w:ascii="宋体" w:hAnsi="宋体" w:cs="宋体"/>
          <w:b/>
          <w:color w:val="auto"/>
          <w:kern w:val="0"/>
          <w:sz w:val="24"/>
        </w:rPr>
        <w:t>投标备选（替代）方案</w:t>
      </w:r>
      <w:r>
        <w:rPr>
          <w:rFonts w:hint="eastAsia" w:ascii="宋体" w:hAnsi="宋体" w:cs="宋体"/>
          <w:b/>
          <w:color w:val="auto"/>
          <w:sz w:val="24"/>
        </w:rPr>
        <w:t>，否则其投标文件将作无效标处理。与“电子加密投标文件”同时生成的“备份投标文件”不是投标备选（替代）方案。</w:t>
      </w:r>
    </w:p>
    <w:p>
      <w:pPr>
        <w:pStyle w:val="140"/>
        <w:snapToGrid w:val="0"/>
        <w:spacing w:before="0" w:line="600" w:lineRule="exact"/>
        <w:ind w:firstLine="482"/>
        <w:rPr>
          <w:rFonts w:hint="eastAsia" w:ascii="宋体" w:hAnsi="宋体" w:eastAsia="宋体" w:cs="宋体"/>
          <w:b/>
          <w:color w:val="auto"/>
          <w:szCs w:val="24"/>
        </w:rPr>
      </w:pPr>
    </w:p>
    <w:p>
      <w:pPr>
        <w:snapToGrid w:val="0"/>
        <w:spacing w:line="600" w:lineRule="exact"/>
        <w:jc w:val="center"/>
        <w:outlineLvl w:val="1"/>
        <w:rPr>
          <w:rFonts w:hint="eastAsia" w:ascii="宋体" w:hAnsi="宋体" w:cs="宋体"/>
          <w:b/>
          <w:color w:val="auto"/>
          <w:sz w:val="24"/>
        </w:rPr>
      </w:pPr>
      <w:bookmarkStart w:id="78" w:name="_Toc462229100"/>
      <w:bookmarkStart w:id="79" w:name="_Toc33194392"/>
    </w:p>
    <w:p>
      <w:pPr>
        <w:snapToGrid w:val="0"/>
        <w:spacing w:line="600" w:lineRule="exact"/>
        <w:jc w:val="center"/>
        <w:outlineLvl w:val="1"/>
        <w:rPr>
          <w:rFonts w:hint="eastAsia" w:ascii="宋体" w:hAnsi="宋体" w:cs="宋体"/>
          <w:b/>
          <w:color w:val="auto"/>
          <w:sz w:val="24"/>
        </w:rPr>
      </w:pPr>
    </w:p>
    <w:p>
      <w:pPr>
        <w:snapToGrid w:val="0"/>
        <w:spacing w:line="600" w:lineRule="exact"/>
        <w:jc w:val="center"/>
        <w:outlineLvl w:val="1"/>
        <w:rPr>
          <w:rFonts w:hint="eastAsia" w:ascii="宋体" w:hAnsi="宋体" w:cs="宋体"/>
          <w:b/>
          <w:color w:val="auto"/>
          <w:sz w:val="24"/>
        </w:rPr>
      </w:pPr>
      <w:r>
        <w:rPr>
          <w:rFonts w:hint="eastAsia" w:ascii="宋体" w:hAnsi="宋体" w:cs="宋体"/>
          <w:b/>
          <w:color w:val="auto"/>
          <w:sz w:val="24"/>
        </w:rPr>
        <w:t>五、开 标</w:t>
      </w:r>
      <w:bookmarkEnd w:id="78"/>
      <w:bookmarkEnd w:id="79"/>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（一）开标形式</w:t>
      </w:r>
    </w:p>
    <w:p>
      <w:pPr>
        <w:spacing w:line="600" w:lineRule="exact"/>
        <w:ind w:firstLine="426" w:firstLineChars="177"/>
        <w:rPr>
          <w:rFonts w:hint="eastAsia" w:ascii="宋体" w:hAnsi="宋体" w:cs="宋体"/>
          <w:b/>
          <w:color w:val="auto"/>
          <w:sz w:val="24"/>
        </w:rPr>
      </w:pPr>
      <w:r>
        <w:rPr>
          <w:rFonts w:hint="eastAsia" w:ascii="宋体" w:hAnsi="宋体" w:cs="宋体"/>
          <w:b/>
          <w:color w:val="auto"/>
          <w:sz w:val="24"/>
        </w:rPr>
        <w:t>1.1 采购组织机构将按照招标文件规定的时间通过“政府采购云平台”组织开标、开启投标文件，所有供应商均应当准时在线参加。</w:t>
      </w:r>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（二） 开标准备</w:t>
      </w:r>
    </w:p>
    <w:p>
      <w:pPr>
        <w:spacing w:line="600" w:lineRule="exact"/>
        <w:ind w:firstLine="422" w:firstLineChars="176"/>
        <w:rPr>
          <w:rFonts w:hint="eastAsia" w:ascii="宋体" w:hAnsi="宋体" w:cs="宋体"/>
          <w:color w:val="auto"/>
          <w:kern w:val="0"/>
          <w:sz w:val="24"/>
        </w:rPr>
      </w:pPr>
      <w:r>
        <w:rPr>
          <w:rFonts w:hint="eastAsia" w:ascii="宋体" w:hAnsi="宋体" w:cs="宋体"/>
          <w:color w:val="auto"/>
          <w:kern w:val="0"/>
          <w:sz w:val="24"/>
        </w:rPr>
        <w:t>2.1开标的准备工作由采购组织机构负责落实；</w:t>
      </w:r>
    </w:p>
    <w:p>
      <w:pPr>
        <w:spacing w:line="600" w:lineRule="exact"/>
        <w:ind w:firstLine="422" w:firstLineChars="176"/>
        <w:rPr>
          <w:rFonts w:hint="eastAsia" w:ascii="宋体" w:hAnsi="宋体" w:cs="宋体"/>
          <w:color w:val="auto"/>
          <w:kern w:val="0"/>
          <w:sz w:val="24"/>
        </w:rPr>
      </w:pPr>
      <w:r>
        <w:rPr>
          <w:rFonts w:hint="eastAsia" w:ascii="宋体" w:hAnsi="宋体" w:cs="宋体"/>
          <w:color w:val="auto"/>
          <w:kern w:val="0"/>
          <w:sz w:val="24"/>
        </w:rPr>
        <w:t>2.2</w:t>
      </w:r>
      <w:r>
        <w:rPr>
          <w:rFonts w:hint="eastAsia" w:ascii="宋体" w:hAnsi="宋体" w:cs="宋体"/>
          <w:b/>
          <w:color w:val="auto"/>
          <w:sz w:val="24"/>
        </w:rPr>
        <w:t>采购组织机构将按照招标文件规定的时间通过“政府采购云平台”组织开标、开启投标文件，所有供应商均应当准时在线参加。</w:t>
      </w:r>
      <w:r>
        <w:rPr>
          <w:rFonts w:hint="eastAsia" w:ascii="宋体" w:hAnsi="宋体" w:cs="宋体"/>
          <w:b/>
          <w:color w:val="auto"/>
          <w:kern w:val="0"/>
          <w:sz w:val="24"/>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（三）开标流程（两阶段）</w:t>
      </w:r>
    </w:p>
    <w:p>
      <w:pPr>
        <w:spacing w:line="600" w:lineRule="exact"/>
        <w:ind w:firstLine="426" w:firstLineChars="177"/>
        <w:jc w:val="left"/>
        <w:rPr>
          <w:rFonts w:hint="eastAsia" w:ascii="宋体" w:hAnsi="宋体" w:cs="宋体"/>
          <w:b/>
          <w:color w:val="auto"/>
          <w:kern w:val="0"/>
          <w:sz w:val="24"/>
        </w:rPr>
      </w:pPr>
      <w:r>
        <w:rPr>
          <w:rFonts w:hint="eastAsia" w:ascii="宋体" w:hAnsi="宋体" w:cs="宋体"/>
          <w:b/>
          <w:color w:val="auto"/>
          <w:kern w:val="0"/>
          <w:sz w:val="24"/>
        </w:rPr>
        <w:t>3.1开标第一阶段</w:t>
      </w:r>
    </w:p>
    <w:p>
      <w:pPr>
        <w:spacing w:line="600" w:lineRule="exact"/>
        <w:ind w:firstLine="424" w:firstLineChars="177"/>
        <w:jc w:val="left"/>
        <w:rPr>
          <w:rFonts w:hint="eastAsia" w:ascii="宋体" w:hAnsi="宋体" w:cs="宋体"/>
          <w:color w:val="auto"/>
          <w:kern w:val="0"/>
          <w:sz w:val="24"/>
        </w:rPr>
      </w:pPr>
      <w:r>
        <w:rPr>
          <w:rFonts w:hint="eastAsia" w:ascii="宋体" w:hAnsi="宋体" w:cs="宋体"/>
          <w:color w:val="auto"/>
          <w:kern w:val="0"/>
          <w:sz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600" w:lineRule="exact"/>
        <w:ind w:firstLine="424" w:firstLineChars="177"/>
        <w:jc w:val="left"/>
        <w:rPr>
          <w:rFonts w:hint="eastAsia" w:ascii="宋体" w:hAnsi="宋体" w:cs="宋体"/>
          <w:color w:val="auto"/>
          <w:kern w:val="0"/>
          <w:sz w:val="24"/>
        </w:rPr>
      </w:pPr>
      <w:r>
        <w:rPr>
          <w:rFonts w:hint="eastAsia" w:ascii="宋体" w:hAnsi="宋体" w:cs="宋体"/>
          <w:color w:val="auto"/>
          <w:kern w:val="0"/>
          <w:sz w:val="24"/>
        </w:rPr>
        <w:t>（2）投标文件解密结束，通过邮件形式发送各投标人组织签署《政府采购活动现场确认声明书》；</w:t>
      </w:r>
    </w:p>
    <w:p>
      <w:pPr>
        <w:spacing w:line="600" w:lineRule="exact"/>
        <w:ind w:firstLine="424" w:firstLineChars="177"/>
        <w:jc w:val="left"/>
        <w:rPr>
          <w:rFonts w:hint="eastAsia" w:ascii="宋体" w:hAnsi="宋体" w:cs="宋体"/>
          <w:color w:val="auto"/>
          <w:kern w:val="0"/>
          <w:sz w:val="24"/>
        </w:rPr>
      </w:pPr>
      <w:r>
        <w:rPr>
          <w:rFonts w:hint="eastAsia" w:ascii="宋体" w:hAnsi="宋体" w:cs="宋体"/>
          <w:color w:val="auto"/>
          <w:kern w:val="0"/>
          <w:sz w:val="24"/>
        </w:rPr>
        <w:t>（3）开启投标文件，进入资格审查；</w:t>
      </w:r>
    </w:p>
    <w:p>
      <w:pPr>
        <w:spacing w:line="600" w:lineRule="exact"/>
        <w:ind w:firstLine="424" w:firstLineChars="177"/>
        <w:jc w:val="left"/>
        <w:rPr>
          <w:rFonts w:hint="eastAsia" w:ascii="宋体" w:hAnsi="宋体" w:cs="宋体"/>
          <w:color w:val="auto"/>
          <w:kern w:val="0"/>
          <w:sz w:val="24"/>
        </w:rPr>
      </w:pPr>
      <w:r>
        <w:rPr>
          <w:rFonts w:hint="eastAsia" w:ascii="宋体" w:hAnsi="宋体" w:cs="宋体"/>
          <w:color w:val="auto"/>
          <w:kern w:val="0"/>
          <w:sz w:val="24"/>
        </w:rPr>
        <w:t>（4）开启资格审查通过的投标供应商的商务技术文件进入符合性审查、商务技术评审；</w:t>
      </w:r>
    </w:p>
    <w:p>
      <w:pPr>
        <w:spacing w:line="600" w:lineRule="exact"/>
        <w:ind w:firstLine="424" w:firstLineChars="177"/>
        <w:jc w:val="left"/>
        <w:rPr>
          <w:rFonts w:hint="eastAsia" w:ascii="宋体" w:hAnsi="宋体" w:cs="宋体"/>
          <w:color w:val="auto"/>
          <w:kern w:val="0"/>
          <w:sz w:val="24"/>
        </w:rPr>
      </w:pPr>
      <w:r>
        <w:rPr>
          <w:rFonts w:hint="eastAsia" w:ascii="宋体" w:hAnsi="宋体" w:cs="宋体"/>
          <w:color w:val="auto"/>
          <w:kern w:val="0"/>
          <w:sz w:val="24"/>
        </w:rPr>
        <w:t>（5）第一阶段开标结束。</w:t>
      </w:r>
    </w:p>
    <w:p>
      <w:pPr>
        <w:spacing w:line="600" w:lineRule="exact"/>
        <w:ind w:firstLine="426" w:firstLineChars="177"/>
        <w:jc w:val="left"/>
        <w:rPr>
          <w:rFonts w:hint="eastAsia" w:ascii="宋体" w:hAnsi="宋体" w:cs="宋体"/>
          <w:b/>
          <w:color w:val="auto"/>
          <w:kern w:val="0"/>
          <w:sz w:val="24"/>
        </w:rPr>
      </w:pPr>
      <w:r>
        <w:rPr>
          <w:rFonts w:hint="eastAsia" w:ascii="宋体" w:hAnsi="宋体" w:cs="宋体"/>
          <w:b/>
          <w:color w:val="auto"/>
          <w:kern w:val="0"/>
          <w:sz w:val="24"/>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600" w:lineRule="exact"/>
        <w:ind w:firstLine="426" w:firstLineChars="177"/>
        <w:jc w:val="left"/>
        <w:rPr>
          <w:rFonts w:hint="eastAsia" w:ascii="宋体" w:hAnsi="宋体" w:cs="宋体"/>
          <w:b/>
          <w:color w:val="auto"/>
          <w:kern w:val="0"/>
          <w:sz w:val="24"/>
        </w:rPr>
      </w:pPr>
      <w:r>
        <w:rPr>
          <w:rFonts w:hint="eastAsia" w:ascii="宋体" w:hAnsi="宋体" w:cs="宋体"/>
          <w:b/>
          <w:color w:val="auto"/>
          <w:kern w:val="0"/>
          <w:sz w:val="24"/>
        </w:rPr>
        <w:t>3.2开标大会第二阶段</w:t>
      </w:r>
    </w:p>
    <w:p>
      <w:pPr>
        <w:spacing w:line="600" w:lineRule="exact"/>
        <w:ind w:firstLine="424" w:firstLineChars="177"/>
        <w:jc w:val="left"/>
        <w:rPr>
          <w:rFonts w:hint="eastAsia" w:ascii="宋体" w:hAnsi="宋体" w:cs="宋体"/>
          <w:color w:val="auto"/>
          <w:kern w:val="0"/>
          <w:sz w:val="24"/>
        </w:rPr>
      </w:pPr>
      <w:r>
        <w:rPr>
          <w:rFonts w:hint="eastAsia" w:ascii="宋体" w:hAnsi="宋体" w:cs="宋体"/>
          <w:color w:val="auto"/>
          <w:kern w:val="0"/>
          <w:sz w:val="24"/>
        </w:rPr>
        <w:t>（1）符合性审查、商务技术评审结束后，举行开标大会第二阶段会议。首先通过发送邮件形式公布符合性审查、商务技术评审无效供应商名称及理由；公布经商务技术评审后有效投标供应商的名单，同时公布其商务技术部分得分情况。</w:t>
      </w:r>
    </w:p>
    <w:p>
      <w:pPr>
        <w:spacing w:line="600" w:lineRule="exact"/>
        <w:ind w:firstLine="424" w:firstLineChars="177"/>
        <w:jc w:val="left"/>
        <w:rPr>
          <w:rFonts w:hint="eastAsia" w:ascii="宋体" w:hAnsi="宋体" w:cs="宋体"/>
          <w:color w:val="auto"/>
          <w:kern w:val="0"/>
          <w:sz w:val="24"/>
        </w:rPr>
      </w:pPr>
      <w:r>
        <w:rPr>
          <w:rFonts w:hint="eastAsia" w:ascii="宋体" w:hAnsi="宋体" w:cs="宋体"/>
          <w:color w:val="auto"/>
          <w:kern w:val="0"/>
          <w:sz w:val="24"/>
        </w:rPr>
        <w:t>（2）开启符合性审查、商务技术评审有效投标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spacing w:line="600" w:lineRule="exact"/>
        <w:ind w:firstLine="424" w:firstLineChars="177"/>
        <w:jc w:val="left"/>
        <w:rPr>
          <w:rFonts w:hint="eastAsia" w:ascii="宋体" w:hAnsi="宋体" w:cs="宋体"/>
          <w:color w:val="auto"/>
          <w:kern w:val="0"/>
          <w:sz w:val="24"/>
        </w:rPr>
      </w:pPr>
      <w:r>
        <w:rPr>
          <w:rFonts w:hint="eastAsia" w:ascii="宋体" w:hAnsi="宋体" w:cs="宋体"/>
          <w:color w:val="auto"/>
          <w:kern w:val="0"/>
          <w:sz w:val="24"/>
        </w:rPr>
        <w:t>（3）评审结束后，通过发送邮件形式公布中标（成交）候选供应商名单，及采购人最终确定中标或成交供应商名单的时间和公告方式等。</w:t>
      </w:r>
    </w:p>
    <w:p>
      <w:pPr>
        <w:spacing w:line="600" w:lineRule="exact"/>
        <w:ind w:firstLine="426" w:firstLineChars="177"/>
        <w:jc w:val="left"/>
        <w:rPr>
          <w:rFonts w:hint="eastAsia" w:ascii="宋体" w:hAnsi="宋体" w:cs="宋体"/>
          <w:b/>
          <w:color w:val="auto"/>
          <w:kern w:val="0"/>
          <w:sz w:val="24"/>
        </w:rPr>
      </w:pPr>
      <w:r>
        <w:rPr>
          <w:rFonts w:hint="eastAsia" w:ascii="宋体" w:hAnsi="宋体" w:cs="宋体"/>
          <w:b/>
          <w:color w:val="auto"/>
          <w:kern w:val="0"/>
          <w:sz w:val="24"/>
        </w:rPr>
        <w:t>特别说明：如遇“政府采购云平台”电子化开标或评审程序调整的，按调整后程序执行。</w:t>
      </w:r>
    </w:p>
    <w:p>
      <w:pPr>
        <w:pStyle w:val="5"/>
        <w:numPr>
          <w:ilvl w:val="0"/>
          <w:numId w:val="0"/>
        </w:numPr>
        <w:tabs>
          <w:tab w:val="left" w:pos="1110"/>
          <w:tab w:val="clear" w:pos="706"/>
        </w:tabs>
        <w:spacing w:line="600" w:lineRule="exact"/>
        <w:rPr>
          <w:rFonts w:hint="eastAsia" w:ascii="宋体" w:hAnsi="宋体" w:eastAsia="宋体" w:cs="宋体"/>
          <w:color w:val="auto"/>
          <w:sz w:val="24"/>
          <w:szCs w:val="24"/>
        </w:rPr>
      </w:pPr>
      <w:bookmarkStart w:id="80" w:name="_Toc24550037"/>
      <w:bookmarkStart w:id="81" w:name="_Toc33194393"/>
      <w:r>
        <w:rPr>
          <w:rFonts w:hint="eastAsia" w:ascii="宋体" w:hAnsi="宋体" w:eastAsia="宋体" w:cs="宋体"/>
          <w:color w:val="auto"/>
          <w:sz w:val="24"/>
          <w:szCs w:val="24"/>
        </w:rPr>
        <w:t>（四）投标供应商资格审查</w:t>
      </w:r>
      <w:bookmarkEnd w:id="80"/>
      <w:bookmarkEnd w:id="81"/>
    </w:p>
    <w:p>
      <w:pPr>
        <w:spacing w:line="600" w:lineRule="exact"/>
        <w:ind w:firstLine="426" w:firstLineChars="177"/>
        <w:rPr>
          <w:rFonts w:hint="eastAsia" w:ascii="宋体" w:hAnsi="宋体" w:cs="宋体"/>
          <w:color w:val="auto"/>
          <w:sz w:val="24"/>
        </w:rPr>
      </w:pPr>
      <w:r>
        <w:rPr>
          <w:rFonts w:hint="eastAsia" w:ascii="宋体" w:hAnsi="宋体" w:cs="宋体"/>
          <w:b/>
          <w:color w:val="auto"/>
          <w:sz w:val="24"/>
        </w:rPr>
        <w:t>4.1开标大会第一阶段结束后，采购人或采购代理机构首先依法对各投标供应商的资格进行审查，审查各投标供应商的资格是否满足招标文件的要求。</w:t>
      </w:r>
      <w:r>
        <w:rPr>
          <w:rFonts w:hint="eastAsia" w:ascii="宋体" w:hAnsi="宋体" w:cs="宋体"/>
          <w:color w:val="auto"/>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600" w:lineRule="exact"/>
        <w:ind w:firstLine="426" w:firstLineChars="177"/>
        <w:rPr>
          <w:rFonts w:hint="eastAsia" w:ascii="宋体" w:hAnsi="宋体" w:cs="宋体"/>
          <w:b/>
          <w:color w:val="auto"/>
          <w:kern w:val="0"/>
          <w:sz w:val="24"/>
        </w:rPr>
      </w:pPr>
      <w:r>
        <w:rPr>
          <w:rFonts w:hint="eastAsia" w:ascii="宋体" w:hAnsi="宋体" w:cs="宋体"/>
          <w:b/>
          <w:color w:val="auto"/>
          <w:sz w:val="24"/>
        </w:rPr>
        <w:t>4.2投标供应商提交的资格证明材料无法证明其符合招标文件规定的“投标供应商资格要求”的，采购人或采购代理机构</w:t>
      </w:r>
      <w:r>
        <w:rPr>
          <w:rFonts w:hint="eastAsia" w:ascii="宋体" w:hAnsi="宋体" w:cs="宋体"/>
          <w:b/>
          <w:color w:val="auto"/>
          <w:kern w:val="0"/>
          <w:sz w:val="24"/>
        </w:rPr>
        <w:t>将对其作资格审查不通过处理（无效投标），并不再将其投标提交评标委员会进行后续评审。</w:t>
      </w:r>
    </w:p>
    <w:p>
      <w:pPr>
        <w:spacing w:line="600" w:lineRule="exact"/>
        <w:ind w:firstLine="426" w:firstLineChars="177"/>
        <w:rPr>
          <w:rFonts w:hint="eastAsia" w:ascii="宋体" w:hAnsi="宋体" w:cs="宋体"/>
          <w:b/>
          <w:color w:val="auto"/>
          <w:kern w:val="0"/>
          <w:sz w:val="24"/>
        </w:rPr>
      </w:pPr>
      <w:r>
        <w:rPr>
          <w:rFonts w:hint="eastAsia" w:ascii="宋体" w:hAnsi="宋体" w:cs="宋体"/>
          <w:b/>
          <w:color w:val="auto"/>
          <w:sz w:val="24"/>
        </w:rPr>
        <w:t>4</w:t>
      </w:r>
      <w:r>
        <w:rPr>
          <w:rFonts w:hint="eastAsia" w:ascii="宋体" w:hAnsi="宋体" w:cs="宋体"/>
          <w:b/>
          <w:color w:val="auto"/>
          <w:kern w:val="0"/>
          <w:sz w:val="24"/>
        </w:rPr>
        <w:t>.3单位负责人为同一人或者存在直接控股、管理关系的不同供应商参加同一合同项下的政府采购活动的，相关投标供应商均作资格无效处理。</w:t>
      </w:r>
    </w:p>
    <w:bookmarkEnd w:id="71"/>
    <w:bookmarkEnd w:id="72"/>
    <w:bookmarkEnd w:id="73"/>
    <w:bookmarkEnd w:id="77"/>
    <w:p>
      <w:pPr>
        <w:snapToGrid w:val="0"/>
        <w:spacing w:line="600" w:lineRule="exact"/>
        <w:jc w:val="center"/>
        <w:outlineLvl w:val="1"/>
        <w:rPr>
          <w:rFonts w:hint="eastAsia" w:ascii="宋体" w:hAnsi="宋体" w:cs="宋体"/>
          <w:b/>
          <w:color w:val="auto"/>
          <w:sz w:val="24"/>
        </w:rPr>
      </w:pPr>
      <w:bookmarkStart w:id="82" w:name="_Toc412730343"/>
      <w:bookmarkStart w:id="83" w:name="_Toc462229101"/>
      <w:bookmarkStart w:id="84" w:name="_Toc233618978"/>
      <w:bookmarkStart w:id="85" w:name="_Toc86216994"/>
      <w:bookmarkStart w:id="86" w:name="_Toc354996702"/>
    </w:p>
    <w:p>
      <w:pPr>
        <w:snapToGrid w:val="0"/>
        <w:spacing w:line="600" w:lineRule="exact"/>
        <w:jc w:val="center"/>
        <w:outlineLvl w:val="1"/>
        <w:rPr>
          <w:rFonts w:hint="eastAsia" w:ascii="宋体" w:hAnsi="宋体" w:cs="宋体"/>
          <w:b/>
          <w:color w:val="auto"/>
          <w:sz w:val="24"/>
        </w:rPr>
      </w:pPr>
      <w:bookmarkStart w:id="87" w:name="_Toc33194394"/>
      <w:r>
        <w:rPr>
          <w:rFonts w:hint="eastAsia" w:ascii="宋体" w:hAnsi="宋体" w:cs="宋体"/>
          <w:b/>
          <w:color w:val="auto"/>
          <w:sz w:val="24"/>
        </w:rPr>
        <w:t>六、评 标</w:t>
      </w:r>
      <w:bookmarkEnd w:id="82"/>
      <w:bookmarkEnd w:id="83"/>
      <w:bookmarkEnd w:id="87"/>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（一）评审工作的组织</w:t>
      </w:r>
    </w:p>
    <w:p>
      <w:pPr>
        <w:spacing w:line="600" w:lineRule="exact"/>
        <w:ind w:firstLine="422" w:firstLineChars="176"/>
        <w:rPr>
          <w:rFonts w:hint="eastAsia" w:ascii="宋体" w:hAnsi="宋体" w:cs="宋体"/>
          <w:color w:val="auto"/>
          <w:kern w:val="0"/>
          <w:sz w:val="24"/>
        </w:rPr>
      </w:pPr>
      <w:r>
        <w:rPr>
          <w:rFonts w:hint="eastAsia" w:ascii="宋体" w:hAnsi="宋体" w:cs="宋体"/>
          <w:color w:val="auto"/>
          <w:kern w:val="0"/>
          <w:sz w:val="24"/>
        </w:rPr>
        <w:t>1.1采购人或采购代理机构负责组织本项目的评审工作，并依据《政府采购货物和服务招标投标管理办法（财政部第87号令）》第四十五条的相关规定履行职责。</w:t>
      </w:r>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（二）评标委员会的组建</w:t>
      </w:r>
    </w:p>
    <w:p>
      <w:pPr>
        <w:spacing w:line="600" w:lineRule="exact"/>
        <w:ind w:firstLine="422" w:firstLineChars="176"/>
        <w:rPr>
          <w:rFonts w:hint="eastAsia" w:ascii="宋体" w:hAnsi="宋体" w:cs="宋体"/>
          <w:color w:val="auto"/>
          <w:kern w:val="0"/>
          <w:sz w:val="24"/>
        </w:rPr>
      </w:pPr>
      <w:r>
        <w:rPr>
          <w:rFonts w:hint="eastAsia" w:ascii="宋体" w:hAnsi="宋体" w:cs="宋体"/>
          <w:color w:val="auto"/>
          <w:kern w:val="0"/>
          <w:sz w:val="24"/>
        </w:rPr>
        <w:t>2.1评标委员会由采购人或采购代理机构依法组建，成员包括采购人代表和评审专家，成员人数为五人或以上单数，其中评审专家不少于成员总数的三分之二。</w:t>
      </w:r>
    </w:p>
    <w:p>
      <w:pPr>
        <w:spacing w:line="600" w:lineRule="exact"/>
        <w:ind w:firstLine="422" w:firstLineChars="176"/>
        <w:rPr>
          <w:rFonts w:hint="eastAsia" w:ascii="宋体" w:hAnsi="宋体" w:cs="宋体"/>
          <w:color w:val="auto"/>
          <w:kern w:val="0"/>
          <w:sz w:val="24"/>
        </w:rPr>
      </w:pPr>
      <w:r>
        <w:rPr>
          <w:rFonts w:hint="eastAsia" w:ascii="宋体" w:hAnsi="宋体" w:cs="宋体"/>
          <w:color w:val="auto"/>
          <w:kern w:val="0"/>
          <w:sz w:val="24"/>
        </w:rPr>
        <w:t>2.2评标委员会成员名单在评审结果（采购结果）公告前保密。</w:t>
      </w:r>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（三）评标委员会的职责</w:t>
      </w:r>
    </w:p>
    <w:p>
      <w:pPr>
        <w:spacing w:line="600" w:lineRule="exact"/>
        <w:ind w:firstLine="424" w:firstLineChars="176"/>
        <w:rPr>
          <w:rFonts w:hint="eastAsia" w:ascii="宋体" w:hAnsi="宋体" w:cs="宋体"/>
          <w:b/>
          <w:color w:val="auto"/>
          <w:kern w:val="0"/>
          <w:sz w:val="24"/>
        </w:rPr>
      </w:pPr>
      <w:r>
        <w:rPr>
          <w:rFonts w:hint="eastAsia" w:ascii="宋体" w:hAnsi="宋体" w:cs="宋体"/>
          <w:b/>
          <w:color w:val="auto"/>
          <w:kern w:val="0"/>
          <w:sz w:val="24"/>
        </w:rPr>
        <w:t>3.1评标委员会负责具体评审事务，并独立履行下列职责：</w:t>
      </w:r>
    </w:p>
    <w:p>
      <w:pPr>
        <w:spacing w:line="600" w:lineRule="exact"/>
        <w:ind w:firstLine="422" w:firstLineChars="176"/>
        <w:rPr>
          <w:rFonts w:hint="eastAsia" w:ascii="宋体" w:hAnsi="宋体" w:cs="宋体"/>
          <w:color w:val="auto"/>
          <w:kern w:val="0"/>
          <w:sz w:val="24"/>
        </w:rPr>
      </w:pPr>
      <w:r>
        <w:rPr>
          <w:rFonts w:hint="eastAsia" w:ascii="宋体" w:hAnsi="宋体" w:cs="宋体"/>
          <w:color w:val="auto"/>
          <w:kern w:val="0"/>
          <w:sz w:val="24"/>
        </w:rPr>
        <w:t>（1）审查、评价投标文件是否符合招标文件的商务、技术等实质性要求；</w:t>
      </w:r>
    </w:p>
    <w:p>
      <w:pPr>
        <w:spacing w:line="600" w:lineRule="exact"/>
        <w:ind w:firstLine="422" w:firstLineChars="176"/>
        <w:rPr>
          <w:rFonts w:hint="eastAsia" w:ascii="宋体" w:hAnsi="宋体" w:cs="宋体"/>
          <w:color w:val="auto"/>
          <w:kern w:val="0"/>
          <w:sz w:val="24"/>
        </w:rPr>
      </w:pPr>
      <w:r>
        <w:rPr>
          <w:rFonts w:hint="eastAsia" w:ascii="宋体" w:hAnsi="宋体" w:cs="宋体"/>
          <w:color w:val="auto"/>
          <w:kern w:val="0"/>
          <w:sz w:val="24"/>
        </w:rPr>
        <w:t>（2）要求投标人对投标文件有关事项作出澄清或者说明；</w:t>
      </w:r>
    </w:p>
    <w:p>
      <w:pPr>
        <w:spacing w:line="600" w:lineRule="exact"/>
        <w:ind w:firstLine="422" w:firstLineChars="176"/>
        <w:rPr>
          <w:rFonts w:hint="eastAsia" w:ascii="宋体" w:hAnsi="宋体" w:cs="宋体"/>
          <w:color w:val="auto"/>
          <w:kern w:val="0"/>
          <w:sz w:val="24"/>
        </w:rPr>
      </w:pPr>
      <w:r>
        <w:rPr>
          <w:rFonts w:hint="eastAsia" w:ascii="宋体" w:hAnsi="宋体" w:cs="宋体"/>
          <w:color w:val="auto"/>
          <w:kern w:val="0"/>
          <w:sz w:val="24"/>
        </w:rPr>
        <w:t>（3）对投标文件进行比较和评价；</w:t>
      </w:r>
    </w:p>
    <w:p>
      <w:pPr>
        <w:spacing w:line="600" w:lineRule="exact"/>
        <w:ind w:firstLine="422" w:firstLineChars="176"/>
        <w:rPr>
          <w:rFonts w:hint="eastAsia" w:ascii="宋体" w:hAnsi="宋体" w:cs="宋体"/>
          <w:color w:val="auto"/>
          <w:kern w:val="0"/>
          <w:sz w:val="24"/>
        </w:rPr>
      </w:pPr>
      <w:r>
        <w:rPr>
          <w:rFonts w:hint="eastAsia" w:ascii="宋体" w:hAnsi="宋体" w:cs="宋体"/>
          <w:color w:val="auto"/>
          <w:kern w:val="0"/>
          <w:sz w:val="24"/>
        </w:rPr>
        <w:t>（4）确定中标候选人名单，以及根据采购人委托直接确定中标人；</w:t>
      </w:r>
    </w:p>
    <w:p>
      <w:pPr>
        <w:numPr>
          <w:ilvl w:val="0"/>
          <w:numId w:val="11"/>
        </w:numPr>
        <w:spacing w:line="600" w:lineRule="exact"/>
        <w:ind w:firstLine="422"/>
        <w:rPr>
          <w:rFonts w:hint="eastAsia" w:ascii="宋体" w:hAnsi="宋体" w:cs="宋体"/>
          <w:color w:val="auto"/>
          <w:kern w:val="0"/>
          <w:sz w:val="24"/>
        </w:rPr>
      </w:pPr>
      <w:r>
        <w:rPr>
          <w:rFonts w:hint="eastAsia" w:ascii="宋体" w:hAnsi="宋体" w:cs="宋体"/>
          <w:color w:val="auto"/>
          <w:kern w:val="0"/>
          <w:sz w:val="24"/>
        </w:rPr>
        <w:t>向采购人、采购代理机构或者有关部门报告评审中发现的违法行为。</w:t>
      </w:r>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（四）评审原则</w:t>
      </w:r>
    </w:p>
    <w:p>
      <w:pPr>
        <w:spacing w:line="600" w:lineRule="exact"/>
        <w:ind w:firstLine="424" w:firstLineChars="177"/>
        <w:rPr>
          <w:rFonts w:hint="eastAsia" w:ascii="宋体" w:hAnsi="宋体" w:cs="宋体"/>
          <w:color w:val="auto"/>
          <w:sz w:val="24"/>
        </w:rPr>
      </w:pPr>
      <w:r>
        <w:rPr>
          <w:rFonts w:hint="eastAsia" w:ascii="宋体" w:hAnsi="宋体" w:cs="宋体"/>
          <w:color w:val="auto"/>
          <w:sz w:val="24"/>
        </w:rPr>
        <w:t>4.1评审原则：</w:t>
      </w:r>
      <w:r>
        <w:rPr>
          <w:rFonts w:hint="eastAsia" w:ascii="宋体" w:hAnsi="宋体" w:cs="宋体"/>
          <w:color w:val="auto"/>
          <w:kern w:val="0"/>
          <w:sz w:val="24"/>
        </w:rPr>
        <w:t>评标委员会</w:t>
      </w:r>
      <w:r>
        <w:rPr>
          <w:rFonts w:hint="eastAsia" w:ascii="宋体" w:hAnsi="宋体" w:cs="宋体"/>
          <w:color w:val="auto"/>
          <w:sz w:val="24"/>
        </w:rPr>
        <w:t>按照客观、公正、审慎、择优的原则，根据招标文件规定的评审程序、评审方法和评审标准进行独立评审。</w:t>
      </w:r>
    </w:p>
    <w:p>
      <w:pPr>
        <w:spacing w:line="600" w:lineRule="exact"/>
        <w:ind w:firstLine="424" w:firstLineChars="177"/>
        <w:rPr>
          <w:rFonts w:hint="eastAsia" w:ascii="宋体" w:hAnsi="宋体" w:cs="宋体"/>
          <w:color w:val="auto"/>
          <w:sz w:val="24"/>
        </w:rPr>
      </w:pPr>
      <w:r>
        <w:rPr>
          <w:rFonts w:hint="eastAsia" w:ascii="宋体" w:hAnsi="宋体" w:cs="宋体"/>
          <w:color w:val="auto"/>
          <w:sz w:val="24"/>
        </w:rPr>
        <w:t>4.2评审工作将依据</w:t>
      </w:r>
      <w:r>
        <w:rPr>
          <w:rFonts w:hint="eastAsia" w:ascii="宋体" w:hAnsi="宋体" w:cs="宋体"/>
          <w:color w:val="auto"/>
          <w:kern w:val="0"/>
          <w:sz w:val="24"/>
        </w:rPr>
        <w:t>招标文件、投标文件及招标文件中事先已列明的内容进行（如现场方案讲解、演示等）。</w:t>
      </w:r>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（五）评审意见的争议处理</w:t>
      </w:r>
    </w:p>
    <w:p>
      <w:pPr>
        <w:spacing w:line="600" w:lineRule="exact"/>
        <w:ind w:firstLine="424" w:firstLineChars="177"/>
        <w:rPr>
          <w:rFonts w:hint="eastAsia" w:ascii="宋体" w:hAnsi="宋体" w:cs="宋体"/>
          <w:bCs/>
          <w:color w:val="auto"/>
          <w:sz w:val="24"/>
        </w:rPr>
      </w:pPr>
      <w:r>
        <w:rPr>
          <w:rFonts w:hint="eastAsia" w:ascii="宋体" w:hAnsi="宋体" w:cs="宋体"/>
          <w:bCs/>
          <w:color w:val="auto"/>
          <w:sz w:val="24"/>
        </w:rPr>
        <w:t>5.1评标委员会成员对需要共同认定的事项存在争议的，按照少数服从多数的原则作出结论。持不同意见的评标委员会成员应当在评审报告上签署不同意见及理由，否则视为同意评审报告。</w:t>
      </w:r>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（六）评委纪律</w:t>
      </w:r>
    </w:p>
    <w:p>
      <w:pPr>
        <w:spacing w:line="600" w:lineRule="exact"/>
        <w:ind w:firstLine="424" w:firstLineChars="177"/>
        <w:rPr>
          <w:rFonts w:hint="eastAsia" w:ascii="宋体" w:hAnsi="宋体" w:cs="宋体"/>
          <w:color w:val="auto"/>
          <w:kern w:val="0"/>
          <w:sz w:val="24"/>
        </w:rPr>
      </w:pPr>
      <w:r>
        <w:rPr>
          <w:rFonts w:hint="eastAsia" w:ascii="宋体" w:hAnsi="宋体" w:cs="宋体"/>
          <w:color w:val="auto"/>
          <w:sz w:val="24"/>
        </w:rPr>
        <w:t>6.1评标委员会成员必须严格遵守保密规定，不得泄露评审的有关情况</w:t>
      </w:r>
      <w:r>
        <w:rPr>
          <w:rFonts w:hint="eastAsia" w:ascii="宋体" w:hAnsi="宋体" w:cs="宋体"/>
          <w:color w:val="auto"/>
          <w:kern w:val="0"/>
          <w:sz w:val="24"/>
        </w:rPr>
        <w:t>，任何单位和个人不得干扰、影响评标的正常进行，评标委员会成员不得私下与投标供应商接触，不得出现浙江省政府采购活动现场组织管理办法中规定的其他禁止行为。</w:t>
      </w:r>
    </w:p>
    <w:p>
      <w:pPr>
        <w:pStyle w:val="5"/>
        <w:numPr>
          <w:ilvl w:val="0"/>
          <w:numId w:val="0"/>
        </w:numPr>
        <w:tabs>
          <w:tab w:val="left" w:pos="1110"/>
          <w:tab w:val="clear" w:pos="706"/>
        </w:tabs>
        <w:spacing w:line="600" w:lineRule="exact"/>
        <w:rPr>
          <w:rFonts w:hint="eastAsia" w:ascii="宋体" w:hAnsi="宋体" w:eastAsia="宋体" w:cs="宋体"/>
          <w:color w:val="auto"/>
          <w:sz w:val="24"/>
          <w:szCs w:val="24"/>
        </w:rPr>
      </w:pPr>
      <w:bookmarkStart w:id="88" w:name="_Toc24550043"/>
      <w:bookmarkStart w:id="89" w:name="_Toc33194395"/>
      <w:r>
        <w:rPr>
          <w:rFonts w:hint="eastAsia" w:ascii="宋体" w:hAnsi="宋体" w:eastAsia="宋体" w:cs="宋体"/>
          <w:color w:val="auto"/>
          <w:sz w:val="24"/>
          <w:szCs w:val="24"/>
        </w:rPr>
        <w:t>（七）</w:t>
      </w:r>
      <w:bookmarkEnd w:id="88"/>
      <w:bookmarkStart w:id="90" w:name="_Toc24550044"/>
      <w:r>
        <w:rPr>
          <w:rFonts w:hint="eastAsia" w:ascii="宋体" w:hAnsi="宋体" w:eastAsia="宋体" w:cs="宋体"/>
          <w:color w:val="auto"/>
          <w:sz w:val="24"/>
          <w:szCs w:val="24"/>
        </w:rPr>
        <w:t>评审流程及内容</w:t>
      </w:r>
      <w:bookmarkEnd w:id="89"/>
      <w:bookmarkEnd w:id="90"/>
    </w:p>
    <w:p>
      <w:pPr>
        <w:spacing w:line="600" w:lineRule="exact"/>
        <w:ind w:firstLine="424" w:firstLineChars="176"/>
        <w:rPr>
          <w:rFonts w:hint="eastAsia" w:ascii="宋体" w:hAnsi="宋体" w:cs="宋体"/>
          <w:color w:val="auto"/>
          <w:sz w:val="24"/>
        </w:rPr>
      </w:pPr>
      <w:r>
        <w:rPr>
          <w:rFonts w:hint="eastAsia" w:ascii="宋体" w:hAnsi="宋体" w:cs="宋体"/>
          <w:b/>
          <w:color w:val="auto"/>
          <w:kern w:val="0"/>
          <w:sz w:val="24"/>
        </w:rPr>
        <w:t>本项目具体的评审事务由评标委员会负责，评审流程及内容如下：</w:t>
      </w:r>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7.1 评审前准备</w:t>
      </w:r>
    </w:p>
    <w:p>
      <w:pPr>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7.1.1由评审专家推选评审小组组长，采购人代表不得担任评审小组组长。</w:t>
      </w:r>
    </w:p>
    <w:p>
      <w:pPr>
        <w:spacing w:line="600" w:lineRule="exact"/>
        <w:ind w:firstLine="424" w:firstLineChars="177"/>
        <w:rPr>
          <w:rFonts w:hint="eastAsia" w:ascii="宋体" w:hAnsi="宋体" w:cs="宋体"/>
          <w:b/>
          <w:color w:val="auto"/>
          <w:kern w:val="0"/>
          <w:sz w:val="24"/>
        </w:rPr>
      </w:pPr>
      <w:r>
        <w:rPr>
          <w:rFonts w:hint="eastAsia" w:ascii="宋体" w:hAnsi="宋体" w:cs="宋体"/>
          <w:color w:val="auto"/>
          <w:kern w:val="0"/>
          <w:sz w:val="24"/>
        </w:rPr>
        <w:t>7.1.2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7.2投标文件的初步审查、符合性审查</w:t>
      </w:r>
    </w:p>
    <w:p>
      <w:pPr>
        <w:spacing w:line="600" w:lineRule="exact"/>
        <w:ind w:firstLine="426" w:firstLineChars="177"/>
        <w:rPr>
          <w:rFonts w:hint="eastAsia" w:ascii="宋体" w:hAnsi="宋体" w:cs="宋体"/>
          <w:b/>
          <w:color w:val="auto"/>
          <w:kern w:val="0"/>
          <w:sz w:val="24"/>
        </w:rPr>
      </w:pPr>
      <w:r>
        <w:rPr>
          <w:rFonts w:hint="eastAsia" w:ascii="宋体" w:hAnsi="宋体" w:cs="宋体"/>
          <w:b/>
          <w:color w:val="auto"/>
          <w:kern w:val="0"/>
          <w:sz w:val="24"/>
        </w:rPr>
        <w:t>对所有通过资格审查的投标供应商的投标文件进行初步审查，审查、评价投标文件是否符合招标文件的商务、技术、服务等实质性要求。</w:t>
      </w:r>
    </w:p>
    <w:p>
      <w:pPr>
        <w:spacing w:line="600" w:lineRule="exact"/>
        <w:ind w:firstLine="424" w:firstLineChars="177"/>
        <w:rPr>
          <w:rFonts w:hint="eastAsia" w:ascii="宋体" w:hAnsi="宋体" w:cs="宋体"/>
          <w:color w:val="auto"/>
          <w:sz w:val="24"/>
        </w:rPr>
      </w:pPr>
      <w:r>
        <w:rPr>
          <w:rFonts w:hint="eastAsia" w:ascii="宋体" w:hAnsi="宋体" w:cs="宋体"/>
          <w:color w:val="auto"/>
          <w:sz w:val="24"/>
        </w:rPr>
        <w:t>7.2.1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pPr>
        <w:pStyle w:val="6"/>
        <w:numPr>
          <w:ilvl w:val="2"/>
          <w:numId w:val="0"/>
        </w:numPr>
        <w:spacing w:before="0" w:after="0" w:line="6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7.3 投标文件的澄清、说明或补正</w:t>
      </w:r>
    </w:p>
    <w:p>
      <w:pPr>
        <w:spacing w:line="600" w:lineRule="exact"/>
        <w:ind w:firstLine="424" w:firstLineChars="177"/>
        <w:rPr>
          <w:rFonts w:hint="eastAsia" w:ascii="宋体" w:hAnsi="宋体" w:cs="宋体"/>
          <w:color w:val="auto"/>
          <w:kern w:val="0"/>
          <w:sz w:val="24"/>
        </w:rPr>
      </w:pPr>
      <w:r>
        <w:rPr>
          <w:rFonts w:hint="eastAsia" w:ascii="宋体" w:hAnsi="宋体" w:cs="宋体"/>
          <w:color w:val="auto"/>
          <w:kern w:val="0"/>
          <w:sz w:val="24"/>
        </w:rPr>
        <w:t>7.3.1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pacing w:line="600" w:lineRule="exact"/>
        <w:ind w:firstLine="424" w:firstLineChars="177"/>
        <w:rPr>
          <w:rFonts w:hint="eastAsia" w:ascii="宋体" w:hAnsi="宋体" w:cs="宋体"/>
          <w:color w:val="auto"/>
          <w:kern w:val="0"/>
          <w:sz w:val="24"/>
        </w:rPr>
      </w:pPr>
      <w:r>
        <w:rPr>
          <w:rFonts w:hint="eastAsia" w:ascii="宋体" w:hAnsi="宋体" w:cs="宋体"/>
          <w:color w:val="auto"/>
          <w:kern w:val="0"/>
          <w:sz w:val="24"/>
        </w:rPr>
        <w:t>7.3.2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7.4 投标文件的错误修正</w:t>
      </w:r>
    </w:p>
    <w:p>
      <w:pPr>
        <w:spacing w:line="600" w:lineRule="exact"/>
        <w:ind w:firstLine="422" w:firstLineChars="175"/>
        <w:rPr>
          <w:rFonts w:hint="eastAsia" w:ascii="宋体" w:hAnsi="宋体" w:cs="宋体"/>
          <w:b/>
          <w:color w:val="auto"/>
          <w:kern w:val="0"/>
          <w:sz w:val="24"/>
        </w:rPr>
      </w:pPr>
      <w:r>
        <w:rPr>
          <w:rFonts w:hint="eastAsia" w:ascii="宋体" w:hAnsi="宋体" w:cs="宋体"/>
          <w:b/>
          <w:color w:val="auto"/>
          <w:kern w:val="0"/>
          <w:sz w:val="24"/>
        </w:rPr>
        <w:t>7.4.1《投标文件》如果出现计算或表达上的错误，修正错误的原则如下：</w:t>
      </w:r>
    </w:p>
    <w:p>
      <w:pPr>
        <w:spacing w:line="600" w:lineRule="exact"/>
        <w:ind w:firstLine="420" w:firstLineChars="175"/>
        <w:rPr>
          <w:rFonts w:hint="eastAsia" w:ascii="宋体" w:hAnsi="宋体" w:cs="宋体"/>
          <w:color w:val="auto"/>
          <w:kern w:val="0"/>
          <w:sz w:val="24"/>
        </w:rPr>
      </w:pPr>
      <w:r>
        <w:rPr>
          <w:rFonts w:hint="eastAsia" w:ascii="宋体" w:hAnsi="宋体" w:cs="宋体"/>
          <w:color w:val="auto"/>
          <w:kern w:val="0"/>
          <w:sz w:val="24"/>
        </w:rPr>
        <w:t>（1）投标文件中开标一览表（报价表）内容与投标文件中相应内容不一致的，以开标一览表（报价表）为准。</w:t>
      </w:r>
    </w:p>
    <w:p>
      <w:pPr>
        <w:spacing w:line="600" w:lineRule="exact"/>
        <w:ind w:firstLine="420" w:firstLineChars="175"/>
        <w:rPr>
          <w:rFonts w:hint="eastAsia" w:ascii="宋体" w:hAnsi="宋体" w:cs="宋体"/>
          <w:color w:val="auto"/>
          <w:kern w:val="0"/>
          <w:sz w:val="24"/>
        </w:rPr>
      </w:pPr>
      <w:r>
        <w:rPr>
          <w:rFonts w:hint="eastAsia" w:ascii="宋体" w:hAnsi="宋体" w:cs="宋体"/>
          <w:color w:val="auto"/>
          <w:kern w:val="0"/>
          <w:sz w:val="24"/>
        </w:rPr>
        <w:t>（2）《投标文件》的大写金额和小写金额不一致的，以大写金额为准；</w:t>
      </w:r>
    </w:p>
    <w:p>
      <w:pPr>
        <w:spacing w:line="600" w:lineRule="exact"/>
        <w:ind w:firstLine="420" w:firstLineChars="175"/>
        <w:rPr>
          <w:rFonts w:hint="eastAsia" w:ascii="宋体" w:hAnsi="宋体" w:cs="宋体"/>
          <w:color w:val="auto"/>
          <w:kern w:val="0"/>
          <w:sz w:val="24"/>
        </w:rPr>
      </w:pPr>
      <w:r>
        <w:rPr>
          <w:rFonts w:hint="eastAsia" w:ascii="宋体" w:hAnsi="宋体" w:cs="宋体"/>
          <w:color w:val="auto"/>
          <w:kern w:val="0"/>
          <w:sz w:val="24"/>
        </w:rPr>
        <w:t>（3）单价金额小数点或者百分比有明显错位的，应以开标一览表（报价表）的总价为准，并修改单价；</w:t>
      </w:r>
    </w:p>
    <w:p>
      <w:pPr>
        <w:spacing w:line="600" w:lineRule="exact"/>
        <w:ind w:firstLine="420" w:firstLineChars="175"/>
        <w:rPr>
          <w:rFonts w:hint="eastAsia" w:ascii="宋体" w:hAnsi="宋体" w:cs="宋体"/>
          <w:color w:val="auto"/>
          <w:kern w:val="0"/>
          <w:sz w:val="24"/>
        </w:rPr>
      </w:pPr>
      <w:r>
        <w:rPr>
          <w:rFonts w:hint="eastAsia" w:ascii="宋体" w:hAnsi="宋体" w:cs="宋体"/>
          <w:color w:val="auto"/>
          <w:kern w:val="0"/>
          <w:sz w:val="24"/>
        </w:rPr>
        <w:t>（4）总价金额与按单价汇总金额不一致的，以单价金额计算结果为准。</w:t>
      </w:r>
    </w:p>
    <w:p>
      <w:pPr>
        <w:spacing w:line="600" w:lineRule="exact"/>
        <w:ind w:firstLine="420" w:firstLineChars="175"/>
        <w:rPr>
          <w:rFonts w:hint="eastAsia" w:ascii="宋体" w:hAnsi="宋体" w:cs="宋体"/>
          <w:color w:val="auto"/>
          <w:kern w:val="0"/>
          <w:sz w:val="24"/>
        </w:rPr>
      </w:pPr>
      <w:r>
        <w:rPr>
          <w:rFonts w:hint="eastAsia" w:ascii="宋体" w:hAnsi="宋体" w:cs="宋体"/>
          <w:color w:val="auto"/>
          <w:kern w:val="0"/>
          <w:sz w:val="24"/>
        </w:rPr>
        <w:t>7.4.2对不同文字文本《投标文件》的解释发生异议的，以中文文本为准。</w:t>
      </w:r>
    </w:p>
    <w:p>
      <w:pPr>
        <w:pStyle w:val="463"/>
        <w:autoSpaceDE/>
        <w:adjustRightInd/>
        <w:snapToGrid w:val="0"/>
        <w:spacing w:before="0" w:line="600" w:lineRule="exact"/>
        <w:ind w:left="0" w:firstLine="0"/>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（八）投标文件有下列情况之一者将视为无效：</w:t>
      </w:r>
    </w:p>
    <w:p>
      <w:pPr>
        <w:spacing w:line="600" w:lineRule="exact"/>
        <w:ind w:firstLine="424" w:firstLineChars="176"/>
        <w:rPr>
          <w:rFonts w:hint="eastAsia" w:ascii="宋体" w:hAnsi="宋体" w:cs="宋体"/>
          <w:b/>
          <w:color w:val="auto"/>
          <w:kern w:val="0"/>
          <w:sz w:val="24"/>
        </w:rPr>
      </w:pPr>
      <w:bookmarkStart w:id="91" w:name="_Hlk33211013"/>
      <w:r>
        <w:rPr>
          <w:rFonts w:hint="eastAsia" w:ascii="宋体" w:hAnsi="宋体" w:cs="宋体"/>
          <w:b/>
          <w:color w:val="auto"/>
          <w:kern w:val="0"/>
          <w:sz w:val="24"/>
        </w:rPr>
        <w:t>8.1商务、技术文件符合性审查中，存在下列情形之一的，经评标委员会认定后作无效标处理：</w:t>
      </w:r>
    </w:p>
    <w:p>
      <w:pPr>
        <w:pStyle w:val="5"/>
        <w:numPr>
          <w:ilvl w:val="0"/>
          <w:numId w:val="0"/>
        </w:numPr>
        <w:tabs>
          <w:tab w:val="left" w:pos="1110"/>
          <w:tab w:val="clear" w:pos="706"/>
        </w:tabs>
        <w:spacing w:line="600" w:lineRule="exact"/>
        <w:ind w:left="106" w:firstLine="241" w:firstLineChars="100"/>
        <w:jc w:val="left"/>
        <w:rPr>
          <w:rFonts w:hint="eastAsia" w:ascii="宋体" w:hAnsi="宋体" w:eastAsia="宋体" w:cs="宋体"/>
          <w:bCs w:val="0"/>
          <w:color w:val="auto"/>
          <w:sz w:val="24"/>
          <w:szCs w:val="24"/>
        </w:rPr>
      </w:pPr>
      <w:bookmarkStart w:id="92" w:name="_Toc33194396"/>
      <w:r>
        <w:rPr>
          <w:rFonts w:hint="eastAsia" w:ascii="宋体" w:hAnsi="宋体" w:eastAsia="宋体" w:cs="宋体"/>
          <w:bCs w:val="0"/>
          <w:color w:val="auto"/>
          <w:sz w:val="24"/>
          <w:szCs w:val="24"/>
        </w:rPr>
        <w:t>（1）投标文件未有效授权，法定代表人授权委托书等填写不完整或有涂改的；</w:t>
      </w:r>
      <w:bookmarkEnd w:id="92"/>
    </w:p>
    <w:p>
      <w:pPr>
        <w:spacing w:line="600" w:lineRule="exact"/>
        <w:ind w:firstLine="426" w:firstLineChars="177"/>
        <w:rPr>
          <w:rFonts w:hint="eastAsia" w:ascii="宋体" w:hAnsi="宋体" w:cs="宋体"/>
          <w:b/>
          <w:color w:val="auto"/>
          <w:sz w:val="24"/>
        </w:rPr>
      </w:pPr>
      <w:r>
        <w:rPr>
          <w:rFonts w:hint="eastAsia" w:ascii="宋体" w:hAnsi="宋体" w:cs="宋体"/>
          <w:b/>
          <w:color w:val="auto"/>
          <w:sz w:val="24"/>
        </w:rPr>
        <w:t>（2）投标文件没有对本招标文件作出实质性响应的，或不满足（不响应）本招标文件中标注“▲”的实质性要求条款的，或存在招标文件中明确规定的其他无效标情形的；</w:t>
      </w:r>
    </w:p>
    <w:p>
      <w:pPr>
        <w:spacing w:line="600" w:lineRule="exact"/>
        <w:ind w:firstLine="426" w:firstLineChars="177"/>
        <w:rPr>
          <w:rFonts w:hint="eastAsia" w:ascii="宋体" w:hAnsi="宋体" w:cs="宋体"/>
          <w:b/>
          <w:color w:val="auto"/>
          <w:sz w:val="24"/>
        </w:rPr>
      </w:pPr>
      <w:r>
        <w:rPr>
          <w:rFonts w:hint="eastAsia" w:ascii="宋体" w:hAnsi="宋体" w:cs="宋体"/>
          <w:b/>
          <w:color w:val="auto"/>
          <w:sz w:val="24"/>
        </w:rPr>
        <w:t>（3）投标文件存在一个或一个以上备选（替代）投标方案的；</w:t>
      </w:r>
    </w:p>
    <w:p>
      <w:pPr>
        <w:spacing w:line="600" w:lineRule="exact"/>
        <w:ind w:firstLine="426" w:firstLineChars="177"/>
        <w:rPr>
          <w:rFonts w:hint="eastAsia" w:ascii="宋体" w:hAnsi="宋体" w:cs="宋体"/>
          <w:b/>
          <w:color w:val="auto"/>
          <w:sz w:val="24"/>
        </w:rPr>
      </w:pPr>
      <w:r>
        <w:rPr>
          <w:rFonts w:hint="eastAsia" w:ascii="宋体" w:hAnsi="宋体" w:cs="宋体"/>
          <w:b/>
          <w:color w:val="auto"/>
          <w:sz w:val="24"/>
        </w:rPr>
        <w:t>（4）仅提交“备份投标文件”的；</w:t>
      </w:r>
    </w:p>
    <w:p>
      <w:pPr>
        <w:spacing w:line="600" w:lineRule="exact"/>
        <w:ind w:firstLine="426" w:firstLineChars="177"/>
        <w:rPr>
          <w:rFonts w:hint="eastAsia" w:ascii="宋体" w:hAnsi="宋体" w:cs="宋体"/>
          <w:b/>
          <w:color w:val="auto"/>
          <w:sz w:val="24"/>
        </w:rPr>
      </w:pPr>
      <w:r>
        <w:rPr>
          <w:rFonts w:hint="eastAsia" w:ascii="宋体" w:hAnsi="宋体" w:cs="宋体"/>
          <w:b/>
          <w:color w:val="auto"/>
          <w:sz w:val="24"/>
        </w:rPr>
        <w:t>（5）文件组成内容不齐全，本招标文件规定必须提供而未提供的（属于资格审查范围的除外）；</w:t>
      </w:r>
    </w:p>
    <w:p>
      <w:pPr>
        <w:spacing w:line="600" w:lineRule="exact"/>
        <w:ind w:firstLine="426" w:firstLineChars="177"/>
        <w:rPr>
          <w:rFonts w:hint="eastAsia" w:ascii="宋体" w:hAnsi="宋体" w:cs="宋体"/>
          <w:b/>
          <w:color w:val="auto"/>
          <w:sz w:val="24"/>
        </w:rPr>
      </w:pPr>
      <w:r>
        <w:rPr>
          <w:rFonts w:hint="eastAsia" w:ascii="宋体" w:hAnsi="宋体" w:cs="宋体"/>
          <w:b/>
          <w:color w:val="auto"/>
          <w:sz w:val="24"/>
        </w:rPr>
        <w:t>（6）投标文件标注的响应或偏离情况与事实不符，或提供了虚假材料的；</w:t>
      </w:r>
    </w:p>
    <w:p>
      <w:pPr>
        <w:spacing w:line="600" w:lineRule="exact"/>
        <w:ind w:firstLine="426" w:firstLineChars="177"/>
        <w:rPr>
          <w:rFonts w:hint="eastAsia" w:ascii="宋体" w:hAnsi="宋体" w:cs="宋体"/>
          <w:b/>
          <w:color w:val="auto"/>
          <w:sz w:val="24"/>
        </w:rPr>
      </w:pPr>
      <w:r>
        <w:rPr>
          <w:rFonts w:hint="eastAsia" w:ascii="宋体" w:hAnsi="宋体" w:cs="宋体"/>
          <w:b/>
          <w:color w:val="auto"/>
          <w:sz w:val="24"/>
        </w:rPr>
        <w:t>（7）不响应或擅自改变本招标文件要求或投标文件有采购人不能接受的附加条件的；</w:t>
      </w:r>
    </w:p>
    <w:p>
      <w:pPr>
        <w:spacing w:line="600" w:lineRule="exact"/>
        <w:ind w:firstLine="426" w:firstLineChars="177"/>
        <w:rPr>
          <w:rFonts w:hint="eastAsia" w:ascii="宋体" w:hAnsi="宋体" w:cs="宋体"/>
          <w:b/>
          <w:color w:val="auto"/>
          <w:sz w:val="24"/>
        </w:rPr>
      </w:pPr>
      <w:r>
        <w:rPr>
          <w:rFonts w:hint="eastAsia" w:ascii="宋体" w:hAnsi="宋体" w:cs="宋体"/>
          <w:b/>
          <w:color w:val="auto"/>
          <w:sz w:val="24"/>
        </w:rPr>
        <w:t>（8）参加同一合同项下政府采购活动的不同供应商之间存在利害关系并且存在影响政府采购公平竞争行为的；</w:t>
      </w:r>
    </w:p>
    <w:p>
      <w:pPr>
        <w:pStyle w:val="5"/>
        <w:numPr>
          <w:ilvl w:val="0"/>
          <w:numId w:val="0"/>
        </w:numPr>
        <w:tabs>
          <w:tab w:val="left" w:pos="1110"/>
          <w:tab w:val="clear" w:pos="706"/>
        </w:tabs>
        <w:spacing w:line="600" w:lineRule="exact"/>
        <w:ind w:left="560" w:firstLine="5" w:firstLineChars="2"/>
        <w:rPr>
          <w:rFonts w:hint="eastAsia" w:ascii="宋体" w:hAnsi="宋体" w:eastAsia="宋体" w:cs="宋体"/>
          <w:bCs w:val="0"/>
          <w:color w:val="auto"/>
          <w:sz w:val="24"/>
          <w:szCs w:val="24"/>
        </w:rPr>
      </w:pPr>
      <w:bookmarkStart w:id="93" w:name="_Toc33194397"/>
      <w:r>
        <w:rPr>
          <w:rFonts w:hint="eastAsia" w:ascii="宋体" w:hAnsi="宋体" w:eastAsia="宋体" w:cs="宋体"/>
          <w:bCs w:val="0"/>
          <w:color w:val="auto"/>
          <w:sz w:val="24"/>
          <w:szCs w:val="24"/>
        </w:rPr>
        <w:t>（9）招标人拟采购的产品如属于品目清单范围内的强制采购品目的，投标人未</w:t>
      </w:r>
      <w:bookmarkEnd w:id="93"/>
    </w:p>
    <w:p>
      <w:pPr>
        <w:pStyle w:val="5"/>
        <w:numPr>
          <w:ilvl w:val="0"/>
          <w:numId w:val="0"/>
        </w:numPr>
        <w:tabs>
          <w:tab w:val="left" w:pos="1110"/>
          <w:tab w:val="clear" w:pos="706"/>
        </w:tabs>
        <w:spacing w:line="600" w:lineRule="exact"/>
        <w:ind w:left="106"/>
        <w:rPr>
          <w:rFonts w:hint="eastAsia" w:ascii="宋体" w:hAnsi="宋体" w:eastAsia="宋体" w:cs="宋体"/>
          <w:bCs w:val="0"/>
          <w:color w:val="auto"/>
          <w:sz w:val="24"/>
          <w:szCs w:val="24"/>
        </w:rPr>
      </w:pPr>
      <w:bookmarkStart w:id="94" w:name="_Toc33194398"/>
      <w:r>
        <w:rPr>
          <w:rFonts w:hint="eastAsia" w:ascii="宋体" w:hAnsi="宋体" w:eastAsia="宋体" w:cs="宋体"/>
          <w:bCs w:val="0"/>
          <w:color w:val="auto"/>
          <w:sz w:val="24"/>
          <w:szCs w:val="24"/>
        </w:rPr>
        <w:t>能在响应文件中提供国家确定的认证机构出具的、处于有效期之内的该产品节能产品、环境标志产品认证证书；</w:t>
      </w:r>
      <w:bookmarkEnd w:id="94"/>
    </w:p>
    <w:p>
      <w:pPr>
        <w:spacing w:line="600" w:lineRule="exact"/>
        <w:ind w:firstLine="426" w:firstLineChars="177"/>
        <w:rPr>
          <w:rFonts w:hint="eastAsia" w:ascii="宋体" w:hAnsi="宋体" w:cs="宋体"/>
          <w:b/>
          <w:color w:val="auto"/>
          <w:sz w:val="24"/>
        </w:rPr>
      </w:pPr>
      <w:r>
        <w:rPr>
          <w:rFonts w:hint="eastAsia" w:ascii="宋体" w:hAnsi="宋体" w:cs="宋体"/>
          <w:b/>
          <w:color w:val="auto"/>
          <w:sz w:val="24"/>
        </w:rPr>
        <w:t>（10）违反国家或政府部门相关法律、法规、文件规定的。</w:t>
      </w:r>
    </w:p>
    <w:bookmarkEnd w:id="91"/>
    <w:p>
      <w:pPr>
        <w:pStyle w:val="463"/>
        <w:autoSpaceDE/>
        <w:adjustRightInd/>
        <w:snapToGrid w:val="0"/>
        <w:spacing w:before="0" w:line="600" w:lineRule="exact"/>
        <w:ind w:left="0" w:firstLine="0"/>
        <w:rPr>
          <w:rFonts w:hint="eastAsia" w:ascii="宋体" w:hAnsi="宋体" w:eastAsia="宋体" w:cs="宋体"/>
          <w:b/>
          <w:color w:val="auto"/>
          <w:kern w:val="2"/>
          <w:sz w:val="24"/>
          <w:szCs w:val="24"/>
        </w:rPr>
      </w:pPr>
    </w:p>
    <w:p>
      <w:pPr>
        <w:spacing w:line="600" w:lineRule="exact"/>
        <w:ind w:firstLine="426" w:firstLineChars="177"/>
        <w:rPr>
          <w:rFonts w:hint="eastAsia" w:ascii="宋体" w:hAnsi="宋体" w:cs="宋体"/>
          <w:b/>
          <w:color w:val="auto"/>
          <w:kern w:val="0"/>
          <w:sz w:val="24"/>
        </w:rPr>
      </w:pPr>
      <w:r>
        <w:rPr>
          <w:rFonts w:hint="eastAsia" w:ascii="宋体" w:hAnsi="宋体" w:cs="宋体"/>
          <w:b/>
          <w:color w:val="auto"/>
          <w:kern w:val="0"/>
          <w:sz w:val="24"/>
        </w:rPr>
        <w:t>8.2报价文件符合性审查中，存在下列情形之一的，经评标委员会认定后作无效标处理：</w:t>
      </w:r>
    </w:p>
    <w:p>
      <w:pPr>
        <w:spacing w:line="600" w:lineRule="exact"/>
        <w:ind w:firstLine="426" w:firstLineChars="177"/>
        <w:rPr>
          <w:rFonts w:hint="eastAsia" w:ascii="宋体" w:hAnsi="宋体" w:cs="宋体"/>
          <w:b/>
          <w:color w:val="auto"/>
          <w:sz w:val="24"/>
        </w:rPr>
      </w:pPr>
      <w:r>
        <w:rPr>
          <w:rFonts w:hint="eastAsia" w:ascii="宋体" w:hAnsi="宋体" w:cs="宋体"/>
          <w:b/>
          <w:color w:val="auto"/>
          <w:sz w:val="24"/>
        </w:rPr>
        <w:t>（1）投标文件没有对本招标文件作出实质性响应的，或不满足（不响应）本招标文件中标注“▲”的实质性要求条款的，或存在招标文件中明确规定的其他无效标情形的；</w:t>
      </w:r>
    </w:p>
    <w:p>
      <w:pPr>
        <w:spacing w:line="600" w:lineRule="exact"/>
        <w:ind w:firstLine="426" w:firstLineChars="177"/>
        <w:rPr>
          <w:rFonts w:hint="eastAsia" w:ascii="宋体" w:hAnsi="宋体" w:cs="宋体"/>
          <w:b/>
          <w:color w:val="auto"/>
          <w:sz w:val="24"/>
        </w:rPr>
      </w:pPr>
      <w:r>
        <w:rPr>
          <w:rFonts w:hint="eastAsia" w:ascii="宋体" w:hAnsi="宋体" w:cs="宋体"/>
          <w:b/>
          <w:color w:val="auto"/>
          <w:sz w:val="24"/>
        </w:rPr>
        <w:t>（2）投标文件存在一个或一个以上备选（替代）投标方案的；</w:t>
      </w:r>
    </w:p>
    <w:p>
      <w:pPr>
        <w:spacing w:line="600" w:lineRule="exact"/>
        <w:ind w:firstLine="426" w:firstLineChars="177"/>
        <w:rPr>
          <w:rFonts w:hint="eastAsia" w:ascii="宋体" w:hAnsi="宋体" w:cs="宋体"/>
          <w:b/>
          <w:color w:val="auto"/>
          <w:sz w:val="24"/>
        </w:rPr>
      </w:pPr>
      <w:r>
        <w:rPr>
          <w:rFonts w:hint="eastAsia" w:ascii="宋体" w:hAnsi="宋体" w:cs="宋体"/>
          <w:b/>
          <w:color w:val="auto"/>
          <w:sz w:val="24"/>
        </w:rPr>
        <w:t>（3）未按照招标文件标明的币种报价的，或者投标报价涵盖的内容不符合招标文件要求的；</w:t>
      </w:r>
    </w:p>
    <w:p>
      <w:pPr>
        <w:spacing w:line="600" w:lineRule="exact"/>
        <w:ind w:firstLine="426" w:firstLineChars="177"/>
        <w:rPr>
          <w:rFonts w:hint="eastAsia" w:ascii="宋体" w:hAnsi="宋体" w:cs="宋体"/>
          <w:b/>
          <w:color w:val="auto"/>
          <w:sz w:val="24"/>
        </w:rPr>
      </w:pPr>
      <w:r>
        <w:rPr>
          <w:rFonts w:hint="eastAsia" w:ascii="宋体" w:hAnsi="宋体" w:cs="宋体"/>
          <w:b/>
          <w:color w:val="auto"/>
          <w:sz w:val="24"/>
        </w:rPr>
        <w:t>（4）《开标一览表》内容与《投标报价明细表》内容不一致且拒不接受修正的；</w:t>
      </w:r>
    </w:p>
    <w:p>
      <w:pPr>
        <w:spacing w:line="600" w:lineRule="exact"/>
        <w:ind w:firstLine="426" w:firstLineChars="177"/>
        <w:rPr>
          <w:rFonts w:hint="eastAsia" w:ascii="宋体" w:hAnsi="宋体" w:cs="宋体"/>
          <w:b/>
          <w:color w:val="auto"/>
          <w:sz w:val="24"/>
        </w:rPr>
      </w:pPr>
      <w:r>
        <w:rPr>
          <w:rFonts w:hint="eastAsia" w:ascii="宋体" w:hAnsi="宋体" w:cs="宋体"/>
          <w:b/>
          <w:color w:val="auto"/>
          <w:sz w:val="24"/>
        </w:rPr>
        <w:t>（5）投标报价具有选择性，唱标价格与《投标文件》承诺的优惠（折扣）后价格不一致的；</w:t>
      </w:r>
    </w:p>
    <w:p>
      <w:pPr>
        <w:spacing w:line="600" w:lineRule="exact"/>
        <w:ind w:firstLine="426" w:firstLineChars="177"/>
        <w:rPr>
          <w:rFonts w:hint="eastAsia" w:ascii="宋体" w:hAnsi="宋体" w:cs="宋体"/>
          <w:b/>
          <w:color w:val="auto"/>
          <w:sz w:val="24"/>
        </w:rPr>
      </w:pPr>
      <w:r>
        <w:rPr>
          <w:rFonts w:hint="eastAsia" w:ascii="宋体" w:hAnsi="宋体" w:cs="宋体"/>
          <w:b/>
          <w:color w:val="auto"/>
          <w:sz w:val="24"/>
        </w:rPr>
        <w:t>（6）投标报价超过采购预算（或最高限价）的；</w:t>
      </w:r>
    </w:p>
    <w:p>
      <w:pPr>
        <w:spacing w:line="600" w:lineRule="exact"/>
        <w:ind w:firstLine="426" w:firstLineChars="177"/>
        <w:rPr>
          <w:rFonts w:hint="eastAsia" w:ascii="宋体" w:hAnsi="宋体" w:cs="宋体"/>
          <w:b/>
          <w:color w:val="auto"/>
          <w:sz w:val="24"/>
        </w:rPr>
      </w:pPr>
      <w:r>
        <w:rPr>
          <w:rFonts w:hint="eastAsia" w:ascii="宋体" w:hAnsi="宋体" w:cs="宋体"/>
          <w:b/>
          <w:color w:val="auto"/>
          <w:sz w:val="24"/>
        </w:rPr>
        <w:t>（7）仅提交“备份投标文件”的；</w:t>
      </w:r>
    </w:p>
    <w:p>
      <w:pPr>
        <w:spacing w:line="600" w:lineRule="exact"/>
        <w:ind w:firstLine="426" w:firstLineChars="177"/>
        <w:rPr>
          <w:rFonts w:hint="eastAsia" w:ascii="宋体" w:hAnsi="宋体" w:cs="宋体"/>
          <w:b/>
          <w:color w:val="auto"/>
          <w:sz w:val="24"/>
        </w:rPr>
      </w:pPr>
      <w:r>
        <w:rPr>
          <w:rFonts w:hint="eastAsia" w:ascii="宋体" w:hAnsi="宋体" w:cs="宋体"/>
          <w:b/>
          <w:color w:val="auto"/>
          <w:sz w:val="24"/>
        </w:rPr>
        <w:t>（8）投标文件组成内容不齐全，本招标文件规定必须提供而未提供的（属于资格审查范围的除外）；</w:t>
      </w:r>
    </w:p>
    <w:p>
      <w:pPr>
        <w:spacing w:line="600" w:lineRule="exact"/>
        <w:ind w:firstLine="426" w:firstLineChars="177"/>
        <w:rPr>
          <w:rFonts w:hint="eastAsia" w:ascii="宋体" w:hAnsi="宋体" w:cs="宋体"/>
          <w:b/>
          <w:color w:val="auto"/>
          <w:sz w:val="24"/>
        </w:rPr>
      </w:pPr>
      <w:r>
        <w:rPr>
          <w:rFonts w:hint="eastAsia" w:ascii="宋体" w:hAnsi="宋体" w:cs="宋体"/>
          <w:b/>
          <w:color w:val="auto"/>
          <w:sz w:val="24"/>
        </w:rPr>
        <w:t>（9）投标文件标注的响应或偏离情况与事实不符，或提供了虚假材料的；</w:t>
      </w:r>
    </w:p>
    <w:p>
      <w:pPr>
        <w:spacing w:line="600" w:lineRule="exact"/>
        <w:ind w:firstLine="426" w:firstLineChars="177"/>
        <w:rPr>
          <w:rFonts w:hint="eastAsia" w:ascii="宋体" w:hAnsi="宋体" w:cs="宋体"/>
          <w:b/>
          <w:color w:val="auto"/>
          <w:sz w:val="24"/>
        </w:rPr>
      </w:pPr>
      <w:r>
        <w:rPr>
          <w:rFonts w:hint="eastAsia" w:ascii="宋体" w:hAnsi="宋体" w:cs="宋体"/>
          <w:b/>
          <w:color w:val="auto"/>
          <w:sz w:val="24"/>
        </w:rPr>
        <w:t>（10）不响应或擅自改变本招标文件要求或投标文件有采购人不能接受的附加条件的；</w:t>
      </w:r>
    </w:p>
    <w:p>
      <w:pPr>
        <w:shd w:val="clear" w:color="auto" w:fill="FFFFFF"/>
        <w:autoSpaceDE w:val="0"/>
        <w:autoSpaceDN w:val="0"/>
        <w:snapToGrid w:val="0"/>
        <w:spacing w:line="600" w:lineRule="exact"/>
        <w:ind w:firstLine="482" w:firstLineChars="200"/>
        <w:rPr>
          <w:rFonts w:hint="eastAsia" w:ascii="宋体" w:hAnsi="宋体" w:cs="宋体"/>
          <w:b/>
          <w:color w:val="auto"/>
          <w:sz w:val="24"/>
        </w:rPr>
      </w:pPr>
      <w:r>
        <w:rPr>
          <w:rFonts w:hint="eastAsia" w:ascii="宋体" w:hAnsi="宋体" w:cs="宋体"/>
          <w:b/>
          <w:color w:val="auto"/>
          <w:sz w:val="24"/>
        </w:rPr>
        <w:t>（11）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600" w:lineRule="exact"/>
        <w:ind w:firstLine="426" w:firstLineChars="177"/>
        <w:rPr>
          <w:rFonts w:hint="eastAsia" w:ascii="宋体" w:hAnsi="宋体" w:cs="宋体"/>
          <w:b/>
          <w:color w:val="auto"/>
          <w:kern w:val="0"/>
          <w:sz w:val="24"/>
        </w:rPr>
      </w:pPr>
      <w:r>
        <w:rPr>
          <w:rFonts w:hint="eastAsia" w:ascii="宋体" w:hAnsi="宋体" w:cs="宋体"/>
          <w:b/>
          <w:color w:val="auto"/>
          <w:sz w:val="24"/>
        </w:rPr>
        <w:t>（12）违反国家或政府部门相关法律、法规、文件规定的。</w:t>
      </w:r>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（九）投标文件的评估、比较、评分</w:t>
      </w:r>
    </w:p>
    <w:p>
      <w:pPr>
        <w:spacing w:line="600" w:lineRule="exact"/>
        <w:ind w:firstLine="424" w:firstLineChars="177"/>
        <w:rPr>
          <w:rFonts w:hint="eastAsia" w:ascii="宋体" w:hAnsi="宋体" w:cs="宋体"/>
          <w:color w:val="auto"/>
          <w:kern w:val="0"/>
          <w:sz w:val="24"/>
        </w:rPr>
      </w:pPr>
      <w:r>
        <w:rPr>
          <w:rFonts w:hint="eastAsia" w:ascii="宋体" w:hAnsi="宋体" w:cs="宋体"/>
          <w:color w:val="auto"/>
          <w:kern w:val="0"/>
          <w:sz w:val="24"/>
        </w:rPr>
        <w:t>9.1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本章第七款。</w:t>
      </w:r>
    </w:p>
    <w:p>
      <w:pPr>
        <w:spacing w:line="600" w:lineRule="exact"/>
        <w:ind w:firstLine="424" w:firstLineChars="177"/>
        <w:rPr>
          <w:rFonts w:hint="eastAsia" w:ascii="宋体" w:hAnsi="宋体" w:cs="宋体"/>
          <w:color w:val="auto"/>
          <w:kern w:val="0"/>
          <w:sz w:val="24"/>
        </w:rPr>
      </w:pPr>
      <w:r>
        <w:rPr>
          <w:rFonts w:hint="eastAsia" w:ascii="宋体" w:hAnsi="宋体" w:cs="宋体"/>
          <w:color w:val="auto"/>
          <w:kern w:val="0"/>
          <w:sz w:val="24"/>
        </w:rPr>
        <w:t>9.2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（十）修改评审结果</w:t>
      </w:r>
    </w:p>
    <w:p>
      <w:pPr>
        <w:spacing w:line="600" w:lineRule="exact"/>
        <w:ind w:firstLine="487" w:firstLineChars="202"/>
        <w:rPr>
          <w:rFonts w:hint="eastAsia" w:ascii="宋体" w:hAnsi="宋体" w:cs="宋体"/>
          <w:b/>
          <w:color w:val="auto"/>
          <w:sz w:val="24"/>
        </w:rPr>
      </w:pPr>
      <w:r>
        <w:rPr>
          <w:rFonts w:hint="eastAsia" w:ascii="宋体" w:hAnsi="宋体" w:cs="宋体"/>
          <w:b/>
          <w:color w:val="auto"/>
          <w:sz w:val="24"/>
        </w:rPr>
        <w:t>10.1评标结果汇总完成后，除下列情形外，任何人不得修改评标结果：</w:t>
      </w:r>
    </w:p>
    <w:p>
      <w:pPr>
        <w:spacing w:line="600" w:lineRule="exact"/>
        <w:ind w:firstLine="484" w:firstLineChars="202"/>
        <w:rPr>
          <w:rFonts w:hint="eastAsia" w:ascii="宋体" w:hAnsi="宋体" w:cs="宋体"/>
          <w:color w:val="auto"/>
          <w:sz w:val="24"/>
        </w:rPr>
      </w:pPr>
      <w:r>
        <w:rPr>
          <w:rFonts w:hint="eastAsia" w:ascii="宋体" w:hAnsi="宋体" w:cs="宋体"/>
          <w:color w:val="auto"/>
          <w:sz w:val="24"/>
        </w:rPr>
        <w:t>（1）分值汇总计算错误的；</w:t>
      </w:r>
    </w:p>
    <w:p>
      <w:pPr>
        <w:spacing w:line="600" w:lineRule="exact"/>
        <w:ind w:firstLine="484" w:firstLineChars="202"/>
        <w:rPr>
          <w:rFonts w:hint="eastAsia" w:ascii="宋体" w:hAnsi="宋体" w:cs="宋体"/>
          <w:color w:val="auto"/>
          <w:sz w:val="24"/>
        </w:rPr>
      </w:pPr>
      <w:r>
        <w:rPr>
          <w:rFonts w:hint="eastAsia" w:ascii="宋体" w:hAnsi="宋体" w:cs="宋体"/>
          <w:color w:val="auto"/>
          <w:sz w:val="24"/>
        </w:rPr>
        <w:t>（2）分项评分超出评分标准范围的；</w:t>
      </w:r>
    </w:p>
    <w:p>
      <w:pPr>
        <w:spacing w:line="600" w:lineRule="exact"/>
        <w:ind w:firstLine="484" w:firstLineChars="202"/>
        <w:rPr>
          <w:rFonts w:hint="eastAsia" w:ascii="宋体" w:hAnsi="宋体" w:cs="宋体"/>
          <w:color w:val="auto"/>
          <w:sz w:val="24"/>
        </w:rPr>
      </w:pPr>
      <w:r>
        <w:rPr>
          <w:rFonts w:hint="eastAsia" w:ascii="宋体" w:hAnsi="宋体" w:cs="宋体"/>
          <w:color w:val="auto"/>
          <w:sz w:val="24"/>
        </w:rPr>
        <w:t>（3）评标委员会成员对客观评审因素评分不一致的；</w:t>
      </w:r>
    </w:p>
    <w:p>
      <w:pPr>
        <w:spacing w:line="600" w:lineRule="exact"/>
        <w:ind w:firstLine="484" w:firstLineChars="202"/>
        <w:rPr>
          <w:rFonts w:hint="eastAsia" w:ascii="宋体" w:hAnsi="宋体" w:cs="宋体"/>
          <w:color w:val="auto"/>
          <w:sz w:val="24"/>
        </w:rPr>
      </w:pPr>
      <w:r>
        <w:rPr>
          <w:rFonts w:hint="eastAsia" w:ascii="宋体" w:hAnsi="宋体" w:cs="宋体"/>
          <w:color w:val="auto"/>
          <w:sz w:val="24"/>
        </w:rPr>
        <w:t>（4）经评标委员会认定评分畸高、畸低的。</w:t>
      </w:r>
    </w:p>
    <w:p>
      <w:pPr>
        <w:spacing w:line="600" w:lineRule="exact"/>
        <w:ind w:firstLine="487" w:firstLineChars="202"/>
        <w:rPr>
          <w:rFonts w:hint="eastAsia" w:ascii="宋体" w:hAnsi="宋体" w:cs="宋体"/>
          <w:b/>
          <w:color w:val="auto"/>
          <w:sz w:val="24"/>
        </w:rPr>
      </w:pPr>
      <w:r>
        <w:rPr>
          <w:rFonts w:hint="eastAsia" w:ascii="宋体" w:hAnsi="宋体" w:cs="宋体"/>
          <w:b/>
          <w:color w:val="auto"/>
          <w:sz w:val="24"/>
        </w:rPr>
        <w:t>10.2评标报告签署前，经复核发现存在以上情形之一的，评标委员会将当场修改评标结果，并在评标报告中记载。</w:t>
      </w:r>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（十一）供应商排序及推荐中标（成交）候选供应商</w:t>
      </w:r>
    </w:p>
    <w:p>
      <w:pPr>
        <w:spacing w:line="600" w:lineRule="exact"/>
        <w:ind w:firstLine="426" w:firstLineChars="177"/>
        <w:rPr>
          <w:rFonts w:hint="eastAsia" w:ascii="宋体" w:hAnsi="宋体" w:cs="宋体"/>
          <w:b/>
          <w:color w:val="auto"/>
          <w:sz w:val="24"/>
        </w:rPr>
      </w:pPr>
      <w:r>
        <w:rPr>
          <w:rFonts w:hint="eastAsia" w:ascii="宋体" w:hAnsi="宋体" w:cs="宋体"/>
          <w:b/>
          <w:color w:val="auto"/>
          <w:sz w:val="24"/>
        </w:rPr>
        <w:t>评标委员会根据以下规定确定供应商排名并推荐中标（成交）候选供应商。</w:t>
      </w:r>
    </w:p>
    <w:p>
      <w:pPr>
        <w:spacing w:line="600" w:lineRule="exact"/>
        <w:ind w:firstLine="465" w:firstLineChars="193"/>
        <w:rPr>
          <w:rFonts w:hint="eastAsia" w:ascii="宋体" w:hAnsi="宋体" w:cs="宋体"/>
          <w:color w:val="auto"/>
          <w:kern w:val="0"/>
          <w:sz w:val="24"/>
        </w:rPr>
      </w:pPr>
      <w:r>
        <w:rPr>
          <w:rFonts w:hint="eastAsia" w:ascii="宋体" w:hAnsi="宋体" w:cs="宋体"/>
          <w:b/>
          <w:color w:val="auto"/>
          <w:sz w:val="24"/>
        </w:rPr>
        <w:t>11.1评标委员会根据各投标供应商的综合得分（商务技术分与报价得分之和）从高到低依次进行排名排序。特殊情形按以下原则处理：</w:t>
      </w:r>
    </w:p>
    <w:p>
      <w:pPr>
        <w:spacing w:line="600" w:lineRule="exact"/>
        <w:ind w:firstLine="463" w:firstLineChars="193"/>
        <w:rPr>
          <w:rFonts w:hint="eastAsia" w:ascii="宋体" w:hAnsi="宋体" w:cs="宋体"/>
          <w:color w:val="auto"/>
          <w:sz w:val="24"/>
        </w:rPr>
      </w:pPr>
      <w:r>
        <w:rPr>
          <w:rFonts w:hint="eastAsia" w:ascii="宋体" w:hAnsi="宋体" w:cs="宋体"/>
          <w:color w:val="auto"/>
          <w:sz w:val="24"/>
        </w:rPr>
        <w:t>（1）综合得分相同的，按投标报价低的优先原则确定排名；</w:t>
      </w:r>
    </w:p>
    <w:p>
      <w:pPr>
        <w:spacing w:line="600" w:lineRule="exact"/>
        <w:ind w:firstLine="463" w:firstLineChars="193"/>
        <w:rPr>
          <w:rFonts w:hint="eastAsia" w:ascii="宋体" w:hAnsi="宋体" w:cs="宋体"/>
          <w:color w:val="auto"/>
          <w:sz w:val="24"/>
        </w:rPr>
      </w:pPr>
      <w:r>
        <w:rPr>
          <w:rFonts w:hint="eastAsia" w:ascii="宋体" w:hAnsi="宋体" w:cs="宋体"/>
          <w:color w:val="auto"/>
          <w:sz w:val="24"/>
        </w:rPr>
        <w:t>（2）综合得分和投标报价均相同的，按技术资信得分从高到低确定排名；</w:t>
      </w:r>
    </w:p>
    <w:p>
      <w:pPr>
        <w:spacing w:line="600" w:lineRule="exact"/>
        <w:ind w:firstLine="463" w:firstLineChars="193"/>
        <w:rPr>
          <w:rFonts w:hint="eastAsia" w:ascii="宋体" w:hAnsi="宋体" w:cs="宋体"/>
          <w:color w:val="auto"/>
          <w:sz w:val="24"/>
        </w:rPr>
      </w:pPr>
      <w:r>
        <w:rPr>
          <w:rFonts w:hint="eastAsia" w:ascii="宋体" w:hAnsi="宋体" w:cs="宋体"/>
          <w:color w:val="auto"/>
          <w:sz w:val="24"/>
        </w:rPr>
        <w:t>（3）综合得分、投标报价和技术资信得分均相同的由评标委员会全体成员记名投票按少数服从多数的原则确定排名。</w:t>
      </w:r>
    </w:p>
    <w:p>
      <w:pPr>
        <w:spacing w:line="600" w:lineRule="exact"/>
        <w:ind w:firstLine="426" w:firstLineChars="177"/>
        <w:rPr>
          <w:rFonts w:hint="eastAsia" w:ascii="宋体" w:hAnsi="宋体" w:cs="宋体"/>
          <w:b/>
          <w:color w:val="auto"/>
          <w:sz w:val="24"/>
        </w:rPr>
      </w:pPr>
      <w:r>
        <w:rPr>
          <w:rFonts w:hint="eastAsia" w:ascii="宋体" w:hAnsi="宋体" w:cs="宋体"/>
          <w:b/>
          <w:color w:val="auto"/>
          <w:sz w:val="24"/>
        </w:rPr>
        <w:t>11.2根据最终得分排序，通过书面评审报告的形式，向采购人推荐</w:t>
      </w:r>
      <w:r>
        <w:rPr>
          <w:rFonts w:hint="eastAsia" w:ascii="宋体" w:hAnsi="宋体" w:cs="宋体"/>
          <w:b/>
          <w:color w:val="auto"/>
          <w:kern w:val="0"/>
          <w:sz w:val="24"/>
        </w:rPr>
        <w:t>排名第一的投标供应商为中标（成交）候选供应商</w:t>
      </w:r>
      <w:r>
        <w:rPr>
          <w:rFonts w:hint="eastAsia" w:ascii="宋体" w:hAnsi="宋体" w:cs="宋体"/>
          <w:b/>
          <w:color w:val="auto"/>
          <w:sz w:val="24"/>
        </w:rPr>
        <w:t>。</w:t>
      </w:r>
    </w:p>
    <w:p>
      <w:pPr>
        <w:pStyle w:val="6"/>
        <w:numPr>
          <w:ilvl w:val="2"/>
          <w:numId w:val="0"/>
        </w:numPr>
        <w:spacing w:before="0" w:after="0" w:line="600" w:lineRule="exact"/>
        <w:ind w:left="720" w:hanging="720"/>
        <w:jc w:val="both"/>
        <w:rPr>
          <w:rFonts w:hint="eastAsia" w:ascii="宋体" w:hAnsi="宋体" w:eastAsia="宋体" w:cs="宋体"/>
          <w:color w:val="auto"/>
          <w:sz w:val="24"/>
          <w:szCs w:val="24"/>
        </w:rPr>
      </w:pPr>
      <w:r>
        <w:rPr>
          <w:rFonts w:hint="eastAsia" w:ascii="宋体" w:hAnsi="宋体" w:eastAsia="宋体" w:cs="宋体"/>
          <w:color w:val="auto"/>
          <w:sz w:val="24"/>
          <w:szCs w:val="24"/>
        </w:rPr>
        <w:t>（十二）起草、签署评审报告</w:t>
      </w:r>
    </w:p>
    <w:p>
      <w:pPr>
        <w:spacing w:line="600" w:lineRule="exact"/>
        <w:ind w:firstLine="463" w:firstLineChars="193"/>
        <w:rPr>
          <w:rFonts w:hint="eastAsia" w:ascii="宋体" w:hAnsi="宋体" w:cs="宋体"/>
          <w:color w:val="auto"/>
          <w:sz w:val="24"/>
        </w:rPr>
      </w:pPr>
      <w:r>
        <w:rPr>
          <w:rFonts w:hint="eastAsia" w:ascii="宋体" w:hAnsi="宋体" w:cs="宋体"/>
          <w:color w:val="auto"/>
          <w:sz w:val="24"/>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41"/>
        <w:snapToGrid w:val="0"/>
        <w:spacing w:line="600" w:lineRule="exact"/>
        <w:rPr>
          <w:rFonts w:hint="eastAsia" w:ascii="宋体" w:hAnsi="宋体" w:eastAsia="宋体" w:cs="宋体"/>
          <w:b/>
          <w:color w:val="auto"/>
          <w:sz w:val="24"/>
          <w:szCs w:val="24"/>
        </w:rPr>
      </w:pPr>
      <w:bookmarkStart w:id="95" w:name="_Toc91899903"/>
      <w:r>
        <w:rPr>
          <w:rFonts w:hint="eastAsia" w:ascii="宋体" w:hAnsi="宋体" w:eastAsia="宋体" w:cs="宋体"/>
          <w:b/>
          <w:color w:val="auto"/>
          <w:sz w:val="24"/>
          <w:szCs w:val="24"/>
        </w:rPr>
        <w:t>（十三）评标办法</w:t>
      </w:r>
    </w:p>
    <w:p>
      <w:pPr>
        <w:snapToGrid w:val="0"/>
        <w:spacing w:line="600" w:lineRule="exact"/>
        <w:ind w:firstLine="482" w:firstLineChars="200"/>
        <w:rPr>
          <w:rFonts w:hint="eastAsia" w:ascii="宋体" w:hAnsi="宋体" w:cs="宋体"/>
          <w:color w:val="auto"/>
          <w:sz w:val="24"/>
        </w:rPr>
      </w:pPr>
      <w:r>
        <w:rPr>
          <w:rFonts w:hint="eastAsia" w:ascii="宋体" w:hAnsi="宋体" w:cs="宋体"/>
          <w:b/>
          <w:bCs/>
          <w:color w:val="auto"/>
          <w:sz w:val="24"/>
        </w:rPr>
        <w:t>1、</w:t>
      </w:r>
      <w:r>
        <w:rPr>
          <w:rFonts w:hint="eastAsia" w:ascii="宋体" w:hAnsi="宋体" w:cs="宋体"/>
          <w:b/>
          <w:color w:val="auto"/>
          <w:sz w:val="24"/>
        </w:rPr>
        <w:t>本项目采用综合评分法</w:t>
      </w:r>
      <w:r>
        <w:rPr>
          <w:rFonts w:hint="eastAsia" w:ascii="宋体" w:hAnsi="宋体" w:cs="宋体"/>
          <w:color w:val="auto"/>
          <w:sz w:val="24"/>
        </w:rPr>
        <w:t>，总分为100分，其中商务、技术90分，价格分10分。</w:t>
      </w:r>
    </w:p>
    <w:p>
      <w:pPr>
        <w:numPr>
          <w:ilvl w:val="0"/>
          <w:numId w:val="12"/>
        </w:numPr>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商务、技术评标细则（90分）</w:t>
      </w:r>
    </w:p>
    <w:p>
      <w:pPr>
        <w:numPr>
          <w:ilvl w:val="0"/>
          <w:numId w:val="12"/>
        </w:numPr>
        <w:snapToGrid w:val="0"/>
        <w:spacing w:line="600" w:lineRule="exact"/>
        <w:ind w:firstLine="480" w:firstLineChars="200"/>
        <w:rPr>
          <w:rFonts w:hint="eastAsia" w:ascii="宋体" w:hAnsi="宋体" w:cs="宋体"/>
          <w:color w:val="auto"/>
          <w:sz w:val="24"/>
        </w:rPr>
      </w:pPr>
    </w:p>
    <w:p>
      <w:pPr>
        <w:pStyle w:val="318"/>
        <w:rPr>
          <w:rFonts w:hint="eastAsia" w:cs="宋体"/>
          <w:color w:val="auto"/>
        </w:rPr>
      </w:pPr>
    </w:p>
    <w:tbl>
      <w:tblPr>
        <w:tblStyle w:val="77"/>
        <w:tblW w:w="976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162"/>
        <w:gridCol w:w="503"/>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trPr>
        <w:tc>
          <w:tcPr>
            <w:tcW w:w="2301" w:type="dxa"/>
            <w:gridSpan w:val="2"/>
            <w:noWrap w:val="0"/>
            <w:vAlign w:val="center"/>
          </w:tcPr>
          <w:p>
            <w:pPr>
              <w:widowControl/>
              <w:jc w:val="center"/>
              <w:rPr>
                <w:rFonts w:hint="eastAsia" w:ascii="宋体" w:hAnsi="宋体" w:cs="宋体"/>
                <w:b/>
                <w:bCs/>
                <w:color w:val="auto"/>
                <w:kern w:val="0"/>
                <w:sz w:val="24"/>
              </w:rPr>
            </w:pPr>
            <w:r>
              <w:rPr>
                <w:rFonts w:hint="eastAsia" w:ascii="宋体" w:hAnsi="宋体" w:cs="宋体"/>
                <w:b/>
                <w:bCs/>
                <w:color w:val="auto"/>
                <w:kern w:val="0"/>
                <w:sz w:val="24"/>
              </w:rPr>
              <w:t>项目</w:t>
            </w:r>
          </w:p>
        </w:tc>
        <w:tc>
          <w:tcPr>
            <w:tcW w:w="503" w:type="dxa"/>
            <w:noWrap w:val="0"/>
            <w:vAlign w:val="center"/>
          </w:tcPr>
          <w:p>
            <w:pPr>
              <w:widowControl/>
              <w:jc w:val="center"/>
              <w:rPr>
                <w:rFonts w:hint="eastAsia" w:ascii="宋体" w:hAnsi="宋体" w:cs="宋体"/>
                <w:b/>
                <w:bCs/>
                <w:color w:val="auto"/>
                <w:kern w:val="0"/>
                <w:sz w:val="24"/>
              </w:rPr>
            </w:pPr>
            <w:r>
              <w:rPr>
                <w:rFonts w:hint="eastAsia" w:ascii="宋体" w:hAnsi="宋体" w:cs="宋体"/>
                <w:b/>
                <w:bCs/>
                <w:color w:val="auto"/>
                <w:kern w:val="0"/>
                <w:sz w:val="24"/>
              </w:rPr>
              <w:t>分值</w:t>
            </w:r>
          </w:p>
        </w:tc>
        <w:tc>
          <w:tcPr>
            <w:tcW w:w="6957" w:type="dxa"/>
            <w:noWrap w:val="0"/>
            <w:vAlign w:val="center"/>
          </w:tcPr>
          <w:p>
            <w:pPr>
              <w:widowControl/>
              <w:jc w:val="center"/>
              <w:rPr>
                <w:rFonts w:hint="eastAsia" w:ascii="宋体" w:hAnsi="宋体" w:cs="宋体"/>
                <w:b/>
                <w:bCs/>
                <w:color w:val="auto"/>
                <w:kern w:val="0"/>
                <w:sz w:val="24"/>
              </w:rPr>
            </w:pPr>
            <w:r>
              <w:rPr>
                <w:rFonts w:hint="eastAsia" w:ascii="宋体" w:hAnsi="宋体" w:cs="宋体"/>
                <w:b/>
                <w:bCs/>
                <w:color w:val="auto"/>
                <w:kern w:val="0"/>
                <w:sz w:val="24"/>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5" w:hRule="atLeast"/>
        </w:trPr>
        <w:tc>
          <w:tcPr>
            <w:tcW w:w="1139"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商务资信部分   （26分）</w:t>
            </w:r>
          </w:p>
        </w:tc>
        <w:tc>
          <w:tcPr>
            <w:tcW w:w="116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企业综合实力（20分）</w:t>
            </w:r>
          </w:p>
        </w:tc>
        <w:tc>
          <w:tcPr>
            <w:tcW w:w="50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w:t>
            </w:r>
          </w:p>
        </w:tc>
        <w:tc>
          <w:tcPr>
            <w:tcW w:w="6957" w:type="dxa"/>
            <w:noWrap w:val="0"/>
            <w:vAlign w:val="center"/>
          </w:tcPr>
          <w:p>
            <w:pPr>
              <w:widowControl/>
              <w:wordWrap w:val="0"/>
              <w:jc w:val="left"/>
              <w:rPr>
                <w:rFonts w:hint="eastAsia" w:ascii="宋体" w:hAnsi="宋体" w:cs="宋体"/>
                <w:color w:val="auto"/>
                <w:kern w:val="0"/>
                <w:sz w:val="24"/>
              </w:rPr>
            </w:pPr>
            <w:r>
              <w:rPr>
                <w:rFonts w:hint="eastAsia" w:ascii="宋体" w:hAnsi="宋体" w:cs="宋体"/>
                <w:color w:val="auto"/>
                <w:kern w:val="0"/>
                <w:sz w:val="24"/>
              </w:rPr>
              <w:t>投标人取得有效期内的ISO9001质量管理体系认证证书、IEC27001信息安全管理体系认证证书、ISO 20000信息技术服务管理体系认证证书、信息技术服务运行维护标准（ITSS）证书、CMMI三级或以上认证证书，每个得1分，满分5分。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5" w:hRule="atLeast"/>
        </w:trPr>
        <w:tc>
          <w:tcPr>
            <w:tcW w:w="1139" w:type="dxa"/>
            <w:vMerge w:val="continue"/>
            <w:noWrap w:val="0"/>
            <w:vAlign w:val="center"/>
          </w:tcPr>
          <w:p>
            <w:pPr>
              <w:widowControl/>
              <w:jc w:val="left"/>
              <w:rPr>
                <w:rFonts w:hint="eastAsia" w:ascii="宋体" w:hAnsi="宋体" w:cs="宋体"/>
                <w:color w:val="auto"/>
                <w:kern w:val="0"/>
                <w:sz w:val="24"/>
              </w:rPr>
            </w:pPr>
          </w:p>
        </w:tc>
        <w:tc>
          <w:tcPr>
            <w:tcW w:w="1162" w:type="dxa"/>
            <w:vMerge w:val="continue"/>
            <w:noWrap w:val="0"/>
            <w:vAlign w:val="center"/>
          </w:tcPr>
          <w:p>
            <w:pPr>
              <w:widowControl/>
              <w:jc w:val="left"/>
              <w:rPr>
                <w:rFonts w:hint="eastAsia" w:ascii="宋体" w:hAnsi="宋体" w:cs="宋体"/>
                <w:color w:val="auto"/>
                <w:kern w:val="0"/>
                <w:sz w:val="24"/>
              </w:rPr>
            </w:pPr>
          </w:p>
        </w:tc>
        <w:tc>
          <w:tcPr>
            <w:tcW w:w="50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6</w:t>
            </w:r>
          </w:p>
        </w:tc>
        <w:tc>
          <w:tcPr>
            <w:tcW w:w="6957" w:type="dxa"/>
            <w:noWrap w:val="0"/>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投标人具有甲级国家秘密载体印制资质证书（涉密档案数字化加工）得6分；具有乙级国家秘密载体印制资质证书（涉密档案数字化加工）得3分，没有不得分。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5" w:hRule="atLeast"/>
        </w:trPr>
        <w:tc>
          <w:tcPr>
            <w:tcW w:w="1139" w:type="dxa"/>
            <w:vMerge w:val="continue"/>
            <w:noWrap w:val="0"/>
            <w:vAlign w:val="center"/>
          </w:tcPr>
          <w:p>
            <w:pPr>
              <w:widowControl/>
              <w:jc w:val="left"/>
              <w:rPr>
                <w:rFonts w:hint="eastAsia" w:ascii="宋体" w:hAnsi="宋体" w:cs="宋体"/>
                <w:color w:val="auto"/>
                <w:kern w:val="0"/>
                <w:sz w:val="24"/>
              </w:rPr>
            </w:pPr>
          </w:p>
        </w:tc>
        <w:tc>
          <w:tcPr>
            <w:tcW w:w="1162" w:type="dxa"/>
            <w:vMerge w:val="continue"/>
            <w:noWrap w:val="0"/>
            <w:vAlign w:val="center"/>
          </w:tcPr>
          <w:p>
            <w:pPr>
              <w:widowControl/>
              <w:jc w:val="left"/>
              <w:rPr>
                <w:rFonts w:hint="eastAsia" w:ascii="宋体" w:hAnsi="宋体" w:cs="宋体"/>
                <w:color w:val="auto"/>
                <w:kern w:val="0"/>
                <w:sz w:val="24"/>
              </w:rPr>
            </w:pPr>
          </w:p>
        </w:tc>
        <w:tc>
          <w:tcPr>
            <w:tcW w:w="50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9</w:t>
            </w:r>
          </w:p>
        </w:tc>
        <w:tc>
          <w:tcPr>
            <w:tcW w:w="6957" w:type="dxa"/>
            <w:noWrap w:val="0"/>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投标人自有电子库房管理系统软件著作权证书、</w:t>
            </w:r>
            <w:r>
              <w:rPr>
                <w:rFonts w:hint="eastAsia" w:ascii="宋体" w:hAnsi="宋体" w:cs="宋体"/>
                <w:color w:val="auto"/>
                <w:sz w:val="24"/>
              </w:rPr>
              <w:t>公共物资管理系统软件著作权证书、仓储自动分类分拣传送定位控制系统软件著作权证书，每个得3分，满分9分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5" w:hRule="atLeast"/>
        </w:trPr>
        <w:tc>
          <w:tcPr>
            <w:tcW w:w="1139" w:type="dxa"/>
            <w:vMerge w:val="continue"/>
            <w:noWrap w:val="0"/>
            <w:vAlign w:val="center"/>
          </w:tcPr>
          <w:p>
            <w:pPr>
              <w:widowControl/>
              <w:jc w:val="left"/>
              <w:rPr>
                <w:rFonts w:hint="eastAsia" w:ascii="宋体" w:hAnsi="宋体" w:cs="宋体"/>
                <w:color w:val="auto"/>
                <w:kern w:val="0"/>
                <w:sz w:val="24"/>
              </w:rPr>
            </w:pPr>
          </w:p>
        </w:tc>
        <w:tc>
          <w:tcPr>
            <w:tcW w:w="11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成功案例（6分）</w:t>
            </w:r>
          </w:p>
        </w:tc>
        <w:tc>
          <w:tcPr>
            <w:tcW w:w="50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6</w:t>
            </w:r>
          </w:p>
        </w:tc>
        <w:tc>
          <w:tcPr>
            <w:tcW w:w="6957" w:type="dxa"/>
            <w:noWrap w:val="0"/>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 xml:space="preserve">投标人提供近3年以来类似项目（物资仓储管理或档案实物仓储管理）的成功案例，每个案例得1分，最高得6分。注：时间以合同签约时间为准，以上内容必须提供服务合同的复印件并加盖公章。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0" w:hRule="atLeast"/>
        </w:trPr>
        <w:tc>
          <w:tcPr>
            <w:tcW w:w="1139"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技术</w:t>
            </w:r>
          </w:p>
          <w:p>
            <w:pPr>
              <w:widowControl/>
              <w:jc w:val="center"/>
              <w:rPr>
                <w:rFonts w:hint="eastAsia" w:ascii="宋体" w:hAnsi="宋体" w:cs="宋体"/>
                <w:color w:val="auto"/>
                <w:kern w:val="0"/>
                <w:sz w:val="24"/>
              </w:rPr>
            </w:pPr>
            <w:r>
              <w:rPr>
                <w:rFonts w:hint="eastAsia" w:ascii="宋体" w:hAnsi="宋体" w:cs="宋体"/>
                <w:color w:val="auto"/>
                <w:kern w:val="0"/>
                <w:sz w:val="24"/>
              </w:rPr>
              <w:t>部分</w:t>
            </w:r>
          </w:p>
          <w:p>
            <w:pPr>
              <w:widowControl/>
              <w:jc w:val="center"/>
              <w:rPr>
                <w:rFonts w:hint="eastAsia" w:ascii="宋体" w:hAnsi="宋体" w:cs="宋体"/>
                <w:color w:val="auto"/>
                <w:kern w:val="0"/>
                <w:sz w:val="24"/>
              </w:rPr>
            </w:pPr>
            <w:r>
              <w:rPr>
                <w:rFonts w:hint="eastAsia" w:ascii="宋体" w:hAnsi="宋体" w:cs="宋体"/>
                <w:color w:val="auto"/>
                <w:kern w:val="0"/>
                <w:sz w:val="24"/>
              </w:rPr>
              <w:t>（64分）</w:t>
            </w:r>
          </w:p>
        </w:tc>
        <w:tc>
          <w:tcPr>
            <w:tcW w:w="116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项目运营方案（10分）</w:t>
            </w:r>
          </w:p>
        </w:tc>
        <w:tc>
          <w:tcPr>
            <w:tcW w:w="50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w:t>
            </w:r>
          </w:p>
        </w:tc>
        <w:tc>
          <w:tcPr>
            <w:tcW w:w="6957" w:type="dxa"/>
            <w:noWrap w:val="0"/>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根据投标方案与采购需求的吻合程度，重难点分析，应答是否详尽、明晰，是否满足招标文件要求；内容是否完整齐全、表述准确、条理清晰，内容无前后矛盾等进行打分（0-5）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0" w:hRule="atLeast"/>
        </w:trPr>
        <w:tc>
          <w:tcPr>
            <w:tcW w:w="1139" w:type="dxa"/>
            <w:vMerge w:val="continue"/>
            <w:noWrap w:val="0"/>
            <w:vAlign w:val="center"/>
          </w:tcPr>
          <w:p>
            <w:pPr>
              <w:widowControl/>
              <w:jc w:val="left"/>
              <w:rPr>
                <w:rFonts w:hint="eastAsia" w:ascii="宋体" w:hAnsi="宋体" w:cs="宋体"/>
                <w:color w:val="auto"/>
                <w:kern w:val="0"/>
                <w:sz w:val="24"/>
              </w:rPr>
            </w:pPr>
          </w:p>
        </w:tc>
        <w:tc>
          <w:tcPr>
            <w:tcW w:w="1162" w:type="dxa"/>
            <w:vMerge w:val="continue"/>
            <w:noWrap w:val="0"/>
            <w:vAlign w:val="center"/>
          </w:tcPr>
          <w:p>
            <w:pPr>
              <w:widowControl/>
              <w:jc w:val="left"/>
              <w:rPr>
                <w:rFonts w:hint="eastAsia" w:ascii="宋体" w:hAnsi="宋体" w:cs="宋体"/>
                <w:color w:val="auto"/>
                <w:kern w:val="0"/>
                <w:sz w:val="24"/>
              </w:rPr>
            </w:pPr>
          </w:p>
        </w:tc>
        <w:tc>
          <w:tcPr>
            <w:tcW w:w="50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w:t>
            </w:r>
          </w:p>
        </w:tc>
        <w:tc>
          <w:tcPr>
            <w:tcW w:w="6957" w:type="dxa"/>
            <w:noWrap w:val="0"/>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根据投标人提供的运营整体服务方案的科学性、先进性、合理性、完整性进行打分（0-5）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0" w:hRule="atLeast"/>
        </w:trPr>
        <w:tc>
          <w:tcPr>
            <w:tcW w:w="1139" w:type="dxa"/>
            <w:vMerge w:val="continue"/>
            <w:noWrap w:val="0"/>
            <w:vAlign w:val="center"/>
          </w:tcPr>
          <w:p>
            <w:pPr>
              <w:widowControl/>
              <w:jc w:val="left"/>
              <w:rPr>
                <w:rFonts w:hint="eastAsia" w:ascii="宋体" w:hAnsi="宋体" w:cs="宋体"/>
                <w:color w:val="auto"/>
                <w:kern w:val="0"/>
                <w:sz w:val="24"/>
              </w:rPr>
            </w:pPr>
          </w:p>
        </w:tc>
        <w:tc>
          <w:tcPr>
            <w:tcW w:w="116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物业管理情况（15分）</w:t>
            </w:r>
          </w:p>
        </w:tc>
        <w:tc>
          <w:tcPr>
            <w:tcW w:w="50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w:t>
            </w:r>
          </w:p>
        </w:tc>
        <w:tc>
          <w:tcPr>
            <w:tcW w:w="6957" w:type="dxa"/>
            <w:noWrap w:val="0"/>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投标人提供管理物业服务方案的合理性、完整性、科学性；物业管理信息化；根据环境卫生，保安管理，设备维修等进行打分（0-5）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5" w:hRule="atLeast"/>
        </w:trPr>
        <w:tc>
          <w:tcPr>
            <w:tcW w:w="1139" w:type="dxa"/>
            <w:vMerge w:val="continue"/>
            <w:noWrap w:val="0"/>
            <w:vAlign w:val="center"/>
          </w:tcPr>
          <w:p>
            <w:pPr>
              <w:widowControl/>
              <w:jc w:val="left"/>
              <w:rPr>
                <w:rFonts w:hint="eastAsia" w:ascii="宋体" w:hAnsi="宋体" w:cs="宋体"/>
                <w:color w:val="auto"/>
                <w:kern w:val="0"/>
                <w:sz w:val="24"/>
              </w:rPr>
            </w:pPr>
          </w:p>
        </w:tc>
        <w:tc>
          <w:tcPr>
            <w:tcW w:w="1162" w:type="dxa"/>
            <w:vMerge w:val="continue"/>
            <w:noWrap w:val="0"/>
            <w:vAlign w:val="center"/>
          </w:tcPr>
          <w:p>
            <w:pPr>
              <w:widowControl/>
              <w:jc w:val="left"/>
              <w:rPr>
                <w:rFonts w:hint="eastAsia" w:ascii="宋体" w:hAnsi="宋体" w:cs="宋体"/>
                <w:color w:val="auto"/>
                <w:kern w:val="0"/>
                <w:sz w:val="24"/>
              </w:rPr>
            </w:pPr>
          </w:p>
        </w:tc>
        <w:tc>
          <w:tcPr>
            <w:tcW w:w="50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w:t>
            </w:r>
          </w:p>
        </w:tc>
        <w:tc>
          <w:tcPr>
            <w:tcW w:w="6957" w:type="dxa"/>
            <w:noWrap w:val="0"/>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根据对项目实施计划、人员的排班、巡逻、分布等情况的合理性、可操作性进行打分，最高得5分。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trPr>
        <w:tc>
          <w:tcPr>
            <w:tcW w:w="1139" w:type="dxa"/>
            <w:vMerge w:val="continue"/>
            <w:noWrap w:val="0"/>
            <w:vAlign w:val="center"/>
          </w:tcPr>
          <w:p>
            <w:pPr>
              <w:widowControl/>
              <w:jc w:val="left"/>
              <w:rPr>
                <w:rFonts w:hint="eastAsia" w:ascii="宋体" w:hAnsi="宋体" w:cs="宋体"/>
                <w:color w:val="auto"/>
                <w:kern w:val="0"/>
                <w:sz w:val="24"/>
              </w:rPr>
            </w:pPr>
          </w:p>
        </w:tc>
        <w:tc>
          <w:tcPr>
            <w:tcW w:w="1162" w:type="dxa"/>
            <w:vMerge w:val="continue"/>
            <w:noWrap w:val="0"/>
            <w:vAlign w:val="center"/>
          </w:tcPr>
          <w:p>
            <w:pPr>
              <w:widowControl/>
              <w:jc w:val="left"/>
              <w:rPr>
                <w:rFonts w:hint="eastAsia" w:ascii="宋体" w:hAnsi="宋体" w:cs="宋体"/>
                <w:color w:val="auto"/>
                <w:kern w:val="0"/>
                <w:sz w:val="24"/>
              </w:rPr>
            </w:pPr>
          </w:p>
        </w:tc>
        <w:tc>
          <w:tcPr>
            <w:tcW w:w="50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w:t>
            </w:r>
          </w:p>
        </w:tc>
        <w:tc>
          <w:tcPr>
            <w:tcW w:w="6957" w:type="dxa"/>
            <w:noWrap w:val="0"/>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根据投标人提供的项目培训方案及绩效考核方案的完整性、合理性进行打分（0-5）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trPr>
        <w:tc>
          <w:tcPr>
            <w:tcW w:w="1139" w:type="dxa"/>
            <w:vMerge w:val="continue"/>
            <w:noWrap w:val="0"/>
            <w:vAlign w:val="center"/>
          </w:tcPr>
          <w:p>
            <w:pPr>
              <w:widowControl/>
              <w:jc w:val="left"/>
              <w:rPr>
                <w:rFonts w:hint="eastAsia" w:ascii="宋体" w:hAnsi="宋体" w:cs="宋体"/>
                <w:color w:val="auto"/>
                <w:kern w:val="0"/>
                <w:sz w:val="24"/>
              </w:rPr>
            </w:pPr>
          </w:p>
        </w:tc>
        <w:tc>
          <w:tcPr>
            <w:tcW w:w="11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应急</w:t>
            </w:r>
          </w:p>
          <w:p>
            <w:pPr>
              <w:widowControl/>
              <w:jc w:val="center"/>
              <w:rPr>
                <w:rFonts w:hint="eastAsia" w:ascii="宋体" w:hAnsi="宋体" w:cs="宋体"/>
                <w:color w:val="auto"/>
                <w:kern w:val="0"/>
                <w:sz w:val="24"/>
              </w:rPr>
            </w:pPr>
            <w:r>
              <w:rPr>
                <w:rFonts w:hint="eastAsia" w:ascii="宋体" w:hAnsi="宋体" w:cs="宋体"/>
                <w:color w:val="auto"/>
                <w:kern w:val="0"/>
                <w:sz w:val="24"/>
              </w:rPr>
              <w:t>预案</w:t>
            </w:r>
          </w:p>
          <w:p>
            <w:pPr>
              <w:widowControl/>
              <w:jc w:val="center"/>
              <w:rPr>
                <w:rFonts w:hint="eastAsia" w:ascii="宋体" w:hAnsi="宋体" w:cs="宋体"/>
                <w:color w:val="auto"/>
                <w:kern w:val="0"/>
                <w:sz w:val="24"/>
              </w:rPr>
            </w:pPr>
            <w:r>
              <w:rPr>
                <w:rFonts w:hint="eastAsia" w:ascii="宋体" w:hAnsi="宋体" w:cs="宋体"/>
                <w:color w:val="auto"/>
                <w:kern w:val="0"/>
                <w:sz w:val="24"/>
              </w:rPr>
              <w:t>（5分）</w:t>
            </w:r>
          </w:p>
        </w:tc>
        <w:tc>
          <w:tcPr>
            <w:tcW w:w="50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w:t>
            </w:r>
          </w:p>
        </w:tc>
        <w:tc>
          <w:tcPr>
            <w:tcW w:w="6957" w:type="dxa"/>
            <w:noWrap w:val="0"/>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投标人具有应急相关管理制度及突发事件的应急处理措施进行打分（0-5）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trPr>
        <w:tc>
          <w:tcPr>
            <w:tcW w:w="1139" w:type="dxa"/>
            <w:vMerge w:val="continue"/>
            <w:noWrap w:val="0"/>
            <w:vAlign w:val="center"/>
          </w:tcPr>
          <w:p>
            <w:pPr>
              <w:widowControl/>
              <w:jc w:val="left"/>
              <w:rPr>
                <w:rFonts w:hint="eastAsia" w:ascii="宋体" w:hAnsi="宋体" w:cs="宋体"/>
                <w:color w:val="auto"/>
                <w:kern w:val="0"/>
                <w:sz w:val="24"/>
              </w:rPr>
            </w:pPr>
          </w:p>
        </w:tc>
        <w:tc>
          <w:tcPr>
            <w:tcW w:w="116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各项</w:t>
            </w:r>
          </w:p>
          <w:p>
            <w:pPr>
              <w:widowControl/>
              <w:jc w:val="center"/>
              <w:rPr>
                <w:rFonts w:hint="eastAsia" w:ascii="宋体" w:hAnsi="宋体" w:cs="宋体"/>
                <w:color w:val="auto"/>
                <w:kern w:val="0"/>
                <w:sz w:val="24"/>
              </w:rPr>
            </w:pPr>
            <w:r>
              <w:rPr>
                <w:rFonts w:hint="eastAsia" w:ascii="宋体" w:hAnsi="宋体" w:cs="宋体"/>
                <w:color w:val="auto"/>
                <w:kern w:val="0"/>
                <w:sz w:val="24"/>
              </w:rPr>
              <w:t>制度</w:t>
            </w:r>
          </w:p>
          <w:p>
            <w:pPr>
              <w:widowControl/>
              <w:jc w:val="center"/>
              <w:rPr>
                <w:rFonts w:hint="eastAsia" w:ascii="宋体" w:hAnsi="宋体" w:cs="宋体"/>
                <w:color w:val="auto"/>
                <w:kern w:val="0"/>
                <w:sz w:val="24"/>
              </w:rPr>
            </w:pPr>
            <w:r>
              <w:rPr>
                <w:rFonts w:hint="eastAsia" w:ascii="宋体" w:hAnsi="宋体" w:cs="宋体"/>
                <w:color w:val="auto"/>
                <w:kern w:val="0"/>
                <w:sz w:val="24"/>
              </w:rPr>
              <w:t>（10分）</w:t>
            </w:r>
          </w:p>
        </w:tc>
        <w:tc>
          <w:tcPr>
            <w:tcW w:w="50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6</w:t>
            </w:r>
          </w:p>
        </w:tc>
        <w:tc>
          <w:tcPr>
            <w:tcW w:w="6957" w:type="dxa"/>
            <w:noWrap w:val="0"/>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根据投标人针对本项目相关保密制度的严密性、可行性（0-3分）以及运营人员保密资质，每提供一张保密行政管理部门颁发的保密资质得1分，满分3分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6" w:hRule="atLeast"/>
        </w:trPr>
        <w:tc>
          <w:tcPr>
            <w:tcW w:w="1139" w:type="dxa"/>
            <w:vMerge w:val="continue"/>
            <w:noWrap w:val="0"/>
            <w:vAlign w:val="center"/>
          </w:tcPr>
          <w:p>
            <w:pPr>
              <w:widowControl/>
              <w:jc w:val="left"/>
              <w:rPr>
                <w:rFonts w:hint="eastAsia" w:ascii="宋体" w:hAnsi="宋体" w:cs="宋体"/>
                <w:color w:val="auto"/>
                <w:kern w:val="0"/>
                <w:sz w:val="24"/>
              </w:rPr>
            </w:pPr>
          </w:p>
        </w:tc>
        <w:tc>
          <w:tcPr>
            <w:tcW w:w="1162" w:type="dxa"/>
            <w:vMerge w:val="continue"/>
            <w:noWrap w:val="0"/>
            <w:vAlign w:val="center"/>
          </w:tcPr>
          <w:p>
            <w:pPr>
              <w:widowControl/>
              <w:jc w:val="left"/>
              <w:rPr>
                <w:rFonts w:hint="eastAsia" w:ascii="宋体" w:hAnsi="宋体" w:cs="宋体"/>
                <w:color w:val="auto"/>
                <w:kern w:val="0"/>
                <w:sz w:val="24"/>
              </w:rPr>
            </w:pPr>
          </w:p>
        </w:tc>
        <w:tc>
          <w:tcPr>
            <w:tcW w:w="50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4</w:t>
            </w:r>
          </w:p>
        </w:tc>
        <w:tc>
          <w:tcPr>
            <w:tcW w:w="6957" w:type="dxa"/>
            <w:noWrap w:val="0"/>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投标人具有完善的库房管理制度、消防安全管理制度、仓库安防监控管理制度、仓库应急管理制度、人员管理制度、出入库制度、工作日志及台账管理制度、库房温湿度监控制度等，每个制度得0.5分；最高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5" w:hRule="atLeast"/>
        </w:trPr>
        <w:tc>
          <w:tcPr>
            <w:tcW w:w="1139" w:type="dxa"/>
            <w:vMerge w:val="continue"/>
            <w:noWrap w:val="0"/>
            <w:vAlign w:val="center"/>
          </w:tcPr>
          <w:p>
            <w:pPr>
              <w:widowControl/>
              <w:jc w:val="left"/>
              <w:rPr>
                <w:rFonts w:hint="eastAsia" w:ascii="宋体" w:hAnsi="宋体" w:cs="宋体"/>
                <w:color w:val="auto"/>
                <w:kern w:val="0"/>
                <w:sz w:val="24"/>
              </w:rPr>
            </w:pPr>
          </w:p>
        </w:tc>
        <w:tc>
          <w:tcPr>
            <w:tcW w:w="1162" w:type="dxa"/>
            <w:noWrap w:val="0"/>
            <w:vAlign w:val="center"/>
          </w:tcPr>
          <w:p>
            <w:pPr>
              <w:widowControl/>
              <w:jc w:val="center"/>
              <w:rPr>
                <w:rFonts w:hint="eastAsia" w:ascii="宋体" w:hAnsi="宋体" w:cs="宋体"/>
                <w:color w:val="auto"/>
                <w:kern w:val="0"/>
                <w:sz w:val="24"/>
              </w:rPr>
            </w:pPr>
          </w:p>
          <w:p>
            <w:pPr>
              <w:widowControl/>
              <w:jc w:val="center"/>
              <w:rPr>
                <w:rFonts w:hint="eastAsia" w:ascii="宋体" w:hAnsi="宋体" w:cs="宋体"/>
                <w:color w:val="auto"/>
                <w:kern w:val="0"/>
                <w:sz w:val="24"/>
              </w:rPr>
            </w:pPr>
          </w:p>
          <w:p>
            <w:pPr>
              <w:widowControl/>
              <w:jc w:val="center"/>
              <w:rPr>
                <w:rFonts w:hint="eastAsia" w:ascii="宋体" w:hAnsi="宋体" w:cs="宋体"/>
                <w:color w:val="auto"/>
                <w:kern w:val="0"/>
                <w:sz w:val="24"/>
              </w:rPr>
            </w:pPr>
          </w:p>
          <w:p>
            <w:pPr>
              <w:widowControl/>
              <w:jc w:val="center"/>
              <w:rPr>
                <w:rFonts w:hint="eastAsia" w:ascii="宋体" w:hAnsi="宋体" w:cs="宋体"/>
                <w:color w:val="auto"/>
                <w:kern w:val="0"/>
                <w:sz w:val="24"/>
              </w:rPr>
            </w:pPr>
          </w:p>
          <w:p>
            <w:pPr>
              <w:widowControl/>
              <w:jc w:val="center"/>
              <w:rPr>
                <w:rFonts w:hint="eastAsia" w:ascii="宋体" w:hAnsi="宋体" w:cs="宋体"/>
                <w:color w:val="auto"/>
                <w:kern w:val="0"/>
                <w:sz w:val="24"/>
              </w:rPr>
            </w:pPr>
            <w:r>
              <w:rPr>
                <w:rFonts w:hint="eastAsia" w:ascii="宋体" w:hAnsi="宋体" w:cs="宋体"/>
                <w:color w:val="auto"/>
                <w:kern w:val="0"/>
                <w:sz w:val="24"/>
              </w:rPr>
              <w:t>项目成员配备情况</w:t>
            </w:r>
          </w:p>
          <w:p>
            <w:pPr>
              <w:widowControl/>
              <w:jc w:val="center"/>
              <w:rPr>
                <w:rFonts w:hint="eastAsia" w:ascii="宋体" w:hAnsi="宋体" w:cs="宋体"/>
                <w:color w:val="auto"/>
                <w:kern w:val="0"/>
                <w:sz w:val="24"/>
              </w:rPr>
            </w:pPr>
            <w:r>
              <w:rPr>
                <w:rFonts w:hint="eastAsia" w:ascii="宋体" w:hAnsi="宋体" w:cs="宋体"/>
                <w:color w:val="auto"/>
                <w:kern w:val="0"/>
                <w:sz w:val="24"/>
              </w:rPr>
              <w:t>（14分）</w:t>
            </w:r>
          </w:p>
        </w:tc>
        <w:tc>
          <w:tcPr>
            <w:tcW w:w="503" w:type="dxa"/>
            <w:noWrap w:val="0"/>
            <w:vAlign w:val="center"/>
          </w:tcPr>
          <w:p>
            <w:pPr>
              <w:widowControl/>
              <w:jc w:val="center"/>
              <w:rPr>
                <w:rFonts w:hint="eastAsia" w:ascii="宋体" w:hAnsi="宋体" w:cs="宋体"/>
                <w:color w:val="auto"/>
                <w:kern w:val="0"/>
                <w:sz w:val="24"/>
              </w:rPr>
            </w:pPr>
          </w:p>
          <w:p>
            <w:pPr>
              <w:widowControl/>
              <w:jc w:val="center"/>
              <w:rPr>
                <w:rFonts w:hint="eastAsia" w:ascii="宋体" w:hAnsi="宋体" w:cs="宋体"/>
                <w:color w:val="auto"/>
                <w:kern w:val="0"/>
                <w:sz w:val="24"/>
              </w:rPr>
            </w:pPr>
          </w:p>
          <w:p>
            <w:pPr>
              <w:widowControl/>
              <w:jc w:val="center"/>
              <w:rPr>
                <w:rFonts w:hint="eastAsia" w:ascii="宋体" w:hAnsi="宋体" w:cs="宋体"/>
                <w:color w:val="auto"/>
                <w:kern w:val="0"/>
                <w:sz w:val="24"/>
              </w:rPr>
            </w:pPr>
          </w:p>
          <w:p>
            <w:pPr>
              <w:widowControl/>
              <w:jc w:val="center"/>
              <w:rPr>
                <w:rFonts w:hint="eastAsia" w:ascii="宋体" w:hAnsi="宋体" w:cs="宋体"/>
                <w:color w:val="auto"/>
                <w:kern w:val="0"/>
                <w:sz w:val="24"/>
              </w:rPr>
            </w:pPr>
          </w:p>
          <w:p>
            <w:pPr>
              <w:widowControl/>
              <w:jc w:val="center"/>
              <w:rPr>
                <w:rFonts w:hint="eastAsia" w:ascii="宋体" w:hAnsi="宋体" w:cs="宋体"/>
                <w:color w:val="auto"/>
                <w:kern w:val="0"/>
                <w:sz w:val="24"/>
              </w:rPr>
            </w:pPr>
          </w:p>
          <w:p>
            <w:pPr>
              <w:widowControl/>
              <w:jc w:val="center"/>
              <w:rPr>
                <w:rFonts w:hint="eastAsia" w:ascii="宋体" w:hAnsi="宋体" w:cs="宋体"/>
                <w:color w:val="auto"/>
                <w:kern w:val="0"/>
                <w:sz w:val="24"/>
              </w:rPr>
            </w:pPr>
          </w:p>
          <w:p>
            <w:pPr>
              <w:widowControl/>
              <w:jc w:val="center"/>
              <w:rPr>
                <w:rFonts w:ascii="宋体" w:hAnsi="宋体" w:cs="宋体"/>
                <w:color w:val="auto"/>
                <w:kern w:val="0"/>
                <w:sz w:val="24"/>
              </w:rPr>
            </w:pPr>
            <w:r>
              <w:rPr>
                <w:rFonts w:hint="eastAsia" w:ascii="宋体" w:hAnsi="宋体" w:cs="宋体"/>
                <w:color w:val="auto"/>
                <w:kern w:val="0"/>
                <w:sz w:val="24"/>
              </w:rPr>
              <w:t>14</w:t>
            </w:r>
          </w:p>
        </w:tc>
        <w:tc>
          <w:tcPr>
            <w:tcW w:w="6957" w:type="dxa"/>
            <w:noWrap w:val="0"/>
            <w:vAlign w:val="center"/>
          </w:tcPr>
          <w:p>
            <w:pPr>
              <w:spacing w:line="400" w:lineRule="atLeast"/>
              <w:rPr>
                <w:rFonts w:hint="eastAsia" w:ascii="宋体" w:hAnsi="宋体" w:cs="宋体"/>
                <w:color w:val="auto"/>
                <w:sz w:val="24"/>
              </w:rPr>
            </w:pPr>
            <w:r>
              <w:rPr>
                <w:rFonts w:hint="eastAsia" w:ascii="宋体" w:hAnsi="宋体" w:cs="宋体"/>
                <w:color w:val="auto"/>
                <w:sz w:val="24"/>
              </w:rPr>
              <w:t>1、人员岗位安排分配明细情况及从业人员综合素质比较，包括人员数量、配备是否合理，各岗位的配置和劳动力的投入是否经优化配置，保安、保洁、消防监控值班、水电维修等人员配备是否合理充分满足各岗位和工作量的需要（0-3分）；</w:t>
            </w:r>
          </w:p>
          <w:p>
            <w:pPr>
              <w:widowControl/>
              <w:jc w:val="left"/>
              <w:rPr>
                <w:rFonts w:hint="eastAsia" w:ascii="宋体" w:hAnsi="宋体" w:cs="宋体"/>
                <w:color w:val="auto"/>
                <w:sz w:val="24"/>
              </w:rPr>
            </w:pPr>
            <w:r>
              <w:rPr>
                <w:rFonts w:hint="eastAsia" w:ascii="宋体" w:hAnsi="宋体" w:cs="宋体"/>
                <w:color w:val="auto"/>
                <w:sz w:val="24"/>
              </w:rPr>
              <w:t>2、各岗位人员素质情况比较：要提供相关岗位资质复印件并加盖公章，</w:t>
            </w:r>
          </w:p>
          <w:p>
            <w:pPr>
              <w:widowControl/>
              <w:jc w:val="left"/>
              <w:rPr>
                <w:rFonts w:hint="eastAsia" w:ascii="宋体" w:hAnsi="宋体" w:cs="宋体"/>
                <w:color w:val="auto"/>
                <w:sz w:val="24"/>
              </w:rPr>
            </w:pPr>
            <w:r>
              <w:rPr>
                <w:rFonts w:hint="eastAsia" w:ascii="宋体" w:hAnsi="宋体" w:cs="宋体"/>
                <w:color w:val="auto"/>
                <w:sz w:val="24"/>
              </w:rPr>
              <w:t>②保安员证（每提供一本得0.5分，最高得2分）；</w:t>
            </w:r>
          </w:p>
          <w:p>
            <w:pPr>
              <w:widowControl/>
              <w:jc w:val="left"/>
              <w:rPr>
                <w:rFonts w:hint="eastAsia" w:ascii="宋体" w:hAnsi="宋体" w:cs="宋体"/>
                <w:color w:val="auto"/>
                <w:sz w:val="24"/>
              </w:rPr>
            </w:pPr>
            <w:r>
              <w:rPr>
                <w:rFonts w:hint="eastAsia" w:ascii="宋体" w:hAnsi="宋体" w:cs="宋体"/>
                <w:color w:val="auto"/>
                <w:sz w:val="24"/>
              </w:rPr>
              <w:t>③消控证（每提供一本得0.5分，最高2分）；</w:t>
            </w:r>
          </w:p>
          <w:p>
            <w:pPr>
              <w:widowControl/>
              <w:jc w:val="left"/>
              <w:rPr>
                <w:rFonts w:hint="eastAsia" w:ascii="宋体" w:hAnsi="宋体" w:cs="宋体"/>
                <w:color w:val="auto"/>
                <w:sz w:val="24"/>
              </w:rPr>
            </w:pPr>
            <w:r>
              <w:rPr>
                <w:rFonts w:hint="eastAsia" w:ascii="宋体" w:hAnsi="宋体" w:cs="宋体"/>
                <w:color w:val="auto"/>
                <w:sz w:val="24"/>
              </w:rPr>
              <w:t>④</w:t>
            </w:r>
            <w:r>
              <w:rPr>
                <w:rFonts w:hint="eastAsia" w:ascii="宋体" w:hAnsi="宋体" w:cs="宋体"/>
                <w:color w:val="auto"/>
                <w:kern w:val="0"/>
                <w:sz w:val="24"/>
              </w:rPr>
              <w:t>具有安全生产监督管理局颁发的电工作业证书</w:t>
            </w:r>
            <w:r>
              <w:rPr>
                <w:rFonts w:hint="eastAsia" w:ascii="宋体" w:hAnsi="宋体" w:cs="宋体"/>
                <w:color w:val="auto"/>
                <w:sz w:val="24"/>
              </w:rPr>
              <w:t>（</w:t>
            </w:r>
            <w:r>
              <w:rPr>
                <w:rFonts w:hint="eastAsia" w:ascii="宋体" w:hAnsi="宋体" w:cs="宋体"/>
                <w:color w:val="auto"/>
                <w:kern w:val="0"/>
                <w:sz w:val="24"/>
              </w:rPr>
              <w:t>2人或2人以上得2分，没有不得分</w:t>
            </w:r>
            <w:r>
              <w:rPr>
                <w:rFonts w:hint="eastAsia" w:ascii="宋体" w:hAnsi="宋体" w:cs="宋体"/>
                <w:color w:val="auto"/>
                <w:sz w:val="24"/>
              </w:rPr>
              <w:t>）；</w:t>
            </w:r>
          </w:p>
          <w:p>
            <w:pPr>
              <w:widowControl/>
              <w:jc w:val="left"/>
              <w:rPr>
                <w:rFonts w:hint="eastAsia" w:ascii="宋体" w:hAnsi="宋体" w:cs="宋体"/>
                <w:color w:val="auto"/>
                <w:sz w:val="24"/>
              </w:rPr>
            </w:pPr>
            <w:r>
              <w:rPr>
                <w:rFonts w:hint="eastAsia" w:ascii="宋体" w:hAnsi="宋体" w:cs="宋体"/>
                <w:color w:val="auto"/>
                <w:kern w:val="0"/>
                <w:sz w:val="24"/>
              </w:rPr>
              <w:t>⑤具有市场监督管理局颁发的电梯安全管理证书</w:t>
            </w:r>
            <w:r>
              <w:rPr>
                <w:rFonts w:hint="eastAsia" w:ascii="宋体" w:hAnsi="宋体" w:cs="宋体"/>
                <w:color w:val="auto"/>
                <w:sz w:val="24"/>
              </w:rPr>
              <w:t>（提供得1分）</w:t>
            </w:r>
          </w:p>
          <w:p>
            <w:pPr>
              <w:widowControl/>
              <w:jc w:val="left"/>
              <w:rPr>
                <w:rFonts w:hint="eastAsia" w:ascii="宋体" w:hAnsi="宋体" w:cs="宋体"/>
                <w:color w:val="auto"/>
                <w:kern w:val="0"/>
                <w:sz w:val="24"/>
              </w:rPr>
            </w:pPr>
            <w:r>
              <w:rPr>
                <w:rFonts w:hint="eastAsia" w:ascii="宋体" w:hAnsi="宋体" w:cs="宋体"/>
                <w:color w:val="auto"/>
                <w:kern w:val="0"/>
                <w:sz w:val="24"/>
              </w:rPr>
              <w:t>⑥具有质量监督部门颁发的叉车操作证书（4人及以上的得2分，没有不得分）；</w:t>
            </w:r>
          </w:p>
          <w:p>
            <w:pPr>
              <w:widowControl/>
              <w:jc w:val="left"/>
              <w:rPr>
                <w:rFonts w:hint="eastAsia" w:ascii="宋体" w:hAnsi="宋体" w:cs="宋体"/>
                <w:color w:val="auto"/>
                <w:kern w:val="0"/>
                <w:sz w:val="24"/>
              </w:rPr>
            </w:pPr>
            <w:r>
              <w:rPr>
                <w:rFonts w:hint="eastAsia" w:ascii="宋体" w:hAnsi="宋体" w:cs="宋体"/>
                <w:color w:val="auto"/>
                <w:sz w:val="24"/>
              </w:rPr>
              <w:t>以上主要人员须提证书复印件及供近三个月社保缴纳证明并加盖公章，不提供者不得分（0-2分）；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4" w:hRule="atLeast"/>
        </w:trPr>
        <w:tc>
          <w:tcPr>
            <w:tcW w:w="1139" w:type="dxa"/>
            <w:vMerge w:val="continue"/>
            <w:noWrap w:val="0"/>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w:t>
            </w:r>
          </w:p>
        </w:tc>
        <w:tc>
          <w:tcPr>
            <w:tcW w:w="116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售后</w:t>
            </w:r>
          </w:p>
          <w:p>
            <w:pPr>
              <w:widowControl/>
              <w:jc w:val="center"/>
              <w:rPr>
                <w:rFonts w:hint="eastAsia" w:ascii="宋体" w:hAnsi="宋体" w:cs="宋体"/>
                <w:color w:val="auto"/>
                <w:kern w:val="0"/>
                <w:sz w:val="24"/>
              </w:rPr>
            </w:pPr>
            <w:r>
              <w:rPr>
                <w:rFonts w:hint="eastAsia" w:ascii="宋体" w:hAnsi="宋体" w:cs="宋体"/>
                <w:color w:val="auto"/>
                <w:kern w:val="0"/>
                <w:sz w:val="24"/>
              </w:rPr>
              <w:t>服务</w:t>
            </w:r>
          </w:p>
          <w:p>
            <w:pPr>
              <w:widowControl/>
              <w:jc w:val="center"/>
              <w:rPr>
                <w:rFonts w:hint="eastAsia" w:ascii="宋体" w:hAnsi="宋体" w:cs="宋体"/>
                <w:color w:val="auto"/>
                <w:kern w:val="0"/>
                <w:sz w:val="24"/>
              </w:rPr>
            </w:pPr>
            <w:r>
              <w:rPr>
                <w:rFonts w:hint="eastAsia" w:ascii="宋体" w:hAnsi="宋体" w:cs="宋体"/>
                <w:color w:val="auto"/>
                <w:kern w:val="0"/>
                <w:sz w:val="24"/>
              </w:rPr>
              <w:t>（10分）</w:t>
            </w:r>
          </w:p>
        </w:tc>
        <w:tc>
          <w:tcPr>
            <w:tcW w:w="50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6</w:t>
            </w:r>
          </w:p>
        </w:tc>
        <w:tc>
          <w:tcPr>
            <w:tcW w:w="6957" w:type="dxa"/>
            <w:noWrap w:val="0"/>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对投标人本地化服务能力进行评分（需提供相关营业执照或合作协议或合同等证明材料复印件加盖公章）（0-2分）</w:t>
            </w:r>
          </w:p>
          <w:p>
            <w:pPr>
              <w:widowControl/>
              <w:jc w:val="left"/>
              <w:rPr>
                <w:rFonts w:ascii="宋体" w:hAnsi="宋体" w:cs="宋体"/>
                <w:color w:val="auto"/>
                <w:kern w:val="0"/>
                <w:sz w:val="24"/>
              </w:rPr>
            </w:pPr>
            <w:r>
              <w:rPr>
                <w:rFonts w:hint="eastAsia" w:ascii="宋体" w:hAnsi="宋体" w:cs="宋体"/>
                <w:color w:val="auto"/>
                <w:kern w:val="0"/>
                <w:sz w:val="24"/>
              </w:rPr>
              <w:t>供应商具有售后服务评价体系五星级认证证书的得2分</w:t>
            </w:r>
          </w:p>
          <w:p>
            <w:pPr>
              <w:widowControl/>
              <w:jc w:val="left"/>
              <w:rPr>
                <w:rFonts w:ascii="宋体" w:hAnsi="宋体" w:cs="宋体"/>
                <w:color w:val="auto"/>
                <w:kern w:val="0"/>
                <w:sz w:val="24"/>
              </w:rPr>
            </w:pPr>
            <w:r>
              <w:rPr>
                <w:rFonts w:hint="eastAsia" w:ascii="宋体" w:hAnsi="宋体" w:cs="宋体"/>
                <w:color w:val="auto"/>
                <w:kern w:val="0"/>
                <w:sz w:val="24"/>
              </w:rPr>
              <w:t>售后服务团队中具有售后服务管理师证书的，每有1人得1分，最高得2分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0" w:hRule="atLeast"/>
        </w:trPr>
        <w:tc>
          <w:tcPr>
            <w:tcW w:w="1139" w:type="dxa"/>
            <w:vMerge w:val="continue"/>
            <w:noWrap w:val="0"/>
            <w:vAlign w:val="center"/>
          </w:tcPr>
          <w:p>
            <w:pPr>
              <w:widowControl/>
              <w:jc w:val="left"/>
              <w:rPr>
                <w:rFonts w:hint="eastAsia" w:ascii="宋体" w:hAnsi="宋体" w:cs="宋体"/>
                <w:color w:val="auto"/>
                <w:kern w:val="0"/>
                <w:sz w:val="24"/>
              </w:rPr>
            </w:pPr>
          </w:p>
        </w:tc>
        <w:tc>
          <w:tcPr>
            <w:tcW w:w="1162" w:type="dxa"/>
            <w:vMerge w:val="continue"/>
            <w:noWrap w:val="0"/>
            <w:vAlign w:val="center"/>
          </w:tcPr>
          <w:p>
            <w:pPr>
              <w:widowControl/>
              <w:jc w:val="left"/>
              <w:rPr>
                <w:rFonts w:hint="eastAsia" w:ascii="宋体" w:hAnsi="宋体" w:cs="宋体"/>
                <w:color w:val="auto"/>
                <w:kern w:val="0"/>
                <w:sz w:val="24"/>
              </w:rPr>
            </w:pPr>
          </w:p>
        </w:tc>
        <w:tc>
          <w:tcPr>
            <w:tcW w:w="50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4</w:t>
            </w:r>
          </w:p>
        </w:tc>
        <w:tc>
          <w:tcPr>
            <w:tcW w:w="6957" w:type="dxa"/>
            <w:noWrap w:val="0"/>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运营服务的响应时效及运行维护情况（定期巡检、故障响应、日常维护等），最高得4分。</w:t>
            </w:r>
          </w:p>
        </w:tc>
      </w:tr>
    </w:tbl>
    <w:p>
      <w:pPr>
        <w:snapToGrid w:val="0"/>
        <w:spacing w:line="600" w:lineRule="exact"/>
        <w:rPr>
          <w:rFonts w:hint="eastAsia" w:ascii="宋体" w:hAnsi="宋体" w:cs="宋体"/>
          <w:color w:val="auto"/>
          <w:sz w:val="24"/>
        </w:rPr>
      </w:pPr>
    </w:p>
    <w:p>
      <w:pPr>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3、技术分+商务分=评标委员会所有成员评分合计数/评标委员会组成人员数</w:t>
      </w:r>
    </w:p>
    <w:p>
      <w:pPr>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4、价格分（10分）采用低价优先法计算，即满足招标文件要求且投标价格最低的投标报价为评标基准价，其他投标人的价格分按照下列公式计算：</w:t>
      </w:r>
    </w:p>
    <w:p>
      <w:pPr>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投标报价得分=(评标基准价／投标报价)×价格权值×100（精确到小数点后二位）因落实政府采购政策进行价格调整的，以调整后的价格计算评标基准价和投标报价。</w:t>
      </w:r>
    </w:p>
    <w:p>
      <w:pPr>
        <w:snapToGrid w:val="0"/>
        <w:spacing w:line="600" w:lineRule="exact"/>
        <w:ind w:firstLine="480" w:firstLineChars="200"/>
        <w:rPr>
          <w:rFonts w:hint="eastAsia" w:ascii="宋体" w:hAnsi="宋体" w:cs="宋体"/>
          <w:b/>
          <w:color w:val="auto"/>
          <w:sz w:val="24"/>
        </w:rPr>
      </w:pPr>
      <w:r>
        <w:rPr>
          <w:rFonts w:hint="eastAsia" w:ascii="宋体" w:hAnsi="宋体" w:cs="宋体"/>
          <w:color w:val="auto"/>
          <w:sz w:val="24"/>
        </w:rPr>
        <w:t>5、投标人评标综合得分=价格分+技术分+商务分</w:t>
      </w:r>
    </w:p>
    <w:p>
      <w:pPr>
        <w:snapToGrid w:val="0"/>
        <w:spacing w:line="600" w:lineRule="exact"/>
        <w:ind w:firstLine="472" w:firstLineChars="196"/>
        <w:rPr>
          <w:rFonts w:hint="eastAsia" w:ascii="宋体" w:hAnsi="宋体" w:cs="宋体"/>
          <w:b/>
          <w:color w:val="auto"/>
          <w:sz w:val="24"/>
        </w:rPr>
      </w:pPr>
      <w:r>
        <w:rPr>
          <w:rFonts w:hint="eastAsia" w:ascii="宋体" w:hAnsi="宋体" w:cs="宋体"/>
          <w:b/>
          <w:color w:val="auto"/>
          <w:sz w:val="24"/>
        </w:rPr>
        <w:t>报价是中标的一个重要因素，但最低报价不是中标的唯一依据。</w:t>
      </w:r>
    </w:p>
    <w:p>
      <w:pPr>
        <w:snapToGrid w:val="0"/>
        <w:spacing w:line="600" w:lineRule="exact"/>
        <w:ind w:left="105" w:leftChars="50" w:firstLine="480" w:firstLineChars="200"/>
        <w:rPr>
          <w:rFonts w:hint="eastAsia" w:ascii="宋体" w:hAnsi="宋体" w:cs="宋体"/>
          <w:color w:val="auto"/>
          <w:sz w:val="24"/>
        </w:rPr>
      </w:pPr>
      <w:r>
        <w:rPr>
          <w:rFonts w:hint="eastAsia" w:ascii="宋体" w:hAnsi="宋体" w:cs="宋体"/>
          <w:color w:val="auto"/>
          <w:sz w:val="24"/>
        </w:rPr>
        <w:t>注：根据浙江省财政厅、浙江省中小企业局转发财政部、工业和信息化部关于印发《政府采购促进中小企业发展暂行办法》的通知（浙财采监[2012]11号），对小型或微型企业的投标报价给予</w:t>
      </w:r>
      <w:r>
        <w:rPr>
          <w:rFonts w:hint="eastAsia" w:ascii="宋体" w:hAnsi="宋体" w:cs="宋体"/>
          <w:color w:val="auto"/>
          <w:sz w:val="24"/>
          <w:u w:val="single"/>
        </w:rPr>
        <w:t>6%</w:t>
      </w:r>
      <w:r>
        <w:rPr>
          <w:rFonts w:hint="eastAsia" w:ascii="宋体" w:hAnsi="宋体" w:cs="宋体"/>
          <w:color w:val="auto"/>
          <w:sz w:val="24"/>
        </w:rPr>
        <w:t>的扣除，并用扣除后的价格计算价格评分。同时符合以下所有要求的投标人被认定为小型、微型企业：</w:t>
      </w:r>
    </w:p>
    <w:p>
      <w:pPr>
        <w:snapToGrid w:val="0"/>
        <w:spacing w:line="600" w:lineRule="exact"/>
        <w:ind w:left="105" w:leftChars="50" w:firstLine="480" w:firstLineChars="200"/>
        <w:rPr>
          <w:rFonts w:hint="eastAsia" w:ascii="宋体" w:hAnsi="宋体" w:cs="宋体"/>
          <w:color w:val="auto"/>
          <w:sz w:val="24"/>
        </w:rPr>
      </w:pPr>
      <w:r>
        <w:rPr>
          <w:rFonts w:hint="eastAsia" w:ascii="宋体" w:hAnsi="宋体" w:cs="宋体"/>
          <w:color w:val="auto"/>
          <w:sz w:val="24"/>
        </w:rPr>
        <w:t>（1）投标人按照《关于印发中小企业划型标准规定的通知》（工信部联企业〔2011〕300号）的所属行业规定为小型、微型企业【注：按《关于印发中小企业划型标准规定的通知》规定提供《中小企业声明函》】。</w:t>
      </w:r>
    </w:p>
    <w:p>
      <w:pPr>
        <w:snapToGrid w:val="0"/>
        <w:spacing w:line="600" w:lineRule="exact"/>
        <w:ind w:left="105" w:leftChars="50" w:firstLine="480" w:firstLineChars="200"/>
        <w:rPr>
          <w:rFonts w:hint="eastAsia" w:ascii="宋体" w:hAnsi="宋体" w:cs="宋体"/>
          <w:color w:val="auto"/>
          <w:sz w:val="24"/>
        </w:rPr>
      </w:pPr>
      <w:r>
        <w:rPr>
          <w:rFonts w:hint="eastAsia" w:ascii="宋体" w:hAnsi="宋体" w:cs="宋体"/>
          <w:color w:val="auto"/>
          <w:sz w:val="24"/>
        </w:rPr>
        <w:t>（2）投标人所投标项内产品均为小型、微型企业提供的服务【注：按《关于印发中小企业划型标准规定的通知》中“工业行业”规定提供制造商出具的《中小企业声明函》】。</w:t>
      </w:r>
    </w:p>
    <w:p>
      <w:pPr>
        <w:snapToGrid w:val="0"/>
        <w:spacing w:line="600" w:lineRule="exact"/>
        <w:ind w:left="105" w:leftChars="50" w:firstLine="480" w:firstLineChars="200"/>
        <w:rPr>
          <w:rFonts w:hint="eastAsia" w:ascii="宋体" w:hAnsi="宋体" w:cs="宋体"/>
          <w:color w:val="auto"/>
          <w:sz w:val="24"/>
        </w:rPr>
      </w:pPr>
      <w:r>
        <w:rPr>
          <w:rFonts w:hint="eastAsia" w:ascii="宋体" w:hAnsi="宋体" w:cs="宋体"/>
          <w:color w:val="auto"/>
          <w:sz w:val="24"/>
        </w:rPr>
        <w:t>（3）联合体参加投标的，联合协议中约定，小型、微型企业的协议合同金额占到联合体协议合同总金额30%以上的，投标报价给予</w:t>
      </w:r>
      <w:r>
        <w:rPr>
          <w:rFonts w:hint="eastAsia" w:ascii="宋体" w:hAnsi="宋体" w:cs="宋体"/>
          <w:color w:val="auto"/>
          <w:sz w:val="24"/>
          <w:u w:val="single"/>
        </w:rPr>
        <w:t xml:space="preserve">2% </w:t>
      </w:r>
      <w:r>
        <w:rPr>
          <w:rFonts w:hint="eastAsia" w:ascii="宋体" w:hAnsi="宋体" w:cs="宋体"/>
          <w:color w:val="auto"/>
          <w:sz w:val="24"/>
        </w:rPr>
        <w:t>的扣除，并用扣除后的价格计算价格评分；如联合体各方均为小型、微型企业的，提供本企业生产的产品或提供其他小型、微型企业的产品的，投标报价给予</w:t>
      </w:r>
      <w:r>
        <w:rPr>
          <w:rFonts w:hint="eastAsia" w:ascii="宋体" w:hAnsi="宋体" w:cs="宋体"/>
          <w:color w:val="auto"/>
          <w:sz w:val="24"/>
          <w:u w:val="single"/>
        </w:rPr>
        <w:t xml:space="preserve">6% </w:t>
      </w:r>
      <w:r>
        <w:rPr>
          <w:rFonts w:hint="eastAsia" w:ascii="宋体" w:hAnsi="宋体" w:cs="宋体"/>
          <w:color w:val="auto"/>
          <w:sz w:val="24"/>
        </w:rPr>
        <w:t>的扣除，并用扣除后的价格计算价格评分。组成联合体的大中型企业和其他自然人、法人或者其他组织，与小型、微型企业之间不得存在投资关系，否则不予价格扣除。</w:t>
      </w:r>
    </w:p>
    <w:p>
      <w:pPr>
        <w:snapToGrid w:val="0"/>
        <w:spacing w:line="600" w:lineRule="exact"/>
        <w:ind w:left="105" w:leftChars="50" w:firstLine="480" w:firstLineChars="200"/>
        <w:rPr>
          <w:rFonts w:hint="eastAsia" w:ascii="宋体" w:hAnsi="宋体" w:cs="宋体"/>
          <w:color w:val="auto"/>
          <w:sz w:val="24"/>
        </w:rPr>
      </w:pPr>
      <w:r>
        <w:rPr>
          <w:rFonts w:hint="eastAsia" w:ascii="宋体" w:hAnsi="宋体" w:cs="宋体"/>
          <w:color w:val="auto"/>
          <w:sz w:val="24"/>
        </w:rPr>
        <w:t>监狱企业视同小微企业，参加本项目投标的，享受小微企业同等的价格扣除。【注：提供《监狱企业声明函》】。</w:t>
      </w:r>
    </w:p>
    <w:p>
      <w:pPr>
        <w:pStyle w:val="458"/>
        <w:spacing w:line="600" w:lineRule="exact"/>
        <w:ind w:left="360" w:firstLine="0" w:firstLineChars="0"/>
        <w:rPr>
          <w:rFonts w:hint="eastAsia" w:ascii="宋体" w:hAnsi="宋体" w:eastAsia="宋体" w:cs="宋体"/>
          <w:color w:val="auto"/>
          <w:szCs w:val="24"/>
        </w:rPr>
      </w:pPr>
      <w:r>
        <w:rPr>
          <w:rFonts w:hint="eastAsia" w:ascii="宋体" w:hAnsi="宋体" w:eastAsia="宋体" w:cs="宋体"/>
          <w:color w:val="auto"/>
          <w:szCs w:val="24"/>
        </w:rPr>
        <w:t>（5）残疾人福利性单位参加投标【提供《残疾人福利性单位声明函》】，视为小</w:t>
      </w:r>
    </w:p>
    <w:p>
      <w:pPr>
        <w:pStyle w:val="458"/>
        <w:spacing w:line="600" w:lineRule="exact"/>
        <w:ind w:firstLine="141" w:firstLineChars="59"/>
        <w:rPr>
          <w:rFonts w:hint="eastAsia" w:ascii="宋体" w:hAnsi="宋体" w:eastAsia="宋体" w:cs="宋体"/>
          <w:color w:val="auto"/>
          <w:szCs w:val="24"/>
        </w:rPr>
      </w:pPr>
      <w:r>
        <w:rPr>
          <w:rFonts w:hint="eastAsia" w:ascii="宋体" w:hAnsi="宋体" w:eastAsia="宋体" w:cs="宋体"/>
          <w:color w:val="auto"/>
          <w:szCs w:val="24"/>
        </w:rPr>
        <w:t>型、微型企业，享受小微企业政策扶持。</w:t>
      </w:r>
    </w:p>
    <w:p>
      <w:pPr>
        <w:shd w:val="clear" w:color="auto" w:fill="FFFFFF"/>
        <w:snapToGrid w:val="0"/>
        <w:spacing w:line="600" w:lineRule="exact"/>
        <w:rPr>
          <w:rFonts w:hint="eastAsia" w:ascii="宋体" w:hAnsi="宋体" w:cs="宋体"/>
          <w:b/>
          <w:bCs/>
          <w:color w:val="auto"/>
          <w:sz w:val="24"/>
        </w:rPr>
      </w:pPr>
      <w:r>
        <w:rPr>
          <w:rFonts w:hint="eastAsia" w:ascii="宋体" w:hAnsi="宋体" w:cs="宋体"/>
          <w:b/>
          <w:bCs/>
          <w:color w:val="auto"/>
          <w:sz w:val="24"/>
        </w:rPr>
        <w:t>（十四）评标内容的保密</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1、公开开标后，直到宣布中标单位止，凡属于审查、澄清、评价和比较投标的所有资料，都不应向投标人或与评标无关的其他人泄露。</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2、在投标文件的审查、澄清、评价和比较以及确定中标人过程中，投标人对招标人、招标代理机构和评标委员会施加影响的任何行为，都将导致取消资格。</w:t>
      </w:r>
    </w:p>
    <w:bookmarkEnd w:id="95"/>
    <w:p>
      <w:pPr>
        <w:shd w:val="clear" w:color="auto" w:fill="FFFFFF"/>
        <w:snapToGrid w:val="0"/>
        <w:spacing w:line="600" w:lineRule="exact"/>
        <w:rPr>
          <w:rFonts w:hint="eastAsia" w:ascii="宋体" w:hAnsi="宋体" w:cs="宋体"/>
          <w:b/>
          <w:bCs/>
          <w:color w:val="auto"/>
          <w:sz w:val="24"/>
        </w:rPr>
      </w:pPr>
      <w:r>
        <w:rPr>
          <w:rFonts w:hint="eastAsia" w:ascii="宋体" w:hAnsi="宋体" w:cs="宋体"/>
          <w:b/>
          <w:bCs/>
          <w:color w:val="auto"/>
          <w:sz w:val="24"/>
        </w:rPr>
        <w:t>（十五）废标</w:t>
      </w:r>
    </w:p>
    <w:p>
      <w:pPr>
        <w:pStyle w:val="32"/>
        <w:snapToGrid w:val="0"/>
        <w:spacing w:line="6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在采购中，出现下列情形之一的，应予废标：</w:t>
      </w:r>
    </w:p>
    <w:p>
      <w:pPr>
        <w:pStyle w:val="32"/>
        <w:snapToGrid w:val="0"/>
        <w:spacing w:line="600" w:lineRule="exact"/>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(1)符合专业条件的供应商或者对招标文件作实质响应的供应商不足3家的；</w:t>
      </w:r>
    </w:p>
    <w:p>
      <w:pPr>
        <w:pStyle w:val="32"/>
        <w:snapToGrid w:val="0"/>
        <w:spacing w:line="600" w:lineRule="exact"/>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(2)出现影响采购公正的违法、违规行为的；</w:t>
      </w:r>
    </w:p>
    <w:p>
      <w:pPr>
        <w:pStyle w:val="32"/>
        <w:snapToGrid w:val="0"/>
        <w:spacing w:line="600" w:lineRule="exact"/>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(3)报价均超过预算，不能支付的；</w:t>
      </w:r>
    </w:p>
    <w:p>
      <w:pPr>
        <w:shd w:val="clear" w:color="auto" w:fill="FFFFFF"/>
        <w:snapToGrid w:val="0"/>
        <w:spacing w:line="600" w:lineRule="exact"/>
        <w:rPr>
          <w:rFonts w:hint="eastAsia" w:ascii="宋体" w:hAnsi="宋体" w:cs="宋体"/>
          <w:b/>
          <w:bCs/>
          <w:color w:val="auto"/>
          <w:sz w:val="24"/>
        </w:rPr>
      </w:pPr>
      <w:r>
        <w:rPr>
          <w:rFonts w:hint="eastAsia" w:ascii="宋体" w:hAnsi="宋体" w:cs="宋体"/>
          <w:b/>
          <w:color w:val="auto"/>
          <w:sz w:val="24"/>
        </w:rPr>
        <w:t xml:space="preserve">    (4)因重大变故，采购任务取消的。</w:t>
      </w:r>
    </w:p>
    <w:p>
      <w:pPr>
        <w:pStyle w:val="6"/>
        <w:numPr>
          <w:ilvl w:val="2"/>
          <w:numId w:val="0"/>
        </w:numPr>
        <w:spacing w:before="0" w:after="0" w:line="6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（十六）可中止电子交易活动的情形</w:t>
      </w:r>
    </w:p>
    <w:p>
      <w:pPr>
        <w:spacing w:line="600" w:lineRule="exact"/>
        <w:ind w:firstLine="424" w:firstLineChars="176"/>
        <w:rPr>
          <w:rFonts w:hint="eastAsia" w:ascii="宋体" w:hAnsi="宋体" w:cs="宋体"/>
          <w:color w:val="auto"/>
          <w:sz w:val="24"/>
        </w:rPr>
      </w:pPr>
      <w:r>
        <w:rPr>
          <w:rFonts w:hint="eastAsia" w:ascii="宋体" w:hAnsi="宋体" w:cs="宋体"/>
          <w:b/>
          <w:color w:val="auto"/>
          <w:sz w:val="24"/>
        </w:rPr>
        <w:t>采购过程中出现以下情形，导致电子交易平台无法正常运行，或者无法保证电子交易的公平、公正和安全时，采购组织机构可中止电子交易活动：</w:t>
      </w:r>
    </w:p>
    <w:p>
      <w:pPr>
        <w:spacing w:line="600" w:lineRule="exact"/>
        <w:ind w:firstLine="422" w:firstLineChars="176"/>
        <w:rPr>
          <w:rFonts w:hint="eastAsia" w:ascii="宋体" w:hAnsi="宋体" w:cs="宋体"/>
          <w:color w:val="auto"/>
          <w:sz w:val="24"/>
        </w:rPr>
      </w:pPr>
      <w:r>
        <w:rPr>
          <w:rFonts w:hint="eastAsia" w:ascii="宋体" w:hAnsi="宋体" w:cs="宋体"/>
          <w:color w:val="auto"/>
          <w:sz w:val="24"/>
        </w:rPr>
        <w:t>1、电子交易平台发生故障而无法登录访问的；</w:t>
      </w:r>
    </w:p>
    <w:p>
      <w:pPr>
        <w:spacing w:line="600" w:lineRule="exact"/>
        <w:ind w:firstLine="422" w:firstLineChars="176"/>
        <w:rPr>
          <w:rFonts w:hint="eastAsia" w:ascii="宋体" w:hAnsi="宋体" w:cs="宋体"/>
          <w:color w:val="auto"/>
          <w:sz w:val="24"/>
        </w:rPr>
      </w:pPr>
      <w:r>
        <w:rPr>
          <w:rFonts w:hint="eastAsia" w:ascii="宋体" w:hAnsi="宋体" w:cs="宋体"/>
          <w:color w:val="auto"/>
          <w:sz w:val="24"/>
        </w:rPr>
        <w:t>2、电子交易平台应用或数据库出现错误，不能进行正常操作的；</w:t>
      </w:r>
    </w:p>
    <w:p>
      <w:pPr>
        <w:spacing w:line="600" w:lineRule="exact"/>
        <w:ind w:firstLine="422" w:firstLineChars="176"/>
        <w:rPr>
          <w:rFonts w:hint="eastAsia" w:ascii="宋体" w:hAnsi="宋体" w:cs="宋体"/>
          <w:color w:val="auto"/>
          <w:sz w:val="24"/>
        </w:rPr>
      </w:pPr>
      <w:r>
        <w:rPr>
          <w:rFonts w:hint="eastAsia" w:ascii="宋体" w:hAnsi="宋体" w:cs="宋体"/>
          <w:color w:val="auto"/>
          <w:sz w:val="24"/>
        </w:rPr>
        <w:t>3、电子交易平台发现严重安全漏洞，有潜在泄密危险的；</w:t>
      </w:r>
    </w:p>
    <w:p>
      <w:pPr>
        <w:spacing w:line="600" w:lineRule="exact"/>
        <w:ind w:firstLine="422" w:firstLineChars="176"/>
        <w:rPr>
          <w:rFonts w:hint="eastAsia" w:ascii="宋体" w:hAnsi="宋体" w:cs="宋体"/>
          <w:color w:val="auto"/>
          <w:sz w:val="24"/>
        </w:rPr>
      </w:pPr>
      <w:r>
        <w:rPr>
          <w:rFonts w:hint="eastAsia" w:ascii="宋体" w:hAnsi="宋体" w:cs="宋体"/>
          <w:color w:val="auto"/>
          <w:sz w:val="24"/>
        </w:rPr>
        <w:t>4、病毒发作导致不能进行正常操作的；</w:t>
      </w:r>
    </w:p>
    <w:p>
      <w:pPr>
        <w:spacing w:line="600" w:lineRule="exact"/>
        <w:ind w:firstLine="422" w:firstLineChars="176"/>
        <w:rPr>
          <w:rFonts w:hint="eastAsia" w:ascii="宋体" w:hAnsi="宋体" w:cs="宋体"/>
          <w:color w:val="auto"/>
          <w:sz w:val="24"/>
        </w:rPr>
      </w:pPr>
      <w:r>
        <w:rPr>
          <w:rFonts w:hint="eastAsia" w:ascii="宋体" w:hAnsi="宋体" w:cs="宋体"/>
          <w:color w:val="auto"/>
          <w:sz w:val="24"/>
        </w:rPr>
        <w:t>5、其他无法保证电子交易的公平、公正和安全的情况。</w:t>
      </w:r>
    </w:p>
    <w:p>
      <w:pPr>
        <w:spacing w:line="600" w:lineRule="exact"/>
        <w:ind w:firstLine="424" w:firstLineChars="176"/>
        <w:rPr>
          <w:rFonts w:hint="eastAsia" w:ascii="宋体" w:hAnsi="宋体" w:cs="宋体"/>
          <w:color w:val="auto"/>
          <w:sz w:val="24"/>
        </w:rPr>
      </w:pPr>
      <w:r>
        <w:rPr>
          <w:rFonts w:hint="eastAsia" w:ascii="宋体" w:hAnsi="宋体" w:cs="宋体"/>
          <w:b/>
          <w:color w:val="auto"/>
          <w:sz w:val="24"/>
        </w:rPr>
        <w:t>出现前款规定情形，不影响采购公平、公正性的，采购组织机构可以待上述情形消除后继续组织电子交易活动；影响或可能影响采购公平、公正性的，应当重新采购。</w:t>
      </w:r>
    </w:p>
    <w:p>
      <w:pPr>
        <w:pStyle w:val="5"/>
        <w:numPr>
          <w:ilvl w:val="0"/>
          <w:numId w:val="0"/>
        </w:numPr>
        <w:tabs>
          <w:tab w:val="left" w:pos="1110"/>
          <w:tab w:val="clear" w:pos="706"/>
        </w:tabs>
        <w:spacing w:line="600" w:lineRule="exact"/>
        <w:ind w:left="560"/>
        <w:rPr>
          <w:rFonts w:hint="eastAsia" w:ascii="宋体" w:hAnsi="宋体" w:eastAsia="宋体" w:cs="宋体"/>
          <w:color w:val="auto"/>
          <w:sz w:val="24"/>
          <w:szCs w:val="24"/>
        </w:rPr>
      </w:pPr>
    </w:p>
    <w:bookmarkEnd w:id="84"/>
    <w:bookmarkEnd w:id="85"/>
    <w:bookmarkEnd w:id="86"/>
    <w:p>
      <w:pPr>
        <w:shd w:val="clear" w:color="auto" w:fill="FFFFFF"/>
        <w:snapToGrid w:val="0"/>
        <w:spacing w:line="600" w:lineRule="exact"/>
        <w:jc w:val="center"/>
        <w:outlineLvl w:val="1"/>
        <w:rPr>
          <w:rFonts w:hint="eastAsia" w:ascii="宋体" w:hAnsi="宋体" w:cs="宋体"/>
          <w:b/>
          <w:bCs/>
          <w:color w:val="auto"/>
          <w:sz w:val="24"/>
        </w:rPr>
      </w:pPr>
      <w:bookmarkStart w:id="96" w:name="_Toc86216995"/>
      <w:bookmarkStart w:id="97" w:name="_Toc354996703"/>
      <w:bookmarkStart w:id="98" w:name="_Toc233618979"/>
      <w:bookmarkStart w:id="99" w:name="_Toc33194399"/>
      <w:bookmarkStart w:id="100" w:name="_Toc91899910"/>
      <w:r>
        <w:rPr>
          <w:rFonts w:hint="eastAsia" w:ascii="宋体" w:hAnsi="宋体" w:cs="宋体"/>
          <w:b/>
          <w:bCs/>
          <w:color w:val="auto"/>
          <w:sz w:val="24"/>
        </w:rPr>
        <w:t>七、</w:t>
      </w:r>
      <w:bookmarkEnd w:id="96"/>
      <w:r>
        <w:rPr>
          <w:rFonts w:hint="eastAsia" w:ascii="宋体" w:hAnsi="宋体" w:cs="宋体"/>
          <w:b/>
          <w:bCs/>
          <w:color w:val="auto"/>
          <w:sz w:val="24"/>
        </w:rPr>
        <w:t>合同签订及其他</w:t>
      </w:r>
      <w:bookmarkEnd w:id="97"/>
      <w:bookmarkEnd w:id="98"/>
      <w:bookmarkEnd w:id="99"/>
    </w:p>
    <w:bookmarkEnd w:id="100"/>
    <w:p>
      <w:pPr>
        <w:shd w:val="clear" w:color="auto" w:fill="FFFFFF"/>
        <w:snapToGrid w:val="0"/>
        <w:spacing w:line="600" w:lineRule="exact"/>
        <w:rPr>
          <w:rFonts w:hint="eastAsia" w:ascii="宋体" w:hAnsi="宋体" w:cs="宋体"/>
          <w:b/>
          <w:bCs/>
          <w:color w:val="auto"/>
          <w:sz w:val="24"/>
        </w:rPr>
      </w:pPr>
      <w:r>
        <w:rPr>
          <w:rFonts w:hint="eastAsia" w:ascii="宋体" w:hAnsi="宋体" w:cs="宋体"/>
          <w:b/>
          <w:bCs/>
          <w:color w:val="auto"/>
          <w:sz w:val="24"/>
        </w:rPr>
        <w:t>（一）中标通知书</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1、确定中标人后，招标代理机构将在发布招标公告的网站上公布评标结果。</w:t>
      </w:r>
    </w:p>
    <w:p>
      <w:pPr>
        <w:shd w:val="clear" w:color="auto" w:fill="FFFFFF"/>
        <w:tabs>
          <w:tab w:val="left" w:pos="0"/>
        </w:tabs>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2、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pPr>
        <w:shd w:val="clear" w:color="auto" w:fill="FFFFFF"/>
        <w:snapToGrid w:val="0"/>
        <w:spacing w:line="600" w:lineRule="exact"/>
        <w:ind w:firstLine="540"/>
        <w:rPr>
          <w:rFonts w:hint="eastAsia" w:ascii="宋体" w:hAnsi="宋体" w:cs="宋体"/>
          <w:color w:val="auto"/>
          <w:sz w:val="24"/>
        </w:rPr>
      </w:pPr>
      <w:r>
        <w:rPr>
          <w:rFonts w:hint="eastAsia" w:ascii="宋体" w:hAnsi="宋体" w:cs="宋体"/>
          <w:color w:val="auto"/>
          <w:sz w:val="24"/>
        </w:rPr>
        <w:t>3、在中标人签订合同并生效后，招标代理机构及时将未中标的结果通知其他投标人。</w:t>
      </w:r>
    </w:p>
    <w:p>
      <w:pPr>
        <w:shd w:val="clear" w:color="auto" w:fill="FFFFFF"/>
        <w:snapToGrid w:val="0"/>
        <w:spacing w:line="600" w:lineRule="exact"/>
        <w:ind w:firstLine="540"/>
        <w:rPr>
          <w:rFonts w:hint="eastAsia" w:ascii="宋体" w:hAnsi="宋体" w:cs="宋体"/>
          <w:color w:val="auto"/>
          <w:sz w:val="24"/>
        </w:rPr>
      </w:pPr>
      <w:r>
        <w:rPr>
          <w:rFonts w:hint="eastAsia" w:ascii="宋体" w:hAnsi="宋体" w:cs="宋体"/>
          <w:color w:val="auto"/>
          <w:sz w:val="24"/>
        </w:rPr>
        <w:t>4、如签订合同并生效后，供应商无故拒绝或延期，除按照合同条款处罚外，列入不良行为记录一次，并给予通报。</w:t>
      </w:r>
    </w:p>
    <w:p>
      <w:pPr>
        <w:shd w:val="clear" w:color="auto" w:fill="FFFFFF"/>
        <w:snapToGrid w:val="0"/>
        <w:spacing w:line="600" w:lineRule="exact"/>
        <w:rPr>
          <w:rFonts w:hint="eastAsia" w:ascii="宋体" w:hAnsi="宋体" w:cs="宋体"/>
          <w:b/>
          <w:bCs/>
          <w:color w:val="auto"/>
          <w:sz w:val="24"/>
        </w:rPr>
      </w:pPr>
      <w:r>
        <w:rPr>
          <w:rFonts w:hint="eastAsia" w:ascii="宋体" w:hAnsi="宋体" w:cs="宋体"/>
          <w:b/>
          <w:bCs/>
          <w:color w:val="auto"/>
          <w:sz w:val="24"/>
        </w:rPr>
        <w:t>（二）合同的签订</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中标人按规定的日期、时间、地点，由法定代表人或授权代表人与招标人代表签订合同。</w:t>
      </w:r>
    </w:p>
    <w:p>
      <w:pPr>
        <w:shd w:val="clear" w:color="auto" w:fill="FFFFFF"/>
        <w:snapToGrid w:val="0"/>
        <w:spacing w:line="600" w:lineRule="exact"/>
        <w:rPr>
          <w:rFonts w:hint="eastAsia" w:ascii="宋体" w:hAnsi="宋体" w:cs="宋体"/>
          <w:b/>
          <w:bCs/>
          <w:color w:val="auto"/>
          <w:sz w:val="24"/>
        </w:rPr>
      </w:pPr>
      <w:r>
        <w:rPr>
          <w:rFonts w:hint="eastAsia" w:ascii="宋体" w:hAnsi="宋体" w:cs="宋体"/>
          <w:b/>
          <w:bCs/>
          <w:color w:val="auto"/>
          <w:sz w:val="24"/>
        </w:rPr>
        <w:t>（三）付款结算方式</w:t>
      </w:r>
    </w:p>
    <w:p>
      <w:pPr>
        <w:shd w:val="clear" w:color="auto" w:fill="FFFFFF"/>
        <w:snapToGrid w:val="0"/>
        <w:spacing w:line="600" w:lineRule="exact"/>
        <w:ind w:firstLine="241" w:firstLineChars="100"/>
        <w:rPr>
          <w:rFonts w:hint="eastAsia" w:ascii="宋体" w:hAnsi="宋体" w:cs="宋体"/>
          <w:b/>
          <w:bCs/>
          <w:color w:val="auto"/>
          <w:sz w:val="24"/>
        </w:rPr>
      </w:pPr>
      <w:r>
        <w:rPr>
          <w:rFonts w:hint="eastAsia" w:ascii="宋体" w:hAnsi="宋体" w:cs="宋体"/>
          <w:b/>
          <w:bCs/>
          <w:color w:val="auto"/>
          <w:sz w:val="24"/>
        </w:rPr>
        <w:t>详见第三部分“项目技术规范和服务要求”。</w:t>
      </w:r>
    </w:p>
    <w:p>
      <w:pPr>
        <w:shd w:val="clear" w:color="auto" w:fill="FFFFFF"/>
        <w:snapToGrid w:val="0"/>
        <w:spacing w:line="600" w:lineRule="exact"/>
        <w:rPr>
          <w:rFonts w:hint="eastAsia" w:ascii="宋体" w:hAnsi="宋体" w:cs="宋体"/>
          <w:b/>
          <w:bCs/>
          <w:color w:val="auto"/>
          <w:sz w:val="24"/>
        </w:rPr>
      </w:pPr>
      <w:r>
        <w:rPr>
          <w:rFonts w:hint="eastAsia" w:ascii="宋体" w:hAnsi="宋体" w:cs="宋体"/>
          <w:b/>
          <w:bCs/>
          <w:color w:val="auto"/>
          <w:sz w:val="24"/>
        </w:rPr>
        <w:t>（四）工期要求</w:t>
      </w:r>
    </w:p>
    <w:p>
      <w:pPr>
        <w:shd w:val="clear" w:color="auto" w:fill="FFFFFF"/>
        <w:snapToGrid w:val="0"/>
        <w:spacing w:line="600" w:lineRule="exact"/>
        <w:ind w:firstLine="241" w:firstLineChars="100"/>
        <w:rPr>
          <w:rFonts w:hint="eastAsia" w:ascii="宋体" w:hAnsi="宋体" w:cs="宋体"/>
          <w:b/>
          <w:bCs/>
          <w:color w:val="auto"/>
          <w:sz w:val="24"/>
        </w:rPr>
      </w:pPr>
      <w:r>
        <w:rPr>
          <w:rFonts w:hint="eastAsia" w:ascii="宋体" w:hAnsi="宋体" w:cs="宋体"/>
          <w:b/>
          <w:bCs/>
          <w:color w:val="auto"/>
          <w:sz w:val="24"/>
        </w:rPr>
        <w:t>详见第三部分“项目技术规范和服务要求”。</w:t>
      </w:r>
    </w:p>
    <w:p>
      <w:pPr>
        <w:shd w:val="clear" w:color="auto" w:fill="FFFFFF"/>
        <w:snapToGrid w:val="0"/>
        <w:spacing w:line="600" w:lineRule="exact"/>
        <w:rPr>
          <w:rFonts w:hint="eastAsia" w:ascii="宋体" w:hAnsi="宋体" w:cs="宋体"/>
          <w:color w:val="auto"/>
          <w:kern w:val="0"/>
          <w:sz w:val="24"/>
          <w:lang w:val="zh-CN"/>
        </w:rPr>
      </w:pPr>
      <w:r>
        <w:rPr>
          <w:rFonts w:hint="eastAsia" w:ascii="宋体" w:hAnsi="宋体" w:cs="宋体"/>
          <w:b/>
          <w:bCs/>
          <w:color w:val="auto"/>
          <w:sz w:val="24"/>
        </w:rPr>
        <w:t>（五）采购方式改变</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在符合资格的投标人不足规定数量或投标人提供的服务及其报价、服务承诺等不能满足采购人要求，以及招标过程中出现其他不正常情况时，经批准，招标代理机构</w:t>
      </w:r>
      <w:r>
        <w:rPr>
          <w:rFonts w:hint="eastAsia" w:ascii="宋体" w:hAnsi="宋体" w:cs="宋体"/>
          <w:color w:val="auto"/>
          <w:sz w:val="24"/>
          <w:lang w:val="zh-CN"/>
        </w:rPr>
        <w:t>将根据《政府采购货物和服务招标投标管理办法》(财政部第</w:t>
      </w:r>
      <w:r>
        <w:rPr>
          <w:rFonts w:hint="eastAsia" w:ascii="宋体" w:hAnsi="宋体" w:cs="宋体"/>
          <w:color w:val="auto"/>
          <w:sz w:val="24"/>
        </w:rPr>
        <w:t>87</w:t>
      </w:r>
      <w:r>
        <w:rPr>
          <w:rFonts w:hint="eastAsia" w:ascii="宋体" w:hAnsi="宋体" w:cs="宋体"/>
          <w:color w:val="auto"/>
          <w:sz w:val="24"/>
          <w:lang w:val="zh-CN"/>
        </w:rPr>
        <w:t>号令)，</w:t>
      </w:r>
      <w:r>
        <w:rPr>
          <w:rFonts w:hint="eastAsia" w:ascii="宋体" w:hAnsi="宋体" w:cs="宋体"/>
          <w:color w:val="auto"/>
          <w:sz w:val="24"/>
        </w:rPr>
        <w:t>重新选择合适的方式进行采购。</w:t>
      </w:r>
    </w:p>
    <w:p>
      <w:pPr>
        <w:snapToGrid w:val="0"/>
        <w:spacing w:line="600" w:lineRule="exact"/>
        <w:rPr>
          <w:rFonts w:hint="eastAsia" w:ascii="宋体" w:hAnsi="宋体" w:cs="宋体"/>
          <w:b/>
          <w:color w:val="auto"/>
          <w:sz w:val="24"/>
        </w:rPr>
      </w:pPr>
      <w:r>
        <w:rPr>
          <w:rFonts w:hint="eastAsia" w:ascii="宋体" w:hAnsi="宋体" w:cs="宋体"/>
          <w:b/>
          <w:color w:val="auto"/>
          <w:sz w:val="24"/>
        </w:rPr>
        <w:t>（六）质疑和投诉</w:t>
      </w:r>
    </w:p>
    <w:p>
      <w:pPr>
        <w:snapToGrid w:val="0"/>
        <w:spacing w:line="600" w:lineRule="exact"/>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 xml:space="preserve">根据《中华人民共和国政府采购法》和《政府采购质疑和投诉办法》(财政部令第94号)的规定，投标人对政府采购活动事项有疑问的，可以向招标人和招标代理机构提出询问，招标人和招标代理机构应当及时作出答复，但答复的内容不得涉及商业秘密。  </w:t>
      </w:r>
    </w:p>
    <w:p>
      <w:pPr>
        <w:snapToGrid w:val="0"/>
        <w:spacing w:line="600" w:lineRule="exact"/>
        <w:ind w:firstLine="480" w:firstLineChars="200"/>
        <w:rPr>
          <w:rFonts w:hint="eastAsia" w:ascii="宋体" w:hAnsi="宋体" w:cs="宋体"/>
          <w:color w:val="auto"/>
          <w:sz w:val="24"/>
        </w:rPr>
      </w:pPr>
      <w:r>
        <w:rPr>
          <w:rFonts w:hint="eastAsia" w:ascii="宋体" w:hAnsi="宋体" w:cs="宋体"/>
          <w:snapToGrid w:val="0"/>
          <w:color w:val="auto"/>
          <w:kern w:val="0"/>
          <w:sz w:val="24"/>
        </w:rPr>
        <w:t>1、</w:t>
      </w:r>
      <w:r>
        <w:rPr>
          <w:rFonts w:hint="eastAsia" w:ascii="宋体" w:hAnsi="宋体" w:cs="宋体"/>
          <w:color w:val="auto"/>
          <w:sz w:val="24"/>
        </w:rPr>
        <w:t>供应商认为招标文件、采购过程和成交、成交结果使自己的权益受到损害的，可以在知道或者应知其权益受到损害之日起七个工作日内，以书面形式向采购人、采购代理机构提出质疑。</w:t>
      </w:r>
    </w:p>
    <w:p>
      <w:pPr>
        <w:snapToGrid w:val="0"/>
        <w:spacing w:line="600" w:lineRule="exact"/>
        <w:ind w:firstLine="360" w:firstLineChars="150"/>
        <w:rPr>
          <w:rFonts w:hint="eastAsia" w:ascii="宋体" w:hAnsi="宋体" w:cs="宋体"/>
          <w:color w:val="auto"/>
          <w:sz w:val="24"/>
        </w:rPr>
      </w:pPr>
      <w:r>
        <w:rPr>
          <w:rFonts w:hint="eastAsia" w:ascii="宋体" w:hAnsi="宋体" w:cs="宋体"/>
          <w:color w:val="auto"/>
          <w:sz w:val="24"/>
        </w:rPr>
        <w:t>（1）对可以质疑的招标文件提出质疑的，为收到招标文件之日或者招标文件公告期限届满之日；</w:t>
      </w:r>
    </w:p>
    <w:p>
      <w:pPr>
        <w:snapToGrid w:val="0"/>
        <w:spacing w:line="600" w:lineRule="exact"/>
        <w:ind w:firstLine="360" w:firstLineChars="150"/>
        <w:rPr>
          <w:rFonts w:hint="eastAsia" w:ascii="宋体" w:hAnsi="宋体" w:cs="宋体"/>
          <w:color w:val="auto"/>
          <w:sz w:val="24"/>
        </w:rPr>
      </w:pPr>
      <w:r>
        <w:rPr>
          <w:rFonts w:hint="eastAsia" w:ascii="宋体" w:hAnsi="宋体" w:cs="宋体"/>
          <w:color w:val="auto"/>
          <w:sz w:val="24"/>
        </w:rPr>
        <w:t>（2）对采购过程提出质疑的，为各采购程序环节结束之日；</w:t>
      </w:r>
    </w:p>
    <w:p>
      <w:pPr>
        <w:snapToGrid w:val="0"/>
        <w:spacing w:line="600" w:lineRule="exact"/>
        <w:ind w:firstLine="360" w:firstLineChars="150"/>
        <w:rPr>
          <w:rFonts w:hint="eastAsia" w:ascii="宋体" w:hAnsi="宋体" w:cs="宋体"/>
          <w:color w:val="auto"/>
          <w:sz w:val="24"/>
        </w:rPr>
      </w:pPr>
      <w:r>
        <w:rPr>
          <w:rFonts w:hint="eastAsia" w:ascii="宋体" w:hAnsi="宋体" w:cs="宋体"/>
          <w:color w:val="auto"/>
          <w:sz w:val="24"/>
        </w:rPr>
        <w:t>（3）对成交结果提出质疑的，为成交结果公告期限届满之日。</w:t>
      </w:r>
    </w:p>
    <w:p>
      <w:pPr>
        <w:snapToGrid w:val="0"/>
        <w:spacing w:line="600" w:lineRule="exact"/>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2、采购人或者采购代理机构应当在3个工作日内对供应商依法提出的询问作出答复。</w:t>
      </w:r>
    </w:p>
    <w:p>
      <w:pPr>
        <w:snapToGrid w:val="0"/>
        <w:spacing w:line="600" w:lineRule="exact"/>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供应商提出的询问或者质疑超出采购人对采购代理机构委托授权范围的，采购代理机构应当告知供应商向采购人提出。</w:t>
      </w:r>
    </w:p>
    <w:p>
      <w:pPr>
        <w:snapToGrid w:val="0"/>
        <w:spacing w:line="600" w:lineRule="exact"/>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政府采购评审专家应当配合采购人或者采购代理机构答复供应商的询问和质疑。</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snapToGrid w:val="0"/>
          <w:color w:val="auto"/>
          <w:kern w:val="0"/>
          <w:sz w:val="24"/>
        </w:rPr>
        <w:t>3、</w:t>
      </w:r>
      <w:r>
        <w:rPr>
          <w:rFonts w:hint="eastAsia" w:ascii="宋体" w:hAnsi="宋体" w:cs="宋体"/>
          <w:color w:val="auto"/>
          <w:sz w:val="24"/>
        </w:rPr>
        <w:t>质疑供应商对采购人、采购代理机构的答复不满意或者采购人、采购代理机构未在规定时间内作出答复的，可以在答复期满后十五个工作日内向同级政府采购监管部门投诉。</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4、要求投标人在法定质疑期内一次性提出针对同一招标程序环节的质疑。</w:t>
      </w:r>
    </w:p>
    <w:p>
      <w:pPr>
        <w:shd w:val="clear" w:color="auto" w:fill="FFFFFF"/>
        <w:snapToGrid w:val="0"/>
        <w:spacing w:line="600" w:lineRule="exact"/>
        <w:rPr>
          <w:rFonts w:hint="eastAsia" w:ascii="宋体" w:hAnsi="宋体" w:cs="宋体"/>
          <w:b/>
          <w:bCs/>
          <w:color w:val="auto"/>
          <w:sz w:val="24"/>
        </w:rPr>
      </w:pPr>
      <w:r>
        <w:rPr>
          <w:rFonts w:hint="eastAsia" w:ascii="宋体" w:hAnsi="宋体" w:cs="宋体"/>
          <w:b/>
          <w:bCs/>
          <w:color w:val="auto"/>
          <w:kern w:val="0"/>
          <w:sz w:val="24"/>
          <w:lang w:val="zh-CN"/>
        </w:rPr>
        <w:t>（七）</w:t>
      </w:r>
      <w:r>
        <w:rPr>
          <w:rFonts w:hint="eastAsia" w:ascii="宋体" w:hAnsi="宋体" w:cs="宋体"/>
          <w:b/>
          <w:bCs/>
          <w:color w:val="auto"/>
          <w:sz w:val="24"/>
        </w:rPr>
        <w:t>解释权</w:t>
      </w:r>
    </w:p>
    <w:p>
      <w:pPr>
        <w:shd w:val="clear" w:color="auto" w:fill="FFFFFF"/>
        <w:snapToGrid w:val="0"/>
        <w:spacing w:line="600" w:lineRule="exact"/>
        <w:ind w:firstLine="480" w:firstLineChars="200"/>
        <w:rPr>
          <w:rFonts w:hint="eastAsia" w:ascii="宋体" w:hAnsi="宋体" w:cs="宋体"/>
          <w:color w:val="auto"/>
          <w:spacing w:val="-11"/>
          <w:sz w:val="24"/>
        </w:rPr>
      </w:pPr>
      <w:r>
        <w:rPr>
          <w:rFonts w:hint="eastAsia" w:ascii="宋体" w:hAnsi="宋体" w:cs="宋体"/>
          <w:color w:val="auto"/>
          <w:sz w:val="24"/>
        </w:rPr>
        <w:t>招标文件的解释权均属于杭州市临平区机关事务服务中心和</w:t>
      </w:r>
      <w:r>
        <w:rPr>
          <w:rFonts w:hint="eastAsia" w:ascii="宋体" w:hAnsi="宋体" w:cs="宋体"/>
          <w:color w:val="auto"/>
          <w:sz w:val="24"/>
          <w:lang w:eastAsia="zh-CN"/>
        </w:rPr>
        <w:t>杭州溯远工程咨询有限公司</w:t>
      </w:r>
      <w:r>
        <w:rPr>
          <w:rFonts w:hint="eastAsia" w:ascii="宋体" w:hAnsi="宋体" w:cs="宋体"/>
          <w:color w:val="auto"/>
          <w:spacing w:val="-11"/>
          <w:sz w:val="24"/>
        </w:rPr>
        <w:t>。</w:t>
      </w:r>
    </w:p>
    <w:p>
      <w:pPr>
        <w:pageBreakBefore/>
        <w:shd w:val="clear" w:color="auto" w:fill="FFFFFF"/>
        <w:snapToGrid w:val="0"/>
        <w:spacing w:line="600" w:lineRule="exact"/>
        <w:jc w:val="center"/>
        <w:outlineLvl w:val="0"/>
        <w:rPr>
          <w:rFonts w:hint="eastAsia" w:ascii="宋体" w:hAnsi="宋体" w:cs="宋体"/>
          <w:color w:val="auto"/>
          <w:sz w:val="24"/>
        </w:rPr>
      </w:pPr>
      <w:bookmarkStart w:id="101" w:name="_Toc33194400"/>
      <w:r>
        <w:rPr>
          <w:rFonts w:hint="eastAsia" w:ascii="宋体" w:hAnsi="宋体" w:cs="宋体"/>
          <w:b/>
          <w:bCs/>
          <w:color w:val="auto"/>
          <w:sz w:val="32"/>
          <w:szCs w:val="32"/>
        </w:rPr>
        <w:t>第三部分  项目技术规范和服务要求</w:t>
      </w:r>
      <w:bookmarkEnd w:id="101"/>
    </w:p>
    <w:p>
      <w:pPr>
        <w:spacing w:line="360" w:lineRule="auto"/>
        <w:outlineLvl w:val="3"/>
        <w:rPr>
          <w:rFonts w:hint="eastAsia" w:ascii="宋体" w:hAnsi="宋体" w:cs="宋体"/>
          <w:color w:val="auto"/>
          <w:sz w:val="28"/>
          <w:szCs w:val="28"/>
        </w:rPr>
      </w:pPr>
      <w:bookmarkStart w:id="102" w:name="_Toc21051"/>
      <w:bookmarkStart w:id="103" w:name="_Toc452117207"/>
      <w:bookmarkStart w:id="104" w:name="_Toc233618986"/>
      <w:bookmarkStart w:id="105" w:name="_Toc354996706"/>
      <w:bookmarkStart w:id="106" w:name="_Toc86217003"/>
      <w:r>
        <w:rPr>
          <w:rFonts w:hint="eastAsia" w:ascii="宋体" w:hAnsi="宋体" w:cs="宋体"/>
          <w:b/>
          <w:bCs/>
          <w:color w:val="auto"/>
          <w:sz w:val="24"/>
        </w:rPr>
        <w:t xml:space="preserve">  </w:t>
      </w:r>
      <w:bookmarkEnd w:id="102"/>
      <w:bookmarkEnd w:id="103"/>
    </w:p>
    <w:p>
      <w:pPr>
        <w:pStyle w:val="5"/>
        <w:numPr>
          <w:ilvl w:val="0"/>
          <w:numId w:val="13"/>
        </w:numPr>
        <w:tabs>
          <w:tab w:val="left" w:pos="1110"/>
          <w:tab w:val="clear" w:pos="706"/>
        </w:tabs>
        <w:snapToGrid w:val="0"/>
        <w:spacing w:before="120" w:after="120"/>
        <w:rPr>
          <w:rFonts w:hint="eastAsia" w:ascii="宋体" w:hAnsi="宋体" w:cs="宋体"/>
          <w:color w:val="auto"/>
          <w:sz w:val="24"/>
          <w:szCs w:val="24"/>
        </w:rPr>
      </w:pPr>
      <w:bookmarkStart w:id="107" w:name="_Toc47459696"/>
      <w:bookmarkStart w:id="108" w:name="_Toc33194401"/>
      <w:r>
        <w:rPr>
          <w:rFonts w:hint="eastAsia" w:ascii="宋体" w:hAnsi="宋体" w:cs="宋体"/>
          <w:color w:val="auto"/>
          <w:sz w:val="24"/>
          <w:szCs w:val="24"/>
        </w:rPr>
        <w:t>采购内容及数量</w:t>
      </w:r>
      <w:bookmarkEnd w:id="107"/>
    </w:p>
    <w:p>
      <w:pPr>
        <w:spacing w:line="360" w:lineRule="auto"/>
        <w:rPr>
          <w:rFonts w:ascii="宋体" w:hAnsi="宋体" w:cs="宋体"/>
          <w:color w:val="auto"/>
          <w:sz w:val="24"/>
        </w:rPr>
      </w:pPr>
      <w:r>
        <w:rPr>
          <w:rFonts w:hint="eastAsia" w:ascii="宋体" w:hAnsi="宋体"/>
          <w:color w:val="auto"/>
          <w:sz w:val="24"/>
        </w:rPr>
        <w:t xml:space="preserve">     临平区公共物资仓储管理中心位于星桥街道枉山社区，面积约16000平方米，共5层，有2部货梯，</w:t>
      </w:r>
      <w:r>
        <w:rPr>
          <w:rFonts w:hint="eastAsia" w:ascii="宋体" w:hAnsi="宋体" w:cs="宋体"/>
          <w:color w:val="auto"/>
          <w:sz w:val="24"/>
        </w:rPr>
        <w:t>根据中央全面深化改革委员会第十二次会议上针对公共应急物资及公共管理等物资实行“集中管理、统一调拨、平时服务、灾时应急、采储结合、节约高效”的相关指示，建立区公共物资仓储管理中心，通过线上大数据管理+线下集中仓储的综合管理模式，实现“统一管理、节约开支、效率提升、信息全面”的管理目标，将日常物业运维及运营管理委托第三方服务，报价中包括人员工资、保管服务费、日常运维、网络通讯费、交通、住宿、税金、管理费、验收及售后服务等费用。以上费用不包含系统平台建设服务费用以及所有物资运输、装卸费用。项目涉及的日常耗材由采购人自行承担。</w:t>
      </w:r>
    </w:p>
    <w:p>
      <w:pPr>
        <w:pStyle w:val="479"/>
        <w:widowControl/>
        <w:autoSpaceDE w:val="0"/>
        <w:autoSpaceDN w:val="0"/>
        <w:spacing w:line="360" w:lineRule="auto"/>
        <w:ind w:left="482" w:right="-178" w:rightChars="-85" w:firstLine="0" w:firstLineChars="0"/>
        <w:textAlignment w:val="bottom"/>
        <w:outlineLvl w:val="1"/>
        <w:rPr>
          <w:rFonts w:ascii="宋体" w:hAnsi="宋体" w:cs="宋体"/>
          <w:b/>
          <w:color w:val="auto"/>
          <w:sz w:val="24"/>
          <w:szCs w:val="24"/>
        </w:rPr>
      </w:pPr>
      <w:bookmarkStart w:id="109" w:name="_Toc47459702"/>
      <w:r>
        <w:rPr>
          <w:rFonts w:hint="eastAsia" w:ascii="宋体" w:hAnsi="宋体" w:cs="宋体"/>
          <w:b/>
          <w:color w:val="auto"/>
          <w:sz w:val="24"/>
          <w:szCs w:val="24"/>
        </w:rPr>
        <w:t>二、 服务期限</w:t>
      </w:r>
      <w:bookmarkEnd w:id="109"/>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服务期限：本次采购项目服务期限自政府采购合同签订生效之日起三年，如在规定的时间内由于供应商的原因不能完成的，供应商应承担由此给采购人造成的损失。</w:t>
      </w:r>
      <w:r>
        <w:rPr>
          <w:rFonts w:hint="eastAsia" w:ascii="宋体" w:hAnsi="宋体" w:cs="宋体"/>
          <w:b/>
          <w:color w:val="auto"/>
          <w:sz w:val="24"/>
          <w:szCs w:val="20"/>
        </w:rPr>
        <w:t>本项目在合同期限内，供应商能严格履行合同。</w:t>
      </w:r>
    </w:p>
    <w:p>
      <w:pPr>
        <w:pStyle w:val="5"/>
        <w:numPr>
          <w:ilvl w:val="0"/>
          <w:numId w:val="0"/>
        </w:numPr>
        <w:tabs>
          <w:tab w:val="clear" w:pos="706"/>
        </w:tabs>
        <w:snapToGrid w:val="0"/>
        <w:spacing w:before="120" w:after="120"/>
        <w:rPr>
          <w:rFonts w:ascii="宋体" w:hAnsi="宋体" w:cs="宋体"/>
          <w:color w:val="auto"/>
          <w:sz w:val="24"/>
          <w:szCs w:val="24"/>
        </w:rPr>
      </w:pPr>
      <w:r>
        <w:rPr>
          <w:rFonts w:hint="eastAsia" w:ascii="宋体" w:hAnsi="宋体" w:cs="宋体"/>
          <w:color w:val="auto"/>
          <w:sz w:val="24"/>
          <w:szCs w:val="24"/>
        </w:rPr>
        <w:t xml:space="preserve">  三、采购需求</w:t>
      </w:r>
    </w:p>
    <w:p>
      <w:pPr>
        <w:spacing w:line="360" w:lineRule="auto"/>
        <w:rPr>
          <w:rFonts w:hint="eastAsia" w:ascii="宋体" w:hAnsi="宋体" w:cs="宋体"/>
          <w:b/>
          <w:color w:val="auto"/>
          <w:sz w:val="24"/>
        </w:rPr>
      </w:pPr>
      <w:r>
        <w:rPr>
          <w:rFonts w:hint="eastAsia" w:ascii="宋体" w:hAnsi="宋体" w:cs="宋体"/>
          <w:b/>
          <w:color w:val="auto"/>
          <w:sz w:val="24"/>
        </w:rPr>
        <w:t xml:space="preserve">  1、人员设置及工作要求</w:t>
      </w:r>
    </w:p>
    <w:p>
      <w:pPr>
        <w:spacing w:line="360" w:lineRule="auto"/>
        <w:rPr>
          <w:rFonts w:ascii="宋体" w:hAnsi="宋体" w:cs="宋体"/>
          <w:b/>
          <w:color w:val="auto"/>
          <w:sz w:val="24"/>
        </w:rPr>
      </w:pPr>
      <w:r>
        <w:rPr>
          <w:rFonts w:hint="eastAsia" w:ascii="宋体" w:hAnsi="宋体" w:cs="宋体"/>
          <w:b/>
          <w:color w:val="auto"/>
          <w:sz w:val="24"/>
        </w:rPr>
        <w:t>（1）运营岗位设置及工作要求：</w:t>
      </w:r>
    </w:p>
    <w:tbl>
      <w:tblPr>
        <w:tblStyle w:val="77"/>
        <w:tblW w:w="0" w:type="auto"/>
        <w:jc w:val="center"/>
        <w:tblLayout w:type="fixed"/>
        <w:tblCellMar>
          <w:top w:w="0" w:type="dxa"/>
          <w:left w:w="0" w:type="dxa"/>
          <w:bottom w:w="0" w:type="dxa"/>
          <w:right w:w="0" w:type="dxa"/>
        </w:tblCellMar>
      </w:tblPr>
      <w:tblGrid>
        <w:gridCol w:w="612"/>
        <w:gridCol w:w="1526"/>
        <w:gridCol w:w="806"/>
        <w:gridCol w:w="6393"/>
      </w:tblGrid>
      <w:tr>
        <w:tblPrEx>
          <w:tblCellMar>
            <w:top w:w="0" w:type="dxa"/>
            <w:left w:w="0" w:type="dxa"/>
            <w:bottom w:w="0" w:type="dxa"/>
            <w:right w:w="0" w:type="dxa"/>
          </w:tblCellMar>
        </w:tblPrEx>
        <w:trPr>
          <w:trHeight w:val="551" w:hRule="atLeast"/>
          <w:jc w:val="center"/>
        </w:trPr>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b/>
                <w:color w:val="auto"/>
                <w:szCs w:val="21"/>
              </w:rPr>
            </w:pPr>
            <w:r>
              <w:rPr>
                <w:rFonts w:hint="eastAsia" w:ascii="宋体" w:hAnsi="宋体" w:cs="宋体"/>
                <w:b/>
                <w:color w:val="auto"/>
                <w:kern w:val="0"/>
                <w:szCs w:val="21"/>
              </w:rPr>
              <w:t>序号</w:t>
            </w:r>
          </w:p>
        </w:tc>
        <w:tc>
          <w:tcPr>
            <w:tcW w:w="1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b/>
                <w:color w:val="auto"/>
                <w:szCs w:val="21"/>
              </w:rPr>
            </w:pPr>
            <w:r>
              <w:rPr>
                <w:rFonts w:hint="eastAsia" w:ascii="宋体" w:hAnsi="宋体" w:cs="宋体"/>
                <w:b/>
                <w:color w:val="auto"/>
                <w:kern w:val="0"/>
                <w:szCs w:val="21"/>
              </w:rPr>
              <w:t>岗位</w:t>
            </w: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b/>
                <w:color w:val="auto"/>
                <w:szCs w:val="21"/>
              </w:rPr>
            </w:pPr>
            <w:r>
              <w:rPr>
                <w:rFonts w:hint="eastAsia" w:ascii="宋体" w:hAnsi="宋体" w:cs="宋体"/>
                <w:b/>
                <w:color w:val="auto"/>
                <w:kern w:val="0"/>
                <w:szCs w:val="21"/>
              </w:rPr>
              <w:t>人数</w:t>
            </w:r>
          </w:p>
        </w:tc>
        <w:tc>
          <w:tcPr>
            <w:tcW w:w="6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b/>
                <w:color w:val="auto"/>
                <w:szCs w:val="21"/>
              </w:rPr>
            </w:pPr>
            <w:r>
              <w:rPr>
                <w:rFonts w:hint="eastAsia" w:ascii="宋体" w:hAnsi="宋体" w:cs="宋体"/>
                <w:b/>
                <w:color w:val="auto"/>
                <w:kern w:val="0"/>
                <w:szCs w:val="21"/>
              </w:rPr>
              <w:t>工作说明</w:t>
            </w:r>
          </w:p>
        </w:tc>
      </w:tr>
      <w:tr>
        <w:tblPrEx>
          <w:tblCellMar>
            <w:top w:w="0" w:type="dxa"/>
            <w:left w:w="0" w:type="dxa"/>
            <w:bottom w:w="0" w:type="dxa"/>
            <w:right w:w="0" w:type="dxa"/>
          </w:tblCellMar>
        </w:tblPrEx>
        <w:trPr>
          <w:trHeight w:val="939" w:hRule="atLeast"/>
          <w:jc w:val="center"/>
        </w:trPr>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rPr>
              <w:t>1</w:t>
            </w:r>
          </w:p>
        </w:tc>
        <w:tc>
          <w:tcPr>
            <w:tcW w:w="1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rPr>
              <w:t>项目经理</w:t>
            </w: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rPr>
              <w:t>1</w:t>
            </w:r>
          </w:p>
        </w:tc>
        <w:tc>
          <w:tcPr>
            <w:tcW w:w="6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left"/>
              <w:textAlignment w:val="center"/>
              <w:rPr>
                <w:rFonts w:ascii="宋体" w:hAnsi="宋体" w:cs="宋体"/>
                <w:color w:val="auto"/>
                <w:szCs w:val="21"/>
              </w:rPr>
            </w:pPr>
            <w:r>
              <w:rPr>
                <w:rFonts w:hint="eastAsia" w:ascii="宋体" w:hAnsi="宋体" w:cs="宋体"/>
                <w:color w:val="auto"/>
                <w:kern w:val="0"/>
                <w:szCs w:val="21"/>
              </w:rPr>
              <w:t>负责项目日常运作管理，明确项目部成员岗位职责分工，统筹安排</w:t>
            </w:r>
          </w:p>
        </w:tc>
      </w:tr>
      <w:tr>
        <w:tblPrEx>
          <w:tblCellMar>
            <w:top w:w="0" w:type="dxa"/>
            <w:left w:w="0" w:type="dxa"/>
            <w:bottom w:w="0" w:type="dxa"/>
            <w:right w:w="0" w:type="dxa"/>
          </w:tblCellMar>
        </w:tblPrEx>
        <w:trPr>
          <w:trHeight w:val="939" w:hRule="atLeast"/>
          <w:jc w:val="center"/>
        </w:trPr>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rPr>
              <w:t>2</w:t>
            </w:r>
          </w:p>
        </w:tc>
        <w:tc>
          <w:tcPr>
            <w:tcW w:w="1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rPr>
              <w:t>客服经理</w:t>
            </w: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rPr>
              <w:t>1</w:t>
            </w:r>
          </w:p>
        </w:tc>
        <w:tc>
          <w:tcPr>
            <w:tcW w:w="6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left"/>
              <w:textAlignment w:val="center"/>
              <w:rPr>
                <w:rFonts w:ascii="宋体" w:hAnsi="宋体" w:cs="宋体"/>
                <w:color w:val="auto"/>
                <w:szCs w:val="21"/>
              </w:rPr>
            </w:pPr>
            <w:r>
              <w:rPr>
                <w:rFonts w:hint="eastAsia" w:ascii="宋体" w:hAnsi="宋体" w:cs="宋体"/>
                <w:color w:val="auto"/>
                <w:kern w:val="0"/>
                <w:szCs w:val="21"/>
              </w:rPr>
              <w:t>订单接收与分配、线上问题的解答及内外部的沟通协调</w:t>
            </w:r>
          </w:p>
        </w:tc>
      </w:tr>
      <w:tr>
        <w:tblPrEx>
          <w:tblCellMar>
            <w:top w:w="0" w:type="dxa"/>
            <w:left w:w="0" w:type="dxa"/>
            <w:bottom w:w="0" w:type="dxa"/>
            <w:right w:w="0" w:type="dxa"/>
          </w:tblCellMar>
        </w:tblPrEx>
        <w:trPr>
          <w:trHeight w:val="939" w:hRule="atLeast"/>
          <w:jc w:val="center"/>
        </w:trPr>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rPr>
              <w:t>3</w:t>
            </w:r>
          </w:p>
        </w:tc>
        <w:tc>
          <w:tcPr>
            <w:tcW w:w="1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rPr>
              <w:t>仓储管理员</w:t>
            </w: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rPr>
              <w:t>5</w:t>
            </w:r>
          </w:p>
        </w:tc>
        <w:tc>
          <w:tcPr>
            <w:tcW w:w="6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left"/>
              <w:textAlignment w:val="center"/>
              <w:rPr>
                <w:rFonts w:ascii="宋体" w:hAnsi="宋体" w:cs="宋体"/>
                <w:color w:val="auto"/>
                <w:szCs w:val="21"/>
              </w:rPr>
            </w:pPr>
            <w:r>
              <w:rPr>
                <w:rFonts w:hint="eastAsia" w:ascii="宋体" w:hAnsi="宋体" w:cs="宋体"/>
                <w:color w:val="auto"/>
                <w:kern w:val="0"/>
                <w:szCs w:val="21"/>
              </w:rPr>
              <w:t>负责库房内部区域化的物资进出，运送及日常管理</w:t>
            </w:r>
          </w:p>
        </w:tc>
      </w:tr>
    </w:tbl>
    <w:p>
      <w:pPr>
        <w:pStyle w:val="318"/>
        <w:ind w:firstLine="480" w:firstLineChars="200"/>
        <w:rPr>
          <w:color w:val="auto"/>
        </w:rPr>
      </w:pPr>
    </w:p>
    <w:p>
      <w:pPr>
        <w:pStyle w:val="318"/>
        <w:ind w:firstLine="480" w:firstLineChars="200"/>
        <w:rPr>
          <w:color w:val="auto"/>
        </w:rPr>
      </w:pPr>
    </w:p>
    <w:p>
      <w:pPr>
        <w:pStyle w:val="318"/>
        <w:ind w:firstLine="480" w:firstLineChars="200"/>
        <w:rPr>
          <w:color w:val="auto"/>
        </w:rPr>
      </w:pPr>
    </w:p>
    <w:p>
      <w:pPr>
        <w:pStyle w:val="318"/>
        <w:ind w:firstLine="480" w:firstLineChars="200"/>
        <w:rPr>
          <w:color w:val="auto"/>
        </w:rPr>
      </w:pPr>
    </w:p>
    <w:p>
      <w:pPr>
        <w:pStyle w:val="318"/>
        <w:ind w:firstLine="480" w:firstLineChars="200"/>
        <w:rPr>
          <w:color w:val="auto"/>
        </w:rPr>
      </w:pPr>
    </w:p>
    <w:p>
      <w:pPr>
        <w:spacing w:line="360" w:lineRule="auto"/>
        <w:jc w:val="left"/>
        <w:rPr>
          <w:rFonts w:ascii="宋体" w:hAnsi="宋体" w:cs="宋体"/>
          <w:b/>
          <w:bCs/>
          <w:color w:val="auto"/>
          <w:sz w:val="24"/>
        </w:rPr>
      </w:pPr>
      <w:r>
        <w:rPr>
          <w:rFonts w:hint="eastAsia" w:ascii="宋体" w:hAnsi="宋体" w:cs="宋体"/>
          <w:b/>
          <w:bCs/>
          <w:color w:val="auto"/>
          <w:sz w:val="24"/>
        </w:rPr>
        <w:t>（2）物业岗位设置及工作要求</w:t>
      </w:r>
    </w:p>
    <w:tbl>
      <w:tblPr>
        <w:tblStyle w:val="77"/>
        <w:tblW w:w="0" w:type="auto"/>
        <w:jc w:val="center"/>
        <w:tblLayout w:type="fixed"/>
        <w:tblCellMar>
          <w:top w:w="0" w:type="dxa"/>
          <w:left w:w="0" w:type="dxa"/>
          <w:bottom w:w="0" w:type="dxa"/>
          <w:right w:w="0" w:type="dxa"/>
        </w:tblCellMar>
      </w:tblPr>
      <w:tblGrid>
        <w:gridCol w:w="644"/>
        <w:gridCol w:w="1062"/>
        <w:gridCol w:w="1131"/>
        <w:gridCol w:w="6611"/>
      </w:tblGrid>
      <w:tr>
        <w:tblPrEx>
          <w:tblCellMar>
            <w:top w:w="0" w:type="dxa"/>
            <w:left w:w="0" w:type="dxa"/>
            <w:bottom w:w="0" w:type="dxa"/>
            <w:right w:w="0"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b/>
                <w:color w:val="auto"/>
                <w:szCs w:val="21"/>
              </w:rPr>
            </w:pPr>
            <w:r>
              <w:rPr>
                <w:rFonts w:hint="eastAsia" w:ascii="宋体" w:hAnsi="宋体" w:cs="宋体"/>
                <w:b/>
                <w:color w:val="auto"/>
                <w:kern w:val="0"/>
                <w:szCs w:val="21"/>
              </w:rPr>
              <w:t>序号</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b/>
                <w:color w:val="auto"/>
                <w:szCs w:val="21"/>
              </w:rPr>
            </w:pPr>
            <w:r>
              <w:rPr>
                <w:rFonts w:hint="eastAsia" w:ascii="宋体" w:hAnsi="宋体" w:cs="宋体"/>
                <w:b/>
                <w:color w:val="auto"/>
                <w:kern w:val="0"/>
                <w:szCs w:val="21"/>
              </w:rPr>
              <w:t>岗位</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b/>
                <w:color w:val="auto"/>
                <w:szCs w:val="21"/>
              </w:rPr>
            </w:pPr>
            <w:r>
              <w:rPr>
                <w:rFonts w:hint="eastAsia" w:ascii="宋体" w:hAnsi="宋体" w:cs="宋体"/>
                <w:b/>
                <w:color w:val="auto"/>
                <w:kern w:val="0"/>
                <w:szCs w:val="21"/>
              </w:rPr>
              <w:t>人数</w:t>
            </w:r>
          </w:p>
        </w:tc>
        <w:tc>
          <w:tcPr>
            <w:tcW w:w="6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b/>
                <w:color w:val="auto"/>
                <w:szCs w:val="21"/>
              </w:rPr>
            </w:pPr>
            <w:r>
              <w:rPr>
                <w:rFonts w:hint="eastAsia" w:ascii="宋体" w:hAnsi="宋体" w:cs="宋体"/>
                <w:b/>
                <w:color w:val="auto"/>
                <w:kern w:val="0"/>
                <w:szCs w:val="21"/>
              </w:rPr>
              <w:t>工作说明</w:t>
            </w:r>
          </w:p>
        </w:tc>
      </w:tr>
      <w:tr>
        <w:tblPrEx>
          <w:tblCellMar>
            <w:top w:w="0" w:type="dxa"/>
            <w:left w:w="0" w:type="dxa"/>
            <w:bottom w:w="0" w:type="dxa"/>
            <w:right w:w="0"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szCs w:val="21"/>
              </w:rPr>
              <w:t>1</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rPr>
              <w:t>保安</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auto"/>
                <w:szCs w:val="21"/>
              </w:rPr>
            </w:pPr>
            <w:r>
              <w:rPr>
                <w:rFonts w:hint="eastAsia" w:ascii="宋体" w:hAnsi="宋体" w:cs="宋体"/>
                <w:color w:val="auto"/>
                <w:szCs w:val="21"/>
              </w:rPr>
              <w:t>8</w:t>
            </w:r>
          </w:p>
        </w:tc>
        <w:tc>
          <w:tcPr>
            <w:tcW w:w="6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left"/>
              <w:textAlignment w:val="center"/>
              <w:rPr>
                <w:rFonts w:ascii="宋体" w:hAnsi="宋体" w:cs="宋体"/>
                <w:color w:val="auto"/>
                <w:szCs w:val="21"/>
              </w:rPr>
            </w:pPr>
            <w:r>
              <w:rPr>
                <w:rFonts w:hint="eastAsia" w:ascii="宋体" w:hAnsi="宋体" w:cs="宋体"/>
                <w:color w:val="auto"/>
                <w:kern w:val="0"/>
                <w:szCs w:val="21"/>
              </w:rPr>
              <w:t>大门岗，仓库大门及机动岗，2个岗位，每个岗位四班三运转。负责维护固定区域内的安全以及正常的工作秩序。</w:t>
            </w:r>
          </w:p>
        </w:tc>
      </w:tr>
      <w:tr>
        <w:tblPrEx>
          <w:tblCellMar>
            <w:top w:w="0" w:type="dxa"/>
            <w:left w:w="0" w:type="dxa"/>
            <w:bottom w:w="0" w:type="dxa"/>
            <w:right w:w="0" w:type="dxa"/>
          </w:tblCellMar>
        </w:tblPrEx>
        <w:trPr>
          <w:trHeight w:val="480" w:hRule="atLeast"/>
          <w:jc w:val="center"/>
        </w:trPr>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szCs w:val="21"/>
              </w:rPr>
              <w:t>2</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rPr>
              <w:t>消控监控</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rPr>
              <w:t>8</w:t>
            </w:r>
          </w:p>
        </w:tc>
        <w:tc>
          <w:tcPr>
            <w:tcW w:w="6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left"/>
              <w:textAlignment w:val="center"/>
              <w:rPr>
                <w:rFonts w:ascii="宋体" w:hAnsi="宋体" w:cs="宋体"/>
                <w:color w:val="auto"/>
                <w:szCs w:val="21"/>
              </w:rPr>
            </w:pPr>
            <w:r>
              <w:rPr>
                <w:rFonts w:hint="eastAsia" w:ascii="宋体" w:hAnsi="宋体" w:cs="宋体"/>
                <w:color w:val="auto"/>
                <w:kern w:val="0"/>
                <w:szCs w:val="21"/>
              </w:rPr>
              <w:t>每班2人4班3运转，保证24小时都有两名人员在岗。负责消防监控中心各种设备的监视和运用，做好日常检查及操作工作，保证设备正常运行。</w:t>
            </w:r>
          </w:p>
        </w:tc>
      </w:tr>
      <w:tr>
        <w:tblPrEx>
          <w:tblCellMar>
            <w:top w:w="0" w:type="dxa"/>
            <w:left w:w="0" w:type="dxa"/>
            <w:bottom w:w="0" w:type="dxa"/>
            <w:right w:w="0" w:type="dxa"/>
          </w:tblCellMar>
        </w:tblPrEx>
        <w:trPr>
          <w:trHeight w:val="720" w:hRule="atLeast"/>
          <w:jc w:val="center"/>
        </w:trPr>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szCs w:val="21"/>
              </w:rPr>
              <w:t>3</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rPr>
              <w:t>保洁</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rPr>
              <w:t>6</w:t>
            </w:r>
          </w:p>
        </w:tc>
        <w:tc>
          <w:tcPr>
            <w:tcW w:w="6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left"/>
              <w:textAlignment w:val="center"/>
              <w:rPr>
                <w:rFonts w:ascii="宋体" w:hAnsi="宋体" w:cs="宋体"/>
                <w:color w:val="auto"/>
                <w:szCs w:val="21"/>
              </w:rPr>
            </w:pPr>
            <w:r>
              <w:rPr>
                <w:rFonts w:hint="eastAsia" w:ascii="宋体" w:hAnsi="宋体" w:cs="宋体"/>
                <w:color w:val="auto"/>
                <w:kern w:val="0"/>
                <w:szCs w:val="21"/>
              </w:rPr>
              <w:t>每层3200平方米个，室外及屋顶月10000平方米1个，负责各区域内的清洁卫生工作达到规定标准，保证办公区域的干净整洁。</w:t>
            </w:r>
          </w:p>
        </w:tc>
      </w:tr>
      <w:tr>
        <w:tblPrEx>
          <w:tblCellMar>
            <w:top w:w="0" w:type="dxa"/>
            <w:left w:w="0" w:type="dxa"/>
            <w:bottom w:w="0" w:type="dxa"/>
            <w:right w:w="0" w:type="dxa"/>
          </w:tblCellMar>
        </w:tblPrEx>
        <w:trPr>
          <w:trHeight w:val="270" w:hRule="atLeast"/>
          <w:jc w:val="center"/>
        </w:trPr>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szCs w:val="21"/>
              </w:rPr>
              <w:t>4</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rPr>
              <w:t>设备维修</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rPr>
              <w:t>1</w:t>
            </w:r>
          </w:p>
        </w:tc>
        <w:tc>
          <w:tcPr>
            <w:tcW w:w="6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left"/>
              <w:textAlignment w:val="center"/>
              <w:rPr>
                <w:rFonts w:ascii="宋体" w:hAnsi="宋体" w:cs="宋体"/>
                <w:color w:val="auto"/>
                <w:szCs w:val="21"/>
              </w:rPr>
            </w:pPr>
            <w:r>
              <w:rPr>
                <w:rFonts w:hint="eastAsia" w:ascii="宋体" w:hAnsi="宋体" w:cs="宋体"/>
                <w:color w:val="auto"/>
                <w:kern w:val="0"/>
                <w:szCs w:val="21"/>
              </w:rPr>
              <w:t>负责水电、设备设施日常维护保养及维修。</w:t>
            </w:r>
          </w:p>
        </w:tc>
      </w:tr>
    </w:tbl>
    <w:p>
      <w:pPr>
        <w:spacing w:line="360" w:lineRule="auto"/>
        <w:jc w:val="left"/>
        <w:rPr>
          <w:rFonts w:ascii="宋体" w:hAnsi="宋体" w:cs="宋体"/>
          <w:b/>
          <w:bCs/>
          <w:color w:val="auto"/>
          <w:sz w:val="24"/>
        </w:rPr>
      </w:pPr>
    </w:p>
    <w:p>
      <w:pPr>
        <w:spacing w:line="360" w:lineRule="auto"/>
        <w:jc w:val="left"/>
        <w:rPr>
          <w:rFonts w:ascii="宋体" w:hAnsi="宋体" w:cs="宋体"/>
          <w:b/>
          <w:color w:val="auto"/>
          <w:sz w:val="24"/>
        </w:rPr>
      </w:pPr>
      <w:r>
        <w:rPr>
          <w:rFonts w:hint="eastAsia" w:ascii="宋体" w:hAnsi="宋体" w:cs="宋体"/>
          <w:b/>
          <w:color w:val="auto"/>
          <w:sz w:val="24"/>
        </w:rPr>
        <w:t>（3)其它需求说明：</w:t>
      </w:r>
    </w:p>
    <w:tbl>
      <w:tblPr>
        <w:tblStyle w:val="7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126"/>
        <w:gridCol w:w="5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noWrap w:val="0"/>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序号</w:t>
            </w:r>
          </w:p>
        </w:tc>
        <w:tc>
          <w:tcPr>
            <w:tcW w:w="2126" w:type="dxa"/>
            <w:noWrap w:val="0"/>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内容</w:t>
            </w:r>
          </w:p>
        </w:tc>
        <w:tc>
          <w:tcPr>
            <w:tcW w:w="5912" w:type="dxa"/>
            <w:noWrap w:val="0"/>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76"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2126"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保洁耗材</w:t>
            </w:r>
          </w:p>
        </w:tc>
        <w:tc>
          <w:tcPr>
            <w:tcW w:w="5912"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卫生纸、洗手液、洁厕液、拖把、水桶、分类垃圾桶、垃圾袋、擦手纸等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76"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2126"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服装</w:t>
            </w:r>
          </w:p>
        </w:tc>
        <w:tc>
          <w:tcPr>
            <w:tcW w:w="5912"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所有工作人员服装费用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76"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2126"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保安设备耗材</w:t>
            </w:r>
          </w:p>
        </w:tc>
        <w:tc>
          <w:tcPr>
            <w:tcW w:w="5912"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对讲机、**设备等设备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76"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2126"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日常维修</w:t>
            </w:r>
          </w:p>
        </w:tc>
        <w:tc>
          <w:tcPr>
            <w:tcW w:w="5912"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单次1000元以下日常维修费用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76"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2126"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绿化租赁及室外绿化养护</w:t>
            </w:r>
          </w:p>
        </w:tc>
        <w:tc>
          <w:tcPr>
            <w:tcW w:w="5912"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办公区域公共场所、室外绿化养护及租赁费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76"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6</w:t>
            </w:r>
          </w:p>
        </w:tc>
        <w:tc>
          <w:tcPr>
            <w:tcW w:w="2126"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电梯设备年检及保养</w:t>
            </w:r>
          </w:p>
        </w:tc>
        <w:tc>
          <w:tcPr>
            <w:tcW w:w="5912"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两台货梯年检及保养费用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76"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7</w:t>
            </w:r>
          </w:p>
        </w:tc>
        <w:tc>
          <w:tcPr>
            <w:tcW w:w="2126"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消防设备年检费</w:t>
            </w:r>
          </w:p>
        </w:tc>
        <w:tc>
          <w:tcPr>
            <w:tcW w:w="5912"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消防设备设施年检费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76"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8</w:t>
            </w:r>
          </w:p>
        </w:tc>
        <w:tc>
          <w:tcPr>
            <w:tcW w:w="2126"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标准化标牌</w:t>
            </w:r>
          </w:p>
        </w:tc>
        <w:tc>
          <w:tcPr>
            <w:tcW w:w="5912"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物业管理标准化标示标牌</w:t>
            </w:r>
          </w:p>
        </w:tc>
      </w:tr>
    </w:tbl>
    <w:p>
      <w:pPr>
        <w:spacing w:line="360" w:lineRule="auto"/>
        <w:jc w:val="left"/>
        <w:rPr>
          <w:rFonts w:ascii="宋体" w:hAnsi="宋体" w:cs="宋体"/>
          <w:b/>
          <w:bCs/>
          <w:color w:val="auto"/>
          <w:sz w:val="24"/>
        </w:rPr>
      </w:pPr>
      <w:r>
        <w:rPr>
          <w:rFonts w:hint="eastAsia" w:ascii="宋体" w:hAnsi="宋体" w:cs="宋体"/>
          <w:b/>
          <w:bCs/>
          <w:color w:val="auto"/>
          <w:sz w:val="24"/>
        </w:rPr>
        <w:t>2、运营服务需求</w:t>
      </w:r>
    </w:p>
    <w:p>
      <w:pPr>
        <w:pStyle w:val="479"/>
        <w:numPr>
          <w:ilvl w:val="0"/>
          <w:numId w:val="14"/>
        </w:numPr>
        <w:tabs>
          <w:tab w:val="left" w:pos="567"/>
        </w:tabs>
        <w:snapToGrid w:val="0"/>
        <w:spacing w:before="157" w:beforeLines="50" w:after="157" w:afterLines="50" w:line="400" w:lineRule="exact"/>
        <w:ind w:left="993" w:hanging="993" w:firstLineChars="0"/>
        <w:rPr>
          <w:rFonts w:ascii="宋体" w:hAnsi="宋体" w:cs="宋体"/>
          <w:b/>
          <w:color w:val="auto"/>
          <w:sz w:val="24"/>
          <w:szCs w:val="24"/>
        </w:rPr>
      </w:pPr>
      <w:r>
        <w:rPr>
          <w:rFonts w:hint="eastAsia" w:ascii="宋体" w:hAnsi="宋体" w:cs="宋体"/>
          <w:b/>
          <w:color w:val="auto"/>
          <w:sz w:val="24"/>
          <w:szCs w:val="24"/>
        </w:rPr>
        <w:t xml:space="preserve">  运营工作规范</w:t>
      </w:r>
    </w:p>
    <w:p>
      <w:pPr>
        <w:pStyle w:val="479"/>
        <w:numPr>
          <w:ilvl w:val="0"/>
          <w:numId w:val="15"/>
        </w:numPr>
        <w:tabs>
          <w:tab w:val="left" w:pos="993"/>
          <w:tab w:val="left" w:pos="1134"/>
        </w:tabs>
        <w:spacing w:line="360" w:lineRule="auto"/>
        <w:ind w:firstLine="6" w:firstLineChars="0"/>
        <w:rPr>
          <w:rFonts w:ascii="宋体" w:hAnsi="宋体" w:cs="宋体"/>
          <w:b/>
          <w:color w:val="auto"/>
          <w:sz w:val="24"/>
          <w:szCs w:val="24"/>
        </w:rPr>
      </w:pPr>
      <w:r>
        <w:rPr>
          <w:rFonts w:hint="eastAsia" w:ascii="宋体" w:hAnsi="宋体" w:cs="宋体"/>
          <w:b/>
          <w:color w:val="auto"/>
          <w:sz w:val="24"/>
          <w:szCs w:val="24"/>
        </w:rPr>
        <w:t>进仓前准备</w:t>
      </w:r>
    </w:p>
    <w:p>
      <w:pPr>
        <w:spacing w:line="360" w:lineRule="auto"/>
        <w:rPr>
          <w:rFonts w:ascii="宋体" w:hAnsi="宋体" w:cs="宋体"/>
          <w:color w:val="auto"/>
          <w:sz w:val="24"/>
        </w:rPr>
      </w:pPr>
      <w:r>
        <w:rPr>
          <w:rFonts w:hint="eastAsia" w:ascii="宋体" w:hAnsi="宋体" w:cs="宋体"/>
          <w:color w:val="auto"/>
          <w:sz w:val="24"/>
        </w:rPr>
        <w:t xml:space="preserve">   采购人将货物进仓计划（包括货名、数量、重量、体积、入仓时间等）发送给中标供应商，中标供应商收到货物进仓计划后，安排好作业工具、人员和库位，做好收货准备。</w:t>
      </w:r>
    </w:p>
    <w:p>
      <w:pPr>
        <w:pStyle w:val="479"/>
        <w:numPr>
          <w:ilvl w:val="0"/>
          <w:numId w:val="15"/>
        </w:numPr>
        <w:tabs>
          <w:tab w:val="left" w:pos="993"/>
          <w:tab w:val="left" w:pos="1134"/>
        </w:tabs>
        <w:spacing w:line="360" w:lineRule="auto"/>
        <w:ind w:firstLine="6" w:firstLineChars="0"/>
        <w:rPr>
          <w:rFonts w:ascii="宋体" w:hAnsi="宋体" w:cs="宋体"/>
          <w:b/>
          <w:color w:val="auto"/>
          <w:sz w:val="24"/>
          <w:szCs w:val="24"/>
        </w:rPr>
      </w:pPr>
      <w:r>
        <w:rPr>
          <w:rFonts w:hint="eastAsia" w:ascii="宋体" w:hAnsi="宋体" w:cs="宋体"/>
          <w:b/>
          <w:color w:val="auto"/>
          <w:sz w:val="24"/>
          <w:szCs w:val="24"/>
        </w:rPr>
        <w:t>货物验收进仓</w:t>
      </w:r>
    </w:p>
    <w:p>
      <w:pPr>
        <w:spacing w:line="360" w:lineRule="auto"/>
        <w:ind w:firstLine="424" w:firstLineChars="177"/>
        <w:rPr>
          <w:rFonts w:hint="eastAsia" w:ascii="宋体" w:hAnsi="宋体" w:cs="宋体"/>
          <w:strike/>
          <w:color w:val="auto"/>
          <w:sz w:val="24"/>
        </w:rPr>
      </w:pPr>
      <w:r>
        <w:rPr>
          <w:rFonts w:hint="eastAsia" w:ascii="宋体" w:hAnsi="宋体" w:cs="宋体"/>
          <w:color w:val="auto"/>
          <w:sz w:val="24"/>
        </w:rPr>
        <w:t>（1）采购人进仓货物进行卸车。</w:t>
      </w:r>
    </w:p>
    <w:p>
      <w:pPr>
        <w:spacing w:line="360" w:lineRule="auto"/>
        <w:ind w:firstLine="424" w:firstLineChars="177"/>
        <w:rPr>
          <w:rFonts w:hint="eastAsia" w:ascii="宋体" w:hAnsi="宋体" w:cs="宋体"/>
          <w:color w:val="auto"/>
          <w:sz w:val="24"/>
        </w:rPr>
      </w:pPr>
      <w:r>
        <w:rPr>
          <w:rFonts w:hint="eastAsia" w:ascii="宋体" w:hAnsi="宋体" w:cs="宋体"/>
          <w:color w:val="auto"/>
          <w:sz w:val="24"/>
        </w:rPr>
        <w:t>（2）卸车托盘堆放点验无误后，中标供应商引导送货单位将货物送到指定货架上架，并进行货物整理，条码张贴等操作。</w:t>
      </w:r>
    </w:p>
    <w:p>
      <w:pPr>
        <w:spacing w:line="360" w:lineRule="auto"/>
        <w:ind w:firstLine="424" w:firstLineChars="177"/>
        <w:rPr>
          <w:rFonts w:ascii="宋体" w:hAnsi="宋体" w:cs="宋体"/>
          <w:color w:val="auto"/>
          <w:sz w:val="24"/>
        </w:rPr>
      </w:pPr>
      <w:r>
        <w:rPr>
          <w:rFonts w:hint="eastAsia" w:ascii="宋体" w:hAnsi="宋体" w:cs="宋体"/>
          <w:color w:val="auto"/>
          <w:sz w:val="24"/>
        </w:rPr>
        <w:t>（3）仓管员检验无误后与送货司机做好签收交接手续。</w:t>
      </w:r>
    </w:p>
    <w:p>
      <w:pPr>
        <w:pStyle w:val="479"/>
        <w:numPr>
          <w:ilvl w:val="0"/>
          <w:numId w:val="15"/>
        </w:numPr>
        <w:tabs>
          <w:tab w:val="left" w:pos="993"/>
          <w:tab w:val="left" w:pos="1134"/>
        </w:tabs>
        <w:spacing w:line="360" w:lineRule="auto"/>
        <w:ind w:firstLine="6" w:firstLineChars="0"/>
        <w:rPr>
          <w:rFonts w:ascii="宋体" w:hAnsi="宋体" w:cs="宋体"/>
          <w:b/>
          <w:color w:val="auto"/>
          <w:sz w:val="24"/>
          <w:szCs w:val="24"/>
        </w:rPr>
      </w:pPr>
      <w:r>
        <w:rPr>
          <w:rFonts w:hint="eastAsia" w:ascii="宋体" w:hAnsi="宋体" w:cs="宋体"/>
          <w:b/>
          <w:color w:val="auto"/>
          <w:sz w:val="24"/>
          <w:szCs w:val="24"/>
        </w:rPr>
        <w:t>货物出仓管理</w:t>
      </w:r>
    </w:p>
    <w:p>
      <w:pPr>
        <w:spacing w:line="360" w:lineRule="auto"/>
        <w:ind w:firstLine="480" w:firstLineChars="200"/>
        <w:rPr>
          <w:rFonts w:ascii="宋体" w:hAnsi="宋体" w:cs="宋体"/>
          <w:color w:val="auto"/>
          <w:sz w:val="24"/>
        </w:rPr>
      </w:pPr>
      <w:r>
        <w:rPr>
          <w:rFonts w:hint="eastAsia" w:ascii="宋体" w:hAnsi="宋体" w:cs="宋体"/>
          <w:color w:val="auto"/>
          <w:sz w:val="24"/>
        </w:rPr>
        <w:t>中标供应商收到采购人发货单后安排货物出仓作业，完善货物交接手续，确保货物及时、安全出仓。</w:t>
      </w:r>
    </w:p>
    <w:p>
      <w:pPr>
        <w:pStyle w:val="479"/>
        <w:numPr>
          <w:ilvl w:val="0"/>
          <w:numId w:val="15"/>
        </w:numPr>
        <w:tabs>
          <w:tab w:val="left" w:pos="993"/>
          <w:tab w:val="left" w:pos="1134"/>
        </w:tabs>
        <w:spacing w:line="360" w:lineRule="auto"/>
        <w:ind w:firstLine="6" w:firstLineChars="0"/>
        <w:rPr>
          <w:rFonts w:ascii="宋体" w:hAnsi="宋体" w:cs="宋体"/>
          <w:b/>
          <w:color w:val="auto"/>
          <w:sz w:val="24"/>
          <w:szCs w:val="24"/>
        </w:rPr>
      </w:pPr>
      <w:r>
        <w:rPr>
          <w:rFonts w:hint="eastAsia" w:ascii="宋体" w:hAnsi="宋体" w:cs="宋体"/>
          <w:b/>
          <w:color w:val="auto"/>
          <w:sz w:val="24"/>
          <w:szCs w:val="24"/>
        </w:rPr>
        <w:t>出仓准备</w:t>
      </w:r>
    </w:p>
    <w:p>
      <w:pPr>
        <w:spacing w:line="360" w:lineRule="auto"/>
        <w:ind w:firstLine="424" w:firstLineChars="177"/>
        <w:rPr>
          <w:rFonts w:ascii="宋体" w:hAnsi="宋体" w:cs="宋体"/>
          <w:color w:val="auto"/>
          <w:sz w:val="24"/>
        </w:rPr>
      </w:pPr>
      <w:r>
        <w:rPr>
          <w:rFonts w:hint="eastAsia" w:ascii="宋体" w:hAnsi="宋体" w:cs="宋体"/>
          <w:color w:val="auto"/>
          <w:sz w:val="24"/>
        </w:rPr>
        <w:t>（1）采购人将货物发货单（包括发货单号、货物代码、货名、数量、体积、到达地点、收货人信息等）发送给中标方。</w:t>
      </w:r>
    </w:p>
    <w:p>
      <w:pPr>
        <w:spacing w:line="360" w:lineRule="auto"/>
        <w:ind w:firstLine="424" w:firstLineChars="177"/>
        <w:rPr>
          <w:rFonts w:ascii="宋体" w:hAnsi="宋体" w:cs="宋体"/>
          <w:color w:val="auto"/>
          <w:sz w:val="24"/>
        </w:rPr>
      </w:pPr>
      <w:r>
        <w:rPr>
          <w:rFonts w:hint="eastAsia" w:ascii="宋体" w:hAnsi="宋体" w:cs="宋体"/>
          <w:color w:val="auto"/>
          <w:sz w:val="24"/>
        </w:rPr>
        <w:t>（2）中标供应商收到货物发货计划后，安排好作业工具、人员，打印发货单。</w:t>
      </w:r>
    </w:p>
    <w:p>
      <w:pPr>
        <w:pStyle w:val="479"/>
        <w:numPr>
          <w:ilvl w:val="0"/>
          <w:numId w:val="15"/>
        </w:numPr>
        <w:tabs>
          <w:tab w:val="left" w:pos="993"/>
          <w:tab w:val="left" w:pos="1134"/>
        </w:tabs>
        <w:spacing w:line="360" w:lineRule="auto"/>
        <w:ind w:firstLine="6" w:firstLineChars="0"/>
        <w:rPr>
          <w:rFonts w:ascii="宋体" w:hAnsi="宋体" w:cs="宋体"/>
          <w:b/>
          <w:color w:val="auto"/>
          <w:sz w:val="24"/>
          <w:szCs w:val="24"/>
        </w:rPr>
      </w:pPr>
      <w:r>
        <w:rPr>
          <w:rFonts w:hint="eastAsia" w:ascii="宋体" w:hAnsi="宋体" w:cs="宋体"/>
          <w:b/>
          <w:color w:val="auto"/>
          <w:sz w:val="24"/>
          <w:szCs w:val="24"/>
        </w:rPr>
        <w:t>备货</w:t>
      </w:r>
    </w:p>
    <w:p>
      <w:pPr>
        <w:spacing w:line="360" w:lineRule="auto"/>
        <w:ind w:firstLine="424" w:firstLineChars="177"/>
        <w:rPr>
          <w:rFonts w:ascii="宋体" w:hAnsi="宋体" w:cs="宋体"/>
          <w:color w:val="auto"/>
          <w:sz w:val="24"/>
        </w:rPr>
      </w:pPr>
      <w:r>
        <w:rPr>
          <w:rFonts w:hint="eastAsia" w:ascii="宋体" w:hAnsi="宋体" w:cs="宋体"/>
          <w:color w:val="auto"/>
          <w:sz w:val="24"/>
        </w:rPr>
        <w:t>（1）中标供应商按照发货单里的每个品种到相应库位拣货，按先进先出原则拣货。</w:t>
      </w:r>
    </w:p>
    <w:p>
      <w:pPr>
        <w:spacing w:line="360" w:lineRule="auto"/>
        <w:ind w:firstLine="424" w:firstLineChars="177"/>
        <w:rPr>
          <w:rFonts w:ascii="宋体" w:hAnsi="宋体" w:cs="宋体"/>
          <w:color w:val="auto"/>
          <w:sz w:val="24"/>
        </w:rPr>
      </w:pPr>
      <w:r>
        <w:rPr>
          <w:rFonts w:hint="eastAsia" w:ascii="宋体" w:hAnsi="宋体" w:cs="宋体"/>
          <w:color w:val="auto"/>
          <w:sz w:val="24"/>
        </w:rPr>
        <w:t>（2）拣出该品种的货物后在系统上更新出货记录（登记发货时间、发货单据号码、数量），并把做好相应的出库记录。</w:t>
      </w:r>
    </w:p>
    <w:p>
      <w:pPr>
        <w:spacing w:line="360" w:lineRule="auto"/>
        <w:ind w:firstLine="424" w:firstLineChars="177"/>
        <w:rPr>
          <w:rFonts w:ascii="宋体" w:hAnsi="宋体" w:cs="宋体"/>
          <w:color w:val="auto"/>
          <w:sz w:val="24"/>
        </w:rPr>
      </w:pPr>
      <w:r>
        <w:rPr>
          <w:rFonts w:hint="eastAsia" w:ascii="宋体" w:hAnsi="宋体" w:cs="宋体"/>
          <w:color w:val="auto"/>
          <w:sz w:val="24"/>
        </w:rPr>
        <w:t>（3） 发货单全部品种拣完后集中摆放在出货备货区。</w:t>
      </w:r>
    </w:p>
    <w:p>
      <w:pPr>
        <w:spacing w:line="360" w:lineRule="auto"/>
        <w:ind w:firstLine="424" w:firstLineChars="177"/>
        <w:rPr>
          <w:rFonts w:ascii="宋体" w:hAnsi="宋体" w:cs="宋体"/>
          <w:color w:val="auto"/>
          <w:sz w:val="24"/>
        </w:rPr>
      </w:pPr>
      <w:r>
        <w:rPr>
          <w:rFonts w:hint="eastAsia" w:ascii="宋体" w:hAnsi="宋体" w:cs="宋体"/>
          <w:color w:val="auto"/>
          <w:sz w:val="24"/>
        </w:rPr>
        <w:t>（4）中标供应商按订单用扫码枪对货物外箱条码进行扫描。</w:t>
      </w:r>
    </w:p>
    <w:p>
      <w:pPr>
        <w:pStyle w:val="479"/>
        <w:numPr>
          <w:ilvl w:val="0"/>
          <w:numId w:val="15"/>
        </w:numPr>
        <w:tabs>
          <w:tab w:val="left" w:pos="993"/>
          <w:tab w:val="left" w:pos="1134"/>
        </w:tabs>
        <w:spacing w:line="360" w:lineRule="auto"/>
        <w:ind w:firstLine="6" w:firstLineChars="0"/>
        <w:rPr>
          <w:rFonts w:ascii="宋体" w:hAnsi="宋体" w:cs="宋体"/>
          <w:b/>
          <w:color w:val="auto"/>
          <w:sz w:val="24"/>
          <w:szCs w:val="24"/>
        </w:rPr>
      </w:pPr>
      <w:r>
        <w:rPr>
          <w:rFonts w:hint="eastAsia" w:ascii="宋体" w:hAnsi="宋体" w:cs="宋体"/>
          <w:b/>
          <w:color w:val="auto"/>
          <w:sz w:val="24"/>
          <w:szCs w:val="24"/>
        </w:rPr>
        <w:t>库存管理</w:t>
      </w:r>
    </w:p>
    <w:p>
      <w:pPr>
        <w:spacing w:line="360" w:lineRule="auto"/>
        <w:ind w:firstLine="424" w:firstLineChars="177"/>
        <w:rPr>
          <w:rFonts w:ascii="宋体" w:hAnsi="宋体" w:cs="宋体"/>
          <w:color w:val="auto"/>
          <w:sz w:val="24"/>
        </w:rPr>
      </w:pPr>
      <w:r>
        <w:rPr>
          <w:rFonts w:hint="eastAsia" w:ascii="宋体" w:hAnsi="宋体" w:cs="宋体"/>
          <w:color w:val="auto"/>
          <w:sz w:val="24"/>
        </w:rPr>
        <w:t>应做好采购人货物的保管和盘点工作，确保货物的安全和整洁，以及库存的准确性。</w:t>
      </w:r>
    </w:p>
    <w:p>
      <w:pPr>
        <w:pStyle w:val="479"/>
        <w:numPr>
          <w:ilvl w:val="0"/>
          <w:numId w:val="15"/>
        </w:numPr>
        <w:tabs>
          <w:tab w:val="left" w:pos="993"/>
          <w:tab w:val="left" w:pos="1134"/>
        </w:tabs>
        <w:spacing w:line="360" w:lineRule="auto"/>
        <w:ind w:firstLine="6" w:firstLineChars="0"/>
        <w:rPr>
          <w:rFonts w:ascii="宋体" w:hAnsi="宋体" w:cs="宋体"/>
          <w:b/>
          <w:color w:val="auto"/>
          <w:sz w:val="24"/>
          <w:szCs w:val="24"/>
        </w:rPr>
      </w:pPr>
      <w:r>
        <w:rPr>
          <w:rFonts w:hint="eastAsia" w:ascii="宋体" w:hAnsi="宋体" w:cs="宋体"/>
          <w:b/>
          <w:color w:val="auto"/>
          <w:sz w:val="24"/>
          <w:szCs w:val="24"/>
        </w:rPr>
        <w:t>远程值守</w:t>
      </w:r>
    </w:p>
    <w:p>
      <w:pPr>
        <w:spacing w:line="360" w:lineRule="auto"/>
        <w:ind w:firstLine="424" w:firstLineChars="177"/>
        <w:rPr>
          <w:rFonts w:ascii="宋体" w:hAnsi="宋体" w:cs="宋体"/>
          <w:color w:val="auto"/>
          <w:sz w:val="24"/>
        </w:rPr>
      </w:pPr>
      <w:r>
        <w:rPr>
          <w:rFonts w:hint="eastAsia" w:ascii="宋体" w:hAnsi="宋体" w:cs="宋体"/>
          <w:color w:val="auto"/>
          <w:sz w:val="24"/>
        </w:rPr>
        <w:t>实行24小时不间断远程值守，发现库区有异常情况第一时间通知公共物资仓储管理中心负责人。</w:t>
      </w:r>
    </w:p>
    <w:p>
      <w:pPr>
        <w:pStyle w:val="479"/>
        <w:numPr>
          <w:ilvl w:val="0"/>
          <w:numId w:val="15"/>
        </w:numPr>
        <w:tabs>
          <w:tab w:val="left" w:pos="993"/>
          <w:tab w:val="left" w:pos="1134"/>
        </w:tabs>
        <w:spacing w:line="360" w:lineRule="auto"/>
        <w:ind w:firstLine="6" w:firstLineChars="0"/>
        <w:rPr>
          <w:rFonts w:ascii="宋体" w:hAnsi="宋体" w:cs="宋体"/>
          <w:b/>
          <w:color w:val="auto"/>
          <w:sz w:val="24"/>
          <w:szCs w:val="24"/>
        </w:rPr>
      </w:pPr>
      <w:r>
        <w:rPr>
          <w:rFonts w:hint="eastAsia" w:ascii="宋体" w:hAnsi="宋体" w:cs="宋体"/>
          <w:b/>
          <w:color w:val="auto"/>
          <w:sz w:val="24"/>
          <w:szCs w:val="24"/>
        </w:rPr>
        <w:t>仓库管理制度</w:t>
      </w:r>
    </w:p>
    <w:p>
      <w:pPr>
        <w:spacing w:line="360" w:lineRule="auto"/>
        <w:ind w:firstLine="424" w:firstLineChars="177"/>
        <w:rPr>
          <w:rFonts w:ascii="宋体" w:hAnsi="宋体" w:cs="宋体"/>
          <w:color w:val="auto"/>
          <w:sz w:val="24"/>
        </w:rPr>
      </w:pPr>
      <w:r>
        <w:rPr>
          <w:rFonts w:hint="eastAsia" w:ascii="宋体" w:hAnsi="宋体" w:cs="宋体"/>
          <w:color w:val="auto"/>
          <w:sz w:val="24"/>
        </w:rPr>
        <w:t>应当建设完善的仓库管理制度、消防安全管理制度、仓库门禁管理制度、仓库安防监控管理制度、仓库应急管理制度等。</w:t>
      </w:r>
    </w:p>
    <w:p>
      <w:pPr>
        <w:pStyle w:val="479"/>
        <w:numPr>
          <w:ilvl w:val="0"/>
          <w:numId w:val="15"/>
        </w:numPr>
        <w:tabs>
          <w:tab w:val="left" w:pos="993"/>
          <w:tab w:val="left" w:pos="1134"/>
        </w:tabs>
        <w:spacing w:line="360" w:lineRule="auto"/>
        <w:ind w:firstLine="6" w:firstLineChars="0"/>
        <w:rPr>
          <w:rFonts w:ascii="宋体" w:hAnsi="宋体" w:cs="宋体"/>
          <w:b/>
          <w:color w:val="auto"/>
          <w:sz w:val="24"/>
          <w:szCs w:val="24"/>
        </w:rPr>
      </w:pPr>
      <w:r>
        <w:rPr>
          <w:rFonts w:hint="eastAsia" w:ascii="宋体" w:hAnsi="宋体" w:cs="宋体"/>
          <w:b/>
          <w:color w:val="auto"/>
          <w:sz w:val="24"/>
          <w:szCs w:val="24"/>
        </w:rPr>
        <w:t>库房管理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库房管理需配套“6S”现场管理标准，并针对库房“八防”标准制定实施方案。符合我国国家有关技术规范要求和技术标准。</w:t>
      </w:r>
    </w:p>
    <w:p>
      <w:pPr>
        <w:pStyle w:val="479"/>
        <w:tabs>
          <w:tab w:val="left" w:pos="567"/>
        </w:tabs>
        <w:snapToGrid w:val="0"/>
        <w:spacing w:before="157" w:beforeLines="50" w:after="157" w:afterLines="50" w:line="400" w:lineRule="exact"/>
        <w:ind w:firstLine="0" w:firstLineChars="0"/>
        <w:rPr>
          <w:rFonts w:ascii="宋体" w:hAnsi="宋体" w:cs="宋体"/>
          <w:b/>
          <w:color w:val="auto"/>
          <w:sz w:val="24"/>
          <w:szCs w:val="24"/>
        </w:rPr>
      </w:pPr>
      <w:r>
        <w:rPr>
          <w:rFonts w:hint="eastAsia" w:ascii="宋体" w:hAnsi="宋体" w:cs="宋体"/>
          <w:b/>
          <w:color w:val="auto"/>
          <w:sz w:val="24"/>
          <w:szCs w:val="24"/>
        </w:rPr>
        <w:t xml:space="preserve">   2.3  工作规定</w:t>
      </w:r>
    </w:p>
    <w:p>
      <w:pPr>
        <w:pStyle w:val="479"/>
        <w:tabs>
          <w:tab w:val="left" w:pos="1134"/>
        </w:tabs>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 xml:space="preserve">    （1）派驻人员实行综合制工作劳动制度，节假日有紧急情况或任务时第一时间响应。</w:t>
      </w:r>
    </w:p>
    <w:p>
      <w:pPr>
        <w:pStyle w:val="479"/>
        <w:tabs>
          <w:tab w:val="left" w:pos="1134"/>
        </w:tabs>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 xml:space="preserve">    （2）受托单位在日常管理中发现基建及设备上存在安全隐患，不利于物资货物管理，需提出合理的整改建议，双方协商后，及时整改。</w:t>
      </w:r>
    </w:p>
    <w:p>
      <w:pPr>
        <w:pStyle w:val="479"/>
        <w:tabs>
          <w:tab w:val="left" w:pos="1134"/>
        </w:tabs>
        <w:spacing w:line="360" w:lineRule="auto"/>
        <w:ind w:firstLine="0" w:firstLineChars="0"/>
        <w:jc w:val="left"/>
        <w:rPr>
          <w:rFonts w:ascii="宋体" w:hAnsi="宋体" w:cs="宋体"/>
          <w:color w:val="auto"/>
          <w:sz w:val="24"/>
          <w:szCs w:val="24"/>
        </w:rPr>
      </w:pPr>
      <w:r>
        <w:rPr>
          <w:rFonts w:hint="eastAsia" w:ascii="宋体" w:hAnsi="宋体" w:cs="宋体"/>
          <w:color w:val="auto"/>
          <w:sz w:val="24"/>
          <w:szCs w:val="24"/>
        </w:rPr>
        <w:t xml:space="preserve">    （3）定期不定期检查设备及消防设施，以防安全隐患，如有异样第一时间通知采购人。</w:t>
      </w:r>
    </w:p>
    <w:p>
      <w:pPr>
        <w:pStyle w:val="479"/>
        <w:tabs>
          <w:tab w:val="left" w:pos="1134"/>
        </w:tabs>
        <w:spacing w:line="360" w:lineRule="auto"/>
        <w:ind w:firstLine="0" w:firstLineChars="0"/>
        <w:jc w:val="left"/>
        <w:rPr>
          <w:rFonts w:ascii="宋体" w:hAnsi="宋体" w:cs="宋体"/>
          <w:b/>
          <w:color w:val="auto"/>
          <w:sz w:val="24"/>
          <w:szCs w:val="24"/>
        </w:rPr>
      </w:pPr>
      <w:r>
        <w:rPr>
          <w:rFonts w:hint="eastAsia" w:ascii="宋体" w:hAnsi="宋体" w:cs="宋体"/>
          <w:color w:val="auto"/>
          <w:sz w:val="24"/>
          <w:szCs w:val="24"/>
        </w:rPr>
        <w:t xml:space="preserve">    （4）针对服务人员需定期进行消防、安防、涉密、技能等专项培训。</w:t>
      </w:r>
    </w:p>
    <w:p>
      <w:pPr>
        <w:pStyle w:val="479"/>
        <w:tabs>
          <w:tab w:val="left" w:pos="1134"/>
        </w:tabs>
        <w:spacing w:line="360" w:lineRule="auto"/>
        <w:ind w:left="426" w:firstLine="0" w:firstLineChars="0"/>
        <w:jc w:val="left"/>
        <w:rPr>
          <w:rFonts w:ascii="宋体" w:hAnsi="宋体" w:cs="宋体"/>
          <w:b/>
          <w:bCs/>
          <w:color w:val="auto"/>
          <w:sz w:val="24"/>
          <w:szCs w:val="24"/>
        </w:rPr>
      </w:pPr>
      <w:r>
        <w:rPr>
          <w:rFonts w:hint="eastAsia" w:ascii="宋体" w:hAnsi="宋体" w:cs="宋体"/>
          <w:b/>
          <w:bCs/>
          <w:color w:val="auto"/>
          <w:sz w:val="24"/>
          <w:szCs w:val="24"/>
        </w:rPr>
        <w:t>2.4  服务要求</w:t>
      </w:r>
    </w:p>
    <w:p>
      <w:pPr>
        <w:spacing w:line="360" w:lineRule="auto"/>
        <w:rPr>
          <w:rFonts w:ascii="宋体" w:hAnsi="宋体" w:cs="宋体"/>
          <w:color w:val="auto"/>
          <w:sz w:val="24"/>
        </w:rPr>
      </w:pPr>
      <w:r>
        <w:rPr>
          <w:rFonts w:hint="eastAsia" w:ascii="宋体" w:hAnsi="宋体" w:cs="宋体"/>
          <w:color w:val="auto"/>
          <w:sz w:val="24"/>
        </w:rPr>
        <w:t xml:space="preserve">    1、总体要求：在服务期限内，中标供应商必须遵守国家《劳动法》及有关法律、法规，在管理范围内进行公共物资管理服务。</w:t>
      </w:r>
    </w:p>
    <w:p>
      <w:pPr>
        <w:spacing w:line="360" w:lineRule="auto"/>
        <w:rPr>
          <w:rFonts w:ascii="宋体" w:hAnsi="宋体" w:cs="宋体"/>
          <w:color w:val="auto"/>
          <w:sz w:val="24"/>
        </w:rPr>
      </w:pPr>
      <w:r>
        <w:rPr>
          <w:rFonts w:hint="eastAsia" w:ascii="宋体" w:hAnsi="宋体" w:cs="宋体"/>
          <w:color w:val="auto"/>
          <w:sz w:val="24"/>
        </w:rPr>
        <w:t xml:space="preserve">    2、具体要求参照国家及省、市的有关规定、具体标准，结合自身管理服务水平，供应商要具体承诺各服务项目要达到的指标，包括但不限于：</w:t>
      </w:r>
    </w:p>
    <w:p>
      <w:pPr>
        <w:pStyle w:val="479"/>
        <w:numPr>
          <w:ilvl w:val="0"/>
          <w:numId w:val="16"/>
        </w:numPr>
        <w:spacing w:line="360" w:lineRule="auto"/>
        <w:ind w:firstLineChars="0"/>
        <w:rPr>
          <w:rFonts w:ascii="宋体" w:hAnsi="宋体" w:cs="宋体"/>
          <w:color w:val="auto"/>
          <w:sz w:val="24"/>
          <w:szCs w:val="24"/>
        </w:rPr>
      </w:pPr>
      <w:r>
        <w:rPr>
          <w:rFonts w:hint="eastAsia" w:ascii="宋体" w:hAnsi="宋体" w:cs="宋体"/>
          <w:color w:val="auto"/>
          <w:sz w:val="24"/>
          <w:szCs w:val="24"/>
        </w:rPr>
        <w:t>清洁保洁率95%以上。</w:t>
      </w:r>
    </w:p>
    <w:p>
      <w:pPr>
        <w:pStyle w:val="479"/>
        <w:numPr>
          <w:ilvl w:val="0"/>
          <w:numId w:val="16"/>
        </w:numPr>
        <w:spacing w:line="360" w:lineRule="auto"/>
        <w:ind w:firstLineChars="0"/>
        <w:rPr>
          <w:rFonts w:ascii="宋体" w:hAnsi="宋体" w:cs="宋体"/>
          <w:color w:val="auto"/>
          <w:sz w:val="24"/>
          <w:szCs w:val="24"/>
        </w:rPr>
      </w:pPr>
      <w:r>
        <w:rPr>
          <w:rFonts w:hint="eastAsia" w:ascii="宋体" w:hAnsi="宋体" w:cs="宋体"/>
          <w:color w:val="auto"/>
          <w:sz w:val="24"/>
          <w:szCs w:val="24"/>
        </w:rPr>
        <w:t>客户满意度99%及以上。</w:t>
      </w:r>
    </w:p>
    <w:p>
      <w:pPr>
        <w:pStyle w:val="479"/>
        <w:numPr>
          <w:ilvl w:val="0"/>
          <w:numId w:val="16"/>
        </w:numPr>
        <w:spacing w:line="360" w:lineRule="auto"/>
        <w:ind w:firstLineChars="0"/>
        <w:rPr>
          <w:rFonts w:ascii="宋体" w:hAnsi="宋体" w:cs="宋体"/>
          <w:color w:val="auto"/>
          <w:sz w:val="24"/>
          <w:szCs w:val="24"/>
        </w:rPr>
      </w:pPr>
      <w:r>
        <w:rPr>
          <w:rFonts w:hint="eastAsia" w:ascii="宋体" w:hAnsi="宋体" w:cs="宋体"/>
          <w:color w:val="auto"/>
          <w:sz w:val="24"/>
          <w:szCs w:val="24"/>
        </w:rPr>
        <w:t>所有服务人员实行统一管理，统一着装，实行挂牌服务。</w:t>
      </w:r>
    </w:p>
    <w:p>
      <w:pPr>
        <w:pStyle w:val="479"/>
        <w:numPr>
          <w:ilvl w:val="0"/>
          <w:numId w:val="16"/>
        </w:numPr>
        <w:spacing w:line="360" w:lineRule="auto"/>
        <w:ind w:firstLineChars="0"/>
        <w:rPr>
          <w:rFonts w:ascii="宋体" w:hAnsi="宋体" w:cs="宋体"/>
          <w:color w:val="auto"/>
          <w:sz w:val="24"/>
          <w:szCs w:val="24"/>
        </w:rPr>
      </w:pPr>
      <w:r>
        <w:rPr>
          <w:rFonts w:hint="eastAsia" w:ascii="宋体" w:hAnsi="宋体" w:cs="宋体"/>
          <w:color w:val="auto"/>
          <w:sz w:val="24"/>
          <w:szCs w:val="24"/>
        </w:rPr>
        <w:t>具有健全的管理制度。</w:t>
      </w:r>
    </w:p>
    <w:p>
      <w:pPr>
        <w:pStyle w:val="479"/>
        <w:numPr>
          <w:ilvl w:val="0"/>
          <w:numId w:val="16"/>
        </w:numPr>
        <w:spacing w:line="360" w:lineRule="auto"/>
        <w:ind w:firstLineChars="0"/>
        <w:rPr>
          <w:rFonts w:ascii="宋体" w:hAnsi="宋体" w:cs="宋体"/>
          <w:color w:val="auto"/>
          <w:sz w:val="24"/>
          <w:szCs w:val="24"/>
        </w:rPr>
      </w:pPr>
      <w:r>
        <w:rPr>
          <w:rFonts w:hint="eastAsia" w:ascii="宋体" w:hAnsi="宋体" w:cs="宋体"/>
          <w:color w:val="auto"/>
          <w:sz w:val="24"/>
          <w:szCs w:val="24"/>
        </w:rPr>
        <w:t>具有明晰的岗位职责及安全保密措施。</w:t>
      </w:r>
    </w:p>
    <w:p>
      <w:pPr>
        <w:pStyle w:val="479"/>
        <w:numPr>
          <w:ilvl w:val="0"/>
          <w:numId w:val="16"/>
        </w:numPr>
        <w:spacing w:line="360" w:lineRule="auto"/>
        <w:ind w:firstLineChars="0"/>
        <w:rPr>
          <w:rFonts w:ascii="宋体" w:hAnsi="宋体" w:cs="宋体"/>
          <w:color w:val="auto"/>
          <w:sz w:val="24"/>
          <w:szCs w:val="24"/>
        </w:rPr>
      </w:pPr>
      <w:r>
        <w:rPr>
          <w:rFonts w:hint="eastAsia" w:ascii="宋体" w:hAnsi="宋体" w:cs="宋体"/>
          <w:color w:val="auto"/>
          <w:sz w:val="24"/>
          <w:szCs w:val="24"/>
        </w:rPr>
        <w:t>日常管理与服务。</w:t>
      </w:r>
    </w:p>
    <w:p>
      <w:pPr>
        <w:spacing w:line="360" w:lineRule="auto"/>
        <w:rPr>
          <w:rFonts w:ascii="宋体" w:hAnsi="宋体" w:cs="宋体"/>
          <w:color w:val="auto"/>
          <w:sz w:val="24"/>
        </w:rPr>
      </w:pPr>
      <w:r>
        <w:rPr>
          <w:rFonts w:hint="eastAsia" w:ascii="宋体" w:hAnsi="宋体" w:cs="宋体"/>
          <w:color w:val="auto"/>
          <w:sz w:val="24"/>
        </w:rPr>
        <w:t xml:space="preserve">    3、服务规范应符合法律法规的要求。</w:t>
      </w:r>
    </w:p>
    <w:p>
      <w:pPr>
        <w:spacing w:line="360" w:lineRule="auto"/>
        <w:rPr>
          <w:rFonts w:ascii="宋体" w:hAnsi="宋体" w:cs="宋体"/>
          <w:color w:val="auto"/>
          <w:sz w:val="24"/>
        </w:rPr>
      </w:pPr>
      <w:r>
        <w:rPr>
          <w:rFonts w:hint="eastAsia" w:ascii="宋体" w:hAnsi="宋体" w:cs="宋体"/>
          <w:color w:val="auto"/>
          <w:sz w:val="24"/>
        </w:rPr>
        <w:t xml:space="preserve">    4、有完整的业务操作记录登记制度。</w:t>
      </w:r>
    </w:p>
    <w:p>
      <w:pPr>
        <w:spacing w:line="360" w:lineRule="auto"/>
        <w:rPr>
          <w:rFonts w:ascii="宋体" w:hAnsi="宋体" w:cs="宋体"/>
          <w:color w:val="auto"/>
          <w:sz w:val="24"/>
        </w:rPr>
      </w:pPr>
      <w:r>
        <w:rPr>
          <w:rFonts w:hint="eastAsia" w:ascii="宋体" w:hAnsi="宋体" w:cs="宋体"/>
          <w:color w:val="auto"/>
          <w:sz w:val="24"/>
        </w:rPr>
        <w:t xml:space="preserve">    5、制定内部管理制度和考核制度，并报送采购人备案。</w:t>
      </w:r>
    </w:p>
    <w:p>
      <w:pPr>
        <w:pStyle w:val="479"/>
        <w:numPr>
          <w:ilvl w:val="0"/>
          <w:numId w:val="17"/>
        </w:numPr>
        <w:tabs>
          <w:tab w:val="left" w:pos="1134"/>
        </w:tabs>
        <w:spacing w:line="360" w:lineRule="auto"/>
        <w:ind w:firstLine="6" w:firstLineChars="0"/>
        <w:jc w:val="left"/>
        <w:rPr>
          <w:rFonts w:ascii="宋体" w:hAnsi="宋体" w:cs="宋体"/>
          <w:b/>
          <w:color w:val="auto"/>
          <w:sz w:val="24"/>
          <w:szCs w:val="24"/>
        </w:rPr>
      </w:pPr>
      <w:r>
        <w:rPr>
          <w:rFonts w:hint="eastAsia" w:ascii="宋体" w:hAnsi="宋体" w:cs="宋体"/>
          <w:color w:val="auto"/>
          <w:sz w:val="24"/>
          <w:szCs w:val="24"/>
        </w:rPr>
        <w:t>针对服务人员需定期进行消防、安防、涉密、技能等专项培训。</w:t>
      </w:r>
    </w:p>
    <w:p>
      <w:pPr>
        <w:pStyle w:val="479"/>
        <w:widowControl/>
        <w:autoSpaceDE w:val="0"/>
        <w:autoSpaceDN w:val="0"/>
        <w:spacing w:line="360" w:lineRule="auto"/>
        <w:ind w:left="482" w:right="-178" w:rightChars="-85" w:firstLine="0" w:firstLineChars="0"/>
        <w:textAlignment w:val="bottom"/>
        <w:outlineLvl w:val="1"/>
        <w:rPr>
          <w:rFonts w:ascii="宋体" w:hAnsi="宋体" w:cs="宋体"/>
          <w:b/>
          <w:color w:val="auto"/>
          <w:sz w:val="24"/>
          <w:szCs w:val="24"/>
        </w:rPr>
      </w:pPr>
      <w:r>
        <w:rPr>
          <w:rFonts w:hint="eastAsia" w:ascii="宋体" w:hAnsi="宋体" w:cs="宋体"/>
          <w:color w:val="auto"/>
          <w:sz w:val="24"/>
          <w:szCs w:val="24"/>
        </w:rPr>
        <w:t xml:space="preserve">2.4.1   </w:t>
      </w:r>
      <w:r>
        <w:rPr>
          <w:rFonts w:hint="eastAsia" w:ascii="宋体" w:hAnsi="宋体" w:cs="宋体"/>
          <w:b/>
          <w:color w:val="auto"/>
          <w:sz w:val="24"/>
          <w:szCs w:val="24"/>
        </w:rPr>
        <w:t>服务承诺要求</w:t>
      </w:r>
    </w:p>
    <w:p>
      <w:pPr>
        <w:widowControl/>
        <w:autoSpaceDE w:val="0"/>
        <w:autoSpaceDN w:val="0"/>
        <w:spacing w:line="360" w:lineRule="auto"/>
        <w:ind w:right="-178" w:rightChars="-85" w:firstLine="480" w:firstLineChars="200"/>
        <w:textAlignment w:val="bottom"/>
        <w:rPr>
          <w:rFonts w:ascii="宋体" w:hAnsi="宋体" w:cs="宋体"/>
          <w:color w:val="auto"/>
          <w:sz w:val="24"/>
        </w:rPr>
      </w:pPr>
      <w:r>
        <w:rPr>
          <w:rFonts w:hint="eastAsia" w:ascii="宋体" w:hAnsi="宋体" w:cs="宋体"/>
          <w:color w:val="auto"/>
          <w:sz w:val="24"/>
        </w:rPr>
        <w:t>1）供应商在履行合同义务期间，应遵守国家有关法律、法规、维护采购人的合法权益。</w:t>
      </w:r>
    </w:p>
    <w:p>
      <w:pPr>
        <w:widowControl/>
        <w:autoSpaceDE w:val="0"/>
        <w:autoSpaceDN w:val="0"/>
        <w:spacing w:line="360" w:lineRule="auto"/>
        <w:ind w:right="-178" w:rightChars="-85"/>
        <w:textAlignment w:val="bottom"/>
        <w:rPr>
          <w:rFonts w:ascii="宋体" w:hAnsi="宋体" w:cs="宋体"/>
          <w:color w:val="auto"/>
          <w:sz w:val="24"/>
        </w:rPr>
      </w:pPr>
      <w:r>
        <w:rPr>
          <w:rFonts w:hint="eastAsia" w:ascii="宋体" w:hAnsi="宋体" w:cs="宋体"/>
          <w:color w:val="auto"/>
          <w:sz w:val="24"/>
        </w:rPr>
        <w:t xml:space="preserve">    2）供应商应组建能够满足所投项目服务需要的项目组，按照工作范围和内容完成安全生产检查工作，并按约定向采购人汇报工作进展。</w:t>
      </w:r>
    </w:p>
    <w:p>
      <w:pPr>
        <w:widowControl/>
        <w:autoSpaceDE w:val="0"/>
        <w:autoSpaceDN w:val="0"/>
        <w:spacing w:line="360" w:lineRule="auto"/>
        <w:ind w:right="-178" w:rightChars="-85"/>
        <w:textAlignment w:val="bottom"/>
        <w:rPr>
          <w:rFonts w:ascii="宋体" w:hAnsi="宋体" w:cs="宋体"/>
          <w:color w:val="auto"/>
          <w:sz w:val="24"/>
        </w:rPr>
      </w:pPr>
      <w:r>
        <w:rPr>
          <w:rFonts w:hint="eastAsia" w:ascii="宋体" w:hAnsi="宋体" w:cs="宋体"/>
          <w:color w:val="auto"/>
          <w:sz w:val="24"/>
        </w:rPr>
        <w:t xml:space="preserve">    3）</w:t>
      </w:r>
      <w:r>
        <w:rPr>
          <w:rFonts w:hint="eastAsia" w:hAnsi="宋体" w:cs="宋体"/>
          <w:color w:val="auto"/>
          <w:sz w:val="24"/>
        </w:rPr>
        <w:t>由于工作的特殊性，中标供应商与服务人员必须与采购方签订保密协议</w:t>
      </w:r>
      <w:r>
        <w:rPr>
          <w:rFonts w:hint="eastAsia" w:ascii="宋体" w:hAnsi="宋体" w:cs="宋体"/>
          <w:color w:val="auto"/>
          <w:sz w:val="24"/>
        </w:rPr>
        <w:t>。</w:t>
      </w:r>
    </w:p>
    <w:p>
      <w:pPr>
        <w:widowControl/>
        <w:autoSpaceDE w:val="0"/>
        <w:autoSpaceDN w:val="0"/>
        <w:spacing w:line="360" w:lineRule="auto"/>
        <w:ind w:right="-178" w:rightChars="-85" w:firstLine="480"/>
        <w:textAlignment w:val="bottom"/>
        <w:rPr>
          <w:rFonts w:ascii="宋体" w:hAnsi="宋体" w:cs="宋体"/>
          <w:color w:val="auto"/>
          <w:sz w:val="24"/>
        </w:rPr>
      </w:pPr>
      <w:r>
        <w:rPr>
          <w:rFonts w:hint="eastAsia" w:ascii="宋体" w:hAnsi="宋体" w:cs="宋体"/>
          <w:color w:val="auto"/>
          <w:sz w:val="24"/>
        </w:rPr>
        <w:t>4）供应商应自行承担项目实施过程中的安全责任，采购人在任何情况下不承担任何责任。</w:t>
      </w:r>
    </w:p>
    <w:p>
      <w:pPr>
        <w:widowControl/>
        <w:autoSpaceDE w:val="0"/>
        <w:autoSpaceDN w:val="0"/>
        <w:spacing w:line="360" w:lineRule="auto"/>
        <w:ind w:right="-178" w:rightChars="-85" w:firstLine="480"/>
        <w:textAlignment w:val="bottom"/>
        <w:rPr>
          <w:rFonts w:ascii="宋体" w:hAnsi="宋体" w:cs="宋体"/>
          <w:color w:val="auto"/>
          <w:sz w:val="24"/>
        </w:rPr>
      </w:pPr>
      <w:r>
        <w:rPr>
          <w:rFonts w:hint="eastAsia" w:ascii="宋体" w:hAnsi="宋体" w:cs="宋体"/>
          <w:color w:val="auto"/>
          <w:sz w:val="24"/>
        </w:rPr>
        <w:t>5）在服务期内，中标供应商应该确保服务范围内的质量标准符合本招标文件要求。当出现问题时，中标供应商应承诺在12小时内响应并提出解决方案，8小时之内到现场对存在问题进行处理，并提出相应防范措施。</w:t>
      </w:r>
    </w:p>
    <w:p>
      <w:pPr>
        <w:widowControl/>
        <w:autoSpaceDE w:val="0"/>
        <w:autoSpaceDN w:val="0"/>
        <w:spacing w:line="360" w:lineRule="auto"/>
        <w:ind w:right="-178" w:rightChars="-85" w:firstLine="480"/>
        <w:textAlignment w:val="bottom"/>
        <w:rPr>
          <w:rFonts w:hint="eastAsia" w:ascii="宋体" w:hAnsi="宋体" w:cs="宋体"/>
          <w:color w:val="auto"/>
          <w:sz w:val="24"/>
        </w:rPr>
      </w:pPr>
      <w:r>
        <w:rPr>
          <w:rFonts w:hint="eastAsia" w:ascii="宋体" w:hAnsi="宋体" w:cs="宋体"/>
          <w:color w:val="auto"/>
          <w:sz w:val="24"/>
        </w:rPr>
        <w:t>为此，供应商应对以上5条内容提供相应承诺书。</w:t>
      </w:r>
    </w:p>
    <w:p>
      <w:pPr>
        <w:widowControl/>
        <w:autoSpaceDE w:val="0"/>
        <w:autoSpaceDN w:val="0"/>
        <w:spacing w:line="360" w:lineRule="auto"/>
        <w:ind w:right="-178" w:rightChars="-85" w:firstLine="480"/>
        <w:textAlignment w:val="bottom"/>
        <w:rPr>
          <w:rFonts w:ascii="宋体" w:hAnsi="宋体" w:cs="宋体"/>
          <w:b/>
          <w:bCs/>
          <w:color w:val="auto"/>
          <w:sz w:val="24"/>
        </w:rPr>
      </w:pPr>
      <w:r>
        <w:rPr>
          <w:rFonts w:hint="eastAsia" w:ascii="宋体" w:hAnsi="宋体" w:cs="宋体"/>
          <w:b/>
          <w:bCs/>
          <w:color w:val="auto"/>
          <w:sz w:val="24"/>
        </w:rPr>
        <w:t>2.5  人员管理要求</w:t>
      </w:r>
    </w:p>
    <w:p>
      <w:pPr>
        <w:pStyle w:val="479"/>
        <w:numPr>
          <w:ilvl w:val="0"/>
          <w:numId w:val="18"/>
        </w:numPr>
        <w:spacing w:line="360" w:lineRule="auto"/>
        <w:ind w:firstLineChars="0"/>
        <w:rPr>
          <w:rFonts w:ascii="宋体" w:hAnsi="宋体" w:cs="宋体"/>
          <w:color w:val="auto"/>
          <w:sz w:val="24"/>
          <w:szCs w:val="24"/>
        </w:rPr>
      </w:pPr>
      <w:r>
        <w:rPr>
          <w:rFonts w:hint="eastAsia" w:ascii="宋体" w:hAnsi="宋体" w:cs="宋体"/>
          <w:color w:val="auto"/>
          <w:sz w:val="24"/>
          <w:szCs w:val="24"/>
        </w:rPr>
        <w:t>采购人与派驻服务人员比发生任何劳动和雇佣关系，派驻服务人员由中标供应商自行管理，并按照法律法规和地方政府的规定支付服务人员工资、福利、保险、奖金、加班费等一切费用。采购人一律不再支付任何费用。</w:t>
      </w:r>
    </w:p>
    <w:p>
      <w:pPr>
        <w:pStyle w:val="479"/>
        <w:numPr>
          <w:ilvl w:val="0"/>
          <w:numId w:val="18"/>
        </w:numPr>
        <w:spacing w:line="360" w:lineRule="auto"/>
        <w:ind w:firstLineChars="0"/>
        <w:rPr>
          <w:rFonts w:ascii="宋体" w:hAnsi="宋体" w:cs="宋体"/>
          <w:color w:val="auto"/>
          <w:sz w:val="24"/>
          <w:szCs w:val="24"/>
        </w:rPr>
      </w:pPr>
      <w:r>
        <w:rPr>
          <w:rFonts w:hint="eastAsia" w:ascii="宋体" w:hAnsi="宋体" w:cs="宋体"/>
          <w:color w:val="auto"/>
          <w:sz w:val="24"/>
          <w:szCs w:val="24"/>
        </w:rPr>
        <w:t>若采购人员加班期间要求提供相关物业管理服务的，中标供应商应按上班期间要求，保质保量地做好保障工作。费用均由中标供应商负责支付。</w:t>
      </w:r>
    </w:p>
    <w:p>
      <w:pPr>
        <w:pStyle w:val="479"/>
        <w:numPr>
          <w:ilvl w:val="0"/>
          <w:numId w:val="18"/>
        </w:numPr>
        <w:spacing w:line="360" w:lineRule="auto"/>
        <w:ind w:firstLineChars="0"/>
        <w:rPr>
          <w:rFonts w:ascii="宋体" w:hAnsi="宋体" w:cs="宋体"/>
          <w:color w:val="auto"/>
          <w:sz w:val="24"/>
          <w:szCs w:val="24"/>
        </w:rPr>
      </w:pPr>
      <w:r>
        <w:rPr>
          <w:rFonts w:hint="eastAsia" w:ascii="宋体" w:hAnsi="宋体" w:cs="宋体"/>
          <w:color w:val="auto"/>
          <w:sz w:val="24"/>
          <w:szCs w:val="24"/>
        </w:rPr>
        <w:t>中标供应商的驻派服务人员应遵守安全操作规章制度，若发生人身伤害及意外伤害等工伤事故，由中标供应商负责，与采购人无关。</w:t>
      </w:r>
    </w:p>
    <w:p>
      <w:pPr>
        <w:pStyle w:val="479"/>
        <w:numPr>
          <w:ilvl w:val="0"/>
          <w:numId w:val="18"/>
        </w:numPr>
        <w:spacing w:line="360" w:lineRule="auto"/>
        <w:ind w:firstLineChars="0"/>
        <w:rPr>
          <w:rFonts w:ascii="宋体" w:hAnsi="宋体" w:cs="宋体"/>
          <w:color w:val="auto"/>
          <w:sz w:val="24"/>
          <w:szCs w:val="24"/>
        </w:rPr>
      </w:pPr>
      <w:r>
        <w:rPr>
          <w:rFonts w:hint="eastAsia" w:ascii="宋体" w:hAnsi="宋体" w:cs="宋体"/>
          <w:color w:val="auto"/>
          <w:sz w:val="24"/>
          <w:szCs w:val="24"/>
        </w:rPr>
        <w:t>中标供应商全部工作人员应专职服务本项目，如遇特殊情况需借用本项目工作人员，须报请采购人批准，并保证本项目正常运行。</w:t>
      </w:r>
    </w:p>
    <w:p>
      <w:pPr>
        <w:pStyle w:val="479"/>
        <w:numPr>
          <w:ilvl w:val="0"/>
          <w:numId w:val="18"/>
        </w:numPr>
        <w:spacing w:line="360" w:lineRule="auto"/>
        <w:ind w:firstLineChars="0"/>
        <w:rPr>
          <w:rFonts w:ascii="宋体" w:hAnsi="宋体" w:cs="宋体"/>
          <w:color w:val="auto"/>
          <w:sz w:val="24"/>
          <w:szCs w:val="24"/>
        </w:rPr>
      </w:pPr>
      <w:r>
        <w:rPr>
          <w:rFonts w:hint="eastAsia" w:ascii="宋体" w:hAnsi="宋体" w:cs="宋体"/>
          <w:color w:val="auto"/>
          <w:sz w:val="24"/>
          <w:szCs w:val="24"/>
        </w:rPr>
        <w:t>投诉处理率，且及时、妥善，有完整的记录档案。</w:t>
      </w:r>
    </w:p>
    <w:p>
      <w:pPr>
        <w:pStyle w:val="479"/>
        <w:numPr>
          <w:ilvl w:val="0"/>
          <w:numId w:val="18"/>
        </w:numPr>
        <w:spacing w:line="360" w:lineRule="auto"/>
        <w:ind w:firstLineChars="0"/>
        <w:rPr>
          <w:rFonts w:ascii="宋体" w:hAnsi="宋体" w:cs="宋体"/>
          <w:color w:val="auto"/>
          <w:sz w:val="24"/>
          <w:szCs w:val="24"/>
        </w:rPr>
      </w:pPr>
      <w:r>
        <w:rPr>
          <w:rFonts w:hint="eastAsia" w:ascii="宋体" w:hAnsi="宋体" w:cs="宋体"/>
          <w:color w:val="auto"/>
          <w:sz w:val="24"/>
          <w:szCs w:val="24"/>
        </w:rPr>
        <w:t>中标供应商自开始保安服务之日起____日内向物业所在地设区的市级人民政府公安机关办理备案，并于终止保安服务之日起____日内到备案的公安机关撤销备案。</w:t>
      </w:r>
    </w:p>
    <w:p>
      <w:pPr>
        <w:spacing w:line="480" w:lineRule="exact"/>
        <w:ind w:right="-178" w:rightChars="-85"/>
        <w:rPr>
          <w:rFonts w:hint="eastAsia" w:ascii="宋体" w:hAnsi="宋体" w:cs="宋体"/>
          <w:b/>
          <w:bCs/>
          <w:color w:val="auto"/>
          <w:sz w:val="24"/>
        </w:rPr>
      </w:pPr>
      <w:r>
        <w:rPr>
          <w:rFonts w:hint="eastAsia" w:ascii="宋体" w:hAnsi="宋体" w:cs="宋体"/>
          <w:b/>
          <w:bCs/>
          <w:color w:val="auto"/>
          <w:sz w:val="24"/>
        </w:rPr>
        <w:t xml:space="preserve">    四、结算方式：</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（1）采购人按季付款，自合同签订之日起7个工作日内支付年合同价预付款20%，每个季度首月支付年合同价的20%。</w:t>
      </w:r>
    </w:p>
    <w:p>
      <w:pPr>
        <w:spacing w:line="360" w:lineRule="auto"/>
        <w:ind w:firstLine="482" w:firstLineChars="200"/>
        <w:rPr>
          <w:rFonts w:ascii="宋体" w:hAnsi="宋体" w:cs="宋体"/>
          <w:b/>
          <w:color w:val="auto"/>
          <w:kern w:val="1"/>
          <w:sz w:val="24"/>
        </w:rPr>
      </w:pPr>
      <w:r>
        <w:rPr>
          <w:rFonts w:hint="eastAsia" w:ascii="宋体" w:hAnsi="宋体" w:cs="宋体"/>
          <w:b/>
          <w:bCs/>
          <w:color w:val="auto"/>
          <w:sz w:val="24"/>
        </w:rPr>
        <w:t>（2）中标单位</w:t>
      </w:r>
      <w:r>
        <w:rPr>
          <w:rFonts w:ascii="宋体" w:hAnsi="宋体" w:cs="宋体"/>
          <w:b/>
          <w:color w:val="auto"/>
          <w:kern w:val="1"/>
          <w:sz w:val="24"/>
        </w:rPr>
        <w:t>因工作失误</w:t>
      </w:r>
      <w:r>
        <w:rPr>
          <w:rFonts w:hint="eastAsia" w:ascii="宋体" w:hAnsi="宋体" w:cs="宋体"/>
          <w:b/>
          <w:color w:val="auto"/>
          <w:kern w:val="1"/>
          <w:sz w:val="24"/>
        </w:rPr>
        <w:t>及</w:t>
      </w:r>
      <w:r>
        <w:rPr>
          <w:rFonts w:ascii="宋体" w:hAnsi="宋体" w:cs="宋体"/>
          <w:b/>
          <w:color w:val="auto"/>
          <w:kern w:val="1"/>
          <w:sz w:val="24"/>
        </w:rPr>
        <w:t>按招标文件中的服务要求</w:t>
      </w:r>
      <w:r>
        <w:rPr>
          <w:rFonts w:hint="eastAsia" w:ascii="宋体" w:hAnsi="宋体" w:cs="宋体"/>
          <w:b/>
          <w:color w:val="auto"/>
          <w:kern w:val="1"/>
          <w:sz w:val="24"/>
        </w:rPr>
        <w:t>、</w:t>
      </w:r>
      <w:r>
        <w:rPr>
          <w:rFonts w:ascii="宋体" w:hAnsi="宋体" w:cs="宋体"/>
          <w:b/>
          <w:color w:val="auto"/>
          <w:kern w:val="1"/>
          <w:sz w:val="24"/>
        </w:rPr>
        <w:t>考核要</w:t>
      </w:r>
      <w:r>
        <w:rPr>
          <w:rFonts w:hint="eastAsia" w:ascii="宋体" w:hAnsi="宋体" w:cs="宋体"/>
          <w:b/>
          <w:color w:val="auto"/>
          <w:kern w:val="1"/>
          <w:sz w:val="24"/>
        </w:rPr>
        <w:t>求（详见附件）</w:t>
      </w:r>
      <w:r>
        <w:rPr>
          <w:rFonts w:ascii="宋体" w:hAnsi="宋体" w:cs="宋体"/>
          <w:b/>
          <w:color w:val="auto"/>
          <w:kern w:val="1"/>
          <w:sz w:val="24"/>
        </w:rPr>
        <w:t>造成的扣款则在季付款的同时相应扣除。</w:t>
      </w:r>
    </w:p>
    <w:p>
      <w:pPr>
        <w:spacing w:line="480" w:lineRule="exact"/>
        <w:ind w:left="-181" w:leftChars="-86" w:right="-178" w:rightChars="-85" w:firstLine="699" w:firstLineChars="290"/>
        <w:rPr>
          <w:rFonts w:ascii="宋体" w:hAnsi="宋体" w:cs="宋体"/>
          <w:b/>
          <w:color w:val="auto"/>
          <w:sz w:val="24"/>
        </w:rPr>
      </w:pPr>
      <w:r>
        <w:rPr>
          <w:rFonts w:hint="eastAsia" w:ascii="宋体" w:hAnsi="宋体" w:cs="宋体"/>
          <w:b/>
          <w:color w:val="auto"/>
          <w:sz w:val="24"/>
        </w:rPr>
        <w:t>五、履约保证金</w:t>
      </w:r>
    </w:p>
    <w:p>
      <w:pPr>
        <w:spacing w:line="440" w:lineRule="exact"/>
        <w:ind w:left="-57" w:leftChars="-27" w:right="-176" w:rightChars="-84" w:firstLine="480" w:firstLineChars="200"/>
        <w:rPr>
          <w:rFonts w:hint="eastAsia" w:ascii="宋体" w:hAnsi="宋体" w:cs="宋体"/>
          <w:color w:val="auto"/>
          <w:sz w:val="24"/>
        </w:rPr>
      </w:pPr>
      <w:r>
        <w:rPr>
          <w:rFonts w:hint="eastAsia" w:ascii="宋体" w:hAnsi="宋体" w:cs="宋体"/>
          <w:color w:val="auto"/>
          <w:sz w:val="24"/>
        </w:rPr>
        <w:t xml:space="preserve"> 合同签订前由中标供应商缴纳合同总价的</w:t>
      </w:r>
      <w:r>
        <w:rPr>
          <w:rFonts w:hint="eastAsia" w:ascii="宋体" w:hAnsi="宋体" w:cs="宋体"/>
          <w:color w:val="auto"/>
          <w:sz w:val="24"/>
          <w:highlight w:val="yellow"/>
        </w:rPr>
        <w:t>5%作为履约保证金</w:t>
      </w:r>
      <w:r>
        <w:rPr>
          <w:rFonts w:hint="eastAsia" w:ascii="宋体" w:hAnsi="宋体" w:cs="宋体"/>
          <w:color w:val="auto"/>
          <w:sz w:val="24"/>
        </w:rPr>
        <w:t>至采购单位指定账户。履约结束后，无质量、服务问题，由采购单位向供应商无息退还。因供应商的质量、服务问题原因造成采购单位损失的，采购单位有权要求供应商以其履约保证金作出补偿。</w:t>
      </w:r>
    </w:p>
    <w:p>
      <w:pPr>
        <w:pStyle w:val="479"/>
        <w:tabs>
          <w:tab w:val="left" w:pos="567"/>
        </w:tabs>
        <w:snapToGrid w:val="0"/>
        <w:spacing w:before="157" w:beforeLines="50" w:after="157" w:afterLines="50" w:line="400" w:lineRule="exact"/>
        <w:ind w:firstLine="0" w:firstLineChars="0"/>
        <w:rPr>
          <w:rFonts w:ascii="宋体" w:hAnsi="宋体" w:cs="宋体"/>
          <w:b/>
          <w:color w:val="auto"/>
          <w:sz w:val="24"/>
          <w:szCs w:val="24"/>
        </w:rPr>
      </w:pPr>
      <w:r>
        <w:rPr>
          <w:rFonts w:hint="eastAsia" w:ascii="宋体" w:hAnsi="宋体" w:cs="宋体"/>
          <w:b/>
          <w:color w:val="auto"/>
          <w:sz w:val="24"/>
          <w:szCs w:val="24"/>
        </w:rPr>
        <w:t xml:space="preserve">    六、其他要求</w:t>
      </w:r>
    </w:p>
    <w:p>
      <w:pPr>
        <w:pStyle w:val="479"/>
        <w:spacing w:line="360" w:lineRule="auto"/>
        <w:ind w:firstLine="0" w:firstLineChars="0"/>
        <w:rPr>
          <w:rFonts w:ascii="宋体" w:hAnsi="宋体" w:cs="宋体"/>
          <w:color w:val="auto"/>
          <w:sz w:val="24"/>
          <w:szCs w:val="24"/>
        </w:rPr>
      </w:pPr>
      <w:r>
        <w:rPr>
          <w:rFonts w:hint="eastAsia" w:ascii="宋体" w:hAnsi="宋体" w:cs="宋体"/>
          <w:color w:val="auto"/>
          <w:sz w:val="24"/>
          <w:szCs w:val="24"/>
        </w:rPr>
        <w:t xml:space="preserve">    1、中标供应商必须保证驻派采购人处工作人员的稳定性，如有工作人员调离，及时通报采购单位相关负责人。</w:t>
      </w:r>
    </w:p>
    <w:p>
      <w:pPr>
        <w:pStyle w:val="479"/>
        <w:spacing w:line="360" w:lineRule="auto"/>
        <w:ind w:firstLine="0" w:firstLineChars="0"/>
        <w:rPr>
          <w:rFonts w:ascii="宋体" w:hAnsi="宋体" w:cs="宋体"/>
          <w:color w:val="auto"/>
          <w:sz w:val="24"/>
          <w:szCs w:val="24"/>
        </w:rPr>
      </w:pPr>
      <w:r>
        <w:rPr>
          <w:rFonts w:hint="eastAsia" w:ascii="宋体" w:hAnsi="宋体" w:cs="宋体"/>
          <w:color w:val="auto"/>
          <w:sz w:val="24"/>
          <w:szCs w:val="24"/>
        </w:rPr>
        <w:t xml:space="preserve">    2、中标供应商不得转包或分包项目内容。未经采购人同意，中标供应商不得对该项目的硬件设施及布置作表更。</w:t>
      </w:r>
    </w:p>
    <w:p>
      <w:pPr>
        <w:pStyle w:val="479"/>
        <w:spacing w:line="360" w:lineRule="auto"/>
        <w:ind w:firstLine="0" w:firstLineChars="0"/>
        <w:rPr>
          <w:rFonts w:ascii="宋体" w:hAnsi="宋体" w:cs="宋体"/>
          <w:color w:val="auto"/>
          <w:sz w:val="24"/>
          <w:szCs w:val="24"/>
        </w:rPr>
      </w:pPr>
      <w:r>
        <w:rPr>
          <w:rFonts w:hint="eastAsia" w:ascii="宋体" w:hAnsi="宋体" w:cs="宋体"/>
          <w:color w:val="auto"/>
          <w:sz w:val="24"/>
          <w:szCs w:val="24"/>
        </w:rPr>
        <w:t xml:space="preserve">    3、现场服务的管理架构必须完整，管理架构必须胜任采购人日常管理需要。</w:t>
      </w:r>
    </w:p>
    <w:p>
      <w:pPr>
        <w:pStyle w:val="479"/>
        <w:spacing w:line="360" w:lineRule="auto"/>
        <w:ind w:firstLine="0" w:firstLineChars="0"/>
        <w:rPr>
          <w:rFonts w:ascii="宋体" w:hAnsi="宋体" w:cs="宋体"/>
          <w:color w:val="auto"/>
          <w:sz w:val="24"/>
          <w:szCs w:val="24"/>
        </w:rPr>
      </w:pPr>
      <w:r>
        <w:rPr>
          <w:rFonts w:hint="eastAsia" w:ascii="宋体" w:hAnsi="宋体" w:cs="宋体"/>
          <w:color w:val="auto"/>
          <w:sz w:val="24"/>
          <w:szCs w:val="24"/>
        </w:rPr>
        <w:t xml:space="preserve">    4、中标供应商在做好本职工作的同时，有责任向采购人提供合理化建议，以提高管理效率和管理质量。</w:t>
      </w:r>
    </w:p>
    <w:p>
      <w:pPr>
        <w:widowControl/>
        <w:autoSpaceDE w:val="0"/>
        <w:autoSpaceDN w:val="0"/>
        <w:spacing w:line="360" w:lineRule="auto"/>
        <w:ind w:right="-178" w:rightChars="-85" w:firstLine="480"/>
        <w:textAlignment w:val="bottom"/>
        <w:rPr>
          <w:rFonts w:hint="eastAsia" w:ascii="宋体" w:hAnsi="宋体" w:cs="宋体"/>
          <w:color w:val="auto"/>
          <w:sz w:val="24"/>
        </w:rPr>
      </w:pPr>
      <w:r>
        <w:rPr>
          <w:rFonts w:hint="eastAsia" w:ascii="宋体" w:hAnsi="宋体" w:cs="宋体"/>
          <w:color w:val="auto"/>
          <w:sz w:val="24"/>
        </w:rPr>
        <w:t>5、中标供应商使用的工具、器材、消耗品等相关用品必须符合国家相关安全标准，须在指定地点整齐摆放。中标供应商不得私自带无关人员进入项目，禁止在采购人处存放违禁品。</w:t>
      </w:r>
    </w:p>
    <w:p>
      <w:pPr>
        <w:ind w:firstLine="482" w:firstLineChars="200"/>
        <w:rPr>
          <w:rFonts w:hint="eastAsia" w:ascii="宋体" w:hAnsi="宋体" w:cs="宋体"/>
          <w:b/>
          <w:bCs/>
          <w:color w:val="auto"/>
          <w:kern w:val="0"/>
          <w:sz w:val="24"/>
        </w:rPr>
      </w:pPr>
      <w:r>
        <w:rPr>
          <w:rFonts w:hint="eastAsia" w:ascii="宋体" w:hAnsi="宋体" w:cs="宋体"/>
          <w:b/>
          <w:bCs/>
          <w:color w:val="auto"/>
          <w:kern w:val="0"/>
          <w:sz w:val="24"/>
        </w:rPr>
        <w:t>七、考核要求：</w:t>
      </w:r>
    </w:p>
    <w:p>
      <w:pPr>
        <w:ind w:firstLine="482" w:firstLineChars="200"/>
        <w:rPr>
          <w:rFonts w:hint="eastAsia" w:ascii="宋体" w:hAnsi="宋体" w:cs="宋体"/>
          <w:color w:val="auto"/>
        </w:rPr>
      </w:pPr>
      <w:r>
        <w:rPr>
          <w:rFonts w:hint="eastAsia" w:ascii="宋体" w:hAnsi="宋体" w:cs="宋体"/>
          <w:b/>
          <w:bCs/>
          <w:color w:val="auto"/>
          <w:kern w:val="0"/>
          <w:sz w:val="24"/>
        </w:rPr>
        <w:t>该绩效考评方案每季度考评一次，根据考评项目模块工作完成度评分，得分80分以上全额支付季度管理服务费，得分60-80分按80%比例支付季度管理服务费，得分60分以下或自然年度内累计两次考评70分以下采购方有权解除合同。</w:t>
      </w:r>
    </w:p>
    <w:p>
      <w:pPr>
        <w:widowControl/>
        <w:autoSpaceDE w:val="0"/>
        <w:autoSpaceDN w:val="0"/>
        <w:spacing w:line="360" w:lineRule="auto"/>
        <w:ind w:right="-178" w:rightChars="-85" w:firstLine="480"/>
        <w:textAlignment w:val="bottom"/>
        <w:rPr>
          <w:rFonts w:hint="eastAsia" w:ascii="宋体" w:hAnsi="宋体" w:cs="宋体"/>
          <w:color w:val="auto"/>
          <w:sz w:val="24"/>
        </w:rPr>
      </w:pPr>
    </w:p>
    <w:p>
      <w:pPr>
        <w:rPr>
          <w:rFonts w:hint="eastAsia" w:ascii="宋体" w:hAnsi="宋体" w:cs="宋体"/>
          <w:b/>
          <w:color w:val="auto"/>
          <w:sz w:val="28"/>
        </w:rPr>
      </w:pPr>
      <w:r>
        <w:rPr>
          <w:rFonts w:hint="eastAsia" w:ascii="宋体" w:hAnsi="宋体" w:cs="宋体"/>
          <w:b/>
          <w:color w:val="auto"/>
          <w:sz w:val="28"/>
        </w:rPr>
        <w:t>附件：              仓储管理服务外包绩效考核标准</w:t>
      </w:r>
    </w:p>
    <w:p>
      <w:pPr>
        <w:jc w:val="center"/>
        <w:rPr>
          <w:rFonts w:hint="eastAsia" w:ascii="宋体" w:hAnsi="宋体" w:cs="宋体"/>
          <w:b/>
          <w:color w:val="auto"/>
          <w:sz w:val="28"/>
        </w:rPr>
      </w:pPr>
    </w:p>
    <w:tbl>
      <w:tblPr>
        <w:tblStyle w:val="77"/>
        <w:tblW w:w="0" w:type="auto"/>
        <w:tblInd w:w="0" w:type="dxa"/>
        <w:tblLayout w:type="fixed"/>
        <w:tblCellMar>
          <w:top w:w="0" w:type="dxa"/>
          <w:left w:w="0" w:type="dxa"/>
          <w:bottom w:w="0" w:type="dxa"/>
          <w:right w:w="0" w:type="dxa"/>
        </w:tblCellMar>
      </w:tblPr>
      <w:tblGrid>
        <w:gridCol w:w="1384"/>
        <w:gridCol w:w="1384"/>
        <w:gridCol w:w="6618"/>
      </w:tblGrid>
      <w:tr>
        <w:tblPrEx>
          <w:tblCellMar>
            <w:top w:w="0" w:type="dxa"/>
            <w:left w:w="0" w:type="dxa"/>
            <w:bottom w:w="0" w:type="dxa"/>
            <w:right w:w="0" w:type="dxa"/>
          </w:tblCellMar>
        </w:tblPrEx>
        <w:trPr>
          <w:trHeight w:val="720" w:hRule="atLeast"/>
        </w:trPr>
        <w:tc>
          <w:tcPr>
            <w:tcW w:w="1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2"/>
                <w:szCs w:val="22"/>
              </w:rPr>
            </w:pPr>
            <w:r>
              <w:rPr>
                <w:rFonts w:hint="eastAsia" w:ascii="宋体" w:hAnsi="宋体" w:cs="宋体"/>
                <w:b/>
                <w:color w:val="auto"/>
                <w:kern w:val="0"/>
                <w:sz w:val="22"/>
                <w:szCs w:val="22"/>
              </w:rPr>
              <w:t>考核模块</w:t>
            </w:r>
          </w:p>
        </w:tc>
        <w:tc>
          <w:tcPr>
            <w:tcW w:w="1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2"/>
                <w:szCs w:val="22"/>
              </w:rPr>
            </w:pPr>
            <w:r>
              <w:rPr>
                <w:rFonts w:hint="eastAsia" w:ascii="宋体" w:hAnsi="宋体" w:cs="宋体"/>
                <w:b/>
                <w:color w:val="auto"/>
                <w:kern w:val="0"/>
                <w:sz w:val="22"/>
                <w:szCs w:val="22"/>
              </w:rPr>
              <w:t>项目</w:t>
            </w:r>
          </w:p>
        </w:tc>
        <w:tc>
          <w:tcPr>
            <w:tcW w:w="6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2"/>
                <w:szCs w:val="22"/>
              </w:rPr>
            </w:pPr>
            <w:r>
              <w:rPr>
                <w:rFonts w:hint="eastAsia" w:ascii="宋体" w:hAnsi="宋体" w:cs="宋体"/>
                <w:b/>
                <w:color w:val="auto"/>
                <w:kern w:val="0"/>
                <w:sz w:val="22"/>
                <w:szCs w:val="22"/>
              </w:rPr>
              <w:t>考核内容和标准</w:t>
            </w:r>
          </w:p>
        </w:tc>
      </w:tr>
      <w:tr>
        <w:tblPrEx>
          <w:tblCellMar>
            <w:top w:w="0" w:type="dxa"/>
            <w:left w:w="0" w:type="dxa"/>
            <w:bottom w:w="0" w:type="dxa"/>
            <w:right w:w="0" w:type="dxa"/>
          </w:tblCellMar>
        </w:tblPrEx>
        <w:trPr>
          <w:trHeight w:val="720" w:hRule="atLeast"/>
        </w:trPr>
        <w:tc>
          <w:tcPr>
            <w:tcW w:w="13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运营部分（0-60分）</w:t>
            </w:r>
          </w:p>
        </w:tc>
        <w:tc>
          <w:tcPr>
            <w:tcW w:w="13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人员管理（0-10分）</w:t>
            </w:r>
          </w:p>
        </w:tc>
        <w:tc>
          <w:tcPr>
            <w:tcW w:w="6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1、服务方针对人员日常管理需配套专业的管理制度及考核标准，针对管理人员的日常行为、着装、操作标准有规范性文件及培训考核方案。（0—5分）</w:t>
            </w:r>
          </w:p>
        </w:tc>
      </w:tr>
      <w:tr>
        <w:tblPrEx>
          <w:tblCellMar>
            <w:top w:w="0" w:type="dxa"/>
            <w:left w:w="0" w:type="dxa"/>
            <w:bottom w:w="0" w:type="dxa"/>
            <w:right w:w="0" w:type="dxa"/>
          </w:tblCellMar>
        </w:tblPrEx>
        <w:trPr>
          <w:trHeight w:val="720" w:hRule="atLeast"/>
        </w:trPr>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2"/>
                <w:szCs w:val="22"/>
              </w:rPr>
            </w:pPr>
          </w:p>
        </w:tc>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 w:val="22"/>
                <w:szCs w:val="22"/>
              </w:rPr>
            </w:pPr>
          </w:p>
        </w:tc>
        <w:tc>
          <w:tcPr>
            <w:tcW w:w="6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2、服务方与员工依法签订劳动合同和保密协议，并进行严格的、员工筛选和正式培训，以确保在保护和存储物资时保持安全标准。（0—5分）</w:t>
            </w:r>
          </w:p>
        </w:tc>
      </w:tr>
      <w:tr>
        <w:tblPrEx>
          <w:tblCellMar>
            <w:top w:w="0" w:type="dxa"/>
            <w:left w:w="0" w:type="dxa"/>
            <w:bottom w:w="0" w:type="dxa"/>
            <w:right w:w="0" w:type="dxa"/>
          </w:tblCellMar>
        </w:tblPrEx>
        <w:trPr>
          <w:trHeight w:val="720" w:hRule="atLeast"/>
        </w:trPr>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2"/>
                <w:szCs w:val="22"/>
              </w:rPr>
            </w:pPr>
          </w:p>
        </w:tc>
        <w:tc>
          <w:tcPr>
            <w:tcW w:w="13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库房管理（0-15分）</w:t>
            </w:r>
          </w:p>
        </w:tc>
        <w:tc>
          <w:tcPr>
            <w:tcW w:w="6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工作计划及总结。分月/季/年度提交下阶段工作计划及上阶段工作总结，根据提交材料及时性及合理性评分。（0—5分）</w:t>
            </w:r>
          </w:p>
        </w:tc>
      </w:tr>
      <w:tr>
        <w:tblPrEx>
          <w:tblCellMar>
            <w:top w:w="0" w:type="dxa"/>
            <w:left w:w="0" w:type="dxa"/>
            <w:bottom w:w="0" w:type="dxa"/>
            <w:right w:w="0" w:type="dxa"/>
          </w:tblCellMar>
        </w:tblPrEx>
        <w:trPr>
          <w:trHeight w:val="720" w:hRule="atLeast"/>
        </w:trPr>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2"/>
                <w:szCs w:val="22"/>
              </w:rPr>
            </w:pPr>
          </w:p>
        </w:tc>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 w:val="22"/>
                <w:szCs w:val="22"/>
              </w:rPr>
            </w:pPr>
          </w:p>
        </w:tc>
        <w:tc>
          <w:tcPr>
            <w:tcW w:w="6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6S管理。负责区域整理、整顿、清洁、清扫保持良好，物件、文档归类清晰。（0—5分）</w:t>
            </w:r>
          </w:p>
        </w:tc>
      </w:tr>
      <w:tr>
        <w:tblPrEx>
          <w:tblCellMar>
            <w:top w:w="0" w:type="dxa"/>
            <w:left w:w="0" w:type="dxa"/>
            <w:bottom w:w="0" w:type="dxa"/>
            <w:right w:w="0" w:type="dxa"/>
          </w:tblCellMar>
        </w:tblPrEx>
        <w:trPr>
          <w:trHeight w:val="720" w:hRule="atLeast"/>
        </w:trPr>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2"/>
                <w:szCs w:val="22"/>
              </w:rPr>
            </w:pPr>
          </w:p>
        </w:tc>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 w:val="22"/>
                <w:szCs w:val="22"/>
              </w:rPr>
            </w:pPr>
          </w:p>
        </w:tc>
        <w:tc>
          <w:tcPr>
            <w:tcW w:w="6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安全管理，在库房内部管理人员具备较强防火、防盗、防灾意识,能主动做好工作区的安全防范工作（0—5分）</w:t>
            </w:r>
          </w:p>
        </w:tc>
      </w:tr>
      <w:tr>
        <w:tblPrEx>
          <w:tblCellMar>
            <w:top w:w="0" w:type="dxa"/>
            <w:left w:w="0" w:type="dxa"/>
            <w:bottom w:w="0" w:type="dxa"/>
            <w:right w:w="0" w:type="dxa"/>
          </w:tblCellMar>
        </w:tblPrEx>
        <w:trPr>
          <w:trHeight w:val="720" w:hRule="atLeast"/>
        </w:trPr>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2"/>
                <w:szCs w:val="22"/>
              </w:rPr>
            </w:pPr>
          </w:p>
        </w:tc>
        <w:tc>
          <w:tcPr>
            <w:tcW w:w="13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物资管理（0-25分）</w:t>
            </w:r>
          </w:p>
        </w:tc>
        <w:tc>
          <w:tcPr>
            <w:tcW w:w="6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台账建立，责任管辖区域台账登记及时规范，保证有据可查。（0—5分）</w:t>
            </w:r>
          </w:p>
        </w:tc>
      </w:tr>
      <w:tr>
        <w:tblPrEx>
          <w:tblCellMar>
            <w:top w:w="0" w:type="dxa"/>
            <w:left w:w="0" w:type="dxa"/>
            <w:bottom w:w="0" w:type="dxa"/>
            <w:right w:w="0" w:type="dxa"/>
          </w:tblCellMar>
        </w:tblPrEx>
        <w:trPr>
          <w:trHeight w:val="720" w:hRule="atLeast"/>
        </w:trPr>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2"/>
                <w:szCs w:val="22"/>
              </w:rPr>
            </w:pPr>
          </w:p>
        </w:tc>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 w:val="22"/>
                <w:szCs w:val="22"/>
              </w:rPr>
            </w:pPr>
          </w:p>
        </w:tc>
        <w:tc>
          <w:tcPr>
            <w:tcW w:w="6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操作管理，按管理规定进行物资流转的操作，保证操作过程中的物资完好。（0—5分）</w:t>
            </w:r>
          </w:p>
        </w:tc>
      </w:tr>
      <w:tr>
        <w:tblPrEx>
          <w:tblCellMar>
            <w:top w:w="0" w:type="dxa"/>
            <w:left w:w="0" w:type="dxa"/>
            <w:bottom w:w="0" w:type="dxa"/>
            <w:right w:w="0" w:type="dxa"/>
          </w:tblCellMar>
        </w:tblPrEx>
        <w:trPr>
          <w:trHeight w:val="720" w:hRule="atLeast"/>
        </w:trPr>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2"/>
                <w:szCs w:val="22"/>
              </w:rPr>
            </w:pPr>
          </w:p>
        </w:tc>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 w:val="22"/>
                <w:szCs w:val="22"/>
              </w:rPr>
            </w:pPr>
          </w:p>
        </w:tc>
        <w:tc>
          <w:tcPr>
            <w:tcW w:w="6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数据管理，保证库存实际数量与系统数量一致。（0—10分）</w:t>
            </w:r>
          </w:p>
        </w:tc>
      </w:tr>
      <w:tr>
        <w:tblPrEx>
          <w:tblCellMar>
            <w:top w:w="0" w:type="dxa"/>
            <w:left w:w="0" w:type="dxa"/>
            <w:bottom w:w="0" w:type="dxa"/>
            <w:right w:w="0" w:type="dxa"/>
          </w:tblCellMar>
        </w:tblPrEx>
        <w:trPr>
          <w:trHeight w:val="720" w:hRule="atLeast"/>
        </w:trPr>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2"/>
                <w:szCs w:val="22"/>
              </w:rPr>
            </w:pPr>
          </w:p>
        </w:tc>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 w:val="22"/>
                <w:szCs w:val="22"/>
              </w:rPr>
            </w:pPr>
          </w:p>
        </w:tc>
        <w:tc>
          <w:tcPr>
            <w:tcW w:w="6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出入库管理，按管理规定进行收货及出入库操作，保证操作过程高效。（0—5分）</w:t>
            </w:r>
          </w:p>
        </w:tc>
      </w:tr>
      <w:tr>
        <w:tblPrEx>
          <w:tblCellMar>
            <w:top w:w="0" w:type="dxa"/>
            <w:left w:w="0" w:type="dxa"/>
            <w:bottom w:w="0" w:type="dxa"/>
            <w:right w:w="0" w:type="dxa"/>
          </w:tblCellMar>
        </w:tblPrEx>
        <w:trPr>
          <w:trHeight w:val="720" w:hRule="atLeast"/>
        </w:trPr>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2"/>
                <w:szCs w:val="22"/>
              </w:rPr>
            </w:pPr>
          </w:p>
        </w:tc>
        <w:tc>
          <w:tcPr>
            <w:tcW w:w="1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客服管理（0-10分）</w:t>
            </w:r>
          </w:p>
        </w:tc>
        <w:tc>
          <w:tcPr>
            <w:tcW w:w="6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投诉机制健全，建立完善的登记、处理、回访、存档制度。（0-10分）</w:t>
            </w:r>
          </w:p>
        </w:tc>
      </w:tr>
      <w:tr>
        <w:tblPrEx>
          <w:tblCellMar>
            <w:top w:w="0" w:type="dxa"/>
            <w:left w:w="0" w:type="dxa"/>
            <w:bottom w:w="0" w:type="dxa"/>
            <w:right w:w="0" w:type="dxa"/>
          </w:tblCellMar>
        </w:tblPrEx>
        <w:trPr>
          <w:trHeight w:val="1020" w:hRule="atLeast"/>
        </w:trPr>
        <w:tc>
          <w:tcPr>
            <w:tcW w:w="13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物业部分（0-40分）</w:t>
            </w:r>
          </w:p>
        </w:tc>
        <w:tc>
          <w:tcPr>
            <w:tcW w:w="1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保洁服务（0-10分）</w:t>
            </w:r>
          </w:p>
        </w:tc>
        <w:tc>
          <w:tcPr>
            <w:tcW w:w="6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保持库内楼层地面、廊柱、墙体、会议室、值班室及办公室、应急通道、消防设施、垃圾箱等公共区域的卫生清洁，地面无烟头、纸屑等杂物，墙面无污渍、灰尘，楼梯扶手、大门等无灰尘，干净、明亮。。（0-10分）</w:t>
            </w:r>
          </w:p>
        </w:tc>
      </w:tr>
      <w:tr>
        <w:tblPrEx>
          <w:tblCellMar>
            <w:top w:w="0" w:type="dxa"/>
            <w:left w:w="0" w:type="dxa"/>
            <w:bottom w:w="0" w:type="dxa"/>
            <w:right w:w="0" w:type="dxa"/>
          </w:tblCellMar>
        </w:tblPrEx>
        <w:trPr>
          <w:trHeight w:val="720" w:hRule="atLeast"/>
        </w:trPr>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 w:val="22"/>
                <w:szCs w:val="22"/>
              </w:rPr>
            </w:pPr>
          </w:p>
        </w:tc>
        <w:tc>
          <w:tcPr>
            <w:tcW w:w="13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水电管理（0-10分）</w:t>
            </w:r>
          </w:p>
        </w:tc>
        <w:tc>
          <w:tcPr>
            <w:tcW w:w="6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保证水设备的相关正常运行。（0-5分）</w:t>
            </w:r>
          </w:p>
        </w:tc>
      </w:tr>
      <w:tr>
        <w:tblPrEx>
          <w:tblCellMar>
            <w:top w:w="0" w:type="dxa"/>
            <w:left w:w="0" w:type="dxa"/>
            <w:bottom w:w="0" w:type="dxa"/>
            <w:right w:w="0" w:type="dxa"/>
          </w:tblCellMar>
        </w:tblPrEx>
        <w:trPr>
          <w:trHeight w:val="720" w:hRule="atLeast"/>
        </w:trPr>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 w:val="22"/>
                <w:szCs w:val="22"/>
              </w:rPr>
            </w:pPr>
          </w:p>
        </w:tc>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 w:val="22"/>
                <w:szCs w:val="22"/>
              </w:rPr>
            </w:pPr>
          </w:p>
        </w:tc>
        <w:tc>
          <w:tcPr>
            <w:tcW w:w="6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保证用电方面的正常。（0-5分）</w:t>
            </w:r>
          </w:p>
        </w:tc>
      </w:tr>
      <w:tr>
        <w:tblPrEx>
          <w:tblCellMar>
            <w:top w:w="0" w:type="dxa"/>
            <w:left w:w="0" w:type="dxa"/>
            <w:bottom w:w="0" w:type="dxa"/>
            <w:right w:w="0" w:type="dxa"/>
          </w:tblCellMar>
        </w:tblPrEx>
        <w:trPr>
          <w:trHeight w:val="720" w:hRule="atLeast"/>
        </w:trPr>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 w:val="22"/>
                <w:szCs w:val="22"/>
              </w:rPr>
            </w:pPr>
          </w:p>
        </w:tc>
        <w:tc>
          <w:tcPr>
            <w:tcW w:w="13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保安管理（0-20分）</w:t>
            </w:r>
          </w:p>
        </w:tc>
        <w:tc>
          <w:tcPr>
            <w:tcW w:w="6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门卫值勤、巡逻、巡更检查（含室外）、监控中心值班、严格做好外来车辆、人员进院内的登记、车辆有序停放管理、防火、防盗、防事故、防破坏和抢险救灾等安全工作，并做好台帐。（0—4分）</w:t>
            </w:r>
          </w:p>
        </w:tc>
      </w:tr>
      <w:tr>
        <w:tblPrEx>
          <w:tblCellMar>
            <w:top w:w="0" w:type="dxa"/>
            <w:left w:w="0" w:type="dxa"/>
            <w:bottom w:w="0" w:type="dxa"/>
            <w:right w:w="0" w:type="dxa"/>
          </w:tblCellMar>
        </w:tblPrEx>
        <w:trPr>
          <w:trHeight w:val="720" w:hRule="atLeast"/>
        </w:trPr>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 w:val="22"/>
                <w:szCs w:val="22"/>
              </w:rPr>
            </w:pPr>
          </w:p>
        </w:tc>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 w:val="22"/>
                <w:szCs w:val="22"/>
              </w:rPr>
            </w:pPr>
          </w:p>
        </w:tc>
        <w:tc>
          <w:tcPr>
            <w:tcW w:w="6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保安人员遵守采购方的安全保卫制度及有关规定，工作时间不得做与工作无关的事情，实行24小时值班巡逻制度；（0—4分）</w:t>
            </w:r>
          </w:p>
        </w:tc>
      </w:tr>
      <w:tr>
        <w:tblPrEx>
          <w:tblCellMar>
            <w:top w:w="0" w:type="dxa"/>
            <w:left w:w="0" w:type="dxa"/>
            <w:bottom w:w="0" w:type="dxa"/>
            <w:right w:w="0" w:type="dxa"/>
          </w:tblCellMar>
        </w:tblPrEx>
        <w:trPr>
          <w:trHeight w:val="1020" w:hRule="atLeast"/>
        </w:trPr>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 w:val="22"/>
                <w:szCs w:val="22"/>
              </w:rPr>
            </w:pPr>
          </w:p>
        </w:tc>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 w:val="22"/>
                <w:szCs w:val="22"/>
              </w:rPr>
            </w:pPr>
          </w:p>
        </w:tc>
        <w:tc>
          <w:tcPr>
            <w:tcW w:w="6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服务方必须采取切实有效措施保持保安人员队伍的稳定，严格控制非违纪人员轮换岗比例，保安人员队伍主要管理员更换，应提前1个月以通知招标人，其他队员更换要提前1周告知招标人；确保服务质量不因人员变动而受影响；（0—4分）</w:t>
            </w:r>
          </w:p>
        </w:tc>
      </w:tr>
      <w:tr>
        <w:tblPrEx>
          <w:tblCellMar>
            <w:top w:w="0" w:type="dxa"/>
            <w:left w:w="0" w:type="dxa"/>
            <w:bottom w:w="0" w:type="dxa"/>
            <w:right w:w="0" w:type="dxa"/>
          </w:tblCellMar>
        </w:tblPrEx>
        <w:trPr>
          <w:trHeight w:val="680" w:hRule="atLeast"/>
        </w:trPr>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 w:val="22"/>
                <w:szCs w:val="22"/>
              </w:rPr>
            </w:pPr>
          </w:p>
        </w:tc>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 w:val="22"/>
                <w:szCs w:val="22"/>
              </w:rPr>
            </w:pPr>
          </w:p>
        </w:tc>
        <w:tc>
          <w:tcPr>
            <w:tcW w:w="6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保安人员应聘、录用、离职等管理档案规范，手续齐全，相应资料必须报委托方保卫相关单位备案。（0—4分）</w:t>
            </w:r>
          </w:p>
        </w:tc>
      </w:tr>
      <w:tr>
        <w:tblPrEx>
          <w:tblCellMar>
            <w:top w:w="0" w:type="dxa"/>
            <w:left w:w="0" w:type="dxa"/>
            <w:bottom w:w="0" w:type="dxa"/>
            <w:right w:w="0" w:type="dxa"/>
          </w:tblCellMar>
        </w:tblPrEx>
        <w:trPr>
          <w:trHeight w:val="720" w:hRule="atLeast"/>
        </w:trPr>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 w:val="22"/>
                <w:szCs w:val="22"/>
              </w:rPr>
            </w:pPr>
          </w:p>
        </w:tc>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 w:val="22"/>
                <w:szCs w:val="22"/>
              </w:rPr>
            </w:pPr>
          </w:p>
        </w:tc>
        <w:tc>
          <w:tcPr>
            <w:tcW w:w="6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22"/>
                <w:szCs w:val="22"/>
              </w:rPr>
            </w:pPr>
            <w:r>
              <w:rPr>
                <w:rFonts w:hint="eastAsia" w:ascii="宋体" w:hAnsi="宋体" w:cs="宋体"/>
                <w:color w:val="auto"/>
                <w:kern w:val="0"/>
                <w:sz w:val="22"/>
                <w:szCs w:val="22"/>
              </w:rPr>
              <w:t>保安人员执勤时统一着装，佩带相关标识和装备上岗，使用文明语言，做到行为规范，保持良好的精神状态，并注意仪容仪表和礼节礼貌。（0—4分）</w:t>
            </w:r>
          </w:p>
        </w:tc>
      </w:tr>
    </w:tbl>
    <w:p>
      <w:pPr>
        <w:jc w:val="center"/>
        <w:rPr>
          <w:rFonts w:ascii="宋体" w:hAnsi="宋体" w:cs="宋体"/>
          <w:b/>
          <w:color w:val="auto"/>
          <w:sz w:val="28"/>
        </w:rPr>
      </w:pPr>
    </w:p>
    <w:p>
      <w:pPr>
        <w:rPr>
          <w:rFonts w:hint="eastAsia" w:ascii="宋体" w:hAnsi="宋体" w:cs="宋体"/>
          <w:color w:val="auto"/>
        </w:rPr>
      </w:pPr>
      <w:r>
        <w:rPr>
          <w:rFonts w:hint="eastAsia" w:ascii="宋体" w:hAnsi="宋体" w:cs="宋体"/>
          <w:b/>
          <w:bCs/>
          <w:color w:val="auto"/>
          <w:kern w:val="0"/>
          <w:sz w:val="24"/>
        </w:rPr>
        <w:t xml:space="preserve">    </w:t>
      </w:r>
    </w:p>
    <w:p>
      <w:pPr>
        <w:spacing w:line="360" w:lineRule="auto"/>
        <w:ind w:firstLine="480" w:firstLineChars="200"/>
        <w:rPr>
          <w:rFonts w:hint="eastAsia" w:ascii="宋体" w:hAnsi="宋体" w:cs="宋体"/>
          <w:color w:val="auto"/>
          <w:sz w:val="24"/>
        </w:rPr>
      </w:pPr>
    </w:p>
    <w:p>
      <w:pPr>
        <w:rPr>
          <w:rFonts w:hint="eastAsia" w:ascii="宋体" w:hAnsi="宋体" w:cs="宋体"/>
          <w:color w:val="auto"/>
          <w:szCs w:val="21"/>
        </w:rPr>
      </w:pPr>
    </w:p>
    <w:p>
      <w:pPr>
        <w:pageBreakBefore/>
        <w:snapToGrid w:val="0"/>
        <w:spacing w:line="600" w:lineRule="exact"/>
        <w:jc w:val="center"/>
        <w:outlineLvl w:val="0"/>
        <w:rPr>
          <w:rFonts w:hint="eastAsia" w:ascii="宋体" w:hAnsi="宋体" w:cs="宋体"/>
          <w:b/>
          <w:color w:val="auto"/>
          <w:sz w:val="24"/>
        </w:rPr>
      </w:pPr>
      <w:r>
        <w:rPr>
          <w:rFonts w:hint="eastAsia" w:ascii="宋体" w:hAnsi="宋体" w:cs="宋体"/>
          <w:b/>
          <w:color w:val="auto"/>
          <w:sz w:val="32"/>
          <w:szCs w:val="32"/>
        </w:rPr>
        <w:t>第四部分  合同</w:t>
      </w:r>
      <w:bookmarkEnd w:id="108"/>
      <w:r>
        <w:rPr>
          <w:rFonts w:hint="eastAsia" w:ascii="宋体" w:hAnsi="宋体" w:cs="宋体"/>
          <w:b/>
          <w:color w:val="auto"/>
          <w:sz w:val="32"/>
          <w:szCs w:val="32"/>
        </w:rPr>
        <w:t>样本</w:t>
      </w:r>
    </w:p>
    <w:p>
      <w:pPr>
        <w:pStyle w:val="41"/>
        <w:snapToGrid w:val="0"/>
        <w:jc w:val="right"/>
        <w:rPr>
          <w:rFonts w:hint="eastAsia" w:ascii="宋体" w:hAnsi="宋体" w:eastAsia="宋体" w:cs="宋体"/>
          <w:b/>
          <w:color w:val="auto"/>
          <w:sz w:val="24"/>
          <w:szCs w:val="24"/>
        </w:rPr>
      </w:pPr>
      <w:r>
        <w:rPr>
          <w:rFonts w:hint="eastAsia" w:ascii="宋体" w:hAnsi="宋体" w:eastAsia="宋体" w:cs="宋体"/>
          <w:color w:val="auto"/>
        </w:rPr>
        <w:t xml:space="preserve">       </w:t>
      </w:r>
      <w:bookmarkStart w:id="110" w:name="_Toc33194402"/>
      <w:r>
        <w:rPr>
          <w:rFonts w:hint="eastAsia" w:ascii="宋体" w:hAnsi="宋体" w:eastAsia="宋体" w:cs="宋体"/>
          <w:b/>
          <w:color w:val="auto"/>
          <w:sz w:val="24"/>
          <w:szCs w:val="24"/>
        </w:rPr>
        <w:t xml:space="preserve">合同编号： </w:t>
      </w:r>
    </w:p>
    <w:p>
      <w:pPr>
        <w:pStyle w:val="41"/>
        <w:snapToGrid w:val="0"/>
        <w:spacing w:line="5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甲  方（使用方）：</w:t>
      </w:r>
    </w:p>
    <w:p>
      <w:pPr>
        <w:pStyle w:val="41"/>
        <w:snapToGrid w:val="0"/>
        <w:spacing w:line="5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乙  方（供应商）:</w:t>
      </w:r>
    </w:p>
    <w:p>
      <w:pPr>
        <w:pStyle w:val="41"/>
        <w:snapToGrid w:val="0"/>
        <w:spacing w:line="5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pPr>
        <w:pStyle w:val="41"/>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根据《中华人民共和国政府采购法》、《中华人民共和国合同法》的规定，经公开招标，确定乙方为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的中标供应商。按照招标文件（XXX ）和投标结果，为明确双方的权利和义务，经甲乙双方协商达成合同如下：</w:t>
      </w:r>
    </w:p>
    <w:p>
      <w:pPr>
        <w:pStyle w:val="41"/>
        <w:snapToGrid w:val="0"/>
        <w:spacing w:before="120" w:after="120" w:line="360" w:lineRule="auto"/>
        <w:ind w:firstLine="424" w:firstLineChars="176"/>
        <w:rPr>
          <w:rFonts w:hint="eastAsia" w:ascii="宋体" w:hAnsi="宋体" w:eastAsia="宋体" w:cs="宋体"/>
          <w:color w:val="auto"/>
          <w:sz w:val="24"/>
          <w:szCs w:val="24"/>
        </w:rPr>
      </w:pPr>
      <w:r>
        <w:rPr>
          <w:rFonts w:hint="eastAsia" w:ascii="宋体" w:hAnsi="宋体" w:eastAsia="宋体" w:cs="宋体"/>
          <w:b/>
          <w:color w:val="auto"/>
          <w:sz w:val="24"/>
          <w:szCs w:val="24"/>
        </w:rPr>
        <w:t>第一条：货物内容、数量、价款</w:t>
      </w:r>
    </w:p>
    <w:tbl>
      <w:tblPr>
        <w:tblStyle w:val="77"/>
        <w:tblW w:w="0" w:type="auto"/>
        <w:jc w:val="center"/>
        <w:tblLayout w:type="fixed"/>
        <w:tblCellMar>
          <w:top w:w="0" w:type="dxa"/>
          <w:left w:w="108" w:type="dxa"/>
          <w:bottom w:w="0" w:type="dxa"/>
          <w:right w:w="108" w:type="dxa"/>
        </w:tblCellMar>
      </w:tblPr>
      <w:tblGrid>
        <w:gridCol w:w="616"/>
        <w:gridCol w:w="2620"/>
        <w:gridCol w:w="3112"/>
        <w:gridCol w:w="1894"/>
        <w:gridCol w:w="884"/>
      </w:tblGrid>
      <w:tr>
        <w:tblPrEx>
          <w:tblCellMar>
            <w:top w:w="0" w:type="dxa"/>
            <w:left w:w="108" w:type="dxa"/>
            <w:bottom w:w="0" w:type="dxa"/>
            <w:right w:w="108" w:type="dxa"/>
          </w:tblCellMar>
        </w:tblPrEx>
        <w:trPr>
          <w:trHeight w:val="445" w:hRule="atLeast"/>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color w:val="auto"/>
                <w:sz w:val="18"/>
                <w:szCs w:val="18"/>
              </w:rPr>
            </w:pPr>
            <w:r>
              <w:rPr>
                <w:rFonts w:hint="eastAsia" w:ascii="宋体" w:hAnsi="宋体" w:cs="宋体"/>
                <w:b/>
                <w:color w:val="auto"/>
                <w:sz w:val="18"/>
                <w:szCs w:val="18"/>
              </w:rPr>
              <w:t>序号</w:t>
            </w:r>
          </w:p>
        </w:tc>
        <w:tc>
          <w:tcPr>
            <w:tcW w:w="262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color w:val="auto"/>
                <w:sz w:val="18"/>
                <w:szCs w:val="18"/>
              </w:rPr>
            </w:pPr>
            <w:r>
              <w:rPr>
                <w:rFonts w:hint="eastAsia" w:ascii="宋体" w:hAnsi="宋体" w:cs="宋体"/>
                <w:b/>
                <w:color w:val="auto"/>
                <w:sz w:val="18"/>
                <w:szCs w:val="18"/>
              </w:rPr>
              <w:t>服务内容</w:t>
            </w:r>
          </w:p>
        </w:tc>
        <w:tc>
          <w:tcPr>
            <w:tcW w:w="311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color w:val="auto"/>
                <w:sz w:val="18"/>
                <w:szCs w:val="18"/>
              </w:rPr>
            </w:pPr>
            <w:r>
              <w:rPr>
                <w:rFonts w:hint="eastAsia" w:ascii="宋体" w:hAnsi="宋体" w:cs="宋体"/>
                <w:b/>
                <w:color w:val="auto"/>
                <w:sz w:val="18"/>
                <w:szCs w:val="18"/>
              </w:rPr>
              <w:t>服务要求</w:t>
            </w:r>
          </w:p>
        </w:tc>
        <w:tc>
          <w:tcPr>
            <w:tcW w:w="189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color w:val="auto"/>
                <w:sz w:val="18"/>
                <w:szCs w:val="18"/>
              </w:rPr>
            </w:pPr>
            <w:r>
              <w:rPr>
                <w:rFonts w:hint="eastAsia" w:ascii="宋体" w:hAnsi="宋体" w:cs="宋体"/>
                <w:b/>
                <w:color w:val="auto"/>
                <w:sz w:val="18"/>
                <w:szCs w:val="18"/>
              </w:rPr>
              <w:t>中标价（元）</w:t>
            </w:r>
          </w:p>
        </w:tc>
        <w:tc>
          <w:tcPr>
            <w:tcW w:w="8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18"/>
                <w:szCs w:val="18"/>
              </w:rPr>
            </w:pPr>
            <w:r>
              <w:rPr>
                <w:rFonts w:hint="eastAsia" w:ascii="宋体" w:hAnsi="宋体" w:cs="宋体"/>
                <w:b/>
                <w:color w:val="auto"/>
                <w:sz w:val="18"/>
                <w:szCs w:val="18"/>
              </w:rPr>
              <w:t>备注</w:t>
            </w:r>
          </w:p>
        </w:tc>
      </w:tr>
      <w:tr>
        <w:tblPrEx>
          <w:tblCellMar>
            <w:top w:w="0" w:type="dxa"/>
            <w:left w:w="108" w:type="dxa"/>
            <w:bottom w:w="0" w:type="dxa"/>
            <w:right w:w="108" w:type="dxa"/>
          </w:tblCellMar>
        </w:tblPrEx>
        <w:trPr>
          <w:trHeight w:val="578" w:hRule="atLeast"/>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color w:val="auto"/>
                <w:sz w:val="24"/>
              </w:rPr>
            </w:pPr>
          </w:p>
        </w:tc>
        <w:tc>
          <w:tcPr>
            <w:tcW w:w="2620" w:type="dxa"/>
            <w:tcBorders>
              <w:top w:val="single" w:color="auto" w:sz="4" w:space="0"/>
              <w:left w:val="nil"/>
              <w:bottom w:val="single" w:color="auto" w:sz="4" w:space="0"/>
              <w:right w:val="single" w:color="auto" w:sz="4" w:space="0"/>
            </w:tcBorders>
            <w:noWrap w:val="0"/>
            <w:vAlign w:val="center"/>
          </w:tcPr>
          <w:p>
            <w:pPr>
              <w:ind w:left="1176" w:hanging="1176" w:hangingChars="488"/>
              <w:rPr>
                <w:rFonts w:hint="eastAsia" w:ascii="宋体" w:hAnsi="宋体" w:cs="宋体"/>
                <w:b/>
                <w:color w:val="auto"/>
                <w:sz w:val="24"/>
              </w:rPr>
            </w:pPr>
          </w:p>
        </w:tc>
        <w:tc>
          <w:tcPr>
            <w:tcW w:w="3112" w:type="dxa"/>
            <w:tcBorders>
              <w:top w:val="single" w:color="auto" w:sz="4" w:space="0"/>
              <w:left w:val="nil"/>
              <w:bottom w:val="single" w:color="auto" w:sz="4" w:space="0"/>
              <w:right w:val="single" w:color="auto" w:sz="4" w:space="0"/>
            </w:tcBorders>
            <w:noWrap w:val="0"/>
            <w:vAlign w:val="center"/>
          </w:tcPr>
          <w:p>
            <w:pPr>
              <w:ind w:left="1029" w:hanging="1029" w:hangingChars="488"/>
              <w:rPr>
                <w:rFonts w:hint="eastAsia" w:ascii="宋体" w:hAnsi="宋体" w:cs="宋体"/>
                <w:b/>
                <w:color w:val="auto"/>
              </w:rPr>
            </w:pPr>
          </w:p>
        </w:tc>
        <w:tc>
          <w:tcPr>
            <w:tcW w:w="1894"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宋体" w:hAnsi="宋体" w:cs="宋体"/>
                <w:b/>
                <w:color w:val="auto"/>
                <w:u w:val="single"/>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color w:val="auto"/>
              </w:rPr>
            </w:pPr>
          </w:p>
        </w:tc>
      </w:tr>
      <w:tr>
        <w:tblPrEx>
          <w:tblCellMar>
            <w:top w:w="0" w:type="dxa"/>
            <w:left w:w="108" w:type="dxa"/>
            <w:bottom w:w="0" w:type="dxa"/>
            <w:right w:w="108" w:type="dxa"/>
          </w:tblCellMar>
        </w:tblPrEx>
        <w:trPr>
          <w:trHeight w:val="578" w:hRule="atLeast"/>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color w:val="auto"/>
                <w:sz w:val="24"/>
              </w:rPr>
            </w:pPr>
          </w:p>
        </w:tc>
        <w:tc>
          <w:tcPr>
            <w:tcW w:w="2620" w:type="dxa"/>
            <w:tcBorders>
              <w:top w:val="single" w:color="auto" w:sz="4" w:space="0"/>
              <w:left w:val="nil"/>
              <w:bottom w:val="single" w:color="auto" w:sz="4" w:space="0"/>
              <w:right w:val="single" w:color="auto" w:sz="4" w:space="0"/>
            </w:tcBorders>
            <w:noWrap w:val="0"/>
            <w:vAlign w:val="center"/>
          </w:tcPr>
          <w:p>
            <w:pPr>
              <w:ind w:left="1176" w:hanging="1176" w:hangingChars="488"/>
              <w:rPr>
                <w:rFonts w:hint="eastAsia" w:ascii="宋体" w:hAnsi="宋体" w:cs="宋体"/>
                <w:b/>
                <w:color w:val="auto"/>
                <w:sz w:val="24"/>
              </w:rPr>
            </w:pPr>
          </w:p>
        </w:tc>
        <w:tc>
          <w:tcPr>
            <w:tcW w:w="3112" w:type="dxa"/>
            <w:tcBorders>
              <w:top w:val="single" w:color="auto" w:sz="4" w:space="0"/>
              <w:left w:val="nil"/>
              <w:bottom w:val="single" w:color="auto" w:sz="4" w:space="0"/>
              <w:right w:val="single" w:color="auto" w:sz="4" w:space="0"/>
            </w:tcBorders>
            <w:noWrap w:val="0"/>
            <w:vAlign w:val="center"/>
          </w:tcPr>
          <w:p>
            <w:pPr>
              <w:ind w:left="1029" w:hanging="1029" w:hangingChars="488"/>
              <w:rPr>
                <w:rFonts w:hint="eastAsia" w:ascii="宋体" w:hAnsi="宋体" w:cs="宋体"/>
                <w:b/>
                <w:color w:val="auto"/>
              </w:rPr>
            </w:pPr>
          </w:p>
        </w:tc>
        <w:tc>
          <w:tcPr>
            <w:tcW w:w="1894"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宋体" w:hAnsi="宋体" w:cs="宋体"/>
                <w:b/>
                <w:color w:val="auto"/>
                <w:u w:val="single"/>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color w:val="auto"/>
              </w:rPr>
            </w:pPr>
          </w:p>
        </w:tc>
      </w:tr>
      <w:tr>
        <w:tblPrEx>
          <w:tblCellMar>
            <w:top w:w="0" w:type="dxa"/>
            <w:left w:w="108" w:type="dxa"/>
            <w:bottom w:w="0" w:type="dxa"/>
            <w:right w:w="108" w:type="dxa"/>
          </w:tblCellMar>
        </w:tblPrEx>
        <w:trPr>
          <w:trHeight w:val="578" w:hRule="atLeast"/>
          <w:jc w:val="center"/>
        </w:trPr>
        <w:tc>
          <w:tcPr>
            <w:tcW w:w="9126" w:type="dxa"/>
            <w:gridSpan w:val="5"/>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b/>
                <w:color w:val="auto"/>
                <w:sz w:val="24"/>
                <w:u w:val="single"/>
              </w:rPr>
            </w:pPr>
            <w:r>
              <w:rPr>
                <w:rFonts w:hint="eastAsia" w:ascii="宋体" w:hAnsi="宋体" w:cs="宋体"/>
                <w:b/>
                <w:color w:val="auto"/>
                <w:sz w:val="24"/>
              </w:rPr>
              <w:t>大写：</w:t>
            </w:r>
            <w:r>
              <w:rPr>
                <w:rFonts w:hint="eastAsia" w:ascii="宋体" w:hAnsi="宋体" w:cs="宋体"/>
                <w:b/>
                <w:color w:val="auto"/>
                <w:sz w:val="24"/>
                <w:u w:val="single"/>
              </w:rPr>
              <w:t xml:space="preserve">                                                               </w:t>
            </w:r>
          </w:p>
        </w:tc>
      </w:tr>
    </w:tbl>
    <w:p>
      <w:pPr>
        <w:spacing w:line="340" w:lineRule="exact"/>
        <w:rPr>
          <w:rFonts w:ascii="宋体" w:hAnsi="宋体" w:cs="宋体"/>
          <w:color w:val="auto"/>
          <w:kern w:val="0"/>
          <w:sz w:val="24"/>
          <w:szCs w:val="22"/>
        </w:rPr>
      </w:pPr>
      <w:r>
        <w:rPr>
          <w:rFonts w:hint="eastAsia" w:ascii="宋体" w:hAnsi="宋体" w:cs="宋体"/>
          <w:color w:val="auto"/>
          <w:kern w:val="0"/>
          <w:sz w:val="24"/>
          <w:szCs w:val="22"/>
        </w:rPr>
        <w:t>注：</w:t>
      </w:r>
      <w:r>
        <w:rPr>
          <w:rFonts w:ascii="宋体" w:hAnsi="宋体" w:cs="宋体"/>
          <w:color w:val="auto"/>
          <w:kern w:val="0"/>
          <w:sz w:val="24"/>
          <w:szCs w:val="22"/>
        </w:rPr>
        <w:t>1、以上金额包括人员工资、保管服务费、日常运维、网络通讯费、住宿、税金、备件耗材、管理费、验收、辅助工作及售后服务等一切与运维相关的可能产生的费用。</w:t>
      </w:r>
    </w:p>
    <w:p>
      <w:pPr>
        <w:spacing w:line="340" w:lineRule="exact"/>
        <w:rPr>
          <w:rFonts w:ascii="宋体" w:hAnsi="宋体" w:cs="宋体"/>
          <w:color w:val="auto"/>
          <w:kern w:val="0"/>
          <w:sz w:val="24"/>
          <w:szCs w:val="22"/>
        </w:rPr>
      </w:pPr>
      <w:r>
        <w:rPr>
          <w:rFonts w:ascii="宋体" w:hAnsi="宋体" w:cs="宋体"/>
          <w:color w:val="auto"/>
          <w:kern w:val="0"/>
          <w:sz w:val="24"/>
          <w:szCs w:val="22"/>
        </w:rPr>
        <w:t>2、以上费用不包含系统平台建设服务费用。</w:t>
      </w:r>
    </w:p>
    <w:p>
      <w:pPr>
        <w:spacing w:line="340" w:lineRule="exact"/>
        <w:rPr>
          <w:rFonts w:ascii="宋体" w:hAnsi="宋体" w:cs="宋体"/>
          <w:color w:val="auto"/>
          <w:kern w:val="0"/>
          <w:sz w:val="24"/>
          <w:szCs w:val="22"/>
        </w:rPr>
      </w:pPr>
      <w:r>
        <w:rPr>
          <w:rFonts w:ascii="宋体" w:hAnsi="宋体" w:cs="宋体"/>
          <w:color w:val="auto"/>
          <w:kern w:val="0"/>
          <w:sz w:val="24"/>
          <w:szCs w:val="22"/>
        </w:rPr>
        <w:t>3、以上费用不包含所有物资运输费用及调配和进出。</w:t>
      </w:r>
    </w:p>
    <w:p>
      <w:pPr>
        <w:spacing w:line="340" w:lineRule="exact"/>
        <w:rPr>
          <w:rFonts w:hint="eastAsia" w:ascii="宋体" w:hAnsi="宋体" w:cs="宋体"/>
          <w:color w:val="auto"/>
          <w:kern w:val="0"/>
          <w:sz w:val="24"/>
          <w:szCs w:val="22"/>
        </w:rPr>
      </w:pPr>
      <w:r>
        <w:rPr>
          <w:rFonts w:ascii="宋体" w:hAnsi="宋体" w:cs="宋体"/>
          <w:color w:val="auto"/>
          <w:kern w:val="0"/>
          <w:sz w:val="24"/>
          <w:szCs w:val="22"/>
        </w:rPr>
        <w:t>4、</w:t>
      </w:r>
      <w:r>
        <w:rPr>
          <w:rFonts w:hint="eastAsia" w:ascii="宋体" w:hAnsi="宋体" w:cs="宋体"/>
          <w:color w:val="auto"/>
          <w:kern w:val="0"/>
          <w:sz w:val="24"/>
          <w:szCs w:val="22"/>
        </w:rPr>
        <w:t>库内</w:t>
      </w:r>
      <w:r>
        <w:rPr>
          <w:rFonts w:ascii="宋体" w:hAnsi="宋体" w:cs="宋体"/>
          <w:color w:val="auto"/>
          <w:kern w:val="0"/>
          <w:sz w:val="24"/>
          <w:szCs w:val="22"/>
        </w:rPr>
        <w:t>设备设施</w:t>
      </w:r>
      <w:r>
        <w:rPr>
          <w:rFonts w:hint="eastAsia" w:ascii="宋体" w:hAnsi="宋体" w:cs="宋体"/>
          <w:color w:val="auto"/>
          <w:kern w:val="0"/>
          <w:sz w:val="24"/>
          <w:szCs w:val="22"/>
        </w:rPr>
        <w:t>日常维护服务由中标人提供，设备</w:t>
      </w:r>
      <w:r>
        <w:rPr>
          <w:rFonts w:ascii="宋体" w:hAnsi="宋体" w:cs="宋体"/>
          <w:color w:val="auto"/>
          <w:kern w:val="0"/>
          <w:sz w:val="24"/>
          <w:szCs w:val="22"/>
        </w:rPr>
        <w:t>需对外报修，800元以</w:t>
      </w:r>
      <w:r>
        <w:rPr>
          <w:rFonts w:hint="eastAsia" w:ascii="宋体" w:hAnsi="宋体" w:cs="宋体"/>
          <w:color w:val="auto"/>
          <w:kern w:val="0"/>
          <w:sz w:val="24"/>
          <w:szCs w:val="22"/>
        </w:rPr>
        <w:t>上</w:t>
      </w:r>
      <w:r>
        <w:rPr>
          <w:rFonts w:ascii="宋体" w:hAnsi="宋体" w:cs="宋体"/>
          <w:color w:val="auto"/>
          <w:kern w:val="0"/>
          <w:sz w:val="24"/>
          <w:szCs w:val="22"/>
        </w:rPr>
        <w:t>的单个维修配件由采购人承担。</w:t>
      </w:r>
    </w:p>
    <w:p>
      <w:pPr>
        <w:spacing w:line="340" w:lineRule="exact"/>
        <w:rPr>
          <w:rFonts w:hint="eastAsia" w:ascii="宋体" w:hAnsi="宋体" w:cs="宋体"/>
          <w:color w:val="auto"/>
          <w:kern w:val="0"/>
          <w:sz w:val="24"/>
          <w:szCs w:val="22"/>
        </w:rPr>
      </w:pPr>
    </w:p>
    <w:p>
      <w:pPr>
        <w:tabs>
          <w:tab w:val="left" w:pos="5500"/>
        </w:tabs>
        <w:autoSpaceDE w:val="0"/>
        <w:adjustRightInd w:val="0"/>
        <w:spacing w:line="360" w:lineRule="auto"/>
        <w:ind w:firstLine="480"/>
        <w:jc w:val="left"/>
        <w:rPr>
          <w:rFonts w:hint="eastAsia" w:ascii="宋体" w:hAnsi="宋体" w:cs="宋体"/>
          <w:b/>
          <w:color w:val="auto"/>
          <w:sz w:val="24"/>
        </w:rPr>
      </w:pPr>
      <w:r>
        <w:rPr>
          <w:rFonts w:hint="eastAsia" w:ascii="宋体" w:hAnsi="宋体" w:cs="宋体"/>
          <w:b/>
          <w:color w:val="auto"/>
          <w:sz w:val="24"/>
        </w:rPr>
        <w:t>第二条：质量要求：</w:t>
      </w:r>
    </w:p>
    <w:p>
      <w:pPr>
        <w:autoSpaceDE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提交成果必须符合国家相关规程和规范要求。</w:t>
      </w:r>
    </w:p>
    <w:p>
      <w:pPr>
        <w:tabs>
          <w:tab w:val="left" w:pos="5500"/>
        </w:tabs>
        <w:autoSpaceDE w:val="0"/>
        <w:adjustRightInd w:val="0"/>
        <w:spacing w:line="360" w:lineRule="auto"/>
        <w:ind w:firstLine="480"/>
        <w:jc w:val="left"/>
        <w:rPr>
          <w:rFonts w:hint="eastAsia" w:ascii="宋体" w:hAnsi="宋体" w:cs="宋体"/>
          <w:color w:val="auto"/>
          <w:kern w:val="0"/>
          <w:sz w:val="24"/>
        </w:rPr>
      </w:pPr>
      <w:r>
        <w:rPr>
          <w:rFonts w:hint="eastAsia" w:ascii="宋体" w:hAnsi="宋体" w:cs="宋体"/>
          <w:b/>
          <w:color w:val="auto"/>
          <w:sz w:val="24"/>
        </w:rPr>
        <w:t>第三条：合同履行时间</w:t>
      </w:r>
    </w:p>
    <w:p>
      <w:pPr>
        <w:spacing w:line="360" w:lineRule="auto"/>
        <w:ind w:firstLine="480" w:firstLineChars="200"/>
        <w:rPr>
          <w:rFonts w:hint="eastAsia" w:ascii="宋体" w:hAnsi="宋体" w:cs="宋体"/>
          <w:b/>
          <w:color w:val="auto"/>
          <w:sz w:val="24"/>
          <w:szCs w:val="20"/>
        </w:rPr>
      </w:pPr>
      <w:r>
        <w:rPr>
          <w:rFonts w:hint="eastAsia" w:ascii="宋体" w:hAnsi="宋体" w:cs="宋体"/>
          <w:color w:val="auto"/>
          <w:sz w:val="24"/>
        </w:rPr>
        <w:t>1、完成时间：本次采购项目服务期限自政府采购合同签订生效之日起三年，如在规定的时间内由于供应商的原因不能完成的，乙方应承担由此给甲方造成的损失。</w:t>
      </w:r>
      <w:r>
        <w:rPr>
          <w:rFonts w:hint="eastAsia" w:ascii="宋体" w:hAnsi="宋体" w:cs="宋体"/>
          <w:b/>
          <w:color w:val="auto"/>
          <w:sz w:val="24"/>
          <w:szCs w:val="20"/>
        </w:rPr>
        <w:t xml:space="preserve">本项目在合同期限内，供应商能严格履行合同， </w:t>
      </w:r>
    </w:p>
    <w:p>
      <w:pPr>
        <w:autoSpaceDE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2、实施地点：由甲方指定。</w:t>
      </w:r>
    </w:p>
    <w:p>
      <w:pPr>
        <w:autoSpaceDE w:val="0"/>
        <w:adjustRightInd w:val="0"/>
        <w:spacing w:line="360" w:lineRule="auto"/>
        <w:ind w:firstLine="482" w:firstLineChars="200"/>
        <w:rPr>
          <w:rFonts w:hint="eastAsia" w:ascii="宋体" w:hAnsi="宋体" w:cs="宋体"/>
          <w:b/>
          <w:color w:val="auto"/>
          <w:sz w:val="24"/>
        </w:rPr>
      </w:pPr>
      <w:r>
        <w:rPr>
          <w:rFonts w:hint="eastAsia" w:ascii="宋体" w:hAnsi="宋体" w:cs="宋体"/>
          <w:b/>
          <w:color w:val="auto"/>
          <w:kern w:val="0"/>
          <w:sz w:val="24"/>
        </w:rPr>
        <w:t>第四条：</w:t>
      </w:r>
      <w:r>
        <w:rPr>
          <w:rFonts w:hint="eastAsia" w:ascii="宋体" w:hAnsi="宋体" w:cs="宋体"/>
          <w:b/>
          <w:color w:val="auto"/>
          <w:sz w:val="24"/>
        </w:rPr>
        <w:t>项目款支付</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（1）采购人按季付款，每个季度支付年合同价的25%。</w:t>
      </w:r>
    </w:p>
    <w:p>
      <w:pPr>
        <w:autoSpaceDE w:val="0"/>
        <w:adjustRightInd w:val="0"/>
        <w:spacing w:line="360" w:lineRule="auto"/>
        <w:ind w:firstLine="479" w:firstLineChars="199"/>
        <w:jc w:val="left"/>
        <w:rPr>
          <w:rFonts w:hint="eastAsia" w:ascii="宋体" w:hAnsi="宋体" w:cs="宋体"/>
          <w:bCs/>
          <w:color w:val="auto"/>
          <w:sz w:val="24"/>
        </w:rPr>
      </w:pPr>
      <w:r>
        <w:rPr>
          <w:rFonts w:hint="eastAsia" w:ascii="宋体" w:hAnsi="宋体" w:cs="宋体"/>
          <w:b/>
          <w:bCs/>
          <w:color w:val="auto"/>
          <w:sz w:val="24"/>
        </w:rPr>
        <w:t>（2）中标单位</w:t>
      </w:r>
      <w:r>
        <w:rPr>
          <w:rFonts w:hint="eastAsia" w:ascii="宋体" w:hAnsi="宋体" w:cs="宋体"/>
          <w:b/>
          <w:color w:val="auto"/>
          <w:kern w:val="1"/>
          <w:sz w:val="24"/>
        </w:rPr>
        <w:t>因工作失误及按招标文件中的服务要求、考核要求造成的扣款则在季付款的同时相应扣除。</w:t>
      </w:r>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第五条：履约保证金</w:t>
      </w:r>
    </w:p>
    <w:p>
      <w:pPr>
        <w:spacing w:line="440" w:lineRule="exact"/>
        <w:ind w:left="-57" w:leftChars="-27" w:right="-176" w:rightChars="-84" w:firstLine="480" w:firstLineChars="200"/>
        <w:rPr>
          <w:rFonts w:hint="eastAsia" w:ascii="宋体" w:hAnsi="宋体" w:cs="宋体"/>
          <w:color w:val="auto"/>
          <w:sz w:val="24"/>
        </w:rPr>
      </w:pPr>
      <w:r>
        <w:rPr>
          <w:rFonts w:hint="eastAsia" w:ascii="宋体" w:hAnsi="宋体" w:cs="宋体"/>
          <w:color w:val="auto"/>
          <w:sz w:val="24"/>
        </w:rPr>
        <w:t xml:space="preserve">  合同签订前，由中标供应商缴纳合同总价的5%作为履约保证金至甲方指定账户。履约结束后，无质量、服务问题，由甲方向乙方无息退还。因乙方的质量、服务问题原因造成甲方损失的，甲方有权要求乙方以其履约保证金作出补偿</w:t>
      </w:r>
      <w:r>
        <w:rPr>
          <w:rStyle w:val="153"/>
          <w:rFonts w:hint="eastAsia" w:ascii="宋体" w:hAnsi="宋体" w:cs="宋体"/>
          <w:b w:val="0"/>
          <w:color w:val="auto"/>
        </w:rPr>
        <w:t>。</w:t>
      </w:r>
    </w:p>
    <w:p>
      <w:pPr>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第六条：售后服务</w:t>
      </w:r>
    </w:p>
    <w:p>
      <w:pPr>
        <w:spacing w:line="480" w:lineRule="exact"/>
        <w:ind w:firstLine="472" w:firstLineChars="200"/>
        <w:jc w:val="left"/>
        <w:rPr>
          <w:rStyle w:val="153"/>
          <w:rFonts w:hint="eastAsia" w:ascii="宋体" w:hAnsi="宋体" w:cs="宋体"/>
          <w:b w:val="0"/>
          <w:color w:val="auto"/>
        </w:rPr>
      </w:pPr>
      <w:r>
        <w:rPr>
          <w:rStyle w:val="153"/>
          <w:rFonts w:hint="eastAsia" w:ascii="宋体" w:hAnsi="宋体" w:cs="宋体"/>
          <w:b w:val="0"/>
          <w:color w:val="auto"/>
        </w:rPr>
        <w:t>1、乙方在履行合同义务期间，应遵守国家有关法律、法规、维护甲方的合法权益。</w:t>
      </w:r>
    </w:p>
    <w:p>
      <w:pPr>
        <w:spacing w:line="480" w:lineRule="exact"/>
        <w:ind w:firstLine="472" w:firstLineChars="200"/>
        <w:jc w:val="left"/>
        <w:rPr>
          <w:rStyle w:val="153"/>
          <w:rFonts w:hint="eastAsia" w:ascii="宋体" w:hAnsi="宋体" w:cs="宋体"/>
          <w:b w:val="0"/>
          <w:color w:val="auto"/>
        </w:rPr>
      </w:pPr>
      <w:r>
        <w:rPr>
          <w:rStyle w:val="153"/>
          <w:rFonts w:hint="eastAsia" w:ascii="宋体" w:hAnsi="宋体" w:cs="宋体"/>
          <w:b w:val="0"/>
          <w:color w:val="auto"/>
        </w:rPr>
        <w:t>2、乙方应组建能够满足本项目服务需要的项目组，按照工作范围和内容完成技术服务工作，并按约定向甲方报工作进展。</w:t>
      </w:r>
    </w:p>
    <w:p>
      <w:pPr>
        <w:widowControl/>
        <w:autoSpaceDE w:val="0"/>
        <w:autoSpaceDN w:val="0"/>
        <w:spacing w:line="500" w:lineRule="exact"/>
        <w:ind w:right="-178" w:rightChars="-85"/>
        <w:textAlignment w:val="bottom"/>
        <w:rPr>
          <w:rFonts w:hint="eastAsia" w:ascii="宋体" w:hAnsi="宋体" w:cs="宋体"/>
          <w:color w:val="auto"/>
          <w:sz w:val="24"/>
        </w:rPr>
      </w:pPr>
      <w:r>
        <w:rPr>
          <w:rFonts w:hint="eastAsia" w:ascii="宋体" w:hAnsi="宋体" w:cs="宋体"/>
          <w:color w:val="auto"/>
          <w:sz w:val="24"/>
        </w:rPr>
        <w:t xml:space="preserve">    3、由于仓储物资工作的特殊性，乙方与服务人员必须与甲方签订保密协议。</w:t>
      </w:r>
    </w:p>
    <w:p>
      <w:pPr>
        <w:widowControl/>
        <w:autoSpaceDE w:val="0"/>
        <w:autoSpaceDN w:val="0"/>
        <w:spacing w:line="500" w:lineRule="exact"/>
        <w:ind w:right="-178" w:rightChars="-85" w:firstLine="480"/>
        <w:textAlignment w:val="bottom"/>
        <w:rPr>
          <w:rFonts w:hint="eastAsia" w:ascii="宋体" w:hAnsi="宋体" w:cs="宋体"/>
          <w:color w:val="auto"/>
          <w:sz w:val="24"/>
        </w:rPr>
      </w:pPr>
      <w:r>
        <w:rPr>
          <w:rFonts w:hint="eastAsia" w:ascii="宋体" w:hAnsi="宋体" w:cs="宋体"/>
          <w:color w:val="auto"/>
          <w:sz w:val="24"/>
        </w:rPr>
        <w:t>4、乙方应自行承担项目实施过程中的安全责任，甲方在任何情况下不承担任何责任。</w:t>
      </w:r>
    </w:p>
    <w:p>
      <w:pPr>
        <w:widowControl/>
        <w:autoSpaceDE w:val="0"/>
        <w:autoSpaceDN w:val="0"/>
        <w:spacing w:line="500" w:lineRule="exact"/>
        <w:ind w:right="-178" w:rightChars="-85" w:firstLine="480"/>
        <w:textAlignment w:val="bottom"/>
        <w:rPr>
          <w:rFonts w:hint="eastAsia" w:ascii="宋体" w:hAnsi="宋体" w:cs="宋体"/>
          <w:color w:val="auto"/>
          <w:sz w:val="24"/>
        </w:rPr>
      </w:pPr>
      <w:r>
        <w:rPr>
          <w:rFonts w:hint="eastAsia" w:ascii="宋体" w:hAnsi="宋体" w:cs="宋体"/>
          <w:color w:val="auto"/>
          <w:sz w:val="24"/>
        </w:rPr>
        <w:t>5、在服务期内，乙方应该确保服务范围内的质量标准符合本招标文件要求。当出现问题时，乙方应承诺在24小时内响应并提出解决方案，24小时之内到现场对存在问题进行处理，并提出相应防范措施。</w:t>
      </w:r>
    </w:p>
    <w:p>
      <w:pPr>
        <w:autoSpaceDE w:val="0"/>
        <w:adjustRightInd w:val="0"/>
        <w:spacing w:line="360" w:lineRule="auto"/>
        <w:ind w:firstLine="482" w:firstLineChars="200"/>
        <w:jc w:val="left"/>
        <w:rPr>
          <w:rFonts w:hint="eastAsia" w:ascii="宋体" w:hAnsi="宋体" w:cs="宋体"/>
          <w:color w:val="auto"/>
          <w:sz w:val="24"/>
        </w:rPr>
      </w:pPr>
      <w:r>
        <w:rPr>
          <w:rFonts w:hint="eastAsia" w:ascii="宋体" w:hAnsi="宋体" w:cs="宋体"/>
          <w:b/>
          <w:color w:val="auto"/>
          <w:sz w:val="24"/>
        </w:rPr>
        <w:t>第七条：</w:t>
      </w:r>
      <w:r>
        <w:rPr>
          <w:rFonts w:hint="eastAsia" w:ascii="宋体" w:hAnsi="宋体" w:cs="宋体"/>
          <w:color w:val="auto"/>
          <w:sz w:val="24"/>
        </w:rPr>
        <w:t>乙方承担完成本采购项目的一切费用(包括不可预见费用)和市场风险。</w:t>
      </w:r>
    </w:p>
    <w:p>
      <w:pPr>
        <w:autoSpaceDE w:val="0"/>
        <w:adjustRightInd w:val="0"/>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第八条：不可抗力</w:t>
      </w:r>
    </w:p>
    <w:p>
      <w:pPr>
        <w:autoSpaceDE w:val="0"/>
        <w:adjustRightInd w:val="0"/>
        <w:spacing w:line="360" w:lineRule="auto"/>
        <w:ind w:firstLine="480" w:firstLineChars="200"/>
        <w:jc w:val="left"/>
        <w:rPr>
          <w:rFonts w:hint="eastAsia" w:ascii="宋体" w:hAnsi="宋体" w:cs="宋体"/>
          <w:bCs/>
          <w:color w:val="auto"/>
          <w:sz w:val="24"/>
        </w:rPr>
      </w:pPr>
      <w:r>
        <w:rPr>
          <w:rFonts w:hint="eastAsia" w:ascii="宋体" w:hAnsi="宋体" w:cs="宋体"/>
          <w:bCs/>
          <w:color w:val="auto"/>
          <w:sz w:val="24"/>
        </w:rPr>
        <w:t>1、在合同有效期内，任何一方因不可抗力事件导致不能履行合同，则合同履行期可延长，其延长期与不可抗力影响期相同。</w:t>
      </w:r>
    </w:p>
    <w:p>
      <w:pPr>
        <w:autoSpaceDE w:val="0"/>
        <w:adjustRightInd w:val="0"/>
        <w:spacing w:line="360" w:lineRule="auto"/>
        <w:ind w:firstLine="480" w:firstLineChars="200"/>
        <w:jc w:val="left"/>
        <w:rPr>
          <w:rFonts w:hint="eastAsia" w:ascii="宋体" w:hAnsi="宋体" w:cs="宋体"/>
          <w:bCs/>
          <w:color w:val="auto"/>
          <w:sz w:val="24"/>
        </w:rPr>
      </w:pPr>
      <w:r>
        <w:rPr>
          <w:rFonts w:hint="eastAsia" w:ascii="宋体" w:hAnsi="宋体" w:cs="宋体"/>
          <w:bCs/>
          <w:color w:val="auto"/>
          <w:sz w:val="24"/>
        </w:rPr>
        <w:t>2、不可抗力事件发生后，应立即通知对方，并寄送有关权威机构出具的证明。</w:t>
      </w:r>
    </w:p>
    <w:p>
      <w:pPr>
        <w:autoSpaceDE w:val="0"/>
        <w:adjustRightInd w:val="0"/>
        <w:spacing w:line="360" w:lineRule="auto"/>
        <w:ind w:firstLine="480" w:firstLineChars="200"/>
        <w:jc w:val="left"/>
        <w:rPr>
          <w:rFonts w:hint="eastAsia" w:ascii="宋体" w:hAnsi="宋体" w:cs="宋体"/>
          <w:bCs/>
          <w:color w:val="auto"/>
          <w:sz w:val="24"/>
        </w:rPr>
      </w:pPr>
      <w:r>
        <w:rPr>
          <w:rFonts w:hint="eastAsia" w:ascii="宋体" w:hAnsi="宋体" w:cs="宋体"/>
          <w:bCs/>
          <w:color w:val="auto"/>
          <w:sz w:val="24"/>
        </w:rPr>
        <w:t>3、不可抗力事件延续120天以上，双方应通过友好协商，确定是否继续履行合同。</w:t>
      </w:r>
    </w:p>
    <w:p>
      <w:pPr>
        <w:autoSpaceDE w:val="0"/>
        <w:adjustRightInd w:val="0"/>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第九条：其他约定：</w:t>
      </w:r>
    </w:p>
    <w:p>
      <w:pPr>
        <w:autoSpaceDE w:val="0"/>
        <w:adjustRightInd w:val="0"/>
        <w:spacing w:line="360" w:lineRule="auto"/>
        <w:ind w:firstLine="480" w:firstLineChars="200"/>
        <w:jc w:val="left"/>
        <w:rPr>
          <w:rFonts w:hint="eastAsia" w:ascii="宋体" w:hAnsi="宋体" w:cs="宋体"/>
          <w:color w:val="auto"/>
          <w:sz w:val="24"/>
          <w:u w:val="single"/>
        </w:rPr>
      </w:pPr>
      <w:r>
        <w:rPr>
          <w:rFonts w:hint="eastAsia" w:ascii="宋体" w:hAnsi="宋体" w:cs="宋体"/>
          <w:color w:val="auto"/>
          <w:sz w:val="24"/>
          <w:u w:val="single"/>
        </w:rPr>
        <w:t xml:space="preserve">                                                                </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第十条  违约责任</w:t>
      </w:r>
    </w:p>
    <w:p>
      <w:pPr>
        <w:autoSpaceDE w:val="0"/>
        <w:adjustRightInd w:val="0"/>
        <w:spacing w:line="360" w:lineRule="auto"/>
        <w:ind w:firstLine="501" w:firstLineChars="209"/>
        <w:jc w:val="left"/>
        <w:rPr>
          <w:rFonts w:hint="eastAsia" w:ascii="宋体" w:hAnsi="宋体" w:cs="宋体"/>
          <w:color w:val="auto"/>
          <w:kern w:val="0"/>
          <w:sz w:val="24"/>
        </w:rPr>
      </w:pPr>
      <w:r>
        <w:rPr>
          <w:rFonts w:hint="eastAsia" w:ascii="宋体" w:hAnsi="宋体" w:cs="宋体"/>
          <w:color w:val="auto"/>
          <w:kern w:val="0"/>
          <w:sz w:val="24"/>
        </w:rPr>
        <w:t>1、由于乙方原因(除不可抗力外)不能按期交付合同标的，对超出交付期的每一天，乙方应按合同总价款的千分之三承担违约金，在合同款支付时一次性扣除。若超出交付期二十天(含二十天)以上的，甲方有权终止合同。</w:t>
      </w:r>
    </w:p>
    <w:p>
      <w:pPr>
        <w:autoSpaceDE w:val="0"/>
        <w:adjustRightIn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2、乙方按合同要求将成果送达甲方后，经验收合格后，甲方超出付款期支付项目款的，每逾一天，甲方应向乙方支付合同金额的千分之三的滞纳金。甲方无正当理由拒收合同标的、拒付项目款的，应向乙方偿付合同总价百分之五的违约金。</w:t>
      </w:r>
    </w:p>
    <w:p>
      <w:pPr>
        <w:spacing w:line="300" w:lineRule="auto"/>
        <w:ind w:firstLine="460" w:firstLineChars="192"/>
        <w:rPr>
          <w:rFonts w:hint="eastAsia" w:ascii="宋体" w:hAnsi="宋体" w:cs="宋体"/>
          <w:color w:val="auto"/>
          <w:kern w:val="0"/>
          <w:sz w:val="24"/>
        </w:rPr>
      </w:pPr>
      <w:r>
        <w:rPr>
          <w:rFonts w:hint="eastAsia" w:ascii="宋体" w:hAnsi="宋体" w:cs="宋体"/>
          <w:color w:val="auto"/>
          <w:kern w:val="0"/>
          <w:sz w:val="24"/>
        </w:rPr>
        <w:t>3、由于乙方原因导致甲方有重大损失的，责任由乙方承担，并依法追究其经济责任和法律责任。</w:t>
      </w:r>
    </w:p>
    <w:p>
      <w:pPr>
        <w:autoSpaceDE w:val="0"/>
        <w:adjustRightInd w:val="0"/>
        <w:spacing w:line="360" w:lineRule="auto"/>
        <w:ind w:firstLine="504" w:firstLineChars="209"/>
        <w:jc w:val="left"/>
        <w:rPr>
          <w:rFonts w:hint="eastAsia" w:ascii="宋体" w:hAnsi="宋体" w:cs="宋体"/>
          <w:b/>
          <w:color w:val="auto"/>
          <w:sz w:val="24"/>
        </w:rPr>
      </w:pPr>
      <w:r>
        <w:rPr>
          <w:rFonts w:hint="eastAsia" w:ascii="宋体" w:hAnsi="宋体" w:cs="宋体"/>
          <w:b/>
          <w:color w:val="auto"/>
          <w:sz w:val="24"/>
        </w:rPr>
        <w:t>第十一条：争议的解决</w:t>
      </w:r>
    </w:p>
    <w:p>
      <w:pPr>
        <w:autoSpaceDE w:val="0"/>
        <w:adjustRightInd w:val="0"/>
        <w:spacing w:line="360" w:lineRule="auto"/>
        <w:ind w:firstLine="501" w:firstLineChars="209"/>
        <w:jc w:val="left"/>
        <w:rPr>
          <w:rFonts w:hint="eastAsia" w:ascii="宋体" w:hAnsi="宋体" w:cs="宋体"/>
          <w:color w:val="auto"/>
          <w:sz w:val="24"/>
        </w:rPr>
      </w:pPr>
      <w:r>
        <w:rPr>
          <w:rFonts w:hint="eastAsia" w:ascii="宋体" w:hAnsi="宋体" w:cs="宋体"/>
          <w:color w:val="auto"/>
          <w:sz w:val="24"/>
        </w:rPr>
        <w:t>1．因质量问题发生争议的，由甲方委托有关技术部门进行质量鉴定，该鉴定的结论甲</w:t>
      </w:r>
      <w:r>
        <w:rPr>
          <w:rFonts w:hint="eastAsia" w:ascii="宋体" w:hAnsi="宋体" w:cs="宋体"/>
          <w:bCs/>
          <w:color w:val="auto"/>
          <w:sz w:val="24"/>
        </w:rPr>
        <w:t>乙</w:t>
      </w:r>
      <w:r>
        <w:rPr>
          <w:rFonts w:hint="eastAsia" w:ascii="宋体" w:hAnsi="宋体" w:cs="宋体"/>
          <w:color w:val="auto"/>
          <w:sz w:val="24"/>
        </w:rPr>
        <w:t>双方应当接受，各方均有权直接向对方索赔，并签订书面处理协议书，报见证方备案。</w:t>
      </w:r>
    </w:p>
    <w:p>
      <w:pPr>
        <w:autoSpaceDE w:val="0"/>
        <w:adjustRightInd w:val="0"/>
        <w:spacing w:line="360" w:lineRule="auto"/>
        <w:ind w:firstLine="501" w:firstLineChars="209"/>
        <w:jc w:val="left"/>
        <w:rPr>
          <w:rFonts w:hint="eastAsia" w:ascii="宋体" w:hAnsi="宋体" w:cs="宋体"/>
          <w:color w:val="auto"/>
          <w:sz w:val="24"/>
        </w:rPr>
      </w:pPr>
      <w:r>
        <w:rPr>
          <w:rFonts w:hint="eastAsia" w:ascii="宋体" w:hAnsi="宋体" w:cs="宋体"/>
          <w:color w:val="auto"/>
          <w:sz w:val="24"/>
        </w:rPr>
        <w:t>2．双方无法通过协商解决合同争议的，任何一方有权向杭州市人民法院提出诉讼。</w:t>
      </w:r>
    </w:p>
    <w:p>
      <w:pPr>
        <w:spacing w:line="360" w:lineRule="auto"/>
        <w:ind w:firstLine="600"/>
        <w:rPr>
          <w:rFonts w:hint="eastAsia" w:ascii="宋体" w:hAnsi="宋体" w:cs="宋体"/>
          <w:b/>
          <w:color w:val="auto"/>
          <w:sz w:val="24"/>
        </w:rPr>
      </w:pPr>
      <w:r>
        <w:rPr>
          <w:rFonts w:hint="eastAsia" w:ascii="宋体" w:hAnsi="宋体" w:cs="宋体"/>
          <w:b/>
          <w:color w:val="auto"/>
          <w:sz w:val="24"/>
        </w:rPr>
        <w:t xml:space="preserve">第十二条  合同的生效 </w:t>
      </w:r>
    </w:p>
    <w:p>
      <w:pPr>
        <w:autoSpaceDE w:val="0"/>
        <w:adjustRightInd w:val="0"/>
        <w:spacing w:line="360" w:lineRule="auto"/>
        <w:ind w:firstLine="501" w:firstLineChars="209"/>
        <w:jc w:val="left"/>
        <w:rPr>
          <w:rFonts w:hint="eastAsia" w:ascii="宋体" w:hAnsi="宋体" w:cs="宋体"/>
          <w:color w:val="auto"/>
          <w:sz w:val="24"/>
        </w:rPr>
      </w:pPr>
      <w:r>
        <w:rPr>
          <w:rFonts w:hint="eastAsia" w:ascii="宋体" w:hAnsi="宋体" w:cs="宋体"/>
          <w:color w:val="auto"/>
          <w:sz w:val="24"/>
        </w:rPr>
        <w:t>1．本合同一式陆份，甲、乙双方各执二份，见证单位一份，监管部门一份。</w:t>
      </w:r>
    </w:p>
    <w:p>
      <w:pPr>
        <w:autoSpaceDE w:val="0"/>
        <w:adjustRightInd w:val="0"/>
        <w:spacing w:line="360" w:lineRule="auto"/>
        <w:ind w:firstLine="501" w:firstLineChars="209"/>
        <w:jc w:val="left"/>
        <w:rPr>
          <w:rFonts w:hint="eastAsia" w:ascii="宋体" w:hAnsi="宋体" w:cs="宋体"/>
          <w:color w:val="auto"/>
          <w:sz w:val="24"/>
        </w:rPr>
      </w:pPr>
      <w:r>
        <w:rPr>
          <w:rFonts w:hint="eastAsia" w:ascii="宋体" w:hAnsi="宋体" w:cs="宋体"/>
          <w:color w:val="auto"/>
          <w:sz w:val="24"/>
        </w:rPr>
        <w:t>2．本合同经甲乙双方法定代表人或委托代理人签字并加盖公章经见证方见证后生效。</w:t>
      </w:r>
    </w:p>
    <w:p>
      <w:pPr>
        <w:autoSpaceDE w:val="0"/>
        <w:adjustRightInd w:val="0"/>
        <w:spacing w:line="360" w:lineRule="auto"/>
        <w:ind w:firstLine="501" w:firstLineChars="209"/>
        <w:jc w:val="left"/>
        <w:rPr>
          <w:rFonts w:hint="eastAsia" w:ascii="宋体" w:hAnsi="宋体" w:cs="宋体"/>
          <w:color w:val="auto"/>
          <w:sz w:val="24"/>
        </w:rPr>
      </w:pPr>
      <w:r>
        <w:rPr>
          <w:rFonts w:hint="eastAsia" w:ascii="宋体" w:hAnsi="宋体" w:cs="宋体"/>
          <w:color w:val="auto"/>
          <w:sz w:val="24"/>
        </w:rPr>
        <w:t>3．本合同未尽事宜，经双方商议可续签补充协议。该补充协议与本合同具有相同法律效力，但该补充协议的内容不能实质性修改招标文件的主要条款。</w:t>
      </w:r>
    </w:p>
    <w:p>
      <w:pPr>
        <w:autoSpaceDE w:val="0"/>
        <w:adjustRightInd w:val="0"/>
        <w:spacing w:line="360" w:lineRule="auto"/>
        <w:ind w:firstLine="501" w:firstLineChars="209"/>
        <w:jc w:val="left"/>
        <w:rPr>
          <w:rFonts w:hint="eastAsia" w:ascii="宋体" w:hAnsi="宋体" w:cs="宋体"/>
          <w:color w:val="auto"/>
          <w:sz w:val="24"/>
        </w:rPr>
      </w:pPr>
      <w:r>
        <w:rPr>
          <w:rFonts w:hint="eastAsia" w:ascii="宋体" w:hAnsi="宋体" w:cs="宋体"/>
          <w:color w:val="auto"/>
          <w:sz w:val="24"/>
        </w:rPr>
        <w:t>4．本合同未涉及的部分以招标文件（项目编号：XXX ）(包括补充更正，如有)为准，上述招标文件与乙方针对本项目招标文件及记录是本合同的附件，与本合同具有同等法律效力，但附件与主合同的规定不一致时，以主合同为准。</w:t>
      </w:r>
    </w:p>
    <w:p>
      <w:pPr>
        <w:pStyle w:val="41"/>
        <w:spacing w:line="360" w:lineRule="auto"/>
        <w:ind w:firstLine="480" w:firstLineChars="200"/>
        <w:rPr>
          <w:rFonts w:hint="eastAsia" w:ascii="宋体" w:hAnsi="宋体" w:eastAsia="宋体" w:cs="宋体"/>
          <w:bCs/>
          <w:color w:val="auto"/>
          <w:sz w:val="24"/>
        </w:rPr>
      </w:pPr>
    </w:p>
    <w:p>
      <w:pPr>
        <w:pStyle w:val="41"/>
        <w:snapToGrid w:val="0"/>
        <w:spacing w:line="336" w:lineRule="auto"/>
        <w:rPr>
          <w:rFonts w:hint="eastAsia" w:ascii="宋体" w:hAnsi="宋体" w:eastAsia="宋体" w:cs="宋体"/>
          <w:b/>
          <w:color w:val="auto"/>
          <w:sz w:val="24"/>
          <w:szCs w:val="24"/>
        </w:rPr>
      </w:pPr>
      <w:r>
        <w:rPr>
          <w:rFonts w:hint="eastAsia" w:ascii="宋体" w:hAnsi="宋体" w:eastAsia="宋体" w:cs="宋体"/>
          <w:b/>
          <w:color w:val="auto"/>
          <w:sz w:val="24"/>
          <w:szCs w:val="24"/>
        </w:rPr>
        <w:t>甲方（盖章）：                        乙方（盖章）：</w:t>
      </w:r>
    </w:p>
    <w:p>
      <w:pPr>
        <w:pStyle w:val="41"/>
        <w:snapToGrid w:val="0"/>
        <w:spacing w:line="336" w:lineRule="auto"/>
        <w:ind w:left="180" w:hanging="180" w:hangingChars="75"/>
        <w:rPr>
          <w:rFonts w:hint="eastAsia" w:ascii="宋体" w:hAnsi="宋体" w:eastAsia="宋体" w:cs="宋体"/>
          <w:color w:val="auto"/>
          <w:sz w:val="24"/>
          <w:szCs w:val="24"/>
        </w:rPr>
      </w:pPr>
      <w:r>
        <w:rPr>
          <w:rFonts w:hint="eastAsia" w:ascii="宋体" w:hAnsi="宋体" w:eastAsia="宋体" w:cs="宋体"/>
          <w:color w:val="auto"/>
          <w:sz w:val="24"/>
          <w:szCs w:val="24"/>
        </w:rPr>
        <w:t>法定代表人或受委托人                 法定代表人或受委托人</w:t>
      </w:r>
    </w:p>
    <w:p>
      <w:pPr>
        <w:pStyle w:val="41"/>
        <w:snapToGrid w:val="0"/>
        <w:spacing w:line="336" w:lineRule="auto"/>
        <w:ind w:left="180" w:hanging="180" w:hangingChars="75"/>
        <w:rPr>
          <w:rFonts w:hint="eastAsia" w:ascii="宋体" w:hAnsi="宋体" w:eastAsia="宋体" w:cs="宋体"/>
          <w:color w:val="auto"/>
          <w:sz w:val="24"/>
          <w:szCs w:val="24"/>
        </w:rPr>
      </w:pPr>
      <w:r>
        <w:rPr>
          <w:rFonts w:hint="eastAsia" w:ascii="宋体" w:hAnsi="宋体" w:eastAsia="宋体" w:cs="宋体"/>
          <w:color w:val="auto"/>
          <w:sz w:val="24"/>
          <w:szCs w:val="24"/>
        </w:rPr>
        <w:t>（签字）                             （签字）</w:t>
      </w:r>
    </w:p>
    <w:p>
      <w:pPr>
        <w:pStyle w:val="41"/>
        <w:snapToGrid w:val="0"/>
        <w:spacing w:line="336" w:lineRule="auto"/>
        <w:ind w:left="180" w:hanging="180" w:hangingChars="75"/>
        <w:rPr>
          <w:rFonts w:hint="eastAsia" w:ascii="宋体" w:hAnsi="宋体" w:eastAsia="宋体" w:cs="宋体"/>
          <w:color w:val="auto"/>
          <w:sz w:val="24"/>
          <w:szCs w:val="24"/>
        </w:rPr>
      </w:pPr>
      <w:r>
        <w:rPr>
          <w:rFonts w:hint="eastAsia" w:ascii="宋体" w:hAnsi="宋体" w:eastAsia="宋体" w:cs="宋体"/>
          <w:color w:val="auto"/>
          <w:sz w:val="24"/>
          <w:szCs w:val="24"/>
        </w:rPr>
        <w:t>地址：                               地址：</w:t>
      </w:r>
    </w:p>
    <w:p>
      <w:pPr>
        <w:pStyle w:val="41"/>
        <w:snapToGrid w:val="0"/>
        <w:spacing w:line="336" w:lineRule="auto"/>
        <w:ind w:left="180" w:hanging="180" w:hangingChars="75"/>
        <w:rPr>
          <w:rFonts w:hint="eastAsia" w:ascii="宋体" w:hAnsi="宋体" w:eastAsia="宋体" w:cs="宋体"/>
          <w:color w:val="auto"/>
          <w:sz w:val="24"/>
          <w:szCs w:val="24"/>
        </w:rPr>
      </w:pPr>
      <w:r>
        <w:rPr>
          <w:rFonts w:hint="eastAsia" w:ascii="宋体" w:hAnsi="宋体" w:eastAsia="宋体" w:cs="宋体"/>
          <w:color w:val="auto"/>
          <w:sz w:val="24"/>
          <w:szCs w:val="24"/>
        </w:rPr>
        <w:t xml:space="preserve">邮编：                               邮编：            </w:t>
      </w:r>
    </w:p>
    <w:p>
      <w:pPr>
        <w:pStyle w:val="41"/>
        <w:snapToGrid w:val="0"/>
        <w:spacing w:line="336" w:lineRule="auto"/>
        <w:ind w:left="180" w:hanging="180" w:hangingChars="75"/>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pPr>
        <w:pStyle w:val="41"/>
        <w:snapToGrid w:val="0"/>
        <w:spacing w:line="336" w:lineRule="auto"/>
        <w:ind w:firstLine="4440" w:firstLineChars="185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41"/>
        <w:snapToGrid w:val="0"/>
        <w:spacing w:line="336" w:lineRule="auto"/>
        <w:ind w:left="180" w:hanging="180" w:hangingChars="75"/>
        <w:rPr>
          <w:rFonts w:hint="eastAsia" w:ascii="宋体" w:hAnsi="宋体" w:eastAsia="宋体" w:cs="宋体"/>
          <w:color w:val="auto"/>
          <w:sz w:val="24"/>
          <w:szCs w:val="24"/>
        </w:rPr>
      </w:pPr>
      <w:r>
        <w:rPr>
          <w:rFonts w:hint="eastAsia" w:ascii="宋体" w:hAnsi="宋体" w:eastAsia="宋体" w:cs="宋体"/>
          <w:color w:val="auto"/>
          <w:sz w:val="24"/>
          <w:szCs w:val="24"/>
        </w:rPr>
        <w:t>签约时间：2020年  月  日</w:t>
      </w:r>
    </w:p>
    <w:p>
      <w:pPr>
        <w:pStyle w:val="41"/>
        <w:snapToGrid w:val="0"/>
        <w:spacing w:line="336" w:lineRule="auto"/>
        <w:rPr>
          <w:rFonts w:hint="eastAsia" w:ascii="宋体" w:hAnsi="宋体" w:eastAsia="宋体" w:cs="宋体"/>
          <w:b/>
          <w:color w:val="auto"/>
          <w:sz w:val="24"/>
          <w:szCs w:val="24"/>
        </w:rPr>
      </w:pPr>
      <w:r>
        <w:rPr>
          <w:rFonts w:hint="eastAsia" w:ascii="宋体" w:hAnsi="宋体" w:eastAsia="宋体" w:cs="宋体"/>
          <w:color w:val="auto"/>
          <w:sz w:val="24"/>
          <w:szCs w:val="24"/>
        </w:rPr>
        <w:t>签约地点：杭州市临平区机关事务服务中心</w:t>
      </w:r>
    </w:p>
    <w:p>
      <w:pPr>
        <w:snapToGrid w:val="0"/>
        <w:rPr>
          <w:rFonts w:hint="eastAsia" w:ascii="宋体" w:hAnsi="宋体" w:cs="宋体"/>
          <w:color w:val="auto"/>
          <w:sz w:val="24"/>
        </w:rPr>
      </w:pPr>
    </w:p>
    <w:p>
      <w:pPr>
        <w:pStyle w:val="41"/>
        <w:snapToGrid w:val="0"/>
        <w:spacing w:line="336"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见证方（盖章）： </w:t>
      </w:r>
    </w:p>
    <w:p>
      <w:pPr>
        <w:pStyle w:val="41"/>
        <w:snapToGrid w:val="0"/>
        <w:spacing w:line="336"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法定代表人或受委托人（签字或盖章）：</w:t>
      </w:r>
    </w:p>
    <w:p>
      <w:pPr>
        <w:spacing w:line="240" w:lineRule="exact"/>
        <w:rPr>
          <w:rFonts w:hint="eastAsia" w:ascii="宋体" w:hAnsi="宋体"/>
          <w:color w:val="auto"/>
          <w:sz w:val="24"/>
        </w:rPr>
      </w:pPr>
      <w:r>
        <w:rPr>
          <w:rFonts w:hint="eastAsia" w:ascii="宋体" w:hAnsi="宋体" w:cs="宋体"/>
          <w:color w:val="auto"/>
          <w:sz w:val="24"/>
        </w:rPr>
        <w:t>时间：2020年  月  日</w:t>
      </w:r>
    </w:p>
    <w:p>
      <w:pPr>
        <w:spacing w:line="240" w:lineRule="exact"/>
        <w:rPr>
          <w:rFonts w:hint="eastAsia" w:ascii="宋体" w:hAnsi="宋体"/>
          <w:color w:val="auto"/>
          <w:sz w:val="24"/>
        </w:rPr>
      </w:pPr>
    </w:p>
    <w:p>
      <w:pPr>
        <w:pStyle w:val="73"/>
        <w:rPr>
          <w:rFonts w:hint="eastAsia" w:ascii="宋体" w:hAnsi="宋体" w:eastAsia="宋体" w:cs="宋体"/>
          <w:color w:val="auto"/>
          <w:kern w:val="1"/>
          <w:szCs w:val="21"/>
        </w:rPr>
      </w:pPr>
    </w:p>
    <w:p>
      <w:pPr>
        <w:spacing w:line="360" w:lineRule="auto"/>
        <w:jc w:val="left"/>
        <w:rPr>
          <w:rFonts w:hint="eastAsia" w:ascii="宋体" w:hAnsi="宋体" w:cs="宋体"/>
          <w:color w:val="auto"/>
          <w:kern w:val="1"/>
          <w:sz w:val="24"/>
        </w:rPr>
      </w:pPr>
    </w:p>
    <w:p>
      <w:pPr>
        <w:rPr>
          <w:rFonts w:hint="eastAsia" w:ascii="宋体" w:hAnsi="宋体" w:cs="宋体"/>
          <w:color w:val="auto"/>
          <w:kern w:val="1"/>
          <w:sz w:val="24"/>
        </w:rPr>
      </w:pPr>
      <w:r>
        <w:rPr>
          <w:rFonts w:hint="eastAsia" w:ascii="宋体" w:hAnsi="宋体" w:cs="宋体"/>
          <w:color w:val="auto"/>
          <w:kern w:val="1"/>
          <w:sz w:val="24"/>
        </w:rPr>
        <w:t xml:space="preserve">                    </w:t>
      </w:r>
    </w:p>
    <w:p>
      <w:pPr>
        <w:rPr>
          <w:rFonts w:hint="eastAsia" w:ascii="宋体" w:hAnsi="宋体" w:cs="宋体"/>
          <w:color w:val="auto"/>
          <w:sz w:val="24"/>
        </w:rPr>
      </w:pPr>
    </w:p>
    <w:p>
      <w:pPr>
        <w:snapToGrid w:val="0"/>
        <w:spacing w:line="600" w:lineRule="exact"/>
        <w:jc w:val="center"/>
        <w:rPr>
          <w:rFonts w:hint="eastAsia" w:ascii="宋体" w:hAnsi="宋体" w:cs="宋体"/>
          <w:b/>
          <w:bCs/>
          <w:color w:val="auto"/>
          <w:sz w:val="28"/>
          <w:szCs w:val="28"/>
        </w:rPr>
      </w:pPr>
    </w:p>
    <w:p>
      <w:pPr>
        <w:pStyle w:val="318"/>
        <w:rPr>
          <w:rFonts w:hint="eastAsia" w:cs="宋体"/>
          <w:b/>
          <w:bCs/>
          <w:color w:val="auto"/>
          <w:sz w:val="28"/>
          <w:szCs w:val="28"/>
        </w:rPr>
      </w:pPr>
    </w:p>
    <w:p>
      <w:pPr>
        <w:snapToGrid w:val="0"/>
        <w:spacing w:line="600" w:lineRule="exact"/>
        <w:jc w:val="center"/>
        <w:rPr>
          <w:rFonts w:hint="eastAsia" w:ascii="宋体" w:hAnsi="宋体" w:cs="宋体"/>
          <w:b/>
          <w:bCs/>
          <w:color w:val="auto"/>
          <w:sz w:val="28"/>
          <w:szCs w:val="28"/>
        </w:rPr>
      </w:pPr>
    </w:p>
    <w:p>
      <w:pPr>
        <w:snapToGrid w:val="0"/>
        <w:spacing w:line="600" w:lineRule="exact"/>
        <w:jc w:val="center"/>
        <w:rPr>
          <w:rFonts w:hint="eastAsia" w:ascii="宋体" w:hAnsi="宋体" w:cs="宋体"/>
          <w:b/>
          <w:bCs/>
          <w:color w:val="auto"/>
          <w:sz w:val="28"/>
          <w:szCs w:val="28"/>
        </w:rPr>
      </w:pPr>
      <w:r>
        <w:rPr>
          <w:rFonts w:hint="eastAsia" w:ascii="宋体" w:hAnsi="宋体" w:cs="宋体"/>
          <w:b/>
          <w:bCs/>
          <w:color w:val="auto"/>
          <w:sz w:val="32"/>
          <w:szCs w:val="32"/>
        </w:rPr>
        <w:t>第五部分  应提交的有关格式范例</w:t>
      </w:r>
      <w:bookmarkEnd w:id="110"/>
    </w:p>
    <w:p>
      <w:pPr>
        <w:shd w:val="clear" w:color="auto" w:fill="FFFFFF"/>
        <w:snapToGrid w:val="0"/>
        <w:spacing w:line="600" w:lineRule="exact"/>
        <w:rPr>
          <w:rFonts w:hint="eastAsia" w:ascii="宋体" w:hAnsi="宋体" w:cs="宋体"/>
          <w:b/>
          <w:bCs/>
          <w:color w:val="auto"/>
          <w:sz w:val="24"/>
        </w:rPr>
      </w:pPr>
      <w:r>
        <w:rPr>
          <w:rFonts w:hint="eastAsia" w:ascii="宋体" w:hAnsi="宋体" w:cs="宋体"/>
          <w:b/>
          <w:bCs/>
          <w:color w:val="auto"/>
          <w:sz w:val="24"/>
        </w:rPr>
        <w:t> </w:t>
      </w:r>
    </w:p>
    <w:p>
      <w:pPr>
        <w:snapToGrid w:val="0"/>
        <w:spacing w:line="600" w:lineRule="exact"/>
        <w:rPr>
          <w:rFonts w:hint="eastAsia" w:ascii="宋体" w:hAnsi="宋体" w:cs="宋体"/>
          <w:b/>
          <w:color w:val="auto"/>
          <w:sz w:val="24"/>
        </w:rPr>
      </w:pPr>
      <w:r>
        <w:rPr>
          <w:rFonts w:hint="eastAsia" w:ascii="宋体" w:hAnsi="宋体" w:cs="宋体"/>
          <w:b/>
          <w:color w:val="auto"/>
          <w:sz w:val="24"/>
        </w:rPr>
        <w:t>一、投标人提交投标文件须知：</w:t>
      </w:r>
    </w:p>
    <w:p>
      <w:pPr>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2、所附表格中要求回答的全部问题和/或信息都必须正面回答。</w:t>
      </w:r>
    </w:p>
    <w:p>
      <w:pPr>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3、本声明书的签字人应保证全部声明和问题的回答是真实的和准确的。</w:t>
      </w:r>
    </w:p>
    <w:p>
      <w:pPr>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4、评标委员会将应用投标人提交的资料作出自己的判断。</w:t>
      </w:r>
    </w:p>
    <w:p>
      <w:pPr>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5、投标人提交的材料将在一定期限内被保密保存，但不退还。</w:t>
      </w:r>
    </w:p>
    <w:p>
      <w:pPr>
        <w:snapToGrid w:val="0"/>
        <w:spacing w:line="600" w:lineRule="exact"/>
        <w:ind w:firstLine="480" w:firstLineChars="200"/>
        <w:rPr>
          <w:rFonts w:hint="eastAsia" w:ascii="宋体" w:hAnsi="宋体" w:cs="宋体"/>
          <w:color w:val="auto"/>
          <w:sz w:val="24"/>
          <w:lang w:val="zh-CN"/>
        </w:rPr>
      </w:pPr>
      <w:r>
        <w:rPr>
          <w:rFonts w:hint="eastAsia" w:ascii="宋体" w:hAnsi="宋体" w:cs="宋体"/>
          <w:color w:val="auto"/>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auto"/>
          <w:sz w:val="24"/>
        </w:rPr>
        <w:t>将有可能被评标委员会认定为投标无效。</w:t>
      </w:r>
    </w:p>
    <w:bookmarkEnd w:id="104"/>
    <w:bookmarkEnd w:id="105"/>
    <w:bookmarkEnd w:id="106"/>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rPr>
          <w:rFonts w:hint="eastAsia" w:ascii="宋体" w:hAnsi="宋体" w:cs="宋体"/>
          <w:color w:val="auto"/>
          <w:sz w:val="24"/>
        </w:rPr>
      </w:pPr>
    </w:p>
    <w:p>
      <w:pPr>
        <w:snapToGrid w:val="0"/>
        <w:spacing w:line="600" w:lineRule="exact"/>
        <w:jc w:val="center"/>
        <w:rPr>
          <w:rFonts w:hint="eastAsia" w:ascii="宋体" w:hAnsi="宋体" w:cs="宋体"/>
          <w:b/>
          <w:bCs/>
          <w:color w:val="auto"/>
          <w:sz w:val="28"/>
          <w:szCs w:val="28"/>
        </w:rPr>
      </w:pPr>
      <w:bookmarkStart w:id="111" w:name="_Toc33194403"/>
      <w:r>
        <w:rPr>
          <w:rFonts w:hint="eastAsia" w:ascii="宋体" w:hAnsi="宋体" w:cs="宋体"/>
          <w:b/>
          <w:bCs/>
          <w:color w:val="auto"/>
          <w:sz w:val="28"/>
          <w:szCs w:val="28"/>
        </w:rPr>
        <w:t>资格文件</w:t>
      </w:r>
      <w:bookmarkEnd w:id="111"/>
    </w:p>
    <w:p>
      <w:pPr>
        <w:shd w:val="clear" w:color="auto" w:fill="FFFFFF"/>
        <w:snapToGrid w:val="0"/>
        <w:spacing w:line="600" w:lineRule="exact"/>
        <w:jc w:val="center"/>
        <w:rPr>
          <w:rFonts w:hint="eastAsia" w:ascii="宋体" w:hAnsi="宋体" w:cs="宋体"/>
          <w:b/>
          <w:bCs/>
          <w:color w:val="auto"/>
          <w:kern w:val="0"/>
          <w:sz w:val="24"/>
        </w:rPr>
      </w:pPr>
      <w:r>
        <w:rPr>
          <w:rFonts w:hint="eastAsia" w:ascii="宋体" w:hAnsi="宋体" w:cs="宋体"/>
          <w:b/>
          <w:bCs/>
          <w:color w:val="auto"/>
          <w:kern w:val="0"/>
          <w:sz w:val="24"/>
        </w:rPr>
        <w:t>目录</w:t>
      </w:r>
    </w:p>
    <w:p>
      <w:pPr>
        <w:shd w:val="clear" w:color="auto" w:fill="FFFFFF"/>
        <w:snapToGrid w:val="0"/>
        <w:spacing w:line="600" w:lineRule="exact"/>
        <w:rPr>
          <w:rFonts w:hint="eastAsia" w:ascii="宋体" w:hAnsi="宋体" w:cs="宋体"/>
          <w:color w:val="auto"/>
          <w:kern w:val="0"/>
          <w:sz w:val="24"/>
        </w:rPr>
      </w:pPr>
      <w:bookmarkStart w:id="112" w:name="_Hlk33176655"/>
      <w:r>
        <w:rPr>
          <w:rFonts w:hint="eastAsia" w:ascii="宋体" w:hAnsi="宋体" w:cs="宋体"/>
          <w:color w:val="auto"/>
          <w:kern w:val="0"/>
          <w:sz w:val="24"/>
        </w:rPr>
        <w:t>（1）营业执照…………………………………………………………………………（页码）</w:t>
      </w:r>
    </w:p>
    <w:p>
      <w:pPr>
        <w:shd w:val="clear" w:color="auto" w:fill="FFFFFF"/>
        <w:snapToGrid w:val="0"/>
        <w:spacing w:line="600" w:lineRule="exact"/>
        <w:rPr>
          <w:rFonts w:hint="eastAsia" w:ascii="宋体" w:hAnsi="宋体" w:cs="宋体"/>
          <w:color w:val="auto"/>
          <w:kern w:val="0"/>
          <w:sz w:val="24"/>
        </w:rPr>
      </w:pPr>
      <w:r>
        <w:rPr>
          <w:rFonts w:hint="eastAsia" w:ascii="宋体" w:hAnsi="宋体" w:cs="宋体"/>
          <w:color w:val="auto"/>
          <w:kern w:val="0"/>
          <w:sz w:val="24"/>
        </w:rPr>
        <w:t>（2）最近一年度财务报表……………………………………………………………（页码）</w:t>
      </w:r>
    </w:p>
    <w:p>
      <w:pPr>
        <w:shd w:val="clear" w:color="auto" w:fill="FFFFFF"/>
        <w:snapToGrid w:val="0"/>
        <w:spacing w:line="600" w:lineRule="exact"/>
        <w:rPr>
          <w:rFonts w:hint="eastAsia" w:ascii="宋体" w:hAnsi="宋体" w:cs="宋体"/>
          <w:color w:val="auto"/>
          <w:kern w:val="0"/>
          <w:sz w:val="24"/>
        </w:rPr>
      </w:pPr>
      <w:r>
        <w:rPr>
          <w:rFonts w:hint="eastAsia" w:ascii="宋体" w:hAnsi="宋体" w:cs="宋体"/>
          <w:color w:val="auto"/>
          <w:kern w:val="0"/>
          <w:sz w:val="24"/>
        </w:rPr>
        <w:t>（3）具有履行合同所必需的场地、设备和专业技术能力的承诺函………………（页码）</w:t>
      </w:r>
    </w:p>
    <w:p>
      <w:pPr>
        <w:shd w:val="clear" w:color="auto" w:fill="FFFFFF"/>
        <w:snapToGrid w:val="0"/>
        <w:spacing w:line="600" w:lineRule="exact"/>
        <w:rPr>
          <w:rFonts w:hint="eastAsia" w:ascii="宋体" w:hAnsi="宋体" w:cs="宋体"/>
          <w:color w:val="auto"/>
          <w:kern w:val="0"/>
          <w:sz w:val="24"/>
        </w:rPr>
      </w:pPr>
      <w:r>
        <w:rPr>
          <w:rFonts w:hint="eastAsia" w:ascii="宋体" w:hAnsi="宋体" w:cs="宋体"/>
          <w:color w:val="auto"/>
          <w:kern w:val="0"/>
          <w:sz w:val="24"/>
        </w:rPr>
        <w:t>（4）依法缴纳税收和社会保障资金的承诺函…………………………………………（页码）</w:t>
      </w:r>
    </w:p>
    <w:p>
      <w:pPr>
        <w:shd w:val="clear" w:color="auto" w:fill="FFFFFF"/>
        <w:snapToGrid w:val="0"/>
        <w:spacing w:line="600" w:lineRule="exact"/>
        <w:rPr>
          <w:rFonts w:hint="eastAsia" w:ascii="宋体" w:hAnsi="宋体" w:cs="宋体"/>
          <w:color w:val="auto"/>
          <w:kern w:val="0"/>
          <w:sz w:val="24"/>
        </w:rPr>
      </w:pPr>
      <w:r>
        <w:rPr>
          <w:rFonts w:hint="eastAsia" w:ascii="宋体" w:hAnsi="宋体" w:cs="宋体"/>
          <w:color w:val="auto"/>
          <w:kern w:val="0"/>
          <w:sz w:val="24"/>
        </w:rPr>
        <w:t>（5）参加政府采购活动前3年内在经营活动中没有重大违法记录的声明函……（页码）</w:t>
      </w:r>
    </w:p>
    <w:p>
      <w:pPr>
        <w:shd w:val="clear" w:color="auto" w:fill="FFFFFF"/>
        <w:snapToGrid w:val="0"/>
        <w:spacing w:line="600" w:lineRule="exact"/>
        <w:rPr>
          <w:rFonts w:hint="eastAsia" w:ascii="宋体" w:hAnsi="宋体" w:cs="宋体"/>
          <w:color w:val="auto"/>
          <w:kern w:val="0"/>
          <w:sz w:val="24"/>
        </w:rPr>
      </w:pPr>
      <w:r>
        <w:rPr>
          <w:rFonts w:hint="eastAsia" w:ascii="宋体" w:hAnsi="宋体" w:cs="宋体"/>
          <w:color w:val="auto"/>
          <w:kern w:val="0"/>
          <w:sz w:val="24"/>
        </w:rPr>
        <w:t>（6）单位负责人为同一人或者存在直接控股、管理关系的不同供应商，不得参加同一合同项下的政府采购活动承诺函……………………………………………………（页码）</w:t>
      </w:r>
    </w:p>
    <w:p>
      <w:pPr>
        <w:shd w:val="clear" w:color="auto" w:fill="FFFFFF"/>
        <w:snapToGrid w:val="0"/>
        <w:spacing w:line="600" w:lineRule="exact"/>
        <w:rPr>
          <w:rFonts w:hint="eastAsia" w:ascii="宋体" w:hAnsi="宋体" w:cs="宋体"/>
          <w:color w:val="auto"/>
          <w:kern w:val="0"/>
          <w:sz w:val="24"/>
        </w:rPr>
      </w:pPr>
      <w:r>
        <w:rPr>
          <w:rFonts w:hint="eastAsia" w:ascii="宋体" w:hAnsi="宋体" w:cs="宋体"/>
          <w:color w:val="auto"/>
          <w:kern w:val="0"/>
          <w:sz w:val="24"/>
        </w:rPr>
        <w:t>（7）投标供应商没有失信记录承诺函………………………………………………（页码）</w:t>
      </w:r>
    </w:p>
    <w:bookmarkEnd w:id="112"/>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ind w:firstLine="480" w:firstLineChars="200"/>
        <w:rPr>
          <w:rFonts w:hint="eastAsia" w:ascii="宋体" w:hAnsi="宋体" w:cs="宋体"/>
          <w:color w:val="auto"/>
          <w:sz w:val="24"/>
        </w:rPr>
      </w:pPr>
    </w:p>
    <w:p>
      <w:pPr>
        <w:snapToGrid w:val="0"/>
        <w:spacing w:line="600" w:lineRule="exact"/>
        <w:jc w:val="both"/>
        <w:rPr>
          <w:rFonts w:hint="eastAsia" w:ascii="宋体" w:hAnsi="宋体" w:cs="宋体"/>
          <w:b/>
          <w:bCs/>
          <w:color w:val="auto"/>
          <w:sz w:val="28"/>
          <w:szCs w:val="28"/>
        </w:rPr>
        <w:sectPr>
          <w:headerReference r:id="rId4" w:type="default"/>
          <w:pgSz w:w="11906" w:h="16838"/>
          <w:pgMar w:top="993" w:right="1474" w:bottom="1134" w:left="1474" w:header="851" w:footer="641" w:gutter="0"/>
          <w:cols w:space="720" w:num="1"/>
          <w:docGrid w:type="lines" w:linePitch="315" w:charSpace="0"/>
        </w:sectPr>
      </w:pPr>
      <w:bookmarkStart w:id="113" w:name="_Toc26100"/>
      <w:bookmarkStart w:id="114" w:name="_Toc27119252"/>
      <w:bookmarkStart w:id="115" w:name="_Toc27479"/>
      <w:bookmarkStart w:id="116" w:name="_Toc14043"/>
      <w:bookmarkStart w:id="117" w:name="_Toc20141"/>
      <w:bookmarkStart w:id="118" w:name="_Toc20581"/>
      <w:bookmarkStart w:id="119" w:name="_Toc5698"/>
      <w:bookmarkStart w:id="120" w:name="_Toc14356"/>
      <w:bookmarkStart w:id="121" w:name="_Toc6616"/>
      <w:bookmarkStart w:id="122" w:name="_Toc21301"/>
      <w:bookmarkStart w:id="123" w:name="_Toc5464"/>
      <w:bookmarkStart w:id="124" w:name="_Toc33194404"/>
    </w:p>
    <w:p>
      <w:pPr>
        <w:snapToGrid w:val="0"/>
        <w:spacing w:line="600" w:lineRule="exact"/>
        <w:jc w:val="center"/>
        <w:rPr>
          <w:rFonts w:hint="eastAsia" w:ascii="宋体" w:hAnsi="宋体" w:cs="宋体"/>
          <w:b/>
          <w:bCs/>
          <w:color w:val="auto"/>
          <w:sz w:val="28"/>
          <w:szCs w:val="28"/>
        </w:rPr>
      </w:pPr>
      <w:r>
        <w:rPr>
          <w:rFonts w:hint="eastAsia" w:ascii="宋体" w:hAnsi="宋体" w:cs="宋体"/>
          <w:b/>
          <w:bCs/>
          <w:color w:val="auto"/>
          <w:sz w:val="28"/>
          <w:szCs w:val="28"/>
        </w:rPr>
        <w:t>一、营业执照</w:t>
      </w:r>
      <w:bookmarkEnd w:id="113"/>
      <w:bookmarkEnd w:id="114"/>
      <w:bookmarkEnd w:id="115"/>
      <w:bookmarkEnd w:id="116"/>
      <w:bookmarkEnd w:id="117"/>
      <w:bookmarkEnd w:id="118"/>
      <w:bookmarkEnd w:id="119"/>
      <w:bookmarkEnd w:id="120"/>
      <w:bookmarkEnd w:id="121"/>
      <w:bookmarkEnd w:id="122"/>
      <w:bookmarkEnd w:id="123"/>
      <w:r>
        <w:rPr>
          <w:rFonts w:hint="eastAsia" w:ascii="宋体" w:hAnsi="宋体" w:cs="宋体"/>
          <w:b/>
          <w:bCs/>
          <w:color w:val="auto"/>
          <w:sz w:val="28"/>
          <w:szCs w:val="28"/>
        </w:rPr>
        <w:t>（复印件）</w:t>
      </w:r>
      <w:bookmarkEnd w:id="124"/>
    </w:p>
    <w:p>
      <w:pPr>
        <w:snapToGrid w:val="0"/>
        <w:spacing w:line="600" w:lineRule="exact"/>
        <w:jc w:val="center"/>
        <w:rPr>
          <w:rFonts w:hint="eastAsia" w:ascii="宋体" w:hAnsi="宋体" w:cs="宋体"/>
          <w:b/>
          <w:bCs/>
          <w:color w:val="auto"/>
          <w:sz w:val="28"/>
          <w:szCs w:val="28"/>
        </w:rPr>
      </w:pPr>
    </w:p>
    <w:p>
      <w:pPr>
        <w:snapToGrid w:val="0"/>
        <w:spacing w:line="600" w:lineRule="exact"/>
        <w:jc w:val="center"/>
        <w:rPr>
          <w:rFonts w:hint="eastAsia" w:ascii="宋体" w:hAnsi="宋体" w:cs="宋体"/>
          <w:b/>
          <w:bCs/>
          <w:color w:val="auto"/>
          <w:sz w:val="28"/>
          <w:szCs w:val="28"/>
        </w:rPr>
      </w:pPr>
    </w:p>
    <w:p>
      <w:pPr>
        <w:snapToGrid w:val="0"/>
        <w:spacing w:line="600" w:lineRule="exact"/>
        <w:jc w:val="center"/>
        <w:rPr>
          <w:rFonts w:hint="eastAsia" w:ascii="宋体" w:hAnsi="宋体" w:cs="宋体"/>
          <w:b/>
          <w:bCs/>
          <w:color w:val="auto"/>
          <w:sz w:val="28"/>
          <w:szCs w:val="28"/>
        </w:rPr>
      </w:pPr>
      <w:r>
        <w:rPr>
          <w:rFonts w:hint="eastAsia" w:ascii="宋体" w:hAnsi="宋体" w:cs="宋体"/>
          <w:b/>
          <w:bCs/>
          <w:color w:val="auto"/>
          <w:sz w:val="28"/>
          <w:szCs w:val="28"/>
        </w:rPr>
        <w:t>二、最近一年度财务报表（复印件，新成立的公司提供相关说明）</w:t>
      </w:r>
    </w:p>
    <w:p>
      <w:pPr>
        <w:snapToGrid w:val="0"/>
        <w:spacing w:line="600" w:lineRule="exact"/>
        <w:jc w:val="center"/>
        <w:rPr>
          <w:rFonts w:hint="eastAsia" w:ascii="宋体" w:hAnsi="宋体" w:cs="宋体"/>
          <w:b/>
          <w:bCs/>
          <w:color w:val="auto"/>
          <w:sz w:val="28"/>
          <w:szCs w:val="28"/>
        </w:rPr>
      </w:pPr>
    </w:p>
    <w:p>
      <w:pPr>
        <w:snapToGrid w:val="0"/>
        <w:spacing w:line="600" w:lineRule="exact"/>
        <w:jc w:val="center"/>
        <w:rPr>
          <w:rFonts w:hint="eastAsia" w:ascii="宋体" w:hAnsi="宋体" w:cs="宋体"/>
          <w:b/>
          <w:bCs/>
          <w:color w:val="auto"/>
          <w:sz w:val="28"/>
          <w:szCs w:val="28"/>
        </w:rPr>
      </w:pPr>
    </w:p>
    <w:p>
      <w:pPr>
        <w:snapToGrid w:val="0"/>
        <w:spacing w:line="600" w:lineRule="exact"/>
        <w:jc w:val="center"/>
        <w:rPr>
          <w:rFonts w:hint="eastAsia" w:ascii="宋体" w:hAnsi="宋体" w:cs="宋体"/>
          <w:b/>
          <w:bCs/>
          <w:color w:val="auto"/>
          <w:sz w:val="28"/>
          <w:szCs w:val="28"/>
        </w:rPr>
      </w:pPr>
    </w:p>
    <w:p>
      <w:pPr>
        <w:snapToGrid w:val="0"/>
        <w:spacing w:line="600" w:lineRule="exact"/>
        <w:jc w:val="center"/>
        <w:rPr>
          <w:rFonts w:hint="eastAsia" w:ascii="宋体" w:hAnsi="宋体" w:cs="宋体"/>
          <w:b/>
          <w:bCs/>
          <w:color w:val="auto"/>
          <w:sz w:val="28"/>
          <w:szCs w:val="28"/>
        </w:rPr>
      </w:pPr>
      <w:bookmarkStart w:id="125" w:name="_Toc33194405"/>
      <w:bookmarkStart w:id="126" w:name="_Toc27119254"/>
      <w:r>
        <w:rPr>
          <w:rFonts w:hint="eastAsia" w:ascii="宋体" w:hAnsi="宋体" w:cs="宋体"/>
          <w:b/>
          <w:bCs/>
          <w:color w:val="auto"/>
          <w:sz w:val="28"/>
          <w:szCs w:val="28"/>
        </w:rPr>
        <w:t>三、具有履行合同所必需的场地、设备和专业技术能力的承诺函</w:t>
      </w:r>
      <w:bookmarkEnd w:id="125"/>
      <w:bookmarkEnd w:id="126"/>
    </w:p>
    <w:p>
      <w:pPr>
        <w:snapToGrid w:val="0"/>
        <w:spacing w:line="600" w:lineRule="exact"/>
        <w:jc w:val="center"/>
        <w:rPr>
          <w:rFonts w:hint="eastAsia" w:ascii="宋体" w:hAnsi="宋体" w:cs="宋体"/>
          <w:color w:val="auto"/>
          <w:sz w:val="24"/>
        </w:rPr>
      </w:pPr>
    </w:p>
    <w:p>
      <w:pPr>
        <w:snapToGrid w:val="0"/>
        <w:spacing w:line="600" w:lineRule="exact"/>
        <w:rPr>
          <w:rFonts w:hint="eastAsia" w:ascii="宋体" w:hAnsi="宋体" w:cs="宋体"/>
          <w:color w:val="auto"/>
          <w:sz w:val="24"/>
        </w:rPr>
      </w:pPr>
    </w:p>
    <w:p>
      <w:pPr>
        <w:shd w:val="clear" w:color="auto" w:fill="FFFFFF"/>
        <w:snapToGrid w:val="0"/>
        <w:spacing w:line="600" w:lineRule="exact"/>
        <w:rPr>
          <w:rFonts w:hint="eastAsia" w:ascii="宋体" w:hAnsi="宋体" w:cs="宋体"/>
          <w:color w:val="auto"/>
          <w:sz w:val="24"/>
        </w:rPr>
      </w:pPr>
      <w:r>
        <w:rPr>
          <w:rFonts w:hint="eastAsia" w:ascii="宋体" w:hAnsi="宋体" w:cs="宋体"/>
          <w:color w:val="auto"/>
          <w:sz w:val="24"/>
        </w:rPr>
        <w:t>杭州市临平区机关事务服务中心、</w:t>
      </w:r>
      <w:r>
        <w:rPr>
          <w:rFonts w:hint="eastAsia" w:ascii="宋体" w:hAnsi="宋体" w:cs="宋体"/>
          <w:color w:val="auto"/>
          <w:sz w:val="24"/>
          <w:lang w:eastAsia="zh-CN"/>
        </w:rPr>
        <w:t>杭州溯远工程咨询有限公司</w:t>
      </w:r>
      <w:r>
        <w:rPr>
          <w:rFonts w:hint="eastAsia" w:ascii="宋体" w:hAnsi="宋体" w:cs="宋体"/>
          <w:color w:val="auto"/>
          <w:kern w:val="0"/>
          <w:sz w:val="24"/>
        </w:rPr>
        <w:t>：</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我方</w:t>
      </w:r>
      <w:r>
        <w:rPr>
          <w:rFonts w:hint="eastAsia" w:ascii="宋体" w:hAnsi="宋体" w:cs="宋体"/>
          <w:color w:val="auto"/>
          <w:kern w:val="0"/>
          <w:sz w:val="24"/>
          <w:u w:val="single"/>
        </w:rPr>
        <w:t xml:space="preserve"> （供应商）</w:t>
      </w:r>
      <w:r>
        <w:rPr>
          <w:rFonts w:hint="eastAsia" w:ascii="宋体" w:hAnsi="宋体" w:cs="宋体"/>
          <w:color w:val="auto"/>
          <w:kern w:val="0"/>
          <w:sz w:val="24"/>
        </w:rPr>
        <w:t>承诺具有履行合同所必需的场地、设备和专业技术能力。如有虚假，采购人可取消我方任何资格（投标/中标/签订合同），我方对此无任何异议。</w:t>
      </w:r>
    </w:p>
    <w:p>
      <w:pPr>
        <w:widowControl/>
        <w:snapToGrid w:val="0"/>
        <w:spacing w:line="600" w:lineRule="exact"/>
        <w:ind w:firstLine="480" w:firstLineChars="200"/>
        <w:jc w:val="left"/>
        <w:rPr>
          <w:rFonts w:hint="eastAsia" w:ascii="宋体" w:hAnsi="宋体" w:cs="宋体"/>
          <w:color w:val="auto"/>
          <w:kern w:val="0"/>
          <w:sz w:val="24"/>
        </w:rPr>
      </w:pP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特此承诺！</w:t>
      </w:r>
    </w:p>
    <w:p>
      <w:pPr>
        <w:widowControl/>
        <w:snapToGrid w:val="0"/>
        <w:spacing w:line="600" w:lineRule="exact"/>
        <w:ind w:firstLine="480" w:firstLineChars="200"/>
        <w:jc w:val="left"/>
        <w:rPr>
          <w:rFonts w:hint="eastAsia" w:ascii="宋体" w:hAnsi="宋体" w:cs="宋体"/>
          <w:color w:val="auto"/>
          <w:kern w:val="0"/>
          <w:sz w:val="24"/>
        </w:rPr>
      </w:pP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供应商名称（盖章） ：</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法定代表人或其授权代表（签字或盖章）：</w:t>
      </w:r>
    </w:p>
    <w:p>
      <w:pPr>
        <w:widowControl/>
        <w:snapToGrid w:val="0"/>
        <w:spacing w:line="600" w:lineRule="exact"/>
        <w:ind w:firstLine="480" w:firstLineChars="200"/>
        <w:jc w:val="left"/>
        <w:rPr>
          <w:rFonts w:hint="eastAsia" w:ascii="宋体" w:hAnsi="宋体" w:cs="宋体"/>
          <w:color w:val="auto"/>
          <w:kern w:val="0"/>
          <w:sz w:val="24"/>
        </w:rPr>
      </w:pP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日期：     年  月  日</w:t>
      </w:r>
    </w:p>
    <w:p>
      <w:pPr>
        <w:widowControl/>
        <w:snapToGrid w:val="0"/>
        <w:spacing w:line="600" w:lineRule="exact"/>
        <w:ind w:firstLine="480" w:firstLineChars="200"/>
        <w:jc w:val="left"/>
        <w:rPr>
          <w:rFonts w:hint="eastAsia" w:ascii="宋体" w:hAnsi="宋体" w:cs="宋体"/>
          <w:color w:val="auto"/>
          <w:kern w:val="0"/>
          <w:sz w:val="24"/>
        </w:rPr>
      </w:pPr>
    </w:p>
    <w:p>
      <w:pPr>
        <w:widowControl/>
        <w:snapToGrid w:val="0"/>
        <w:spacing w:line="600" w:lineRule="exact"/>
        <w:ind w:firstLine="480" w:firstLineChars="200"/>
        <w:jc w:val="left"/>
        <w:rPr>
          <w:rFonts w:hint="eastAsia" w:ascii="宋体" w:hAnsi="宋体" w:cs="宋体"/>
          <w:color w:val="auto"/>
          <w:kern w:val="0"/>
          <w:sz w:val="24"/>
        </w:rPr>
      </w:pPr>
    </w:p>
    <w:p>
      <w:pPr>
        <w:widowControl/>
        <w:snapToGrid w:val="0"/>
        <w:spacing w:line="600" w:lineRule="exact"/>
        <w:ind w:firstLine="480" w:firstLineChars="200"/>
        <w:jc w:val="left"/>
        <w:rPr>
          <w:rFonts w:hint="eastAsia" w:ascii="宋体" w:hAnsi="宋体" w:cs="宋体"/>
          <w:color w:val="auto"/>
          <w:kern w:val="0"/>
          <w:sz w:val="24"/>
        </w:rPr>
      </w:pPr>
    </w:p>
    <w:p>
      <w:pPr>
        <w:snapToGrid w:val="0"/>
        <w:spacing w:line="600" w:lineRule="exact"/>
        <w:jc w:val="center"/>
        <w:rPr>
          <w:rFonts w:hint="eastAsia" w:ascii="宋体" w:hAnsi="宋体" w:cs="宋体"/>
          <w:b/>
          <w:bCs/>
          <w:color w:val="auto"/>
          <w:sz w:val="28"/>
          <w:szCs w:val="28"/>
        </w:rPr>
        <w:sectPr>
          <w:pgSz w:w="11906" w:h="16838"/>
          <w:pgMar w:top="993" w:right="1474" w:bottom="1134" w:left="1474" w:header="851" w:footer="641" w:gutter="0"/>
          <w:cols w:space="720" w:num="1"/>
          <w:docGrid w:type="lines" w:linePitch="315" w:charSpace="0"/>
        </w:sectPr>
      </w:pPr>
    </w:p>
    <w:p>
      <w:pPr>
        <w:snapToGrid w:val="0"/>
        <w:spacing w:line="600" w:lineRule="exact"/>
        <w:jc w:val="center"/>
        <w:rPr>
          <w:rFonts w:hint="eastAsia" w:ascii="宋体" w:hAnsi="宋体" w:cs="宋体"/>
          <w:b/>
          <w:bCs/>
          <w:color w:val="auto"/>
          <w:sz w:val="28"/>
          <w:szCs w:val="28"/>
        </w:rPr>
      </w:pPr>
      <w:r>
        <w:rPr>
          <w:rFonts w:hint="eastAsia" w:ascii="宋体" w:hAnsi="宋体" w:cs="宋体"/>
          <w:b/>
          <w:bCs/>
          <w:color w:val="auto"/>
          <w:sz w:val="28"/>
          <w:szCs w:val="28"/>
        </w:rPr>
        <w:t>四、依法缴纳税收和社会保障资金的承诺函</w:t>
      </w:r>
    </w:p>
    <w:p>
      <w:pPr>
        <w:spacing w:line="600" w:lineRule="exact"/>
        <w:rPr>
          <w:rFonts w:hint="eastAsia" w:ascii="宋体" w:hAnsi="宋体" w:cs="宋体"/>
          <w:b/>
          <w:color w:val="auto"/>
          <w:kern w:val="0"/>
          <w:sz w:val="24"/>
          <w:u w:val="single"/>
        </w:rPr>
      </w:pPr>
    </w:p>
    <w:p>
      <w:pPr>
        <w:shd w:val="clear" w:color="auto" w:fill="FFFFFF"/>
        <w:snapToGrid w:val="0"/>
        <w:spacing w:line="600" w:lineRule="exact"/>
        <w:rPr>
          <w:rFonts w:hint="eastAsia" w:ascii="宋体" w:hAnsi="宋体" w:cs="宋体"/>
          <w:color w:val="auto"/>
          <w:sz w:val="24"/>
        </w:rPr>
      </w:pPr>
      <w:r>
        <w:rPr>
          <w:rFonts w:hint="eastAsia" w:ascii="宋体" w:hAnsi="宋体" w:cs="宋体"/>
          <w:color w:val="auto"/>
          <w:sz w:val="24"/>
        </w:rPr>
        <w:t>杭州市临平区机关事务服务中心、</w:t>
      </w:r>
      <w:r>
        <w:rPr>
          <w:rFonts w:hint="eastAsia" w:ascii="宋体" w:hAnsi="宋体" w:cs="宋体"/>
          <w:color w:val="auto"/>
          <w:sz w:val="24"/>
          <w:lang w:eastAsia="zh-CN"/>
        </w:rPr>
        <w:t>杭州溯远工程咨询有限公司</w:t>
      </w:r>
      <w:r>
        <w:rPr>
          <w:rFonts w:hint="eastAsia" w:ascii="宋体" w:hAnsi="宋体" w:cs="宋体"/>
          <w:color w:val="auto"/>
          <w:kern w:val="0"/>
          <w:sz w:val="24"/>
        </w:rPr>
        <w:t>：</w:t>
      </w:r>
    </w:p>
    <w:p>
      <w:pPr>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我公司郑重声明，我公司严格依法缴纳税收和社会保障资金，本文件中所提供的相关材料均真实有效，不存在虚假、造假行为。如有违反，愿承担一切责任。</w:t>
      </w:r>
    </w:p>
    <w:p>
      <w:pPr>
        <w:spacing w:line="600" w:lineRule="exact"/>
        <w:ind w:firstLine="480" w:firstLineChars="200"/>
        <w:rPr>
          <w:rFonts w:hint="eastAsia" w:ascii="宋体" w:hAnsi="宋体" w:cs="宋体"/>
          <w:color w:val="auto"/>
          <w:kern w:val="0"/>
          <w:sz w:val="24"/>
        </w:rPr>
      </w:pPr>
    </w:p>
    <w:p>
      <w:pPr>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特此承诺！</w:t>
      </w:r>
    </w:p>
    <w:p>
      <w:pPr>
        <w:widowControl/>
        <w:snapToGrid w:val="0"/>
        <w:spacing w:line="600" w:lineRule="exact"/>
        <w:ind w:firstLine="480" w:firstLineChars="200"/>
        <w:jc w:val="left"/>
        <w:rPr>
          <w:rFonts w:hint="eastAsia" w:ascii="宋体" w:hAnsi="宋体" w:cs="宋体"/>
          <w:color w:val="auto"/>
          <w:kern w:val="0"/>
          <w:sz w:val="24"/>
        </w:rPr>
      </w:pP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供应商名称（盖章） ：</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法定代表人或其授权代表（签字或盖章）：</w:t>
      </w:r>
    </w:p>
    <w:p>
      <w:pPr>
        <w:widowControl/>
        <w:snapToGrid w:val="0"/>
        <w:spacing w:line="600" w:lineRule="exact"/>
        <w:ind w:firstLine="480" w:firstLineChars="200"/>
        <w:jc w:val="left"/>
        <w:rPr>
          <w:rFonts w:hint="eastAsia" w:ascii="宋体" w:hAnsi="宋体" w:cs="宋体"/>
          <w:color w:val="auto"/>
          <w:kern w:val="0"/>
          <w:sz w:val="24"/>
        </w:rPr>
      </w:pP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日期：     年  月  日</w:t>
      </w:r>
    </w:p>
    <w:p>
      <w:pPr>
        <w:pStyle w:val="4"/>
        <w:snapToGrid w:val="0"/>
        <w:spacing w:line="600" w:lineRule="exact"/>
        <w:rPr>
          <w:rFonts w:hint="eastAsia" w:ascii="宋体" w:hAnsi="宋体" w:eastAsia="宋体"/>
          <w:bCs/>
          <w:color w:val="auto"/>
          <w:kern w:val="2"/>
          <w:sz w:val="28"/>
        </w:rPr>
        <w:sectPr>
          <w:pgSz w:w="11906" w:h="16838"/>
          <w:pgMar w:top="993" w:right="1474" w:bottom="1134" w:left="1474" w:header="851" w:footer="641" w:gutter="0"/>
          <w:cols w:space="720" w:num="1"/>
          <w:docGrid w:type="lines" w:linePitch="315" w:charSpace="0"/>
        </w:sectPr>
      </w:pPr>
      <w:bookmarkStart w:id="127" w:name="_Toc10630"/>
      <w:bookmarkStart w:id="128" w:name="_Toc13669"/>
      <w:bookmarkStart w:id="129" w:name="_Toc33194406"/>
      <w:bookmarkStart w:id="130" w:name="_Toc27119255"/>
      <w:bookmarkStart w:id="131" w:name="_Toc31784"/>
      <w:bookmarkStart w:id="132" w:name="_Toc14988"/>
      <w:bookmarkStart w:id="133" w:name="_Toc14589"/>
      <w:bookmarkStart w:id="134" w:name="_Toc11360"/>
      <w:bookmarkStart w:id="135" w:name="_Toc31544"/>
      <w:bookmarkStart w:id="136" w:name="_Toc28957"/>
      <w:bookmarkStart w:id="137" w:name="_Toc18304"/>
      <w:bookmarkStart w:id="138" w:name="_Toc6606"/>
    </w:p>
    <w:p>
      <w:pPr>
        <w:pStyle w:val="4"/>
        <w:snapToGrid w:val="0"/>
        <w:spacing w:line="600" w:lineRule="exact"/>
        <w:rPr>
          <w:rFonts w:hint="eastAsia" w:ascii="宋体" w:hAnsi="宋体" w:eastAsia="宋体"/>
          <w:bCs/>
          <w:color w:val="auto"/>
          <w:kern w:val="2"/>
          <w:sz w:val="28"/>
        </w:rPr>
      </w:pPr>
      <w:r>
        <w:rPr>
          <w:rFonts w:hint="eastAsia" w:ascii="宋体" w:hAnsi="宋体" w:eastAsia="宋体"/>
          <w:bCs/>
          <w:color w:val="auto"/>
          <w:kern w:val="2"/>
          <w:sz w:val="28"/>
        </w:rPr>
        <w:t>五、参加政府采购活动前3年内在经营活动中没有重大违法记录的声明函</w:t>
      </w:r>
      <w:bookmarkEnd w:id="127"/>
      <w:bookmarkEnd w:id="128"/>
      <w:bookmarkEnd w:id="129"/>
      <w:bookmarkEnd w:id="130"/>
      <w:bookmarkEnd w:id="131"/>
      <w:bookmarkEnd w:id="132"/>
      <w:bookmarkEnd w:id="133"/>
      <w:bookmarkEnd w:id="134"/>
      <w:bookmarkEnd w:id="135"/>
      <w:bookmarkEnd w:id="136"/>
      <w:bookmarkEnd w:id="137"/>
      <w:bookmarkEnd w:id="138"/>
    </w:p>
    <w:p>
      <w:pPr>
        <w:shd w:val="clear" w:color="auto" w:fill="FFFFFF"/>
        <w:snapToGrid w:val="0"/>
        <w:spacing w:line="600" w:lineRule="exact"/>
        <w:rPr>
          <w:rFonts w:hint="eastAsia" w:ascii="宋体" w:hAnsi="宋体" w:cs="宋体"/>
          <w:color w:val="auto"/>
          <w:sz w:val="24"/>
        </w:rPr>
      </w:pPr>
      <w:r>
        <w:rPr>
          <w:rFonts w:hint="eastAsia" w:ascii="宋体" w:hAnsi="宋体" w:cs="宋体"/>
          <w:color w:val="auto"/>
          <w:sz w:val="24"/>
        </w:rPr>
        <w:t>杭州市临平区机关事务服务中心、</w:t>
      </w:r>
      <w:r>
        <w:rPr>
          <w:rFonts w:hint="eastAsia" w:ascii="宋体" w:hAnsi="宋体" w:cs="宋体"/>
          <w:color w:val="auto"/>
          <w:sz w:val="24"/>
          <w:lang w:eastAsia="zh-CN"/>
        </w:rPr>
        <w:t>杭州溯远工程咨询有限公司</w:t>
      </w:r>
      <w:r>
        <w:rPr>
          <w:rFonts w:hint="eastAsia" w:ascii="宋体" w:hAnsi="宋体" w:cs="宋体"/>
          <w:color w:val="auto"/>
          <w:kern w:val="0"/>
          <w:sz w:val="24"/>
        </w:rPr>
        <w:t>：</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我方</w:t>
      </w:r>
      <w:r>
        <w:rPr>
          <w:rFonts w:hint="eastAsia" w:ascii="宋体" w:hAnsi="宋体" w:cs="宋体"/>
          <w:color w:val="auto"/>
          <w:kern w:val="0"/>
          <w:sz w:val="24"/>
          <w:u w:val="single"/>
        </w:rPr>
        <w:t xml:space="preserve"> （供应商）</w:t>
      </w:r>
      <w:r>
        <w:rPr>
          <w:rFonts w:hint="eastAsia" w:ascii="宋体" w:hAnsi="宋体" w:cs="宋体"/>
          <w:color w:val="auto"/>
          <w:kern w:val="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特此承诺！</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供应商名称（盖章） ：</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法定代表人或其授权代表（签字或盖章）：</w:t>
      </w:r>
    </w:p>
    <w:p>
      <w:pPr>
        <w:widowControl/>
        <w:snapToGrid w:val="0"/>
        <w:spacing w:line="600" w:lineRule="exact"/>
        <w:ind w:firstLine="480" w:firstLineChars="200"/>
        <w:jc w:val="left"/>
        <w:rPr>
          <w:rFonts w:hint="eastAsia" w:ascii="宋体" w:hAnsi="宋体" w:cs="宋体"/>
          <w:color w:val="auto"/>
          <w:kern w:val="0"/>
          <w:sz w:val="24"/>
        </w:rPr>
      </w:pP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日期：     年  月  日</w:t>
      </w:r>
    </w:p>
    <w:p>
      <w:pPr>
        <w:pStyle w:val="5"/>
        <w:numPr>
          <w:ilvl w:val="0"/>
          <w:numId w:val="0"/>
        </w:numPr>
        <w:tabs>
          <w:tab w:val="left" w:pos="1110"/>
          <w:tab w:val="clear" w:pos="706"/>
        </w:tabs>
        <w:spacing w:line="600" w:lineRule="exact"/>
        <w:ind w:left="106" w:firstLine="454"/>
        <w:rPr>
          <w:rFonts w:hint="eastAsia" w:ascii="宋体" w:hAnsi="宋体" w:eastAsia="宋体" w:cs="宋体"/>
          <w:color w:val="auto"/>
          <w:sz w:val="24"/>
          <w:szCs w:val="24"/>
        </w:rPr>
      </w:pPr>
    </w:p>
    <w:p>
      <w:pPr>
        <w:pStyle w:val="4"/>
        <w:snapToGrid w:val="0"/>
        <w:spacing w:line="600" w:lineRule="exact"/>
        <w:rPr>
          <w:rFonts w:hint="eastAsia" w:ascii="宋体" w:hAnsi="宋体" w:eastAsia="宋体"/>
          <w:bCs/>
          <w:color w:val="auto"/>
          <w:kern w:val="2"/>
          <w:sz w:val="28"/>
        </w:rPr>
        <w:sectPr>
          <w:pgSz w:w="11906" w:h="16838"/>
          <w:pgMar w:top="993" w:right="1474" w:bottom="1134" w:left="1474" w:header="851" w:footer="641" w:gutter="0"/>
          <w:cols w:space="720" w:num="1"/>
          <w:docGrid w:type="lines" w:linePitch="315" w:charSpace="0"/>
        </w:sectPr>
      </w:pPr>
    </w:p>
    <w:p>
      <w:pPr>
        <w:pStyle w:val="4"/>
        <w:snapToGrid w:val="0"/>
        <w:spacing w:line="600" w:lineRule="exact"/>
        <w:rPr>
          <w:rFonts w:hint="eastAsia" w:ascii="宋体" w:hAnsi="宋体" w:eastAsia="宋体"/>
          <w:bCs/>
          <w:color w:val="auto"/>
          <w:kern w:val="2"/>
          <w:sz w:val="28"/>
        </w:rPr>
      </w:pPr>
      <w:r>
        <w:rPr>
          <w:rFonts w:hint="eastAsia" w:ascii="宋体" w:hAnsi="宋体" w:eastAsia="宋体"/>
          <w:bCs/>
          <w:color w:val="auto"/>
          <w:kern w:val="2"/>
          <w:sz w:val="28"/>
        </w:rPr>
        <w:t>六、与参加本次项目同一合同项下政府采购活动的其他供应商不存在单位负责人为同一人或者直接控股、管理关系的承诺函</w:t>
      </w:r>
    </w:p>
    <w:p>
      <w:pPr>
        <w:shd w:val="clear" w:color="auto" w:fill="FFFFFF"/>
        <w:snapToGrid w:val="0"/>
        <w:spacing w:line="600" w:lineRule="exact"/>
        <w:rPr>
          <w:rFonts w:hint="eastAsia" w:ascii="宋体" w:hAnsi="宋体" w:cs="宋体"/>
          <w:color w:val="auto"/>
          <w:sz w:val="24"/>
        </w:rPr>
      </w:pPr>
      <w:r>
        <w:rPr>
          <w:rFonts w:hint="eastAsia" w:ascii="宋体" w:hAnsi="宋体" w:cs="宋体"/>
          <w:color w:val="auto"/>
          <w:sz w:val="24"/>
        </w:rPr>
        <w:t>杭州市临平区机关事务服务中心、</w:t>
      </w:r>
      <w:r>
        <w:rPr>
          <w:rFonts w:hint="eastAsia" w:ascii="宋体" w:hAnsi="宋体" w:cs="宋体"/>
          <w:color w:val="auto"/>
          <w:sz w:val="24"/>
          <w:lang w:eastAsia="zh-CN"/>
        </w:rPr>
        <w:t>杭州溯远工程咨询有限公司</w:t>
      </w:r>
      <w:r>
        <w:rPr>
          <w:rFonts w:hint="eastAsia" w:ascii="宋体" w:hAnsi="宋体" w:cs="宋体"/>
          <w:color w:val="auto"/>
          <w:kern w:val="0"/>
          <w:sz w:val="24"/>
        </w:rPr>
        <w:t>：</w:t>
      </w:r>
    </w:p>
    <w:p>
      <w:pPr>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我方郑重承诺，我方此次参加临平区公共物资仓储管理中心服务外包采购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600" w:lineRule="exact"/>
        <w:jc w:val="center"/>
        <w:rPr>
          <w:rFonts w:hint="eastAsia" w:ascii="宋体" w:hAnsi="宋体" w:cs="宋体"/>
          <w:b/>
          <w:color w:val="auto"/>
          <w:kern w:val="36"/>
          <w:sz w:val="24"/>
        </w:rPr>
      </w:pP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特此承诺！</w:t>
      </w:r>
    </w:p>
    <w:p>
      <w:pPr>
        <w:widowControl/>
        <w:snapToGrid w:val="0"/>
        <w:spacing w:line="600" w:lineRule="exact"/>
        <w:ind w:firstLine="480" w:firstLineChars="200"/>
        <w:jc w:val="left"/>
        <w:rPr>
          <w:rFonts w:hint="eastAsia" w:ascii="宋体" w:hAnsi="宋体" w:cs="宋体"/>
          <w:color w:val="auto"/>
          <w:kern w:val="0"/>
          <w:sz w:val="24"/>
        </w:rPr>
      </w:pP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供应商名称（盖章） ：</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法定代表人或其授权代表（签字或盖章）：</w:t>
      </w:r>
    </w:p>
    <w:p>
      <w:pPr>
        <w:widowControl/>
        <w:adjustRightInd w:val="0"/>
        <w:snapToGrid w:val="0"/>
        <w:spacing w:line="600" w:lineRule="exact"/>
        <w:ind w:firstLine="480" w:firstLineChars="200"/>
        <w:jc w:val="left"/>
        <w:rPr>
          <w:rFonts w:hint="eastAsia" w:ascii="宋体" w:hAnsi="宋体" w:cs="宋体"/>
          <w:color w:val="auto"/>
          <w:kern w:val="0"/>
          <w:sz w:val="24"/>
        </w:rPr>
      </w:pPr>
    </w:p>
    <w:p>
      <w:pPr>
        <w:widowControl/>
        <w:adjustRightInd w:val="0"/>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日期：     年  月  日</w:t>
      </w:r>
    </w:p>
    <w:p>
      <w:pPr>
        <w:shd w:val="clear" w:color="auto" w:fill="FFFFFF"/>
        <w:snapToGrid w:val="0"/>
        <w:spacing w:line="600" w:lineRule="exact"/>
        <w:rPr>
          <w:rFonts w:hint="eastAsia" w:ascii="宋体" w:hAnsi="宋体" w:cs="宋体"/>
          <w:color w:val="auto"/>
          <w:sz w:val="24"/>
        </w:rPr>
      </w:pPr>
    </w:p>
    <w:p>
      <w:pPr>
        <w:shd w:val="clear" w:color="auto" w:fill="FFFFFF"/>
        <w:snapToGrid w:val="0"/>
        <w:spacing w:line="600" w:lineRule="exact"/>
        <w:jc w:val="center"/>
        <w:rPr>
          <w:rFonts w:hint="eastAsia" w:ascii="宋体" w:hAnsi="宋体" w:cs="宋体"/>
          <w:color w:val="auto"/>
          <w:sz w:val="24"/>
        </w:rPr>
      </w:pPr>
    </w:p>
    <w:p>
      <w:pPr>
        <w:spacing w:line="600" w:lineRule="exact"/>
        <w:jc w:val="center"/>
        <w:rPr>
          <w:rFonts w:hint="eastAsia" w:ascii="宋体" w:hAnsi="宋体" w:cs="宋体"/>
          <w:b/>
          <w:color w:val="auto"/>
          <w:kern w:val="0"/>
          <w:sz w:val="24"/>
        </w:rPr>
        <w:sectPr>
          <w:pgSz w:w="11906" w:h="16838"/>
          <w:pgMar w:top="993" w:right="1474" w:bottom="1134" w:left="1474" w:header="851" w:footer="641" w:gutter="0"/>
          <w:cols w:space="720" w:num="1"/>
          <w:docGrid w:type="lines" w:linePitch="315" w:charSpace="0"/>
        </w:sectPr>
      </w:pPr>
    </w:p>
    <w:p>
      <w:pPr>
        <w:pStyle w:val="4"/>
        <w:snapToGrid w:val="0"/>
        <w:spacing w:line="600" w:lineRule="exact"/>
        <w:rPr>
          <w:rFonts w:hint="eastAsia" w:ascii="宋体" w:hAnsi="宋体" w:eastAsia="宋体"/>
          <w:bCs/>
          <w:color w:val="auto"/>
          <w:kern w:val="2"/>
          <w:sz w:val="28"/>
        </w:rPr>
      </w:pPr>
      <w:r>
        <w:rPr>
          <w:rFonts w:hint="eastAsia" w:ascii="宋体" w:hAnsi="宋体" w:eastAsia="宋体"/>
          <w:bCs/>
          <w:color w:val="auto"/>
          <w:kern w:val="2"/>
          <w:sz w:val="28"/>
        </w:rPr>
        <w:t>七、投标供应商没有失信记录承诺函</w:t>
      </w:r>
    </w:p>
    <w:p>
      <w:pPr>
        <w:shd w:val="clear" w:color="auto" w:fill="FFFFFF"/>
        <w:snapToGrid w:val="0"/>
        <w:spacing w:line="600" w:lineRule="exact"/>
        <w:rPr>
          <w:rFonts w:hint="eastAsia" w:ascii="宋体" w:hAnsi="宋体" w:cs="宋体"/>
          <w:color w:val="auto"/>
          <w:sz w:val="24"/>
        </w:rPr>
      </w:pPr>
      <w:r>
        <w:rPr>
          <w:rFonts w:hint="eastAsia" w:ascii="宋体" w:hAnsi="宋体" w:cs="宋体"/>
          <w:color w:val="auto"/>
          <w:sz w:val="24"/>
        </w:rPr>
        <w:t>杭州市临平区机关事务服务中心、</w:t>
      </w:r>
      <w:r>
        <w:rPr>
          <w:rFonts w:hint="eastAsia" w:ascii="宋体" w:hAnsi="宋体" w:cs="宋体"/>
          <w:color w:val="auto"/>
          <w:sz w:val="24"/>
          <w:lang w:eastAsia="zh-CN"/>
        </w:rPr>
        <w:t>杭州溯远工程咨询有限公司</w:t>
      </w:r>
      <w:r>
        <w:rPr>
          <w:rFonts w:hint="eastAsia" w:ascii="宋体" w:hAnsi="宋体" w:cs="宋体"/>
          <w:color w:val="auto"/>
          <w:kern w:val="0"/>
          <w:sz w:val="24"/>
        </w:rPr>
        <w:t>：</w:t>
      </w:r>
    </w:p>
    <w:p>
      <w:pPr>
        <w:spacing w:line="600" w:lineRule="exact"/>
        <w:ind w:firstLine="484" w:firstLineChars="202"/>
        <w:jc w:val="left"/>
        <w:rPr>
          <w:rFonts w:hint="eastAsia" w:ascii="宋体" w:hAnsi="宋体" w:cs="宋体"/>
          <w:color w:val="auto"/>
          <w:kern w:val="0"/>
          <w:sz w:val="24"/>
        </w:rPr>
      </w:pPr>
      <w:r>
        <w:rPr>
          <w:rFonts w:hint="eastAsia" w:ascii="宋体" w:hAnsi="宋体" w:cs="宋体"/>
          <w:color w:val="auto"/>
          <w:kern w:val="0"/>
          <w:sz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600" w:lineRule="exact"/>
        <w:rPr>
          <w:rFonts w:hint="eastAsia" w:ascii="宋体" w:hAnsi="宋体" w:cs="宋体"/>
          <w:color w:val="auto"/>
          <w:sz w:val="24"/>
        </w:rPr>
      </w:pP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特此承诺！</w:t>
      </w:r>
    </w:p>
    <w:p>
      <w:pPr>
        <w:widowControl/>
        <w:snapToGrid w:val="0"/>
        <w:spacing w:line="600" w:lineRule="exact"/>
        <w:ind w:firstLine="480" w:firstLineChars="200"/>
        <w:jc w:val="left"/>
        <w:rPr>
          <w:rFonts w:hint="eastAsia" w:ascii="宋体" w:hAnsi="宋体" w:cs="宋体"/>
          <w:color w:val="auto"/>
          <w:kern w:val="0"/>
          <w:sz w:val="24"/>
        </w:rPr>
      </w:pP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供应商名称（盖章） ：</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法定代表人或其授权代表（签字或盖章）：</w:t>
      </w:r>
    </w:p>
    <w:p>
      <w:pPr>
        <w:widowControl/>
        <w:adjustRightInd w:val="0"/>
        <w:snapToGrid w:val="0"/>
        <w:spacing w:line="600" w:lineRule="exact"/>
        <w:ind w:firstLine="480" w:firstLineChars="200"/>
        <w:jc w:val="left"/>
        <w:rPr>
          <w:rFonts w:hint="eastAsia" w:ascii="宋体" w:hAnsi="宋体" w:cs="宋体"/>
          <w:color w:val="auto"/>
          <w:kern w:val="0"/>
          <w:sz w:val="24"/>
        </w:rPr>
      </w:pPr>
    </w:p>
    <w:p>
      <w:pPr>
        <w:widowControl/>
        <w:adjustRightInd w:val="0"/>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日期：     年  月  日</w:t>
      </w:r>
    </w:p>
    <w:p>
      <w:pPr>
        <w:pStyle w:val="5"/>
        <w:numPr>
          <w:ilvl w:val="0"/>
          <w:numId w:val="0"/>
        </w:numPr>
        <w:tabs>
          <w:tab w:val="left" w:pos="1110"/>
          <w:tab w:val="clear" w:pos="706"/>
        </w:tabs>
        <w:spacing w:line="600" w:lineRule="exact"/>
        <w:rPr>
          <w:rFonts w:hint="eastAsia" w:ascii="宋体" w:hAnsi="宋体" w:eastAsia="宋体" w:cs="宋体"/>
          <w:color w:val="auto"/>
          <w:sz w:val="24"/>
          <w:szCs w:val="24"/>
        </w:rPr>
      </w:pPr>
    </w:p>
    <w:p>
      <w:pPr>
        <w:pStyle w:val="5"/>
        <w:numPr>
          <w:ilvl w:val="0"/>
          <w:numId w:val="0"/>
        </w:numPr>
        <w:tabs>
          <w:tab w:val="left" w:pos="1110"/>
          <w:tab w:val="clear" w:pos="706"/>
        </w:tabs>
        <w:spacing w:line="600" w:lineRule="exact"/>
        <w:ind w:left="560"/>
        <w:rPr>
          <w:rFonts w:hint="eastAsia" w:ascii="宋体" w:hAnsi="宋体" w:eastAsia="宋体" w:cs="宋体"/>
          <w:color w:val="auto"/>
          <w:sz w:val="24"/>
          <w:szCs w:val="24"/>
        </w:rPr>
      </w:pPr>
    </w:p>
    <w:p>
      <w:pPr>
        <w:shd w:val="clear" w:color="auto" w:fill="FFFFFF"/>
        <w:snapToGrid w:val="0"/>
        <w:spacing w:line="600" w:lineRule="exact"/>
        <w:jc w:val="center"/>
        <w:rPr>
          <w:rFonts w:hint="eastAsia" w:ascii="宋体" w:hAnsi="宋体" w:cs="宋体"/>
          <w:b/>
          <w:color w:val="auto"/>
          <w:kern w:val="0"/>
          <w:sz w:val="24"/>
        </w:rPr>
      </w:pPr>
    </w:p>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ind w:firstLine="480" w:firstLineChars="200"/>
        <w:rPr>
          <w:rFonts w:hint="eastAsia" w:ascii="宋体" w:hAnsi="宋体" w:cs="宋体"/>
          <w:color w:val="auto"/>
          <w:sz w:val="24"/>
        </w:rPr>
      </w:pPr>
    </w:p>
    <w:p>
      <w:pPr>
        <w:shd w:val="clear" w:color="auto" w:fill="FFFFFF"/>
        <w:snapToGrid w:val="0"/>
        <w:spacing w:line="600" w:lineRule="exact"/>
        <w:ind w:firstLine="480" w:firstLineChars="200"/>
        <w:rPr>
          <w:rFonts w:hint="eastAsia" w:ascii="宋体" w:hAnsi="宋体" w:cs="宋体"/>
          <w:color w:val="auto"/>
          <w:sz w:val="24"/>
        </w:rPr>
      </w:pPr>
    </w:p>
    <w:p>
      <w:pPr>
        <w:pStyle w:val="4"/>
        <w:snapToGrid w:val="0"/>
        <w:spacing w:line="600" w:lineRule="exact"/>
        <w:rPr>
          <w:rFonts w:hint="eastAsia" w:ascii="宋体" w:hAnsi="宋体" w:eastAsia="宋体"/>
          <w:bCs/>
          <w:color w:val="auto"/>
          <w:kern w:val="2"/>
          <w:sz w:val="28"/>
        </w:rPr>
        <w:sectPr>
          <w:pgSz w:w="11906" w:h="16838"/>
          <w:pgMar w:top="993" w:right="1474" w:bottom="1134" w:left="1474" w:header="851" w:footer="641" w:gutter="0"/>
          <w:cols w:space="720" w:num="1"/>
          <w:docGrid w:type="lines" w:linePitch="315" w:charSpace="0"/>
        </w:sectPr>
      </w:pPr>
      <w:bookmarkStart w:id="139" w:name="_Toc354996707"/>
      <w:bookmarkStart w:id="140" w:name="_Toc33194407"/>
      <w:bookmarkStart w:id="141" w:name="_Toc233618989"/>
    </w:p>
    <w:p>
      <w:pPr>
        <w:pStyle w:val="4"/>
        <w:snapToGrid w:val="0"/>
        <w:spacing w:line="600" w:lineRule="exact"/>
        <w:rPr>
          <w:rFonts w:hint="eastAsia" w:ascii="宋体" w:hAnsi="宋体" w:eastAsia="宋体"/>
          <w:bCs/>
          <w:color w:val="auto"/>
          <w:kern w:val="2"/>
          <w:sz w:val="28"/>
        </w:rPr>
      </w:pPr>
      <w:r>
        <w:rPr>
          <w:rFonts w:hint="eastAsia" w:ascii="宋体" w:hAnsi="宋体" w:eastAsia="宋体"/>
          <w:bCs/>
          <w:color w:val="auto"/>
          <w:kern w:val="2"/>
          <w:sz w:val="28"/>
        </w:rPr>
        <w:t>报价文件</w:t>
      </w:r>
      <w:bookmarkEnd w:id="139"/>
      <w:bookmarkEnd w:id="140"/>
    </w:p>
    <w:p>
      <w:pPr>
        <w:shd w:val="clear" w:color="auto" w:fill="FFFFFF"/>
        <w:snapToGrid w:val="0"/>
        <w:spacing w:line="600" w:lineRule="exact"/>
        <w:jc w:val="center"/>
        <w:rPr>
          <w:rFonts w:hint="eastAsia" w:ascii="宋体" w:hAnsi="宋体" w:cs="宋体"/>
          <w:b/>
          <w:bCs/>
          <w:color w:val="auto"/>
          <w:kern w:val="0"/>
          <w:sz w:val="24"/>
        </w:rPr>
      </w:pPr>
      <w:r>
        <w:rPr>
          <w:rFonts w:hint="eastAsia" w:ascii="宋体" w:hAnsi="宋体" w:cs="宋体"/>
          <w:b/>
          <w:bCs/>
          <w:color w:val="auto"/>
          <w:kern w:val="0"/>
          <w:sz w:val="24"/>
        </w:rPr>
        <w:t> </w:t>
      </w:r>
    </w:p>
    <w:p>
      <w:pPr>
        <w:shd w:val="clear" w:color="auto" w:fill="FFFFFF"/>
        <w:snapToGrid w:val="0"/>
        <w:spacing w:line="600" w:lineRule="exact"/>
        <w:jc w:val="center"/>
        <w:rPr>
          <w:rFonts w:hint="eastAsia" w:ascii="宋体" w:hAnsi="宋体" w:cs="宋体"/>
          <w:b/>
          <w:bCs/>
          <w:color w:val="auto"/>
          <w:kern w:val="0"/>
          <w:sz w:val="24"/>
        </w:rPr>
      </w:pPr>
      <w:r>
        <w:rPr>
          <w:rFonts w:hint="eastAsia" w:ascii="宋体" w:hAnsi="宋体" w:cs="宋体"/>
          <w:b/>
          <w:bCs/>
          <w:color w:val="auto"/>
          <w:kern w:val="0"/>
          <w:sz w:val="24"/>
        </w:rPr>
        <w:t>目录</w:t>
      </w:r>
    </w:p>
    <w:p>
      <w:pPr>
        <w:shd w:val="clear" w:color="auto" w:fill="FFFFFF"/>
        <w:snapToGrid w:val="0"/>
        <w:spacing w:line="600" w:lineRule="exact"/>
        <w:rPr>
          <w:rFonts w:hint="eastAsia" w:ascii="宋体" w:hAnsi="宋体" w:cs="宋体"/>
          <w:color w:val="auto"/>
          <w:kern w:val="0"/>
          <w:sz w:val="24"/>
        </w:rPr>
      </w:pPr>
      <w:r>
        <w:rPr>
          <w:rFonts w:hint="eastAsia" w:ascii="宋体" w:hAnsi="宋体" w:cs="宋体"/>
          <w:color w:val="auto"/>
          <w:kern w:val="0"/>
          <w:sz w:val="24"/>
        </w:rPr>
        <w:t>（1）投标响应函…………………………………………………………………（页码）</w:t>
      </w:r>
    </w:p>
    <w:p>
      <w:pPr>
        <w:shd w:val="clear" w:color="auto" w:fill="FFFFFF"/>
        <w:snapToGrid w:val="0"/>
        <w:spacing w:line="600" w:lineRule="exact"/>
        <w:rPr>
          <w:rFonts w:hint="eastAsia" w:ascii="宋体" w:hAnsi="宋体" w:cs="宋体"/>
          <w:color w:val="auto"/>
          <w:kern w:val="0"/>
          <w:sz w:val="24"/>
        </w:rPr>
      </w:pPr>
      <w:r>
        <w:rPr>
          <w:rFonts w:hint="eastAsia" w:ascii="宋体" w:hAnsi="宋体" w:cs="宋体"/>
          <w:color w:val="auto"/>
          <w:kern w:val="0"/>
          <w:sz w:val="24"/>
        </w:rPr>
        <w:t>（2）开标一览表…………………………………………………………………（页码）</w:t>
      </w:r>
    </w:p>
    <w:p>
      <w:pPr>
        <w:shd w:val="clear" w:color="auto" w:fill="FFFFFF"/>
        <w:snapToGrid w:val="0"/>
        <w:spacing w:line="600" w:lineRule="exact"/>
        <w:rPr>
          <w:rFonts w:hint="eastAsia" w:ascii="宋体" w:hAnsi="宋体" w:cs="宋体"/>
          <w:color w:val="auto"/>
          <w:kern w:val="0"/>
          <w:sz w:val="24"/>
        </w:rPr>
      </w:pPr>
      <w:r>
        <w:rPr>
          <w:rFonts w:hint="eastAsia" w:ascii="宋体" w:hAnsi="宋体" w:cs="宋体"/>
          <w:b/>
          <w:bCs/>
          <w:color w:val="auto"/>
          <w:sz w:val="24"/>
        </w:rPr>
        <w:t>（</w:t>
      </w:r>
      <w:r>
        <w:rPr>
          <w:rFonts w:hint="eastAsia" w:ascii="宋体" w:hAnsi="宋体" w:cs="宋体"/>
          <w:color w:val="auto"/>
          <w:kern w:val="0"/>
          <w:sz w:val="24"/>
        </w:rPr>
        <w:t>3）报价明细清单………………………………………………………………（页码）</w:t>
      </w:r>
    </w:p>
    <w:p>
      <w:pPr>
        <w:shd w:val="clear" w:color="auto" w:fill="FFFFFF"/>
        <w:snapToGrid w:val="0"/>
        <w:spacing w:line="600" w:lineRule="exact"/>
        <w:rPr>
          <w:rFonts w:hint="eastAsia" w:ascii="宋体" w:hAnsi="宋体" w:cs="宋体"/>
          <w:color w:val="auto"/>
          <w:kern w:val="0"/>
          <w:sz w:val="24"/>
        </w:rPr>
      </w:pPr>
      <w:r>
        <w:rPr>
          <w:rFonts w:hint="eastAsia" w:ascii="宋体" w:hAnsi="宋体" w:cs="宋体"/>
          <w:color w:val="auto"/>
          <w:kern w:val="0"/>
          <w:sz w:val="24"/>
        </w:rPr>
        <w:t>（4）中小企业声明函、监狱企业、残疾人福利性单位及其他相关的充分的证明材料…………………………………………………………………………………（页码）</w:t>
      </w:r>
    </w:p>
    <w:p>
      <w:pPr>
        <w:pStyle w:val="4"/>
        <w:snapToGrid w:val="0"/>
        <w:spacing w:line="600" w:lineRule="exact"/>
        <w:rPr>
          <w:rFonts w:hint="eastAsia" w:ascii="宋体" w:hAnsi="宋体" w:eastAsia="宋体"/>
          <w:bCs/>
          <w:color w:val="auto"/>
          <w:kern w:val="2"/>
          <w:sz w:val="28"/>
        </w:rPr>
        <w:sectPr>
          <w:pgSz w:w="11906" w:h="16838"/>
          <w:pgMar w:top="993" w:right="1474" w:bottom="1134" w:left="1474" w:header="851" w:footer="641" w:gutter="0"/>
          <w:cols w:space="720" w:num="1"/>
          <w:docGrid w:type="lines" w:linePitch="315" w:charSpace="0"/>
        </w:sectPr>
      </w:pPr>
      <w:bookmarkStart w:id="142" w:name="_Toc233618990"/>
    </w:p>
    <w:p>
      <w:pPr>
        <w:pStyle w:val="4"/>
        <w:snapToGrid w:val="0"/>
        <w:spacing w:line="600" w:lineRule="exact"/>
        <w:rPr>
          <w:rFonts w:hint="eastAsia" w:ascii="宋体" w:hAnsi="宋体" w:eastAsia="宋体"/>
          <w:bCs/>
          <w:color w:val="auto"/>
          <w:kern w:val="2"/>
          <w:sz w:val="28"/>
        </w:rPr>
      </w:pPr>
      <w:r>
        <w:rPr>
          <w:rFonts w:hint="eastAsia" w:ascii="宋体" w:hAnsi="宋体" w:eastAsia="宋体"/>
          <w:bCs/>
          <w:color w:val="auto"/>
          <w:kern w:val="2"/>
          <w:sz w:val="28"/>
        </w:rPr>
        <w:t>一、投标响应函</w:t>
      </w:r>
      <w:bookmarkEnd w:id="142"/>
    </w:p>
    <w:p>
      <w:pPr>
        <w:shd w:val="clear" w:color="auto" w:fill="FFFFFF"/>
        <w:snapToGrid w:val="0"/>
        <w:spacing w:line="600" w:lineRule="exact"/>
        <w:rPr>
          <w:rFonts w:hint="eastAsia" w:ascii="宋体" w:hAnsi="宋体" w:cs="宋体"/>
          <w:color w:val="auto"/>
          <w:sz w:val="24"/>
        </w:rPr>
      </w:pPr>
      <w:r>
        <w:rPr>
          <w:rFonts w:hint="eastAsia" w:ascii="宋体" w:hAnsi="宋体" w:cs="宋体"/>
          <w:color w:val="auto"/>
          <w:sz w:val="24"/>
        </w:rPr>
        <w:t>杭州市临平区机关事务服务中心</w:t>
      </w:r>
    </w:p>
    <w:p>
      <w:pPr>
        <w:shd w:val="clear" w:color="auto" w:fill="FFFFFF"/>
        <w:snapToGrid w:val="0"/>
        <w:spacing w:line="600" w:lineRule="exact"/>
        <w:rPr>
          <w:rFonts w:hint="eastAsia" w:ascii="宋体" w:hAnsi="宋体" w:cs="宋体"/>
          <w:color w:val="auto"/>
          <w:sz w:val="24"/>
        </w:rPr>
      </w:pPr>
      <w:r>
        <w:rPr>
          <w:rFonts w:hint="eastAsia" w:ascii="宋体" w:hAnsi="宋体" w:cs="宋体"/>
          <w:color w:val="auto"/>
          <w:sz w:val="24"/>
          <w:lang w:eastAsia="zh-CN"/>
        </w:rPr>
        <w:t>杭州溯远工程咨询有限公司</w:t>
      </w:r>
      <w:r>
        <w:rPr>
          <w:rFonts w:hint="eastAsia" w:ascii="宋体" w:hAnsi="宋体" w:cs="宋体"/>
          <w:color w:val="auto"/>
          <w:sz w:val="24"/>
        </w:rPr>
        <w:t>：</w:t>
      </w:r>
    </w:p>
    <w:p>
      <w:pPr>
        <w:shd w:val="clear" w:color="auto" w:fill="FFFFFF"/>
        <w:snapToGrid w:val="0"/>
        <w:spacing w:line="600" w:lineRule="exact"/>
        <w:rPr>
          <w:rFonts w:hint="eastAsia" w:ascii="宋体" w:hAnsi="宋体" w:cs="宋体"/>
          <w:color w:val="auto"/>
          <w:sz w:val="24"/>
        </w:rPr>
      </w:pPr>
      <w:r>
        <w:rPr>
          <w:rFonts w:hint="eastAsia" w:ascii="宋体" w:hAnsi="宋体" w:cs="宋体"/>
          <w:color w:val="auto"/>
          <w:kern w:val="0"/>
          <w:sz w:val="24"/>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(投标人全称)授权</w:t>
      </w:r>
      <w:r>
        <w:rPr>
          <w:rFonts w:hint="eastAsia" w:ascii="宋体" w:hAnsi="宋体" w:cs="宋体"/>
          <w:color w:val="auto"/>
          <w:kern w:val="0"/>
          <w:sz w:val="24"/>
          <w:u w:val="single"/>
          <w:lang w:val="zh-CN"/>
        </w:rPr>
        <w:t xml:space="preserve">          </w:t>
      </w:r>
      <w:r>
        <w:rPr>
          <w:rFonts w:hint="eastAsia" w:ascii="宋体" w:hAnsi="宋体" w:cs="宋体"/>
          <w:color w:val="auto"/>
          <w:sz w:val="24"/>
        </w:rPr>
        <w:t>(全权代表姓名)</w:t>
      </w:r>
      <w:r>
        <w:rPr>
          <w:rFonts w:hint="eastAsia" w:ascii="宋体" w:hAnsi="宋体" w:cs="宋体"/>
          <w:color w:val="auto"/>
          <w:kern w:val="0"/>
          <w:sz w:val="24"/>
          <w:u w:val="single"/>
          <w:lang w:val="zh-CN"/>
        </w:rPr>
        <w:t xml:space="preserve">              </w:t>
      </w:r>
      <w:r>
        <w:rPr>
          <w:rFonts w:hint="eastAsia" w:ascii="宋体" w:hAnsi="宋体" w:cs="宋体"/>
          <w:color w:val="auto"/>
          <w:sz w:val="24"/>
        </w:rPr>
        <w:t>(职务、职称)为全权代表，参加贵方组织的临平区公共物资仓储管理中心服务外包采购项目(招标编号：</w:t>
      </w:r>
      <w:r>
        <w:rPr>
          <w:rFonts w:hint="eastAsia" w:ascii="宋体" w:hAnsi="宋体" w:eastAsia="宋体" w:cs="宋体"/>
          <w:color w:val="auto"/>
          <w:sz w:val="24"/>
          <w:lang w:eastAsia="zh-CN"/>
        </w:rPr>
        <w:t>HZSYZFCG-2021-012</w:t>
      </w:r>
      <w:r>
        <w:rPr>
          <w:rFonts w:hint="eastAsia" w:ascii="宋体" w:hAnsi="宋体" w:eastAsia="宋体" w:cs="宋体"/>
          <w:color w:val="auto"/>
          <w:sz w:val="24"/>
          <w:lang w:val="zh-CN"/>
        </w:rPr>
        <w:t>)</w:t>
      </w:r>
      <w:r>
        <w:rPr>
          <w:rFonts w:hint="eastAsia" w:ascii="宋体" w:hAnsi="宋体" w:cs="宋体"/>
          <w:color w:val="auto"/>
          <w:sz w:val="24"/>
        </w:rPr>
        <w:t>招标的有关活动，并对此项目进行投标。为此：</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1、我方同意在投标人</w:t>
      </w:r>
      <w:r>
        <w:rPr>
          <w:rFonts w:hint="eastAsia" w:ascii="宋体" w:hAnsi="宋体" w:cs="宋体"/>
          <w:color w:val="auto"/>
          <w:kern w:val="44"/>
          <w:sz w:val="24"/>
        </w:rPr>
        <w:t>编制和提交投标文件须知</w:t>
      </w:r>
      <w:r>
        <w:rPr>
          <w:rFonts w:hint="eastAsia" w:ascii="宋体" w:hAnsi="宋体" w:cs="宋体"/>
          <w:color w:val="auto"/>
          <w:sz w:val="24"/>
        </w:rPr>
        <w:t>规定的开标日期起遵守本投标书中的承诺且在投标有效期满之前均具有约束力。</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2、我方承诺已经具备《中华人民共和国政府采购法》中规定的参加政府采购活动的供应商应当具备的条件：</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(2)遵守国家法律、行政法规，具有良好的信誉和商业道德；</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(3)具有履行合同的能力和良好的履行合同记录；</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(4)良好的资金、财务状况；</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(5)提供的产品和服务符合中国政府规定的相应标准和环保标准；</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(6)没有违反政府采购法规、政策的记录；</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(7)没有发生重大经济纠纷和走私犯罪记录。</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3、提供</w:t>
      </w:r>
      <w:r>
        <w:rPr>
          <w:rFonts w:hint="eastAsia" w:ascii="宋体" w:hAnsi="宋体" w:cs="宋体"/>
          <w:color w:val="auto"/>
          <w:kern w:val="44"/>
          <w:sz w:val="24"/>
        </w:rPr>
        <w:t>编制和提交投标文件须知</w:t>
      </w:r>
      <w:r>
        <w:rPr>
          <w:rFonts w:hint="eastAsia" w:ascii="宋体" w:hAnsi="宋体" w:cs="宋体"/>
          <w:color w:val="auto"/>
          <w:sz w:val="24"/>
        </w:rPr>
        <w:t>规定的全部投标文件，包括资格文件、报价文件、商务技术文件。具体内容为：</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(1)资格文件</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(2)报价文件；</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zh-CN"/>
        </w:rPr>
        <w:t>商务</w:t>
      </w:r>
      <w:r>
        <w:rPr>
          <w:rFonts w:hint="eastAsia" w:ascii="宋体" w:hAnsi="宋体" w:cs="宋体"/>
          <w:color w:val="auto"/>
          <w:kern w:val="0"/>
          <w:sz w:val="24"/>
          <w:lang w:val="zh-CN"/>
        </w:rPr>
        <w:t>技术文件</w:t>
      </w:r>
      <w:r>
        <w:rPr>
          <w:rFonts w:hint="eastAsia" w:ascii="宋体" w:hAnsi="宋体" w:cs="宋体"/>
          <w:color w:val="auto"/>
          <w:sz w:val="24"/>
        </w:rPr>
        <w:t>；</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kern w:val="44"/>
          <w:sz w:val="24"/>
        </w:rPr>
        <w:t>编制和提交投标文件须知</w:t>
      </w:r>
      <w:r>
        <w:rPr>
          <w:rFonts w:hint="eastAsia" w:ascii="宋体" w:hAnsi="宋体" w:cs="宋体"/>
          <w:color w:val="auto"/>
          <w:sz w:val="24"/>
        </w:rPr>
        <w:t>要求投标人提交的全部文件；</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(5)按招标文件要求提供和交付的货物和服务的投标报价详见开标一览表；</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(6)保证忠实地执行双方所签订的合同，并承担合同规定的责任和义务；</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(7)保证遵守招标文件中的其他有关规定。</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4、投标有效期内不撤销投标文件；强行撤销的，承诺按本项目预算金额的2%赔偿对招标代理机构造成的损失。</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5、我方完全理解贵方不一定要接受最低价的投标。</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7、如中标，按招标文件规定的招标代理服务费标准，承诺在签订合同前向招标代理机构支付招标代理服务费。</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8、我方愿意向贵方提供任何与该项投标有关的数据、情况和服务资料。若贵方需要，我方愿意提供我方作出的一切承诺的证明材料。</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(1)提供虚假材料谋取中标、成交的；</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(2)采取不正当手段诋毁、排挤其他供应商的；</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(3)与采购人、其它供应商或者招标代理机构恶意串通的；</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(4)向采购人、招标代理机构行贿或者提供其他不正当利益的；</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(5)在招标采购过程中与采购人进行协商谈判的；</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(6)拒绝有关部门监督检查或提供虚假情况的。</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供应商有前款第(1)至(5)项情形之一的，中标、成交无效。</w:t>
      </w:r>
    </w:p>
    <w:p>
      <w:pPr>
        <w:shd w:val="clear" w:color="auto" w:fill="FFFFFF"/>
        <w:snapToGrid w:val="0"/>
        <w:spacing w:line="600" w:lineRule="exact"/>
        <w:rPr>
          <w:rFonts w:hint="eastAsia" w:ascii="宋体" w:hAnsi="宋体" w:cs="宋体"/>
          <w:color w:val="auto"/>
          <w:kern w:val="0"/>
          <w:sz w:val="24"/>
          <w:lang w:val="zh-CN"/>
        </w:rPr>
      </w:pPr>
    </w:p>
    <w:p>
      <w:pPr>
        <w:shd w:val="clear" w:color="auto" w:fill="FFFFFF"/>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lang w:val="zh-CN"/>
        </w:rPr>
        <w:t>法定（授权）代表人（签字）：</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ab/>
      </w:r>
    </w:p>
    <w:p>
      <w:pPr>
        <w:shd w:val="clear" w:color="auto" w:fill="FFFFFF"/>
        <w:snapToGrid w:val="0"/>
        <w:spacing w:line="600" w:lineRule="exact"/>
        <w:ind w:firstLine="480" w:firstLineChars="200"/>
        <w:rPr>
          <w:rFonts w:hint="eastAsia" w:ascii="宋体" w:hAnsi="宋体" w:cs="宋体"/>
          <w:color w:val="auto"/>
          <w:kern w:val="0"/>
          <w:sz w:val="24"/>
          <w:u w:val="single"/>
          <w:lang w:val="zh-CN"/>
        </w:rPr>
      </w:pPr>
      <w:r>
        <w:rPr>
          <w:rFonts w:hint="eastAsia" w:ascii="宋体" w:hAnsi="宋体" w:cs="宋体"/>
          <w:color w:val="auto"/>
          <w:kern w:val="0"/>
          <w:sz w:val="24"/>
          <w:lang w:val="zh-CN"/>
        </w:rPr>
        <w:t>投标人盖 章：</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ab/>
      </w:r>
      <w:r>
        <w:rPr>
          <w:rFonts w:hint="eastAsia" w:ascii="宋体" w:hAnsi="宋体" w:cs="宋体"/>
          <w:color w:val="auto"/>
          <w:kern w:val="0"/>
          <w:sz w:val="24"/>
          <w:u w:val="single"/>
          <w:lang w:val="zh-CN"/>
        </w:rPr>
        <w:t xml:space="preserve">                      </w:t>
      </w:r>
    </w:p>
    <w:p>
      <w:pPr>
        <w:shd w:val="clear" w:color="auto" w:fill="FFFFFF"/>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lang w:val="zh-CN"/>
        </w:rPr>
        <w:t xml:space="preserve">联系电话：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 xml:space="preserve">传真：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 xml:space="preserve">电子邮件：  </w:t>
      </w:r>
      <w:r>
        <w:rPr>
          <w:rFonts w:hint="eastAsia" w:ascii="宋体" w:hAnsi="宋体" w:cs="宋体"/>
          <w:color w:val="auto"/>
          <w:kern w:val="0"/>
          <w:sz w:val="24"/>
          <w:u w:val="single"/>
          <w:lang w:val="zh-CN"/>
        </w:rPr>
        <w:t xml:space="preserve">              </w:t>
      </w:r>
    </w:p>
    <w:p>
      <w:pPr>
        <w:shd w:val="clear" w:color="auto" w:fill="FFFFFF"/>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lang w:val="zh-CN"/>
        </w:rPr>
        <w:t>联系地址：</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ab/>
      </w:r>
      <w:r>
        <w:rPr>
          <w:rFonts w:hint="eastAsia" w:ascii="宋体" w:hAnsi="宋体" w:cs="宋体"/>
          <w:color w:val="auto"/>
          <w:kern w:val="0"/>
          <w:sz w:val="24"/>
          <w:u w:val="single"/>
          <w:lang w:val="zh-CN"/>
        </w:rPr>
        <w:t xml:space="preserve">                                                    </w:t>
      </w:r>
    </w:p>
    <w:p>
      <w:pPr>
        <w:shd w:val="clear" w:color="auto" w:fill="FFFFFF"/>
        <w:snapToGrid w:val="0"/>
        <w:spacing w:line="600" w:lineRule="exact"/>
        <w:ind w:firstLine="480" w:firstLineChars="200"/>
        <w:rPr>
          <w:rFonts w:hint="eastAsia" w:ascii="宋体" w:hAnsi="宋体" w:cs="宋体"/>
          <w:color w:val="auto"/>
          <w:kern w:val="0"/>
          <w:sz w:val="24"/>
        </w:rPr>
      </w:pPr>
      <w:r>
        <w:rPr>
          <w:rFonts w:hint="eastAsia" w:ascii="宋体" w:hAnsi="宋体" w:cs="宋体"/>
          <w:color w:val="auto"/>
          <w:kern w:val="0"/>
          <w:sz w:val="24"/>
          <w:lang w:val="zh-CN"/>
        </w:rPr>
        <w:t>邮政编码：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传真号码：</w:t>
      </w:r>
      <w:r>
        <w:rPr>
          <w:rFonts w:hint="eastAsia" w:ascii="宋体" w:hAnsi="宋体" w:cs="宋体"/>
          <w:color w:val="auto"/>
          <w:kern w:val="0"/>
          <w:sz w:val="24"/>
          <w:u w:val="single"/>
          <w:lang w:val="zh-CN"/>
        </w:rPr>
        <w:t xml:space="preserve">                     </w:t>
      </w:r>
    </w:p>
    <w:p>
      <w:pPr>
        <w:shd w:val="clear" w:color="auto" w:fill="FFFFFF"/>
        <w:snapToGrid w:val="0"/>
        <w:spacing w:line="600" w:lineRule="exact"/>
        <w:ind w:firstLine="480" w:firstLineChars="200"/>
        <w:rPr>
          <w:rFonts w:hint="eastAsia" w:ascii="宋体" w:hAnsi="宋体" w:cs="宋体"/>
          <w:color w:val="auto"/>
          <w:kern w:val="0"/>
          <w:sz w:val="24"/>
          <w:u w:val="single"/>
        </w:rPr>
      </w:pPr>
      <w:r>
        <w:rPr>
          <w:rFonts w:hint="eastAsia" w:ascii="宋体" w:hAnsi="宋体" w:cs="宋体"/>
          <w:color w:val="auto"/>
          <w:kern w:val="0"/>
          <w:sz w:val="24"/>
          <w:lang w:val="zh-CN"/>
        </w:rPr>
        <w:t>日</w:t>
      </w:r>
      <w:r>
        <w:rPr>
          <w:rFonts w:hint="eastAsia" w:ascii="宋体" w:hAnsi="宋体" w:cs="宋体"/>
          <w:color w:val="auto"/>
          <w:kern w:val="0"/>
          <w:sz w:val="24"/>
        </w:rPr>
        <w:t xml:space="preserve">    </w:t>
      </w:r>
      <w:r>
        <w:rPr>
          <w:rFonts w:hint="eastAsia" w:ascii="宋体" w:hAnsi="宋体" w:cs="宋体"/>
          <w:color w:val="auto"/>
          <w:kern w:val="0"/>
          <w:sz w:val="24"/>
          <w:lang w:val="zh-CN"/>
        </w:rPr>
        <w:t>期</w:t>
      </w:r>
      <w:r>
        <w:rPr>
          <w:rFonts w:hint="eastAsia" w:ascii="宋体" w:hAnsi="宋体" w:cs="宋体"/>
          <w:color w:val="auto"/>
          <w:kern w:val="0"/>
          <w:sz w:val="24"/>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年</w:t>
      </w:r>
      <w:r>
        <w:rPr>
          <w:rFonts w:hint="eastAsia" w:ascii="宋体" w:hAnsi="宋体" w:cs="宋体"/>
          <w:color w:val="auto"/>
          <w:kern w:val="0"/>
          <w:sz w:val="24"/>
          <w:u w:val="single"/>
        </w:rPr>
        <w:t xml:space="preserve">  </w:t>
      </w:r>
      <w:r>
        <w:rPr>
          <w:rFonts w:hint="eastAsia" w:ascii="宋体" w:hAnsi="宋体" w:cs="宋体"/>
          <w:color w:val="auto"/>
          <w:kern w:val="0"/>
          <w:sz w:val="24"/>
          <w:u w:val="single"/>
        </w:rPr>
        <w:tab/>
      </w:r>
      <w:r>
        <w:rPr>
          <w:rFonts w:hint="eastAsia" w:ascii="宋体" w:hAnsi="宋体" w:cs="宋体"/>
          <w:color w:val="auto"/>
          <w:kern w:val="0"/>
          <w:sz w:val="24"/>
          <w:lang w:val="zh-CN"/>
        </w:rPr>
        <w:t>月</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日</w:t>
      </w:r>
    </w:p>
    <w:p>
      <w:pPr>
        <w:shd w:val="clear" w:color="auto" w:fill="FFFFFF"/>
        <w:snapToGrid w:val="0"/>
        <w:spacing w:line="600" w:lineRule="exact"/>
        <w:rPr>
          <w:rFonts w:hint="eastAsia" w:ascii="宋体" w:hAnsi="宋体" w:cs="宋体"/>
          <w:b/>
          <w:bCs/>
          <w:color w:val="auto"/>
          <w:kern w:val="0"/>
          <w:sz w:val="24"/>
          <w:lang w:val="zh-CN"/>
        </w:rPr>
      </w:pPr>
      <w:r>
        <w:rPr>
          <w:rFonts w:hint="eastAsia" w:ascii="宋体" w:hAnsi="宋体" w:cs="宋体"/>
          <w:b/>
          <w:bCs/>
          <w:color w:val="auto"/>
          <w:kern w:val="0"/>
          <w:sz w:val="24"/>
          <w:lang w:val="zh-CN"/>
        </w:rPr>
        <w:t>注：未按照本投标响应函要求填报的将被视为非实质性响应，从而可能导致该投标文件被拒绝。</w:t>
      </w:r>
    </w:p>
    <w:p>
      <w:pPr>
        <w:pageBreakBefore/>
        <w:shd w:val="clear" w:color="auto" w:fill="FFFFFF"/>
        <w:snapToGrid w:val="0"/>
        <w:spacing w:line="600" w:lineRule="exact"/>
        <w:ind w:firstLine="562" w:firstLineChars="200"/>
        <w:jc w:val="center"/>
        <w:outlineLvl w:val="2"/>
        <w:rPr>
          <w:rFonts w:hint="eastAsia" w:ascii="宋体" w:hAnsi="宋体" w:cs="宋体"/>
          <w:b/>
          <w:bCs/>
          <w:color w:val="auto"/>
          <w:sz w:val="24"/>
        </w:rPr>
      </w:pPr>
      <w:bookmarkStart w:id="143" w:name="_Toc354859632"/>
      <w:bookmarkStart w:id="144" w:name="_Toc233618991"/>
      <w:bookmarkStart w:id="145" w:name="_Toc354859475"/>
      <w:bookmarkStart w:id="146" w:name="_Toc354859551"/>
      <w:r>
        <w:rPr>
          <w:rFonts w:hint="eastAsia" w:ascii="宋体" w:hAnsi="宋体" w:cs="宋体"/>
          <w:b/>
          <w:bCs/>
          <w:color w:val="auto"/>
          <w:sz w:val="28"/>
          <w:szCs w:val="28"/>
        </w:rPr>
        <w:t>二、开标一览表</w:t>
      </w:r>
      <w:bookmarkEnd w:id="143"/>
      <w:bookmarkEnd w:id="144"/>
      <w:bookmarkEnd w:id="145"/>
      <w:bookmarkEnd w:id="146"/>
    </w:p>
    <w:p>
      <w:pPr>
        <w:shd w:val="clear" w:color="auto" w:fill="FFFFFF"/>
        <w:snapToGrid w:val="0"/>
        <w:spacing w:line="600" w:lineRule="exact"/>
        <w:rPr>
          <w:rFonts w:hint="eastAsia" w:ascii="宋体" w:hAnsi="宋体" w:cs="宋体"/>
          <w:color w:val="auto"/>
          <w:sz w:val="24"/>
        </w:rPr>
      </w:pPr>
      <w:r>
        <w:rPr>
          <w:rFonts w:hint="eastAsia" w:ascii="宋体" w:hAnsi="宋体" w:cs="宋体"/>
          <w:color w:val="auto"/>
          <w:sz w:val="24"/>
        </w:rPr>
        <w:t>杭州市临平区机关事务服务中心</w:t>
      </w:r>
    </w:p>
    <w:p>
      <w:pPr>
        <w:shd w:val="clear" w:color="auto" w:fill="FFFFFF"/>
        <w:snapToGrid w:val="0"/>
        <w:spacing w:line="600" w:lineRule="exact"/>
        <w:rPr>
          <w:rFonts w:hint="eastAsia" w:ascii="宋体" w:hAnsi="宋体" w:cs="宋体"/>
          <w:color w:val="auto"/>
          <w:sz w:val="24"/>
        </w:rPr>
      </w:pPr>
      <w:r>
        <w:rPr>
          <w:rFonts w:hint="eastAsia" w:ascii="宋体" w:hAnsi="宋体" w:cs="宋体"/>
          <w:color w:val="auto"/>
          <w:sz w:val="24"/>
          <w:lang w:eastAsia="zh-CN"/>
        </w:rPr>
        <w:t>杭州溯远工程咨询有限公司</w:t>
      </w:r>
      <w:r>
        <w:rPr>
          <w:rFonts w:hint="eastAsia" w:ascii="宋体" w:hAnsi="宋体" w:cs="宋体"/>
          <w:color w:val="auto"/>
          <w:sz w:val="24"/>
        </w:rPr>
        <w:t>：</w:t>
      </w:r>
    </w:p>
    <w:p>
      <w:pPr>
        <w:shd w:val="clear" w:color="auto" w:fill="FFFFFF"/>
        <w:snapToGrid w:val="0"/>
        <w:spacing w:line="6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按你方招标文件要求，我们，本投标文件签字方，谨此向你方发出要约如下：如你方接受本投标文件，我方承诺按照如下开标一览表的价格完成编号为</w:t>
      </w:r>
      <w:r>
        <w:rPr>
          <w:rFonts w:hint="eastAsia" w:ascii="宋体" w:hAnsi="宋体" w:eastAsia="宋体" w:cs="宋体"/>
          <w:color w:val="auto"/>
          <w:kern w:val="0"/>
          <w:sz w:val="24"/>
          <w:lang w:val="zh-CN" w:eastAsia="zh-CN"/>
        </w:rPr>
        <w:t>HZSYZFCG-2021-012</w:t>
      </w:r>
      <w:r>
        <w:rPr>
          <w:rFonts w:hint="eastAsia" w:ascii="宋体" w:hAnsi="宋体" w:eastAsia="宋体" w:cs="宋体"/>
          <w:color w:val="auto"/>
          <w:kern w:val="0"/>
          <w:sz w:val="24"/>
          <w:lang w:val="zh-CN"/>
        </w:rPr>
        <w:t>的</w:t>
      </w:r>
      <w:r>
        <w:rPr>
          <w:rFonts w:hint="eastAsia" w:ascii="宋体" w:hAnsi="宋体" w:cs="宋体"/>
          <w:color w:val="auto"/>
          <w:kern w:val="0"/>
          <w:sz w:val="24"/>
          <w:lang w:val="zh-CN"/>
        </w:rPr>
        <w:t>招标文件[项目名称： 临平区公共物资仓储管理中心服务外包采购项目]实施。</w:t>
      </w:r>
    </w:p>
    <w:p>
      <w:pPr>
        <w:shd w:val="clear" w:color="auto" w:fill="FFFFFF"/>
        <w:snapToGrid w:val="0"/>
        <w:spacing w:line="600" w:lineRule="exact"/>
        <w:ind w:firstLine="3990" w:firstLineChars="1656"/>
        <w:rPr>
          <w:rFonts w:hint="eastAsia" w:ascii="宋体" w:hAnsi="宋体" w:cs="宋体"/>
          <w:b/>
          <w:bCs/>
          <w:color w:val="auto"/>
          <w:kern w:val="0"/>
          <w:sz w:val="24"/>
          <w:lang w:val="zh-CN"/>
        </w:rPr>
      </w:pPr>
      <w:r>
        <w:rPr>
          <w:rFonts w:hint="eastAsia" w:ascii="宋体" w:hAnsi="宋体" w:cs="宋体"/>
          <w:b/>
          <w:bCs/>
          <w:color w:val="auto"/>
          <w:kern w:val="0"/>
          <w:sz w:val="24"/>
          <w:lang w:val="zh-CN"/>
        </w:rPr>
        <w:t>开标一览表</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398" w:type="dxa"/>
            <w:tcBorders>
              <w:right w:val="single" w:color="auto" w:sz="4" w:space="0"/>
            </w:tcBorders>
            <w:noWrap w:val="0"/>
            <w:vAlign w:val="center"/>
          </w:tcPr>
          <w:p>
            <w:pPr>
              <w:spacing w:line="600" w:lineRule="exact"/>
              <w:jc w:val="center"/>
              <w:rPr>
                <w:rFonts w:hint="eastAsia" w:ascii="宋体" w:hAnsi="宋体" w:cs="宋体"/>
                <w:color w:val="auto"/>
                <w:sz w:val="24"/>
                <w:lang w:val="en-GB"/>
              </w:rPr>
            </w:pPr>
            <w:r>
              <w:rPr>
                <w:rFonts w:hint="eastAsia" w:ascii="宋体" w:hAnsi="宋体" w:cs="宋体"/>
                <w:color w:val="auto"/>
                <w:sz w:val="24"/>
                <w:lang w:val="en-GB"/>
              </w:rPr>
              <w:t>项目名称</w:t>
            </w: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rPr>
            </w:pPr>
            <w:r>
              <w:rPr>
                <w:rFonts w:hint="eastAsia" w:ascii="宋体" w:hAnsi="宋体" w:cs="宋体"/>
                <w:color w:val="auto"/>
                <w:sz w:val="24"/>
              </w:rPr>
              <w:t>服务期</w:t>
            </w: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lang w:val="en-GB"/>
              </w:rPr>
            </w:pPr>
            <w:r>
              <w:rPr>
                <w:rFonts w:hint="eastAsia" w:ascii="宋体" w:hAnsi="宋体" w:cs="宋体"/>
                <w:color w:val="auto"/>
                <w:sz w:val="24"/>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398" w:type="dxa"/>
            <w:tcBorders>
              <w:right w:val="single" w:color="auto" w:sz="4" w:space="0"/>
            </w:tcBorders>
            <w:noWrap w:val="0"/>
            <w:vAlign w:val="center"/>
          </w:tcPr>
          <w:p>
            <w:pPr>
              <w:spacing w:line="600" w:lineRule="exact"/>
              <w:jc w:val="center"/>
              <w:rPr>
                <w:rFonts w:hint="eastAsia" w:ascii="宋体" w:hAnsi="宋体" w:cs="宋体"/>
                <w:color w:val="auto"/>
                <w:sz w:val="24"/>
                <w:lang w:val="en-GB"/>
              </w:rPr>
            </w:pPr>
            <w:r>
              <w:rPr>
                <w:rFonts w:hint="eastAsia" w:ascii="宋体" w:hAnsi="宋体" w:cs="宋体"/>
                <w:color w:val="auto"/>
                <w:sz w:val="24"/>
                <w:lang w:val="en-GB"/>
              </w:rPr>
              <w:t>临平区公共物资仓储管理中心服务外包采购项目</w:t>
            </w: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rPr>
            </w:pPr>
            <w:r>
              <w:rPr>
                <w:rFonts w:hint="eastAsia" w:ascii="宋体" w:hAnsi="宋体" w:cs="宋体"/>
                <w:color w:val="auto"/>
                <w:sz w:val="24"/>
              </w:rPr>
              <w:t>响应招标文件要求</w:t>
            </w: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rPr>
            </w:pPr>
            <w:r>
              <w:rPr>
                <w:rFonts w:hint="eastAsia" w:ascii="宋体" w:hAnsi="宋体" w:cs="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4398" w:type="dxa"/>
            <w:tcBorders>
              <w:right w:val="single" w:color="auto" w:sz="4" w:space="0"/>
            </w:tcBorders>
            <w:noWrap w:val="0"/>
            <w:vAlign w:val="center"/>
          </w:tcPr>
          <w:p>
            <w:pPr>
              <w:spacing w:line="600" w:lineRule="exact"/>
              <w:jc w:val="center"/>
              <w:rPr>
                <w:rFonts w:hint="eastAsia" w:ascii="宋体" w:hAnsi="宋体" w:cs="宋体"/>
                <w:color w:val="auto"/>
                <w:sz w:val="24"/>
                <w:lang w:val="en-GB"/>
              </w:rPr>
            </w:pPr>
            <w:r>
              <w:rPr>
                <w:rFonts w:hint="eastAsia" w:ascii="宋体" w:hAnsi="宋体" w:cs="宋体"/>
                <w:color w:val="auto"/>
                <w:sz w:val="24"/>
                <w:lang w:val="en-GB"/>
              </w:rPr>
              <w:t>总价</w:t>
            </w:r>
          </w:p>
        </w:tc>
        <w:tc>
          <w:tcPr>
            <w:tcW w:w="4732" w:type="dxa"/>
            <w:gridSpan w:val="2"/>
            <w:tcBorders>
              <w:left w:val="single" w:color="auto" w:sz="4" w:space="0"/>
            </w:tcBorders>
            <w:noWrap w:val="0"/>
            <w:vAlign w:val="center"/>
          </w:tcPr>
          <w:p>
            <w:pPr>
              <w:spacing w:line="600" w:lineRule="exact"/>
              <w:jc w:val="center"/>
              <w:rPr>
                <w:rFonts w:hint="eastAsia" w:ascii="宋体" w:hAnsi="宋体" w:cs="宋体"/>
                <w:color w:val="auto"/>
                <w:sz w:val="24"/>
              </w:rPr>
            </w:pPr>
            <w:r>
              <w:rPr>
                <w:rFonts w:hint="eastAsia" w:ascii="宋体" w:hAnsi="宋体" w:cs="宋体"/>
                <w:color w:val="auto"/>
                <w:sz w:val="24"/>
              </w:rPr>
              <w:t>（大写）</w:t>
            </w:r>
          </w:p>
        </w:tc>
      </w:tr>
    </w:tbl>
    <w:p>
      <w:pPr>
        <w:shd w:val="clear" w:color="auto" w:fill="FFFFFF"/>
        <w:snapToGrid w:val="0"/>
        <w:spacing w:line="600" w:lineRule="exact"/>
        <w:ind w:firstLine="480"/>
        <w:rPr>
          <w:rFonts w:hint="eastAsia" w:ascii="宋体" w:hAnsi="宋体" w:cs="宋体"/>
          <w:color w:val="auto"/>
          <w:kern w:val="0"/>
          <w:sz w:val="24"/>
          <w:lang w:val="zh-CN"/>
        </w:rPr>
      </w:pPr>
      <w:r>
        <w:rPr>
          <w:rFonts w:hint="eastAsia" w:ascii="宋体" w:hAnsi="宋体" w:cs="宋体"/>
          <w:color w:val="auto"/>
          <w:kern w:val="0"/>
          <w:sz w:val="24"/>
        </w:rPr>
        <w:t>1</w:t>
      </w:r>
      <w:r>
        <w:rPr>
          <w:rFonts w:hint="eastAsia" w:ascii="宋体" w:hAnsi="宋体" w:cs="宋体"/>
          <w:color w:val="auto"/>
          <w:kern w:val="0"/>
          <w:sz w:val="24"/>
          <w:lang w:val="zh-CN"/>
        </w:rPr>
        <w:t>、本投标文件及其所附文件涵盖了我方要约的全部内容。</w:t>
      </w:r>
    </w:p>
    <w:p>
      <w:pPr>
        <w:shd w:val="clear" w:color="auto" w:fill="FFFFFF"/>
        <w:snapToGrid w:val="0"/>
        <w:spacing w:line="600" w:lineRule="exact"/>
        <w:ind w:firstLine="480"/>
        <w:rPr>
          <w:rFonts w:hint="eastAsia" w:ascii="宋体" w:hAnsi="宋体" w:cs="宋体"/>
          <w:color w:val="auto"/>
          <w:kern w:val="0"/>
          <w:sz w:val="24"/>
        </w:rPr>
      </w:pPr>
      <w:r>
        <w:rPr>
          <w:rFonts w:hint="eastAsia" w:ascii="宋体" w:hAnsi="宋体" w:cs="宋体"/>
          <w:color w:val="auto"/>
          <w:kern w:val="0"/>
          <w:sz w:val="24"/>
          <w:lang w:val="zh-CN"/>
        </w:rPr>
        <w:t>(1)我方要约有效期为自投标截止；日起</w:t>
      </w:r>
      <w:r>
        <w:rPr>
          <w:rFonts w:hint="eastAsia" w:ascii="宋体" w:hAnsi="宋体" w:cs="宋体"/>
          <w:color w:val="auto"/>
          <w:kern w:val="0"/>
          <w:sz w:val="24"/>
        </w:rPr>
        <w:t>9</w:t>
      </w:r>
      <w:r>
        <w:rPr>
          <w:rFonts w:hint="eastAsia" w:ascii="宋体" w:hAnsi="宋体" w:cs="宋体"/>
          <w:color w:val="auto"/>
          <w:kern w:val="0"/>
          <w:sz w:val="24"/>
          <w:lang w:val="zh-CN"/>
        </w:rPr>
        <w:t>0天；</w:t>
      </w:r>
    </w:p>
    <w:p>
      <w:pPr>
        <w:shd w:val="clear" w:color="auto" w:fill="FFFFFF"/>
        <w:snapToGrid w:val="0"/>
        <w:spacing w:line="6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(2)在投标有效标期内，我方受投标文件之价目表上我方要约金额的约束。</w:t>
      </w:r>
    </w:p>
    <w:p>
      <w:pPr>
        <w:shd w:val="clear" w:color="auto" w:fill="FFFFFF"/>
        <w:snapToGrid w:val="0"/>
        <w:spacing w:line="600" w:lineRule="exact"/>
        <w:ind w:firstLine="480"/>
        <w:rPr>
          <w:rFonts w:hint="eastAsia" w:ascii="宋体" w:hAnsi="宋体" w:cs="宋体"/>
          <w:color w:val="auto"/>
          <w:kern w:val="0"/>
          <w:sz w:val="24"/>
          <w:lang w:val="zh-CN"/>
        </w:rPr>
      </w:pPr>
    </w:p>
    <w:p>
      <w:pPr>
        <w:shd w:val="clear" w:color="auto" w:fill="FFFFFF"/>
        <w:snapToGrid w:val="0"/>
        <w:spacing w:line="600" w:lineRule="exact"/>
        <w:ind w:firstLine="360" w:firstLineChars="150"/>
        <w:rPr>
          <w:rFonts w:hint="eastAsia" w:ascii="宋体" w:hAnsi="宋体" w:cs="宋体"/>
          <w:color w:val="auto"/>
          <w:kern w:val="0"/>
          <w:sz w:val="24"/>
          <w:u w:val="single"/>
          <w:lang w:val="zh-CN"/>
        </w:rPr>
      </w:pPr>
      <w:r>
        <w:rPr>
          <w:rFonts w:hint="eastAsia" w:ascii="宋体" w:hAnsi="宋体" w:cs="宋体"/>
          <w:color w:val="auto"/>
          <w:kern w:val="0"/>
          <w:sz w:val="24"/>
          <w:lang w:val="zh-CN"/>
        </w:rPr>
        <w:t>法定（授权）代表人（签字）：</w:t>
      </w:r>
      <w:r>
        <w:rPr>
          <w:rFonts w:hint="eastAsia" w:ascii="宋体" w:hAnsi="宋体" w:cs="宋体"/>
          <w:color w:val="auto"/>
          <w:kern w:val="0"/>
          <w:sz w:val="24"/>
          <w:u w:val="single"/>
          <w:lang w:val="zh-CN"/>
        </w:rPr>
        <w:t xml:space="preserve">                </w:t>
      </w:r>
    </w:p>
    <w:p>
      <w:pPr>
        <w:shd w:val="clear" w:color="auto" w:fill="FFFFFF"/>
        <w:snapToGrid w:val="0"/>
        <w:spacing w:line="600" w:lineRule="exact"/>
        <w:ind w:firstLine="360" w:firstLineChars="150"/>
        <w:rPr>
          <w:rFonts w:hint="eastAsia" w:ascii="宋体" w:hAnsi="宋体" w:cs="宋体"/>
          <w:color w:val="auto"/>
          <w:kern w:val="0"/>
          <w:sz w:val="24"/>
        </w:rPr>
      </w:pPr>
      <w:r>
        <w:rPr>
          <w:rFonts w:hint="eastAsia" w:ascii="宋体" w:hAnsi="宋体" w:cs="宋体"/>
          <w:color w:val="auto"/>
          <w:kern w:val="0"/>
          <w:sz w:val="24"/>
        </w:rPr>
        <w:t>投标人名称（公章）:</w:t>
      </w:r>
      <w:r>
        <w:rPr>
          <w:rFonts w:hint="eastAsia" w:ascii="宋体" w:hAnsi="宋体" w:cs="宋体"/>
          <w:color w:val="auto"/>
          <w:kern w:val="0"/>
          <w:sz w:val="24"/>
          <w:u w:val="single"/>
          <w:lang w:val="zh-CN"/>
        </w:rPr>
        <w:t xml:space="preserve">                </w:t>
      </w:r>
    </w:p>
    <w:p>
      <w:pPr>
        <w:shd w:val="clear" w:color="auto" w:fill="FFFFFF"/>
        <w:snapToGrid w:val="0"/>
        <w:spacing w:line="600" w:lineRule="exact"/>
        <w:ind w:firstLine="360" w:firstLineChars="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u w:val="single"/>
          <w:lang w:val="zh-CN"/>
        </w:rPr>
        <w:t xml:space="preserve">                </w:t>
      </w:r>
    </w:p>
    <w:p>
      <w:pPr>
        <w:shd w:val="clear" w:color="auto" w:fill="FFFFFF"/>
        <w:snapToGrid w:val="0"/>
        <w:spacing w:line="600" w:lineRule="exact"/>
        <w:rPr>
          <w:rFonts w:hint="eastAsia" w:ascii="宋体" w:hAnsi="宋体" w:cs="宋体"/>
          <w:color w:val="auto"/>
          <w:sz w:val="24"/>
        </w:rPr>
      </w:pPr>
    </w:p>
    <w:p>
      <w:pPr>
        <w:shd w:val="clear" w:color="auto" w:fill="FFFFFF"/>
        <w:snapToGrid w:val="0"/>
        <w:spacing w:line="600" w:lineRule="exact"/>
        <w:rPr>
          <w:rFonts w:hint="eastAsia" w:ascii="宋体" w:hAnsi="宋体" w:cs="宋体"/>
          <w:color w:val="auto"/>
          <w:sz w:val="24"/>
        </w:rPr>
      </w:pPr>
    </w:p>
    <w:p>
      <w:pPr>
        <w:shd w:val="clear" w:color="auto" w:fill="FFFFFF"/>
        <w:snapToGrid w:val="0"/>
        <w:spacing w:line="600" w:lineRule="exact"/>
        <w:rPr>
          <w:rFonts w:hint="eastAsia" w:ascii="宋体" w:hAnsi="宋体" w:cs="宋体"/>
          <w:color w:val="auto"/>
          <w:sz w:val="24"/>
        </w:rPr>
      </w:pPr>
    </w:p>
    <w:p>
      <w:pPr>
        <w:spacing w:line="600" w:lineRule="exact"/>
        <w:rPr>
          <w:rFonts w:hint="eastAsia" w:ascii="宋体" w:hAnsi="宋体" w:cs="宋体"/>
          <w:color w:val="auto"/>
          <w:sz w:val="24"/>
        </w:rPr>
      </w:pPr>
    </w:p>
    <w:p>
      <w:pPr>
        <w:pageBreakBefore/>
        <w:shd w:val="clear" w:color="auto" w:fill="FFFFFF"/>
        <w:snapToGrid w:val="0"/>
        <w:spacing w:line="600" w:lineRule="exact"/>
        <w:ind w:firstLine="562" w:firstLineChars="200"/>
        <w:jc w:val="center"/>
        <w:outlineLvl w:val="2"/>
        <w:rPr>
          <w:rFonts w:hint="eastAsia" w:ascii="宋体" w:hAnsi="宋体" w:cs="宋体"/>
          <w:b/>
          <w:color w:val="auto"/>
          <w:sz w:val="24"/>
        </w:rPr>
      </w:pPr>
      <w:bookmarkStart w:id="147" w:name="_Toc233618992"/>
      <w:r>
        <w:rPr>
          <w:rFonts w:hint="eastAsia" w:ascii="宋体" w:hAnsi="宋体" w:cs="宋体"/>
          <w:b/>
          <w:bCs/>
          <w:color w:val="auto"/>
          <w:sz w:val="28"/>
          <w:szCs w:val="28"/>
        </w:rPr>
        <w:t>三、报价明细清单</w:t>
      </w:r>
      <w:bookmarkEnd w:id="147"/>
    </w:p>
    <w:p>
      <w:pPr>
        <w:snapToGrid w:val="0"/>
        <w:spacing w:line="600" w:lineRule="exact"/>
        <w:rPr>
          <w:rFonts w:hint="eastAsia" w:ascii="宋体" w:hAnsi="宋体" w:cs="宋体"/>
          <w:color w:val="auto"/>
          <w:sz w:val="24"/>
        </w:rPr>
      </w:pPr>
    </w:p>
    <w:tbl>
      <w:tblPr>
        <w:tblStyle w:val="77"/>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902"/>
        <w:gridCol w:w="815"/>
        <w:gridCol w:w="1436"/>
        <w:gridCol w:w="1340"/>
        <w:gridCol w:w="1904"/>
        <w:gridCol w:w="168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jc w:val="center"/>
        </w:trPr>
        <w:tc>
          <w:tcPr>
            <w:tcW w:w="902" w:type="dxa"/>
            <w:tcBorders>
              <w:top w:val="single" w:color="auto" w:sz="8" w:space="0"/>
              <w:left w:val="single" w:color="auto" w:sz="8" w:space="0"/>
              <w:bottom w:val="single" w:color="auto" w:sz="2" w:space="0"/>
              <w:right w:val="single" w:color="auto" w:sz="2" w:space="0"/>
            </w:tcBorders>
            <w:noWrap w:val="0"/>
            <w:vAlign w:val="center"/>
          </w:tcPr>
          <w:p>
            <w:pPr>
              <w:snapToGrid w:val="0"/>
              <w:spacing w:line="600" w:lineRule="exact"/>
              <w:jc w:val="center"/>
              <w:rPr>
                <w:rFonts w:hint="eastAsia" w:ascii="宋体" w:hAnsi="宋体" w:cs="宋体"/>
                <w:color w:val="auto"/>
                <w:sz w:val="24"/>
              </w:rPr>
            </w:pPr>
            <w:r>
              <w:rPr>
                <w:rFonts w:hint="eastAsia" w:ascii="宋体" w:hAnsi="宋体" w:cs="宋体"/>
                <w:color w:val="auto"/>
                <w:sz w:val="24"/>
              </w:rPr>
              <w:t>序号</w:t>
            </w:r>
          </w:p>
        </w:tc>
        <w:tc>
          <w:tcPr>
            <w:tcW w:w="3591" w:type="dxa"/>
            <w:gridSpan w:val="3"/>
            <w:tcBorders>
              <w:top w:val="single" w:color="auto" w:sz="8" w:space="0"/>
              <w:left w:val="single" w:color="auto" w:sz="2" w:space="0"/>
              <w:bottom w:val="single" w:color="auto" w:sz="2" w:space="0"/>
              <w:right w:val="single" w:color="auto" w:sz="2" w:space="0"/>
            </w:tcBorders>
            <w:noWrap w:val="0"/>
            <w:vAlign w:val="center"/>
          </w:tcPr>
          <w:p>
            <w:pPr>
              <w:snapToGrid w:val="0"/>
              <w:spacing w:line="600" w:lineRule="exact"/>
              <w:jc w:val="center"/>
              <w:rPr>
                <w:rFonts w:hint="eastAsia" w:ascii="宋体" w:hAnsi="宋体" w:cs="宋体"/>
                <w:color w:val="auto"/>
                <w:sz w:val="24"/>
              </w:rPr>
            </w:pPr>
            <w:r>
              <w:rPr>
                <w:rFonts w:hint="eastAsia" w:ascii="宋体" w:hAnsi="宋体" w:cs="宋体"/>
                <w:color w:val="auto"/>
                <w:sz w:val="24"/>
              </w:rPr>
              <w:t>名称</w:t>
            </w:r>
          </w:p>
        </w:tc>
        <w:tc>
          <w:tcPr>
            <w:tcW w:w="1904" w:type="dxa"/>
            <w:tcBorders>
              <w:top w:val="single" w:color="auto" w:sz="8" w:space="0"/>
              <w:left w:val="single" w:color="auto" w:sz="2" w:space="0"/>
              <w:bottom w:val="single" w:color="auto" w:sz="2" w:space="0"/>
              <w:right w:val="single" w:color="auto" w:sz="4" w:space="0"/>
            </w:tcBorders>
            <w:noWrap w:val="0"/>
            <w:vAlign w:val="center"/>
          </w:tcPr>
          <w:p>
            <w:pPr>
              <w:snapToGrid w:val="0"/>
              <w:spacing w:line="600" w:lineRule="exact"/>
              <w:jc w:val="center"/>
              <w:rPr>
                <w:rFonts w:hint="eastAsia" w:ascii="宋体" w:hAnsi="宋体" w:cs="宋体"/>
                <w:color w:val="auto"/>
                <w:sz w:val="24"/>
              </w:rPr>
            </w:pPr>
            <w:r>
              <w:rPr>
                <w:rFonts w:hint="eastAsia" w:ascii="宋体" w:hAnsi="宋体" w:cs="宋体"/>
                <w:color w:val="auto"/>
                <w:sz w:val="24"/>
              </w:rPr>
              <w:t>价格</w:t>
            </w:r>
          </w:p>
        </w:tc>
        <w:tc>
          <w:tcPr>
            <w:tcW w:w="1686" w:type="dxa"/>
            <w:tcBorders>
              <w:top w:val="single" w:color="auto" w:sz="8" w:space="0"/>
              <w:left w:val="single" w:color="auto" w:sz="4" w:space="0"/>
              <w:bottom w:val="single" w:color="auto" w:sz="2" w:space="0"/>
              <w:right w:val="single" w:color="auto" w:sz="8" w:space="0"/>
            </w:tcBorders>
            <w:noWrap w:val="0"/>
            <w:vAlign w:val="center"/>
          </w:tcPr>
          <w:p>
            <w:pPr>
              <w:snapToGrid w:val="0"/>
              <w:spacing w:line="600" w:lineRule="exact"/>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315" w:hRule="atLeast"/>
          <w:jc w:val="center"/>
        </w:trPr>
        <w:tc>
          <w:tcPr>
            <w:tcW w:w="902" w:type="dxa"/>
            <w:tcBorders>
              <w:top w:val="single" w:color="auto" w:sz="2"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cs="宋体"/>
                <w:color w:val="auto"/>
                <w:sz w:val="24"/>
              </w:rPr>
            </w:pPr>
            <w:r>
              <w:rPr>
                <w:rFonts w:hint="eastAsia" w:ascii="宋体" w:hAnsi="宋体" w:cs="宋体"/>
                <w:color w:val="auto"/>
                <w:sz w:val="24"/>
              </w:rPr>
              <w:t>1</w:t>
            </w:r>
          </w:p>
        </w:tc>
        <w:tc>
          <w:tcPr>
            <w:tcW w:w="3591" w:type="dxa"/>
            <w:gridSpan w:val="3"/>
            <w:tcBorders>
              <w:top w:val="single" w:color="auto" w:sz="2" w:space="0"/>
              <w:left w:val="single" w:color="auto" w:sz="2" w:space="0"/>
              <w:bottom w:val="single" w:color="auto" w:sz="4" w:space="0"/>
              <w:right w:val="single" w:color="auto" w:sz="2" w:space="0"/>
            </w:tcBorders>
            <w:noWrap w:val="0"/>
            <w:vAlign w:val="top"/>
          </w:tcPr>
          <w:p>
            <w:pPr>
              <w:snapToGrid w:val="0"/>
              <w:spacing w:line="600" w:lineRule="exact"/>
              <w:rPr>
                <w:rFonts w:hint="eastAsia" w:ascii="宋体" w:hAnsi="宋体" w:cs="宋体"/>
                <w:b/>
                <w:color w:val="auto"/>
                <w:sz w:val="24"/>
              </w:rPr>
            </w:pPr>
          </w:p>
        </w:tc>
        <w:tc>
          <w:tcPr>
            <w:tcW w:w="1904" w:type="dxa"/>
            <w:tcBorders>
              <w:top w:val="single" w:color="auto" w:sz="2"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auto"/>
                <w:sz w:val="24"/>
              </w:rPr>
            </w:pPr>
          </w:p>
        </w:tc>
        <w:tc>
          <w:tcPr>
            <w:tcW w:w="1686" w:type="dxa"/>
            <w:tcBorders>
              <w:top w:val="single" w:color="auto" w:sz="2"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27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cs="宋体"/>
                <w:color w:val="auto"/>
                <w:sz w:val="24"/>
              </w:rPr>
            </w:pPr>
            <w:r>
              <w:rPr>
                <w:rFonts w:hint="eastAsia" w:ascii="宋体" w:hAnsi="宋体" w:cs="宋体"/>
                <w:color w:val="auto"/>
                <w:sz w:val="24"/>
              </w:rPr>
              <w:t>2</w:t>
            </w:r>
          </w:p>
        </w:tc>
        <w:tc>
          <w:tcPr>
            <w:tcW w:w="3591"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600" w:lineRule="exact"/>
              <w:rPr>
                <w:rFonts w:hint="eastAsia" w:ascii="宋体" w:hAnsi="宋体" w:cs="宋体"/>
                <w:color w:val="auto"/>
                <w:sz w:val="24"/>
              </w:rPr>
            </w:pPr>
          </w:p>
        </w:tc>
        <w:tc>
          <w:tcPr>
            <w:tcW w:w="1904"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auto"/>
                <w:sz w:val="24"/>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cs="宋体"/>
                <w:color w:val="auto"/>
                <w:sz w:val="24"/>
              </w:rPr>
            </w:pPr>
            <w:r>
              <w:rPr>
                <w:rFonts w:hint="eastAsia" w:ascii="宋体" w:hAnsi="宋体" w:cs="宋体"/>
                <w:color w:val="auto"/>
                <w:sz w:val="24"/>
              </w:rPr>
              <w:t>3</w:t>
            </w:r>
          </w:p>
        </w:tc>
        <w:tc>
          <w:tcPr>
            <w:tcW w:w="3591"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600" w:lineRule="exact"/>
              <w:rPr>
                <w:rFonts w:hint="eastAsia" w:ascii="宋体" w:hAnsi="宋体" w:cs="宋体"/>
                <w:color w:val="auto"/>
                <w:sz w:val="24"/>
              </w:rPr>
            </w:pPr>
          </w:p>
        </w:tc>
        <w:tc>
          <w:tcPr>
            <w:tcW w:w="1904"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auto"/>
                <w:sz w:val="24"/>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cs="宋体"/>
                <w:color w:val="auto"/>
                <w:sz w:val="24"/>
              </w:rPr>
            </w:pPr>
            <w:r>
              <w:rPr>
                <w:rFonts w:hint="eastAsia" w:ascii="宋体" w:hAnsi="宋体" w:cs="宋体"/>
                <w:color w:val="auto"/>
                <w:sz w:val="24"/>
              </w:rPr>
              <w:t>4</w:t>
            </w:r>
          </w:p>
        </w:tc>
        <w:tc>
          <w:tcPr>
            <w:tcW w:w="3591"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600" w:lineRule="exact"/>
              <w:rPr>
                <w:rFonts w:hint="eastAsia" w:ascii="宋体" w:hAnsi="宋体" w:cs="宋体"/>
                <w:color w:val="auto"/>
                <w:sz w:val="24"/>
              </w:rPr>
            </w:pPr>
          </w:p>
        </w:tc>
        <w:tc>
          <w:tcPr>
            <w:tcW w:w="1904"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auto"/>
                <w:sz w:val="24"/>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cs="宋体"/>
                <w:color w:val="auto"/>
                <w:sz w:val="24"/>
              </w:rPr>
            </w:pPr>
            <w:r>
              <w:rPr>
                <w:rFonts w:hint="eastAsia" w:ascii="宋体" w:hAnsi="宋体" w:cs="宋体"/>
                <w:color w:val="auto"/>
                <w:sz w:val="24"/>
              </w:rPr>
              <w:t>5</w:t>
            </w:r>
          </w:p>
        </w:tc>
        <w:tc>
          <w:tcPr>
            <w:tcW w:w="3591"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600" w:lineRule="exact"/>
              <w:rPr>
                <w:rFonts w:hint="eastAsia" w:ascii="宋体" w:hAnsi="宋体" w:cs="宋体"/>
                <w:color w:val="auto"/>
                <w:sz w:val="24"/>
              </w:rPr>
            </w:pPr>
          </w:p>
        </w:tc>
        <w:tc>
          <w:tcPr>
            <w:tcW w:w="1904"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auto"/>
                <w:sz w:val="24"/>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80" w:hRule="atLeast"/>
          <w:jc w:val="center"/>
        </w:trPr>
        <w:tc>
          <w:tcPr>
            <w:tcW w:w="902" w:type="dxa"/>
            <w:tcBorders>
              <w:top w:val="single" w:color="auto" w:sz="4" w:space="0"/>
              <w:left w:val="single" w:color="auto" w:sz="8" w:space="0"/>
              <w:right w:val="single" w:color="auto" w:sz="2" w:space="0"/>
            </w:tcBorders>
            <w:noWrap w:val="0"/>
            <w:vAlign w:val="center"/>
          </w:tcPr>
          <w:p>
            <w:pPr>
              <w:snapToGrid w:val="0"/>
              <w:spacing w:line="600" w:lineRule="exact"/>
              <w:jc w:val="center"/>
              <w:rPr>
                <w:rFonts w:hint="eastAsia" w:ascii="宋体" w:hAnsi="宋体" w:cs="宋体"/>
                <w:color w:val="auto"/>
                <w:sz w:val="24"/>
              </w:rPr>
            </w:pPr>
          </w:p>
        </w:tc>
        <w:tc>
          <w:tcPr>
            <w:tcW w:w="3591" w:type="dxa"/>
            <w:gridSpan w:val="3"/>
            <w:tcBorders>
              <w:top w:val="single" w:color="auto" w:sz="4" w:space="0"/>
              <w:left w:val="single" w:color="auto" w:sz="2" w:space="0"/>
              <w:bottom w:val="single" w:color="auto" w:sz="4" w:space="0"/>
              <w:right w:val="single" w:color="auto" w:sz="2" w:space="0"/>
            </w:tcBorders>
            <w:noWrap w:val="0"/>
            <w:vAlign w:val="center"/>
          </w:tcPr>
          <w:p>
            <w:pPr>
              <w:tabs>
                <w:tab w:val="left" w:pos="6135"/>
              </w:tabs>
              <w:snapToGrid w:val="0"/>
              <w:spacing w:line="600" w:lineRule="exact"/>
              <w:jc w:val="left"/>
              <w:rPr>
                <w:rFonts w:hint="eastAsia" w:ascii="宋体" w:hAnsi="宋体" w:cs="宋体"/>
                <w:color w:val="auto"/>
                <w:sz w:val="24"/>
              </w:rPr>
            </w:pPr>
            <w:r>
              <w:rPr>
                <w:rFonts w:hint="eastAsia" w:ascii="宋体" w:hAnsi="宋体" w:cs="宋体"/>
                <w:color w:val="auto"/>
                <w:sz w:val="24"/>
              </w:rPr>
              <w:t>……</w:t>
            </w:r>
          </w:p>
        </w:tc>
        <w:tc>
          <w:tcPr>
            <w:tcW w:w="1904"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auto"/>
                <w:sz w:val="24"/>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jc w:val="center"/>
        </w:trPr>
        <w:tc>
          <w:tcPr>
            <w:tcW w:w="1717" w:type="dxa"/>
            <w:gridSpan w:val="2"/>
            <w:vMerge w:val="restart"/>
            <w:tcBorders>
              <w:top w:val="single" w:color="auto" w:sz="2" w:space="0"/>
              <w:left w:val="single" w:color="auto" w:sz="8" w:space="0"/>
              <w:bottom w:val="single" w:color="auto" w:sz="8" w:space="0"/>
              <w:right w:val="single" w:color="auto" w:sz="4" w:space="0"/>
            </w:tcBorders>
            <w:noWrap w:val="0"/>
            <w:vAlign w:val="center"/>
          </w:tcPr>
          <w:p>
            <w:pPr>
              <w:snapToGrid w:val="0"/>
              <w:spacing w:line="600" w:lineRule="exact"/>
              <w:jc w:val="center"/>
              <w:rPr>
                <w:rFonts w:hint="eastAsia" w:ascii="宋体" w:hAnsi="宋体" w:cs="宋体"/>
                <w:color w:val="auto"/>
                <w:sz w:val="24"/>
              </w:rPr>
            </w:pPr>
            <w:r>
              <w:rPr>
                <w:rFonts w:hint="eastAsia" w:ascii="宋体" w:hAnsi="宋体" w:cs="宋体"/>
                <w:color w:val="auto"/>
                <w:sz w:val="24"/>
              </w:rPr>
              <w:t>总计</w:t>
            </w:r>
          </w:p>
        </w:tc>
        <w:tc>
          <w:tcPr>
            <w:tcW w:w="1436" w:type="dxa"/>
            <w:tcBorders>
              <w:top w:val="single" w:color="auto" w:sz="2" w:space="0"/>
              <w:left w:val="single" w:color="auto" w:sz="4" w:space="0"/>
              <w:bottom w:val="single" w:color="auto" w:sz="2" w:space="0"/>
              <w:right w:val="single" w:color="auto" w:sz="2" w:space="0"/>
            </w:tcBorders>
            <w:noWrap w:val="0"/>
            <w:vAlign w:val="center"/>
          </w:tcPr>
          <w:p>
            <w:pPr>
              <w:snapToGrid w:val="0"/>
              <w:spacing w:line="600" w:lineRule="exact"/>
              <w:jc w:val="center"/>
              <w:rPr>
                <w:rFonts w:hint="eastAsia" w:ascii="宋体" w:hAnsi="宋体" w:cs="宋体"/>
                <w:color w:val="auto"/>
                <w:sz w:val="24"/>
              </w:rPr>
            </w:pPr>
            <w:r>
              <w:rPr>
                <w:rFonts w:hint="eastAsia" w:ascii="宋体" w:hAnsi="宋体" w:cs="宋体"/>
                <w:color w:val="auto"/>
                <w:sz w:val="24"/>
              </w:rPr>
              <w:t>大写</w:t>
            </w:r>
          </w:p>
        </w:tc>
        <w:tc>
          <w:tcPr>
            <w:tcW w:w="4930" w:type="dxa"/>
            <w:gridSpan w:val="3"/>
            <w:tcBorders>
              <w:top w:val="single" w:color="auto" w:sz="2" w:space="0"/>
              <w:left w:val="single" w:color="auto" w:sz="4" w:space="0"/>
              <w:bottom w:val="single" w:color="auto" w:sz="2" w:space="0"/>
              <w:right w:val="single" w:color="auto" w:sz="8" w:space="0"/>
            </w:tcBorders>
            <w:noWrap w:val="0"/>
            <w:vAlign w:val="center"/>
          </w:tcPr>
          <w:p>
            <w:pPr>
              <w:snapToGrid w:val="0"/>
              <w:spacing w:line="600" w:lineRule="exact"/>
              <w:jc w:val="center"/>
              <w:rPr>
                <w:rFonts w:hint="eastAsia" w:ascii="宋体" w:hAnsi="宋体" w:cs="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jc w:val="center"/>
        </w:trPr>
        <w:tc>
          <w:tcPr>
            <w:tcW w:w="1717" w:type="dxa"/>
            <w:gridSpan w:val="2"/>
            <w:vMerge w:val="continue"/>
            <w:tcBorders>
              <w:top w:val="single" w:color="auto" w:sz="2" w:space="0"/>
              <w:left w:val="single" w:color="auto" w:sz="8" w:space="0"/>
              <w:bottom w:val="single" w:color="auto" w:sz="8" w:space="0"/>
              <w:right w:val="single" w:color="auto" w:sz="4" w:space="0"/>
            </w:tcBorders>
            <w:noWrap w:val="0"/>
            <w:vAlign w:val="center"/>
          </w:tcPr>
          <w:p>
            <w:pPr>
              <w:widowControl/>
              <w:snapToGrid w:val="0"/>
              <w:spacing w:line="600" w:lineRule="exact"/>
              <w:jc w:val="center"/>
              <w:rPr>
                <w:rFonts w:hint="eastAsia" w:ascii="宋体" w:hAnsi="宋体" w:cs="宋体"/>
                <w:color w:val="auto"/>
                <w:sz w:val="24"/>
              </w:rPr>
            </w:pPr>
          </w:p>
        </w:tc>
        <w:tc>
          <w:tcPr>
            <w:tcW w:w="1436" w:type="dxa"/>
            <w:tcBorders>
              <w:top w:val="single" w:color="auto" w:sz="2" w:space="0"/>
              <w:left w:val="single" w:color="auto" w:sz="4" w:space="0"/>
              <w:bottom w:val="single" w:color="auto" w:sz="8" w:space="0"/>
              <w:right w:val="single" w:color="auto" w:sz="2" w:space="0"/>
            </w:tcBorders>
            <w:noWrap w:val="0"/>
            <w:vAlign w:val="center"/>
          </w:tcPr>
          <w:p>
            <w:pPr>
              <w:snapToGrid w:val="0"/>
              <w:spacing w:line="600" w:lineRule="exact"/>
              <w:jc w:val="center"/>
              <w:rPr>
                <w:rFonts w:hint="eastAsia" w:ascii="宋体" w:hAnsi="宋体" w:cs="宋体"/>
                <w:color w:val="auto"/>
                <w:sz w:val="24"/>
              </w:rPr>
            </w:pPr>
            <w:r>
              <w:rPr>
                <w:rFonts w:hint="eastAsia" w:ascii="宋体" w:hAnsi="宋体" w:cs="宋体"/>
                <w:color w:val="auto"/>
                <w:sz w:val="24"/>
              </w:rPr>
              <w:t>小写</w:t>
            </w:r>
          </w:p>
        </w:tc>
        <w:tc>
          <w:tcPr>
            <w:tcW w:w="4930" w:type="dxa"/>
            <w:gridSpan w:val="3"/>
            <w:tcBorders>
              <w:top w:val="single" w:color="auto" w:sz="2" w:space="0"/>
              <w:left w:val="single" w:color="auto" w:sz="4" w:space="0"/>
              <w:bottom w:val="single" w:color="auto" w:sz="8" w:space="0"/>
              <w:right w:val="single" w:color="auto" w:sz="8" w:space="0"/>
            </w:tcBorders>
            <w:noWrap w:val="0"/>
            <w:vAlign w:val="center"/>
          </w:tcPr>
          <w:p>
            <w:pPr>
              <w:snapToGrid w:val="0"/>
              <w:spacing w:line="600" w:lineRule="exact"/>
              <w:jc w:val="center"/>
              <w:rPr>
                <w:rFonts w:hint="eastAsia" w:ascii="宋体" w:hAnsi="宋体" w:cs="宋体"/>
                <w:color w:val="auto"/>
                <w:sz w:val="24"/>
              </w:rPr>
            </w:pPr>
          </w:p>
        </w:tc>
      </w:tr>
    </w:tbl>
    <w:p>
      <w:pPr>
        <w:pStyle w:val="41"/>
        <w:snapToGrid w:val="0"/>
        <w:spacing w:line="60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注：</w:t>
      </w:r>
      <w:r>
        <w:rPr>
          <w:rFonts w:hint="eastAsia" w:ascii="宋体" w:hAnsi="宋体" w:eastAsia="宋体" w:cs="宋体"/>
          <w:color w:val="auto"/>
          <w:sz w:val="24"/>
          <w:szCs w:val="24"/>
        </w:rPr>
        <w:t>可根据具体情况调整报价明细清单格式，但应包括项目涉及的一切相关税、费等费用。</w:t>
      </w:r>
    </w:p>
    <w:p>
      <w:pPr>
        <w:pStyle w:val="41"/>
        <w:snapToGrid w:val="0"/>
        <w:spacing w:line="600" w:lineRule="exact"/>
        <w:rPr>
          <w:rFonts w:hint="eastAsia" w:ascii="宋体" w:hAnsi="宋体" w:eastAsia="宋体" w:cs="宋体"/>
          <w:color w:val="auto"/>
          <w:sz w:val="24"/>
          <w:szCs w:val="24"/>
        </w:rPr>
      </w:pPr>
    </w:p>
    <w:p>
      <w:pPr>
        <w:pStyle w:val="41"/>
        <w:snapToGrid w:val="0"/>
        <w:spacing w:line="600" w:lineRule="exact"/>
        <w:ind w:firstLine="600" w:firstLineChars="250"/>
        <w:rPr>
          <w:rFonts w:hint="eastAsia" w:ascii="宋体" w:hAnsi="宋体" w:eastAsia="宋体" w:cs="宋体"/>
          <w:color w:val="auto"/>
          <w:sz w:val="24"/>
          <w:szCs w:val="24"/>
        </w:rPr>
      </w:pPr>
    </w:p>
    <w:p>
      <w:pPr>
        <w:pStyle w:val="41"/>
        <w:snapToGrid w:val="0"/>
        <w:spacing w:line="600" w:lineRule="exact"/>
        <w:ind w:firstLine="600" w:firstLineChars="250"/>
        <w:rPr>
          <w:rFonts w:hint="eastAsia" w:ascii="宋体" w:hAnsi="宋体" w:eastAsia="宋体" w:cs="宋体"/>
          <w:color w:val="auto"/>
          <w:sz w:val="24"/>
          <w:szCs w:val="24"/>
        </w:rPr>
      </w:pP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投标人名称(公章)：</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授权代表人(签字)：</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日期：    年  月   日</w:t>
      </w:r>
    </w:p>
    <w:p>
      <w:pPr>
        <w:pageBreakBefore/>
        <w:shd w:val="clear" w:color="auto" w:fill="FFFFFF"/>
        <w:snapToGrid w:val="0"/>
        <w:spacing w:line="600" w:lineRule="exact"/>
        <w:jc w:val="center"/>
        <w:outlineLvl w:val="2"/>
        <w:rPr>
          <w:rFonts w:hint="eastAsia" w:ascii="宋体" w:hAnsi="宋体" w:cs="宋体"/>
          <w:b/>
          <w:color w:val="auto"/>
          <w:kern w:val="0"/>
          <w:sz w:val="24"/>
        </w:rPr>
      </w:pPr>
      <w:r>
        <w:rPr>
          <w:rFonts w:hint="eastAsia" w:ascii="宋体" w:hAnsi="宋体" w:cs="宋体"/>
          <w:b/>
          <w:bCs/>
          <w:color w:val="auto"/>
          <w:sz w:val="28"/>
          <w:szCs w:val="28"/>
        </w:rPr>
        <w:t>四、中小企业声明函、监狱企业、残疾人福利性单位及其他相关的充分的证明材料中小企业声明函及其相关的充分的证明材料</w:t>
      </w:r>
    </w:p>
    <w:p>
      <w:pPr>
        <w:jc w:val="center"/>
        <w:rPr>
          <w:rFonts w:hint="eastAsia"/>
          <w:b/>
          <w:bCs/>
          <w:color w:val="auto"/>
          <w:sz w:val="28"/>
          <w:szCs w:val="28"/>
        </w:rPr>
      </w:pPr>
    </w:p>
    <w:p>
      <w:pPr>
        <w:jc w:val="center"/>
        <w:rPr>
          <w:rFonts w:hint="eastAsia"/>
          <w:color w:val="auto"/>
        </w:rPr>
      </w:pPr>
      <w:r>
        <w:rPr>
          <w:rFonts w:hint="eastAsia"/>
          <w:b/>
          <w:bCs/>
          <w:color w:val="auto"/>
          <w:sz w:val="28"/>
          <w:szCs w:val="28"/>
        </w:rPr>
        <w:t>中小企业声明函</w:t>
      </w:r>
    </w:p>
    <w:p>
      <w:pPr>
        <w:widowControl/>
        <w:snapToGrid w:val="0"/>
        <w:spacing w:line="600" w:lineRule="exact"/>
        <w:ind w:firstLine="480" w:firstLineChars="200"/>
        <w:jc w:val="center"/>
        <w:rPr>
          <w:rFonts w:hint="eastAsia" w:ascii="宋体" w:hAnsi="宋体" w:cs="宋体"/>
          <w:color w:val="auto"/>
          <w:kern w:val="0"/>
          <w:sz w:val="24"/>
        </w:rPr>
      </w:pPr>
      <w:r>
        <w:rPr>
          <w:rFonts w:hint="eastAsia" w:ascii="宋体" w:hAnsi="宋体" w:cs="宋体"/>
          <w:color w:val="auto"/>
          <w:kern w:val="0"/>
          <w:sz w:val="24"/>
        </w:rPr>
        <w:t>【不属于中小企业的无需填写、递交】</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本公司郑重声明，根据《政府采购促进中小企业发展暂行办法》（财库[2011]181 号）的规定，本公司为的______（请填写：中型、小型、微型）企业。即，本公司同时满足以下条件：</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auto"/>
          <w:kern w:val="0"/>
          <w:sz w:val="24"/>
          <w:u w:val="single"/>
        </w:rPr>
        <w:t>______</w:t>
      </w:r>
      <w:r>
        <w:rPr>
          <w:rFonts w:hint="eastAsia" w:ascii="宋体" w:hAnsi="宋体" w:cs="宋体"/>
          <w:color w:val="auto"/>
          <w:kern w:val="0"/>
          <w:sz w:val="24"/>
        </w:rPr>
        <w:t>（请填写：中型、小型、微型）企业。</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2、本公司参加______（采购人）的______（项目名称）______（标项名称）采购活动提供本企业提供服务，或者提供其他______（请填写：中型、小型、微型）企业提供服务（制造商的中小企业声明函另附）。本条所称货物不包括使用大型企业注册商标的货物。</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本公司对上述声明的真实性负责。如有虚假，将依法承担相应责任。</w:t>
      </w:r>
    </w:p>
    <w:p>
      <w:pPr>
        <w:widowControl/>
        <w:snapToGrid w:val="0"/>
        <w:spacing w:line="600" w:lineRule="exact"/>
        <w:ind w:firstLine="480" w:firstLineChars="200"/>
        <w:jc w:val="left"/>
        <w:rPr>
          <w:rFonts w:hint="eastAsia" w:ascii="宋体" w:hAnsi="宋体" w:cs="宋体"/>
          <w:color w:val="auto"/>
          <w:kern w:val="0"/>
          <w:sz w:val="24"/>
        </w:rPr>
      </w:pP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投标人名称（盖章）：</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日期：    年  月  日</w:t>
      </w:r>
    </w:p>
    <w:p>
      <w:pPr>
        <w:widowControl/>
        <w:pBdr>
          <w:bottom w:val="single" w:color="auto" w:sz="6" w:space="1"/>
        </w:pBdr>
        <w:snapToGrid w:val="0"/>
        <w:spacing w:line="600" w:lineRule="exact"/>
        <w:ind w:firstLine="480" w:firstLineChars="200"/>
        <w:jc w:val="left"/>
        <w:rPr>
          <w:rFonts w:hint="eastAsia" w:ascii="宋体" w:hAnsi="宋体" w:cs="宋体"/>
          <w:color w:val="auto"/>
          <w:kern w:val="0"/>
          <w:sz w:val="24"/>
        </w:rPr>
      </w:pPr>
    </w:p>
    <w:p>
      <w:pPr>
        <w:widowControl/>
        <w:snapToGrid w:val="0"/>
        <w:spacing w:line="600" w:lineRule="exact"/>
        <w:ind w:firstLine="480" w:firstLineChars="200"/>
        <w:jc w:val="left"/>
        <w:rPr>
          <w:rFonts w:hint="eastAsia" w:ascii="宋体" w:hAnsi="宋体" w:cs="宋体"/>
          <w:color w:val="auto"/>
          <w:kern w:val="0"/>
          <w:sz w:val="24"/>
        </w:rPr>
      </w:pP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填写说明：</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1）投标人为中型、小型、微型企业的提供此函；</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2）中型企业不享受价格扣除，小型、微型企业的行业类别由评审专家结合投标人出具的证明材料认定；经认定不符合小型、微型企业标准的，不享受价格扣除；</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3）所投标项内的产品如由多个企业制造的，在填写企业类型时，按产品生产企业中规模最大的企业类型填写；</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 xml:space="preserve">4）投标产品制造商投标，提供投标人出具的《中小企业声明函》及其相关的充分的证明材料；代理商投标，提供投标人及产品制造商出具的《中小企业声明函》及其相关的充分的证明材料； </w:t>
      </w:r>
    </w:p>
    <w:p>
      <w:pPr>
        <w:widowControl/>
        <w:snapToGrid w:val="0"/>
        <w:spacing w:line="600" w:lineRule="exact"/>
        <w:ind w:firstLine="480" w:firstLineChars="200"/>
        <w:jc w:val="left"/>
        <w:rPr>
          <w:rFonts w:hint="eastAsia" w:ascii="宋体" w:hAnsi="宋体" w:cs="宋体"/>
          <w:b/>
          <w:color w:val="auto"/>
          <w:kern w:val="0"/>
          <w:sz w:val="24"/>
        </w:rPr>
      </w:pPr>
      <w:r>
        <w:rPr>
          <w:rFonts w:hint="eastAsia" w:ascii="宋体" w:hAnsi="宋体" w:cs="宋体"/>
          <w:color w:val="auto"/>
          <w:kern w:val="0"/>
          <w:sz w:val="24"/>
        </w:rPr>
        <w:t>5）注：小型、微型企业参加政府采购活动时，应提供：a）《中小企业声明函》；上述证明材料提供不齐全的，不能享受价格扣除。</w:t>
      </w:r>
    </w:p>
    <w:p>
      <w:pPr>
        <w:widowControl/>
        <w:snapToGrid w:val="0"/>
        <w:spacing w:line="600" w:lineRule="exact"/>
        <w:ind w:firstLine="480" w:firstLineChars="200"/>
        <w:jc w:val="left"/>
        <w:rPr>
          <w:rFonts w:hint="eastAsia" w:ascii="宋体" w:hAnsi="宋体" w:cs="宋体"/>
          <w:color w:val="auto"/>
          <w:kern w:val="0"/>
          <w:sz w:val="24"/>
        </w:rPr>
      </w:pPr>
    </w:p>
    <w:p>
      <w:pPr>
        <w:widowControl/>
        <w:snapToGrid w:val="0"/>
        <w:spacing w:line="600" w:lineRule="exact"/>
        <w:ind w:firstLine="482" w:firstLineChars="200"/>
        <w:jc w:val="left"/>
        <w:rPr>
          <w:rFonts w:hint="eastAsia" w:ascii="宋体" w:hAnsi="宋体" w:cs="宋体"/>
          <w:b/>
          <w:bCs/>
          <w:color w:val="auto"/>
          <w:kern w:val="0"/>
          <w:sz w:val="24"/>
        </w:rPr>
      </w:pPr>
      <w:r>
        <w:rPr>
          <w:rFonts w:hint="eastAsia" w:ascii="宋体" w:hAnsi="宋体" w:cs="宋体"/>
          <w:b/>
          <w:bCs/>
          <w:color w:val="auto"/>
          <w:kern w:val="0"/>
          <w:sz w:val="24"/>
        </w:rPr>
        <w:t>▲投标人提供的中小企业声明函与实际情况不符的，视为投标人提供虚假材料投标的，投标无效。</w:t>
      </w:r>
    </w:p>
    <w:p>
      <w:pPr>
        <w:widowControl/>
        <w:snapToGrid w:val="0"/>
        <w:spacing w:line="600" w:lineRule="exact"/>
        <w:jc w:val="center"/>
        <w:rPr>
          <w:rFonts w:hint="eastAsia" w:ascii="宋体" w:hAnsi="宋体" w:cs="宋体"/>
          <w:b/>
          <w:color w:val="auto"/>
          <w:kern w:val="0"/>
          <w:sz w:val="24"/>
        </w:rPr>
        <w:sectPr>
          <w:pgSz w:w="11906" w:h="16838"/>
          <w:pgMar w:top="993" w:right="1474" w:bottom="1134" w:left="1474" w:header="851" w:footer="641" w:gutter="0"/>
          <w:cols w:space="720" w:num="1"/>
          <w:docGrid w:type="lines" w:linePitch="315" w:charSpace="0"/>
        </w:sectPr>
      </w:pPr>
    </w:p>
    <w:p>
      <w:pPr>
        <w:widowControl/>
        <w:snapToGrid w:val="0"/>
        <w:spacing w:line="600" w:lineRule="exact"/>
        <w:jc w:val="center"/>
        <w:rPr>
          <w:rFonts w:hint="eastAsia" w:ascii="宋体" w:hAnsi="宋体" w:cs="宋体"/>
          <w:b/>
          <w:color w:val="auto"/>
          <w:kern w:val="0"/>
          <w:sz w:val="24"/>
        </w:rPr>
      </w:pPr>
      <w:r>
        <w:rPr>
          <w:rFonts w:hint="eastAsia"/>
          <w:b/>
          <w:bCs/>
          <w:color w:val="auto"/>
          <w:sz w:val="28"/>
          <w:szCs w:val="28"/>
        </w:rPr>
        <w:t>监狱企业声明函</w:t>
      </w:r>
    </w:p>
    <w:p>
      <w:pPr>
        <w:widowControl/>
        <w:snapToGrid w:val="0"/>
        <w:spacing w:line="600" w:lineRule="exact"/>
        <w:ind w:firstLine="480" w:firstLineChars="200"/>
        <w:jc w:val="center"/>
        <w:rPr>
          <w:rFonts w:hint="eastAsia" w:ascii="宋体" w:hAnsi="宋体" w:cs="宋体"/>
          <w:color w:val="auto"/>
          <w:kern w:val="0"/>
          <w:sz w:val="24"/>
        </w:rPr>
      </w:pPr>
      <w:r>
        <w:rPr>
          <w:rFonts w:hint="eastAsia" w:ascii="宋体" w:hAnsi="宋体" w:cs="宋体"/>
          <w:color w:val="auto"/>
          <w:kern w:val="0"/>
          <w:sz w:val="24"/>
        </w:rPr>
        <w:t>【不属于监狱企业的无需填写、递交】</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本公司郑重声明，根据《关于政府采购支持监狱企业发展有关问题的通知》 （财库[2014]68 号）的规定，本公司为</w:t>
      </w:r>
      <w:r>
        <w:rPr>
          <w:rFonts w:hint="eastAsia" w:ascii="宋体" w:hAnsi="宋体" w:cs="宋体"/>
          <w:color w:val="auto"/>
          <w:kern w:val="0"/>
          <w:sz w:val="24"/>
          <w:u w:val="single"/>
        </w:rPr>
        <w:t>监狱企业</w:t>
      </w:r>
      <w:r>
        <w:rPr>
          <w:rFonts w:hint="eastAsia" w:ascii="宋体" w:hAnsi="宋体" w:cs="宋体"/>
          <w:color w:val="auto"/>
          <w:kern w:val="0"/>
          <w:sz w:val="24"/>
        </w:rPr>
        <w:t>。</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根据上述标准，我公司属于监狱企业的理由为：</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本公司为参加（</w:t>
      </w:r>
      <w:r>
        <w:rPr>
          <w:rFonts w:hint="eastAsia" w:ascii="宋体" w:hAnsi="宋体" w:cs="宋体"/>
          <w:color w:val="auto"/>
          <w:kern w:val="0"/>
          <w:sz w:val="24"/>
          <w:u w:val="single"/>
        </w:rPr>
        <w:t xml:space="preserve">    项目名称    </w:t>
      </w:r>
      <w:r>
        <w:rPr>
          <w:rFonts w:hint="eastAsia" w:ascii="宋体" w:hAnsi="宋体" w:cs="宋体"/>
          <w:color w:val="auto"/>
          <w:kern w:val="0"/>
          <w:sz w:val="24"/>
        </w:rPr>
        <w:t>） （项目编号：</w:t>
      </w:r>
      <w:r>
        <w:rPr>
          <w:rFonts w:hint="eastAsia" w:ascii="宋体" w:hAnsi="宋体" w:cs="宋体"/>
          <w:color w:val="auto"/>
          <w:kern w:val="0"/>
          <w:sz w:val="24"/>
          <w:u w:val="single"/>
        </w:rPr>
        <w:t xml:space="preserve">      </w:t>
      </w:r>
      <w:r>
        <w:rPr>
          <w:rFonts w:hint="eastAsia" w:ascii="宋体" w:hAnsi="宋体" w:cs="宋体"/>
          <w:color w:val="auto"/>
          <w:kern w:val="0"/>
          <w:sz w:val="24"/>
        </w:rPr>
        <w:t>）采购活动提供本企业提供服务。</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本公司对上述声明的真实性负责。如有虚假，将依法承担相应责任。</w:t>
      </w:r>
    </w:p>
    <w:p>
      <w:pPr>
        <w:widowControl/>
        <w:snapToGrid w:val="0"/>
        <w:spacing w:line="600" w:lineRule="exact"/>
        <w:ind w:firstLine="480" w:firstLineChars="200"/>
        <w:jc w:val="left"/>
        <w:rPr>
          <w:rFonts w:hint="eastAsia" w:ascii="宋体" w:hAnsi="宋体" w:cs="宋体"/>
          <w:color w:val="auto"/>
          <w:kern w:val="0"/>
          <w:sz w:val="24"/>
        </w:rPr>
      </w:pP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投标人名称（盖章）：</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日期：    年  月  日</w:t>
      </w:r>
    </w:p>
    <w:p>
      <w:pPr>
        <w:snapToGrid w:val="0"/>
        <w:spacing w:line="600" w:lineRule="exact"/>
        <w:rPr>
          <w:rFonts w:hint="eastAsia" w:ascii="宋体" w:hAnsi="宋体" w:cs="宋体"/>
          <w:b/>
          <w:color w:val="auto"/>
          <w:spacing w:val="6"/>
          <w:sz w:val="24"/>
        </w:rPr>
      </w:pPr>
      <w:bookmarkStart w:id="148" w:name="OLE_LINK13"/>
      <w:bookmarkStart w:id="149" w:name="OLE_LINK14"/>
    </w:p>
    <w:p>
      <w:pPr>
        <w:snapToGrid w:val="0"/>
        <w:spacing w:line="600" w:lineRule="exact"/>
        <w:rPr>
          <w:rFonts w:hint="eastAsia" w:ascii="宋体" w:hAnsi="宋体" w:cs="宋体"/>
          <w:b/>
          <w:color w:val="auto"/>
          <w:spacing w:val="6"/>
          <w:sz w:val="24"/>
        </w:rPr>
      </w:pPr>
    </w:p>
    <w:p>
      <w:pPr>
        <w:snapToGrid w:val="0"/>
        <w:spacing w:line="600" w:lineRule="exact"/>
        <w:rPr>
          <w:rFonts w:hint="eastAsia" w:ascii="宋体" w:hAnsi="宋体" w:cs="宋体"/>
          <w:b/>
          <w:color w:val="auto"/>
          <w:spacing w:val="6"/>
          <w:sz w:val="24"/>
        </w:rPr>
      </w:pPr>
    </w:p>
    <w:p>
      <w:pPr>
        <w:pageBreakBefore/>
        <w:snapToGrid w:val="0"/>
        <w:spacing w:line="600" w:lineRule="exact"/>
        <w:jc w:val="center"/>
        <w:rPr>
          <w:rFonts w:hint="eastAsia" w:ascii="宋体" w:hAnsi="宋体" w:cs="宋体"/>
          <w:b/>
          <w:color w:val="auto"/>
          <w:spacing w:val="6"/>
          <w:sz w:val="24"/>
        </w:rPr>
      </w:pPr>
      <w:r>
        <w:rPr>
          <w:rFonts w:hint="eastAsia"/>
          <w:b/>
          <w:bCs/>
          <w:color w:val="auto"/>
          <w:sz w:val="28"/>
          <w:szCs w:val="28"/>
        </w:rPr>
        <w:t>残疾人福利性单位声明函</w:t>
      </w:r>
      <w:bookmarkEnd w:id="148"/>
      <w:bookmarkEnd w:id="149"/>
    </w:p>
    <w:p>
      <w:pPr>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pPr>
        <w:snapToGrid w:val="0"/>
        <w:spacing w:line="600" w:lineRule="exact"/>
        <w:ind w:firstLine="480" w:firstLineChars="200"/>
        <w:rPr>
          <w:rFonts w:hint="eastAsia" w:ascii="宋体" w:hAnsi="宋体" w:cs="宋体"/>
          <w:color w:val="auto"/>
          <w:sz w:val="24"/>
        </w:rPr>
      </w:pPr>
    </w:p>
    <w:p>
      <w:pPr>
        <w:snapToGrid w:val="0"/>
        <w:spacing w:line="600" w:lineRule="exact"/>
        <w:ind w:firstLine="480" w:firstLineChars="200"/>
        <w:rPr>
          <w:rFonts w:hint="eastAsia" w:ascii="宋体" w:hAnsi="宋体" w:cs="宋体"/>
          <w:color w:val="auto"/>
          <w:sz w:val="24"/>
        </w:rPr>
      </w:pPr>
    </w:p>
    <w:p>
      <w:pPr>
        <w:tabs>
          <w:tab w:val="left" w:pos="4860"/>
        </w:tabs>
        <w:snapToGrid w:val="0"/>
        <w:spacing w:line="600" w:lineRule="exact"/>
        <w:ind w:right="1560" w:firstLine="480" w:firstLineChars="200"/>
        <w:jc w:val="left"/>
        <w:rPr>
          <w:rFonts w:hint="eastAsia" w:ascii="宋体" w:hAnsi="宋体" w:cs="宋体"/>
          <w:color w:val="auto"/>
          <w:sz w:val="24"/>
        </w:rPr>
      </w:pPr>
      <w:r>
        <w:rPr>
          <w:rFonts w:hint="eastAsia" w:ascii="宋体" w:hAnsi="宋体" w:cs="宋体"/>
          <w:color w:val="auto"/>
          <w:sz w:val="24"/>
        </w:rPr>
        <w:t xml:space="preserve">       单位名称（盖章）：</w:t>
      </w:r>
    </w:p>
    <w:p>
      <w:pPr>
        <w:tabs>
          <w:tab w:val="left" w:pos="4860"/>
        </w:tabs>
        <w:snapToGrid w:val="0"/>
        <w:spacing w:line="600" w:lineRule="exact"/>
        <w:ind w:right="1560" w:firstLine="480" w:firstLineChars="200"/>
        <w:jc w:val="left"/>
        <w:rPr>
          <w:rFonts w:hint="eastAsia" w:ascii="宋体" w:hAnsi="宋体" w:cs="宋体"/>
          <w:color w:val="auto"/>
          <w:sz w:val="24"/>
        </w:rPr>
      </w:pPr>
      <w:r>
        <w:rPr>
          <w:rFonts w:hint="eastAsia" w:ascii="宋体" w:hAnsi="宋体" w:cs="宋体"/>
          <w:color w:val="auto"/>
          <w:sz w:val="24"/>
        </w:rPr>
        <w:t xml:space="preserve">       日  期：</w:t>
      </w:r>
    </w:p>
    <w:p>
      <w:pPr>
        <w:pStyle w:val="479"/>
        <w:snapToGrid w:val="0"/>
        <w:spacing w:line="600" w:lineRule="exact"/>
        <w:ind w:left="360" w:firstLine="0" w:firstLineChars="0"/>
        <w:rPr>
          <w:rFonts w:hint="eastAsia" w:ascii="宋体" w:hAnsi="宋体" w:cs="宋体"/>
          <w:color w:val="auto"/>
          <w:sz w:val="24"/>
          <w:szCs w:val="24"/>
        </w:rPr>
      </w:pPr>
      <w:r>
        <w:rPr>
          <w:rFonts w:hint="eastAsia" w:ascii="宋体" w:hAnsi="宋体" w:cs="宋体"/>
          <w:color w:val="auto"/>
          <w:sz w:val="24"/>
          <w:szCs w:val="24"/>
        </w:rPr>
        <w:t>扶持政策说明：</w:t>
      </w:r>
    </w:p>
    <w:p>
      <w:pPr>
        <w:pStyle w:val="479"/>
        <w:snapToGrid w:val="0"/>
        <w:spacing w:line="600" w:lineRule="exact"/>
        <w:ind w:firstLine="480"/>
        <w:rPr>
          <w:rFonts w:hint="eastAsia" w:ascii="宋体" w:hAnsi="宋体" w:cs="宋体"/>
          <w:color w:val="auto"/>
          <w:sz w:val="24"/>
          <w:szCs w:val="24"/>
        </w:rPr>
      </w:pPr>
      <w:r>
        <w:rPr>
          <w:rFonts w:hint="eastAsia" w:ascii="宋体" w:hAnsi="宋体" w:cs="宋体"/>
          <w:color w:val="auto"/>
          <w:sz w:val="24"/>
          <w:szCs w:val="24"/>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cs="宋体"/>
          <w:color w:val="auto"/>
          <w:sz w:val="24"/>
          <w:szCs w:val="24"/>
          <w:u w:val="single"/>
        </w:rPr>
        <w:t>6%</w:t>
      </w:r>
      <w:r>
        <w:rPr>
          <w:rFonts w:hint="eastAsia" w:ascii="宋体" w:hAnsi="宋体" w:cs="宋体"/>
          <w:color w:val="auto"/>
          <w:sz w:val="24"/>
          <w:szCs w:val="24"/>
        </w:rPr>
        <w:t>的扣除，并用扣除后的价格计算价格评分。</w:t>
      </w:r>
    </w:p>
    <w:p>
      <w:pPr>
        <w:snapToGrid w:val="0"/>
        <w:spacing w:line="600" w:lineRule="exact"/>
        <w:ind w:firstLine="240" w:firstLineChars="100"/>
        <w:rPr>
          <w:rFonts w:hint="eastAsia" w:ascii="宋体" w:hAnsi="宋体" w:cs="宋体"/>
          <w:color w:val="auto"/>
          <w:sz w:val="24"/>
        </w:rPr>
      </w:pPr>
      <w:r>
        <w:rPr>
          <w:rFonts w:hint="eastAsia" w:ascii="宋体" w:hAnsi="宋体" w:cs="宋体"/>
          <w:color w:val="auto"/>
          <w:sz w:val="24"/>
        </w:rPr>
        <w:t>2、监狱企业视同小微企业，参加本项目投标的，享受小微企业同等的价格扣除。【注：提供《监狱企业声明函》及其相关的充分的证明材料】。</w:t>
      </w:r>
    </w:p>
    <w:p>
      <w:pPr>
        <w:pStyle w:val="479"/>
        <w:snapToGrid w:val="0"/>
        <w:spacing w:line="600" w:lineRule="exact"/>
        <w:ind w:firstLine="240" w:firstLineChars="100"/>
        <w:jc w:val="left"/>
        <w:rPr>
          <w:rFonts w:hint="eastAsia" w:ascii="宋体" w:hAnsi="宋体" w:cs="宋体"/>
          <w:color w:val="auto"/>
          <w:sz w:val="24"/>
          <w:szCs w:val="24"/>
        </w:rPr>
      </w:pPr>
      <w:r>
        <w:rPr>
          <w:rFonts w:hint="eastAsia" w:ascii="宋体" w:hAnsi="宋体" w:cs="宋体"/>
          <w:color w:val="auto"/>
          <w:sz w:val="24"/>
          <w:szCs w:val="24"/>
        </w:rPr>
        <w:t>3、残疾人福利性单位参加投标【提供《残疾人福利性单位声明函》】，视为小型、微型企业，享受小微企业政策扶持。</w:t>
      </w:r>
    </w:p>
    <w:p>
      <w:pPr>
        <w:pStyle w:val="479"/>
        <w:snapToGrid w:val="0"/>
        <w:spacing w:line="600" w:lineRule="exact"/>
        <w:ind w:left="360" w:firstLine="240" w:firstLineChars="100"/>
        <w:jc w:val="center"/>
        <w:rPr>
          <w:rFonts w:hint="eastAsia" w:ascii="宋体" w:hAnsi="宋体" w:cs="宋体"/>
          <w:color w:val="auto"/>
          <w:sz w:val="24"/>
          <w:szCs w:val="24"/>
        </w:rPr>
      </w:pPr>
    </w:p>
    <w:p>
      <w:pPr>
        <w:pStyle w:val="4"/>
        <w:snapToGrid w:val="0"/>
        <w:spacing w:line="600" w:lineRule="exact"/>
        <w:rPr>
          <w:rFonts w:hint="eastAsia" w:ascii="宋体" w:hAnsi="宋体" w:eastAsia="宋体"/>
          <w:color w:val="auto"/>
          <w:sz w:val="24"/>
          <w:szCs w:val="24"/>
        </w:rPr>
      </w:pPr>
      <w:r>
        <w:rPr>
          <w:rFonts w:hint="eastAsia" w:ascii="宋体" w:hAnsi="宋体" w:eastAsia="宋体"/>
          <w:color w:val="auto"/>
          <w:kern w:val="0"/>
          <w:sz w:val="24"/>
          <w:szCs w:val="24"/>
        </w:rPr>
        <w:br w:type="page"/>
      </w:r>
      <w:bookmarkStart w:id="150" w:name="_Toc354996708"/>
      <w:bookmarkStart w:id="151" w:name="_Toc33194408"/>
      <w:r>
        <w:rPr>
          <w:rFonts w:hint="eastAsia" w:ascii="宋体" w:hAnsi="宋体" w:eastAsia="宋体"/>
          <w:color w:val="auto"/>
          <w:sz w:val="24"/>
          <w:szCs w:val="24"/>
        </w:rPr>
        <w:t>商务</w:t>
      </w:r>
      <w:bookmarkEnd w:id="150"/>
      <w:bookmarkStart w:id="152" w:name="_Toc354996709"/>
      <w:r>
        <w:rPr>
          <w:rFonts w:hint="eastAsia" w:ascii="宋体" w:hAnsi="宋体" w:eastAsia="宋体"/>
          <w:color w:val="auto"/>
          <w:sz w:val="24"/>
          <w:szCs w:val="24"/>
        </w:rPr>
        <w:t>技术文件</w:t>
      </w:r>
      <w:bookmarkEnd w:id="151"/>
    </w:p>
    <w:p>
      <w:pPr>
        <w:shd w:val="clear" w:color="auto" w:fill="FFFFFF"/>
        <w:snapToGrid w:val="0"/>
        <w:spacing w:line="600" w:lineRule="exact"/>
        <w:jc w:val="center"/>
        <w:rPr>
          <w:rFonts w:hint="eastAsia" w:ascii="宋体" w:hAnsi="宋体" w:cs="宋体"/>
          <w:b/>
          <w:color w:val="auto"/>
          <w:kern w:val="0"/>
          <w:sz w:val="24"/>
        </w:rPr>
      </w:pPr>
      <w:bookmarkStart w:id="153" w:name="_Toc31837"/>
      <w:bookmarkStart w:id="154" w:name="_Toc25554"/>
      <w:bookmarkStart w:id="155" w:name="_Toc20721"/>
      <w:bookmarkStart w:id="156" w:name="_Toc7049"/>
      <w:bookmarkStart w:id="157" w:name="_Toc7803"/>
      <w:bookmarkStart w:id="158" w:name="_Toc20650"/>
      <w:bookmarkStart w:id="159" w:name="_Toc3604"/>
      <w:bookmarkStart w:id="160" w:name="_Toc27129"/>
      <w:bookmarkStart w:id="161" w:name="_Toc13194"/>
      <w:bookmarkStart w:id="162" w:name="_Toc13349"/>
      <w:bookmarkStart w:id="163" w:name="_Toc10347"/>
      <w:r>
        <w:rPr>
          <w:rFonts w:hint="eastAsia" w:ascii="宋体" w:hAnsi="宋体" w:cs="宋体"/>
          <w:b/>
          <w:color w:val="auto"/>
          <w:kern w:val="0"/>
          <w:sz w:val="24"/>
        </w:rPr>
        <w:t>目录</w:t>
      </w:r>
      <w:bookmarkEnd w:id="153"/>
      <w:bookmarkEnd w:id="154"/>
      <w:bookmarkEnd w:id="155"/>
      <w:bookmarkEnd w:id="156"/>
      <w:bookmarkEnd w:id="157"/>
      <w:bookmarkEnd w:id="158"/>
      <w:bookmarkEnd w:id="159"/>
      <w:bookmarkEnd w:id="160"/>
      <w:bookmarkEnd w:id="161"/>
      <w:bookmarkEnd w:id="162"/>
      <w:bookmarkEnd w:id="163"/>
    </w:p>
    <w:p>
      <w:pPr>
        <w:shd w:val="clear" w:color="auto" w:fill="FFFFFF"/>
        <w:snapToGrid w:val="0"/>
        <w:spacing w:line="600" w:lineRule="exact"/>
        <w:jc w:val="left"/>
        <w:rPr>
          <w:rFonts w:hint="eastAsia" w:ascii="宋体" w:hAnsi="宋体" w:cs="宋体"/>
          <w:color w:val="auto"/>
          <w:kern w:val="0"/>
          <w:sz w:val="24"/>
        </w:rPr>
      </w:pPr>
      <w:r>
        <w:rPr>
          <w:rFonts w:hint="eastAsia" w:ascii="宋体" w:hAnsi="宋体" w:cs="宋体"/>
          <w:color w:val="auto"/>
          <w:kern w:val="0"/>
          <w:sz w:val="24"/>
        </w:rPr>
        <w:t>（1）法定代表人授权委托书…………………………………………………………（页码）</w:t>
      </w:r>
    </w:p>
    <w:p>
      <w:pPr>
        <w:shd w:val="clear" w:color="auto" w:fill="FFFFFF"/>
        <w:snapToGrid w:val="0"/>
        <w:spacing w:line="600" w:lineRule="exact"/>
        <w:jc w:val="left"/>
        <w:rPr>
          <w:rFonts w:hint="eastAsia" w:ascii="宋体" w:hAnsi="宋体" w:cs="宋体"/>
          <w:color w:val="auto"/>
          <w:kern w:val="0"/>
          <w:sz w:val="24"/>
        </w:rPr>
      </w:pPr>
      <w:r>
        <w:rPr>
          <w:rFonts w:hint="eastAsia" w:ascii="宋体" w:hAnsi="宋体" w:cs="宋体"/>
          <w:color w:val="auto"/>
          <w:kern w:val="0"/>
          <w:sz w:val="24"/>
        </w:rPr>
        <w:t>（2）法定代表人及授权代表人的身份证……………………………………………（页码）</w:t>
      </w:r>
    </w:p>
    <w:p>
      <w:pPr>
        <w:shd w:val="clear" w:color="auto" w:fill="FFFFFF"/>
        <w:snapToGrid w:val="0"/>
        <w:spacing w:line="600" w:lineRule="exact"/>
        <w:jc w:val="left"/>
        <w:rPr>
          <w:rFonts w:hint="eastAsia" w:ascii="宋体" w:hAnsi="宋体" w:cs="宋体"/>
          <w:color w:val="auto"/>
          <w:kern w:val="0"/>
          <w:sz w:val="24"/>
        </w:rPr>
      </w:pPr>
      <w:r>
        <w:rPr>
          <w:rFonts w:hint="eastAsia" w:ascii="宋体" w:hAnsi="宋体" w:cs="宋体"/>
          <w:color w:val="auto"/>
          <w:kern w:val="0"/>
          <w:sz w:val="24"/>
        </w:rPr>
        <w:t>（3）技术偏离表………………………………………………………………………（页码）</w:t>
      </w:r>
    </w:p>
    <w:p>
      <w:pPr>
        <w:shd w:val="clear" w:color="auto" w:fill="FFFFFF"/>
        <w:snapToGrid w:val="0"/>
        <w:spacing w:line="600" w:lineRule="exact"/>
        <w:jc w:val="left"/>
        <w:rPr>
          <w:rFonts w:hint="eastAsia" w:ascii="宋体" w:hAnsi="宋体" w:cs="宋体"/>
          <w:color w:val="auto"/>
          <w:sz w:val="24"/>
        </w:rPr>
      </w:pPr>
      <w:r>
        <w:rPr>
          <w:rFonts w:hint="eastAsia"/>
          <w:color w:val="auto"/>
        </w:rPr>
        <w:t>（</w:t>
      </w:r>
      <w:r>
        <w:rPr>
          <w:rFonts w:hint="eastAsia" w:ascii="宋体" w:hAnsi="宋体" w:cs="宋体"/>
          <w:color w:val="auto"/>
          <w:kern w:val="0"/>
          <w:sz w:val="24"/>
        </w:rPr>
        <w:t>4）对于评分细则提供相关证明材料………………………………………………（页码）</w:t>
      </w:r>
      <w:r>
        <w:rPr>
          <w:rFonts w:hint="eastAsia" w:ascii="宋体" w:hAnsi="宋体" w:cs="宋体"/>
          <w:color w:val="auto"/>
          <w:sz w:val="24"/>
        </w:rPr>
        <w:t>注：以上目录是编制投标技术文件的基本格式要求，各投标人可根据自身情况进一步细化。</w:t>
      </w:r>
    </w:p>
    <w:p>
      <w:pPr>
        <w:pStyle w:val="41"/>
        <w:snapToGrid w:val="0"/>
        <w:spacing w:line="600" w:lineRule="exact"/>
        <w:ind w:firstLine="480" w:firstLineChars="200"/>
        <w:jc w:val="center"/>
        <w:outlineLvl w:val="2"/>
        <w:rPr>
          <w:rFonts w:hint="eastAsia" w:ascii="宋体" w:hAnsi="宋体" w:eastAsia="宋体" w:cs="宋体"/>
          <w:b/>
          <w:color w:val="auto"/>
          <w:sz w:val="28"/>
          <w:szCs w:val="28"/>
          <w:lang w:val="zh-CN"/>
        </w:rPr>
      </w:pPr>
      <w:r>
        <w:rPr>
          <w:rFonts w:hint="eastAsia" w:ascii="宋体" w:hAnsi="宋体" w:eastAsia="宋体" w:cs="宋体"/>
          <w:color w:val="auto"/>
          <w:sz w:val="24"/>
          <w:szCs w:val="24"/>
        </w:rPr>
        <w:br w:type="page"/>
      </w:r>
      <w:bookmarkEnd w:id="152"/>
      <w:r>
        <w:rPr>
          <w:rFonts w:hint="eastAsia" w:ascii="宋体" w:hAnsi="宋体" w:eastAsia="宋体" w:cs="宋体"/>
          <w:b/>
          <w:color w:val="auto"/>
          <w:sz w:val="28"/>
          <w:szCs w:val="28"/>
          <w:lang w:val="zh-CN"/>
        </w:rPr>
        <w:t>一、法定代表人授权委托书</w:t>
      </w:r>
    </w:p>
    <w:p>
      <w:pPr>
        <w:shd w:val="clear" w:color="auto" w:fill="FFFFFF"/>
        <w:snapToGrid w:val="0"/>
        <w:spacing w:line="600" w:lineRule="exact"/>
        <w:rPr>
          <w:rFonts w:hint="eastAsia" w:ascii="宋体" w:hAnsi="宋体" w:cs="宋体"/>
          <w:color w:val="auto"/>
          <w:sz w:val="24"/>
        </w:rPr>
      </w:pPr>
      <w:r>
        <w:rPr>
          <w:rFonts w:hint="eastAsia" w:ascii="宋体" w:hAnsi="宋体" w:cs="宋体"/>
          <w:color w:val="auto"/>
          <w:sz w:val="24"/>
        </w:rPr>
        <w:t>杭州市临平区机关事务服务中心</w:t>
      </w:r>
    </w:p>
    <w:p>
      <w:pPr>
        <w:shd w:val="clear" w:color="auto" w:fill="FFFFFF"/>
        <w:snapToGrid w:val="0"/>
        <w:spacing w:line="600" w:lineRule="exact"/>
        <w:rPr>
          <w:rFonts w:hint="eastAsia" w:ascii="宋体" w:hAnsi="宋体" w:cs="宋体"/>
          <w:color w:val="auto"/>
          <w:sz w:val="24"/>
        </w:rPr>
      </w:pPr>
      <w:r>
        <w:rPr>
          <w:rFonts w:hint="eastAsia" w:ascii="宋体" w:hAnsi="宋体" w:cs="宋体"/>
          <w:color w:val="auto"/>
          <w:sz w:val="24"/>
          <w:lang w:eastAsia="zh-CN"/>
        </w:rPr>
        <w:t>杭州溯远工程咨询有限公司</w:t>
      </w:r>
      <w:r>
        <w:rPr>
          <w:rFonts w:hint="eastAsia" w:ascii="宋体" w:hAnsi="宋体" w:cs="宋体"/>
          <w:color w:val="auto"/>
          <w:sz w:val="24"/>
        </w:rPr>
        <w:t>：</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kern w:val="0"/>
          <w:sz w:val="24"/>
          <w:lang w:val="zh-CN"/>
        </w:rPr>
        <w:t>兹委派我公司</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先生/女士(其在本公司的职务是：</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，联系电话：</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传真：</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)，代表我公司全权处理临平区公共物资仓储管理中心服务外包采购项目</w:t>
      </w:r>
      <w:r>
        <w:rPr>
          <w:rFonts w:hint="eastAsia" w:ascii="宋体" w:hAnsi="宋体" w:cs="宋体"/>
          <w:color w:val="auto"/>
          <w:sz w:val="24"/>
        </w:rPr>
        <w:t>(编号：    )政府采购投标的一切事项，若中标则全权代表本公司签订相关合同，</w:t>
      </w:r>
      <w:r>
        <w:rPr>
          <w:rFonts w:hint="eastAsia" w:ascii="宋体" w:hAnsi="宋体" w:cs="宋体"/>
          <w:color w:val="auto"/>
          <w:kern w:val="0"/>
          <w:sz w:val="24"/>
          <w:lang w:val="zh-CN"/>
        </w:rPr>
        <w:t>并负责处理合同履行等事宜。</w:t>
      </w:r>
    </w:p>
    <w:p>
      <w:pPr>
        <w:shd w:val="clear" w:color="auto" w:fill="FFFFFF"/>
        <w:snapToGrid w:val="0"/>
        <w:spacing w:line="600" w:lineRule="exact"/>
        <w:rPr>
          <w:rFonts w:hint="eastAsia" w:ascii="宋体" w:hAnsi="宋体" w:cs="宋体"/>
          <w:color w:val="auto"/>
          <w:kern w:val="0"/>
          <w:sz w:val="24"/>
        </w:rPr>
      </w:pPr>
      <w:r>
        <w:rPr>
          <w:rFonts w:hint="eastAsia" w:ascii="宋体" w:hAnsi="宋体" w:cs="宋体"/>
          <w:color w:val="auto"/>
          <w:kern w:val="0"/>
          <w:sz w:val="24"/>
          <w:lang w:val="zh-CN"/>
        </w:rPr>
        <w:t xml:space="preserve">    特此告知。</w:t>
      </w:r>
    </w:p>
    <w:p>
      <w:pPr>
        <w:shd w:val="clear" w:color="auto" w:fill="FFFFFF"/>
        <w:snapToGrid w:val="0"/>
        <w:spacing w:line="600" w:lineRule="exact"/>
        <w:rPr>
          <w:rFonts w:hint="eastAsia" w:ascii="宋体" w:hAnsi="宋体" w:cs="宋体"/>
          <w:color w:val="auto"/>
          <w:kern w:val="0"/>
          <w:sz w:val="24"/>
        </w:rPr>
      </w:pPr>
    </w:p>
    <w:p>
      <w:pPr>
        <w:shd w:val="clear" w:color="auto" w:fill="FFFFFF"/>
        <w:snapToGrid w:val="0"/>
        <w:spacing w:line="600" w:lineRule="exact"/>
        <w:rPr>
          <w:rFonts w:hint="eastAsia" w:ascii="宋体" w:hAnsi="宋体" w:cs="宋体"/>
          <w:color w:val="auto"/>
          <w:kern w:val="0"/>
          <w:sz w:val="24"/>
        </w:rPr>
      </w:pPr>
      <w:r>
        <w:rPr>
          <w:rFonts w:hint="eastAsia" w:ascii="宋体" w:hAnsi="宋体" w:cs="宋体"/>
          <w:color w:val="auto"/>
          <w:kern w:val="0"/>
          <w:sz w:val="24"/>
          <w:lang w:val="zh-CN"/>
        </w:rPr>
        <w:t xml:space="preserve">                                           投标人名称(公章)：</w:t>
      </w:r>
    </w:p>
    <w:p>
      <w:pPr>
        <w:shd w:val="clear" w:color="auto" w:fill="FFFFFF"/>
        <w:snapToGrid w:val="0"/>
        <w:spacing w:line="600" w:lineRule="exact"/>
        <w:rPr>
          <w:rFonts w:hint="eastAsia" w:ascii="宋体" w:hAnsi="宋体" w:cs="宋体"/>
          <w:color w:val="auto"/>
          <w:kern w:val="0"/>
          <w:sz w:val="24"/>
        </w:rPr>
      </w:pPr>
      <w:r>
        <w:rPr>
          <w:rFonts w:hint="eastAsia" w:ascii="宋体" w:hAnsi="宋体" w:cs="宋体"/>
          <w:color w:val="auto"/>
          <w:kern w:val="0"/>
          <w:sz w:val="24"/>
          <w:lang w:val="zh-CN"/>
        </w:rPr>
        <w:t xml:space="preserve">                                           法定代表人(签字或盖章)：</w:t>
      </w:r>
    </w:p>
    <w:p>
      <w:pPr>
        <w:shd w:val="clear" w:color="auto" w:fill="FFFFFF"/>
        <w:snapToGrid w:val="0"/>
        <w:spacing w:line="600" w:lineRule="exact"/>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hd w:val="clear" w:color="auto" w:fill="FFFFFF"/>
        <w:snapToGrid w:val="0"/>
        <w:spacing w:line="600" w:lineRule="exact"/>
        <w:ind w:right="480"/>
        <w:jc w:val="center"/>
        <w:rPr>
          <w:rFonts w:hint="eastAsia" w:ascii="宋体" w:hAnsi="宋体" w:cs="宋体"/>
          <w:b/>
          <w:bCs/>
          <w:color w:val="auto"/>
          <w:kern w:val="0"/>
          <w:sz w:val="24"/>
          <w:lang w:val="zh-CN"/>
        </w:rPr>
      </w:pPr>
    </w:p>
    <w:p>
      <w:pPr>
        <w:shd w:val="clear" w:color="auto" w:fill="FFFFFF"/>
        <w:snapToGrid w:val="0"/>
        <w:spacing w:line="600" w:lineRule="exact"/>
        <w:ind w:firstLine="482" w:firstLineChars="200"/>
        <w:rPr>
          <w:rFonts w:hint="eastAsia" w:ascii="宋体" w:hAnsi="宋体" w:cs="宋体"/>
          <w:b/>
          <w:bCs/>
          <w:color w:val="auto"/>
          <w:kern w:val="0"/>
          <w:sz w:val="24"/>
          <w:lang w:val="zh-CN"/>
        </w:rPr>
      </w:pPr>
    </w:p>
    <w:p>
      <w:pPr>
        <w:pStyle w:val="41"/>
        <w:snapToGrid w:val="0"/>
        <w:spacing w:line="600" w:lineRule="exact"/>
        <w:ind w:firstLine="482" w:firstLineChars="200"/>
        <w:jc w:val="center"/>
        <w:outlineLvl w:val="2"/>
        <w:rPr>
          <w:rFonts w:hint="eastAsia" w:ascii="宋体" w:hAnsi="宋体" w:eastAsia="宋体" w:cs="宋体"/>
          <w:b/>
          <w:color w:val="auto"/>
          <w:sz w:val="24"/>
          <w:szCs w:val="24"/>
          <w:lang w:val="zh-CN"/>
        </w:rPr>
        <w:sectPr>
          <w:pgSz w:w="11906" w:h="16838"/>
          <w:pgMar w:top="993" w:right="1474" w:bottom="1134" w:left="1474" w:header="851" w:footer="641" w:gutter="0"/>
          <w:cols w:space="720" w:num="1"/>
          <w:docGrid w:type="lines" w:linePitch="315" w:charSpace="0"/>
        </w:sectPr>
      </w:pPr>
    </w:p>
    <w:p>
      <w:pPr>
        <w:pStyle w:val="41"/>
        <w:snapToGrid w:val="0"/>
        <w:spacing w:line="600" w:lineRule="exact"/>
        <w:ind w:firstLine="562" w:firstLineChars="200"/>
        <w:jc w:val="center"/>
        <w:outlineLvl w:val="2"/>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二、法定代表人及授权代表人的身份证 (复印件加盖公章)</w:t>
      </w:r>
    </w:p>
    <w:p>
      <w:pPr>
        <w:shd w:val="clear" w:color="auto" w:fill="FFFFFF"/>
        <w:snapToGrid w:val="0"/>
        <w:spacing w:line="600" w:lineRule="exact"/>
        <w:ind w:right="480"/>
        <w:jc w:val="center"/>
        <w:rPr>
          <w:rFonts w:hint="eastAsia" w:ascii="宋体" w:hAnsi="宋体" w:cs="宋体"/>
          <w:b/>
          <w:bCs/>
          <w:color w:val="auto"/>
          <w:kern w:val="0"/>
          <w:sz w:val="24"/>
          <w:lang w:val="zh-CN"/>
        </w:rPr>
      </w:pPr>
    </w:p>
    <w:p>
      <w:pPr>
        <w:pStyle w:val="32"/>
        <w:snapToGrid w:val="0"/>
        <w:spacing w:line="600" w:lineRule="exact"/>
        <w:ind w:firstLine="0"/>
        <w:jc w:val="center"/>
        <w:rPr>
          <w:rFonts w:hint="eastAsia" w:ascii="宋体" w:hAnsi="宋体" w:eastAsia="宋体" w:cs="宋体"/>
          <w:color w:val="auto"/>
          <w:sz w:val="24"/>
          <w:szCs w:val="24"/>
        </w:rPr>
      </w:pPr>
    </w:p>
    <w:p>
      <w:pPr>
        <w:pStyle w:val="32"/>
        <w:snapToGrid w:val="0"/>
        <w:spacing w:line="600" w:lineRule="exact"/>
        <w:ind w:firstLine="0"/>
        <w:jc w:val="center"/>
        <w:rPr>
          <w:rFonts w:hint="eastAsia" w:ascii="宋体" w:hAnsi="宋体" w:eastAsia="宋体" w:cs="宋体"/>
          <w:color w:val="auto"/>
          <w:sz w:val="24"/>
          <w:szCs w:val="24"/>
        </w:rPr>
      </w:pPr>
    </w:p>
    <w:p>
      <w:pPr>
        <w:snapToGrid w:val="0"/>
        <w:spacing w:line="600" w:lineRule="exact"/>
        <w:jc w:val="center"/>
        <w:outlineLvl w:val="2"/>
        <w:rPr>
          <w:rFonts w:hint="eastAsia" w:ascii="宋体" w:hAnsi="宋体" w:cs="宋体"/>
          <w:b/>
          <w:color w:val="auto"/>
          <w:sz w:val="24"/>
        </w:rPr>
      </w:pPr>
    </w:p>
    <w:p>
      <w:pPr>
        <w:snapToGrid w:val="0"/>
        <w:spacing w:line="600" w:lineRule="exact"/>
        <w:jc w:val="center"/>
        <w:outlineLvl w:val="2"/>
        <w:rPr>
          <w:rFonts w:hint="eastAsia" w:ascii="宋体" w:hAnsi="宋体" w:cs="宋体"/>
          <w:b/>
          <w:color w:val="auto"/>
          <w:sz w:val="28"/>
          <w:szCs w:val="28"/>
          <w:lang w:val="zh-CN"/>
        </w:rPr>
      </w:pPr>
      <w:r>
        <w:rPr>
          <w:rFonts w:hint="eastAsia" w:ascii="宋体" w:hAnsi="宋体" w:cs="宋体"/>
          <w:b/>
          <w:color w:val="auto"/>
          <w:sz w:val="28"/>
          <w:szCs w:val="28"/>
        </w:rPr>
        <w:t>三、</w:t>
      </w:r>
      <w:r>
        <w:rPr>
          <w:rFonts w:hint="eastAsia" w:ascii="宋体" w:hAnsi="宋体" w:cs="宋体"/>
          <w:b/>
          <w:color w:val="auto"/>
          <w:sz w:val="28"/>
          <w:szCs w:val="28"/>
          <w:lang w:val="zh-CN"/>
        </w:rPr>
        <w:t>技术偏离表</w:t>
      </w:r>
    </w:p>
    <w:p>
      <w:pPr>
        <w:autoSpaceDE w:val="0"/>
        <w:autoSpaceDN w:val="0"/>
        <w:adjustRightInd w:val="0"/>
        <w:spacing w:line="440" w:lineRule="exact"/>
        <w:ind w:firstLine="361" w:firstLineChars="150"/>
        <w:rPr>
          <w:rFonts w:hint="eastAsia" w:ascii="宋体" w:hAnsi="宋体"/>
          <w:b/>
          <w:color w:val="auto"/>
          <w:kern w:val="0"/>
          <w:sz w:val="24"/>
        </w:rPr>
      </w:pPr>
      <w:r>
        <w:rPr>
          <w:rFonts w:hint="eastAsia" w:ascii="宋体" w:hAnsi="宋体"/>
          <w:b/>
          <w:color w:val="auto"/>
          <w:kern w:val="0"/>
          <w:sz w:val="24"/>
        </w:rPr>
        <w:t xml:space="preserve">项目编号：  </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序号</w:t>
            </w:r>
          </w:p>
        </w:tc>
        <w:tc>
          <w:tcPr>
            <w:tcW w:w="1855" w:type="dxa"/>
            <w:tcBorders>
              <w:bottom w:val="sing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内  容</w:t>
            </w:r>
          </w:p>
        </w:tc>
        <w:tc>
          <w:tcPr>
            <w:tcW w:w="1957" w:type="dxa"/>
            <w:tcBorders>
              <w:bottom w:val="sing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招标文件</w:t>
            </w:r>
          </w:p>
          <w:p>
            <w:pPr>
              <w:jc w:val="center"/>
              <w:rPr>
                <w:rFonts w:hint="eastAsia" w:ascii="宋体" w:hAnsi="宋体"/>
                <w:b/>
                <w:color w:val="auto"/>
                <w:sz w:val="24"/>
              </w:rPr>
            </w:pPr>
            <w:r>
              <w:rPr>
                <w:rFonts w:hint="eastAsia" w:ascii="宋体" w:hAnsi="宋体"/>
                <w:b/>
                <w:color w:val="auto"/>
                <w:sz w:val="24"/>
              </w:rPr>
              <w:t>规范要求</w:t>
            </w:r>
          </w:p>
        </w:tc>
        <w:tc>
          <w:tcPr>
            <w:tcW w:w="1620" w:type="dxa"/>
            <w:tcBorders>
              <w:bottom w:val="sing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投标文件</w:t>
            </w:r>
          </w:p>
          <w:p>
            <w:pPr>
              <w:jc w:val="center"/>
              <w:rPr>
                <w:rFonts w:hint="eastAsia" w:ascii="宋体" w:hAnsi="宋体"/>
                <w:b/>
                <w:color w:val="auto"/>
                <w:sz w:val="24"/>
              </w:rPr>
            </w:pPr>
            <w:r>
              <w:rPr>
                <w:rFonts w:hint="eastAsia" w:ascii="宋体" w:hAnsi="宋体"/>
                <w:b/>
                <w:color w:val="auto"/>
                <w:sz w:val="24"/>
              </w:rPr>
              <w:t>对应规范</w:t>
            </w:r>
          </w:p>
        </w:tc>
        <w:tc>
          <w:tcPr>
            <w:tcW w:w="2524" w:type="dxa"/>
            <w:tcBorders>
              <w:bottom w:val="sing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pPr>
              <w:spacing w:line="360" w:lineRule="auto"/>
              <w:jc w:val="center"/>
              <w:rPr>
                <w:rFonts w:hint="eastAsia" w:ascii="宋体" w:hAnsi="宋体"/>
                <w:color w:val="auto"/>
                <w:sz w:val="24"/>
              </w:rPr>
            </w:pPr>
          </w:p>
        </w:tc>
        <w:tc>
          <w:tcPr>
            <w:tcW w:w="1855" w:type="dxa"/>
            <w:noWrap w:val="0"/>
            <w:vAlign w:val="top"/>
          </w:tcPr>
          <w:p>
            <w:pPr>
              <w:spacing w:line="360" w:lineRule="auto"/>
              <w:rPr>
                <w:rFonts w:hint="eastAsia" w:ascii="宋体" w:hAnsi="宋体"/>
                <w:color w:val="auto"/>
                <w:sz w:val="24"/>
              </w:rPr>
            </w:pPr>
          </w:p>
        </w:tc>
        <w:tc>
          <w:tcPr>
            <w:tcW w:w="1957" w:type="dxa"/>
            <w:noWrap w:val="0"/>
            <w:vAlign w:val="top"/>
          </w:tcPr>
          <w:p>
            <w:pPr>
              <w:spacing w:line="360" w:lineRule="auto"/>
              <w:rPr>
                <w:rFonts w:hint="eastAsia" w:ascii="宋体" w:hAnsi="宋体"/>
                <w:color w:val="auto"/>
                <w:sz w:val="24"/>
              </w:rPr>
            </w:pPr>
          </w:p>
        </w:tc>
        <w:tc>
          <w:tcPr>
            <w:tcW w:w="1620" w:type="dxa"/>
            <w:noWrap w:val="0"/>
            <w:vAlign w:val="top"/>
          </w:tcPr>
          <w:p>
            <w:pPr>
              <w:spacing w:line="360" w:lineRule="auto"/>
              <w:rPr>
                <w:rFonts w:hint="eastAsia" w:ascii="宋体" w:hAnsi="宋体"/>
                <w:color w:val="auto"/>
                <w:sz w:val="24"/>
              </w:rPr>
            </w:pPr>
          </w:p>
        </w:tc>
        <w:tc>
          <w:tcPr>
            <w:tcW w:w="2524" w:type="dxa"/>
            <w:noWrap w:val="0"/>
            <w:vAlign w:val="top"/>
          </w:tcPr>
          <w:p>
            <w:pPr>
              <w:spacing w:line="360" w:lineRule="auto"/>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pPr>
              <w:spacing w:line="360" w:lineRule="auto"/>
              <w:rPr>
                <w:rFonts w:hint="eastAsia" w:ascii="宋体" w:hAnsi="宋体"/>
                <w:color w:val="auto"/>
                <w:sz w:val="24"/>
              </w:rPr>
            </w:pPr>
          </w:p>
        </w:tc>
        <w:tc>
          <w:tcPr>
            <w:tcW w:w="1855" w:type="dxa"/>
            <w:noWrap w:val="0"/>
            <w:vAlign w:val="top"/>
          </w:tcPr>
          <w:p>
            <w:pPr>
              <w:spacing w:line="360" w:lineRule="auto"/>
              <w:rPr>
                <w:rFonts w:hint="eastAsia" w:ascii="宋体" w:hAnsi="宋体"/>
                <w:color w:val="auto"/>
                <w:sz w:val="24"/>
              </w:rPr>
            </w:pPr>
          </w:p>
        </w:tc>
        <w:tc>
          <w:tcPr>
            <w:tcW w:w="1957" w:type="dxa"/>
            <w:noWrap w:val="0"/>
            <w:vAlign w:val="top"/>
          </w:tcPr>
          <w:p>
            <w:pPr>
              <w:spacing w:line="360" w:lineRule="auto"/>
              <w:rPr>
                <w:rFonts w:hint="eastAsia" w:ascii="宋体" w:hAnsi="宋体"/>
                <w:color w:val="auto"/>
                <w:sz w:val="24"/>
              </w:rPr>
            </w:pPr>
          </w:p>
        </w:tc>
        <w:tc>
          <w:tcPr>
            <w:tcW w:w="1620" w:type="dxa"/>
            <w:noWrap w:val="0"/>
            <w:vAlign w:val="top"/>
          </w:tcPr>
          <w:p>
            <w:pPr>
              <w:spacing w:line="360" w:lineRule="auto"/>
              <w:rPr>
                <w:rFonts w:hint="eastAsia" w:ascii="宋体" w:hAnsi="宋体"/>
                <w:color w:val="auto"/>
                <w:sz w:val="24"/>
              </w:rPr>
            </w:pPr>
          </w:p>
        </w:tc>
        <w:tc>
          <w:tcPr>
            <w:tcW w:w="2524" w:type="dxa"/>
            <w:noWrap w:val="0"/>
            <w:vAlign w:val="top"/>
          </w:tcPr>
          <w:p>
            <w:pPr>
              <w:spacing w:line="360" w:lineRule="auto"/>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pPr>
              <w:spacing w:line="360" w:lineRule="auto"/>
              <w:rPr>
                <w:rFonts w:hint="eastAsia" w:ascii="宋体" w:hAnsi="宋体"/>
                <w:color w:val="auto"/>
                <w:sz w:val="24"/>
              </w:rPr>
            </w:pPr>
          </w:p>
        </w:tc>
        <w:tc>
          <w:tcPr>
            <w:tcW w:w="1855" w:type="dxa"/>
            <w:noWrap w:val="0"/>
            <w:vAlign w:val="top"/>
          </w:tcPr>
          <w:p>
            <w:pPr>
              <w:spacing w:line="360" w:lineRule="auto"/>
              <w:rPr>
                <w:rFonts w:hint="eastAsia" w:ascii="宋体" w:hAnsi="宋体"/>
                <w:color w:val="auto"/>
                <w:sz w:val="24"/>
              </w:rPr>
            </w:pPr>
          </w:p>
        </w:tc>
        <w:tc>
          <w:tcPr>
            <w:tcW w:w="1957" w:type="dxa"/>
            <w:noWrap w:val="0"/>
            <w:vAlign w:val="top"/>
          </w:tcPr>
          <w:p>
            <w:pPr>
              <w:spacing w:line="360" w:lineRule="auto"/>
              <w:rPr>
                <w:rFonts w:hint="eastAsia" w:ascii="宋体" w:hAnsi="宋体"/>
                <w:color w:val="auto"/>
                <w:sz w:val="24"/>
              </w:rPr>
            </w:pPr>
          </w:p>
        </w:tc>
        <w:tc>
          <w:tcPr>
            <w:tcW w:w="1620" w:type="dxa"/>
            <w:noWrap w:val="0"/>
            <w:vAlign w:val="top"/>
          </w:tcPr>
          <w:p>
            <w:pPr>
              <w:spacing w:line="360" w:lineRule="auto"/>
              <w:rPr>
                <w:rFonts w:hint="eastAsia" w:ascii="宋体" w:hAnsi="宋体"/>
                <w:color w:val="auto"/>
                <w:sz w:val="24"/>
              </w:rPr>
            </w:pPr>
          </w:p>
        </w:tc>
        <w:tc>
          <w:tcPr>
            <w:tcW w:w="2524" w:type="dxa"/>
            <w:noWrap w:val="0"/>
            <w:vAlign w:val="top"/>
          </w:tcPr>
          <w:p>
            <w:pPr>
              <w:spacing w:line="360" w:lineRule="auto"/>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0" w:hRule="atLeast"/>
          <w:jc w:val="center"/>
        </w:trPr>
        <w:tc>
          <w:tcPr>
            <w:tcW w:w="878" w:type="dxa"/>
            <w:noWrap w:val="0"/>
            <w:vAlign w:val="top"/>
          </w:tcPr>
          <w:p>
            <w:pPr>
              <w:spacing w:line="360" w:lineRule="auto"/>
              <w:rPr>
                <w:rFonts w:hint="eastAsia" w:ascii="宋体" w:hAnsi="宋体"/>
                <w:color w:val="auto"/>
                <w:sz w:val="24"/>
              </w:rPr>
            </w:pPr>
          </w:p>
        </w:tc>
        <w:tc>
          <w:tcPr>
            <w:tcW w:w="1855" w:type="dxa"/>
            <w:noWrap w:val="0"/>
            <w:vAlign w:val="top"/>
          </w:tcPr>
          <w:p>
            <w:pPr>
              <w:spacing w:line="360" w:lineRule="auto"/>
              <w:rPr>
                <w:rFonts w:hint="eastAsia" w:ascii="宋体" w:hAnsi="宋体"/>
                <w:color w:val="auto"/>
                <w:sz w:val="24"/>
              </w:rPr>
            </w:pPr>
          </w:p>
        </w:tc>
        <w:tc>
          <w:tcPr>
            <w:tcW w:w="1957" w:type="dxa"/>
            <w:noWrap w:val="0"/>
            <w:vAlign w:val="top"/>
          </w:tcPr>
          <w:p>
            <w:pPr>
              <w:spacing w:line="360" w:lineRule="auto"/>
              <w:rPr>
                <w:rFonts w:hint="eastAsia" w:ascii="宋体" w:hAnsi="宋体"/>
                <w:color w:val="auto"/>
                <w:sz w:val="24"/>
              </w:rPr>
            </w:pPr>
          </w:p>
        </w:tc>
        <w:tc>
          <w:tcPr>
            <w:tcW w:w="1620" w:type="dxa"/>
            <w:noWrap w:val="0"/>
            <w:vAlign w:val="top"/>
          </w:tcPr>
          <w:p>
            <w:pPr>
              <w:spacing w:line="360" w:lineRule="auto"/>
              <w:rPr>
                <w:rFonts w:hint="eastAsia" w:ascii="宋体" w:hAnsi="宋体"/>
                <w:color w:val="auto"/>
                <w:sz w:val="24"/>
              </w:rPr>
            </w:pPr>
          </w:p>
        </w:tc>
        <w:tc>
          <w:tcPr>
            <w:tcW w:w="2524" w:type="dxa"/>
            <w:noWrap w:val="0"/>
            <w:vAlign w:val="top"/>
          </w:tcPr>
          <w:p>
            <w:pPr>
              <w:spacing w:line="360" w:lineRule="auto"/>
              <w:rPr>
                <w:rFonts w:hint="eastAsia" w:ascii="宋体" w:hAnsi="宋体"/>
                <w:color w:val="auto"/>
                <w:sz w:val="24"/>
              </w:rPr>
            </w:pPr>
          </w:p>
        </w:tc>
      </w:tr>
    </w:tbl>
    <w:p>
      <w:pPr>
        <w:autoSpaceDE w:val="0"/>
        <w:autoSpaceDN w:val="0"/>
        <w:adjustRightInd w:val="0"/>
        <w:spacing w:line="440" w:lineRule="exact"/>
        <w:rPr>
          <w:rFonts w:ascii="宋体" w:hAnsi="宋体"/>
          <w:color w:val="auto"/>
          <w:kern w:val="0"/>
          <w:sz w:val="24"/>
        </w:rPr>
      </w:pPr>
      <w:r>
        <w:rPr>
          <w:rFonts w:hint="eastAsia" w:ascii="宋体" w:hAnsi="宋体"/>
          <w:color w:val="auto"/>
          <w:kern w:val="0"/>
          <w:sz w:val="24"/>
        </w:rPr>
        <w:t>备注：投标人应根据投标设备的性能指标、对照招标文件要求在“偏离情况”栏注明“正偏离”、“负偏离”或“无偏离”。</w:t>
      </w:r>
    </w:p>
    <w:p>
      <w:pPr>
        <w:wordWrap w:val="0"/>
        <w:autoSpaceDE w:val="0"/>
        <w:autoSpaceDN w:val="0"/>
        <w:adjustRightInd w:val="0"/>
        <w:spacing w:line="440" w:lineRule="exact"/>
        <w:jc w:val="right"/>
        <w:rPr>
          <w:rFonts w:hint="eastAsia" w:ascii="宋体" w:hAnsi="宋体" w:cs="宋体"/>
          <w:color w:val="auto"/>
          <w:sz w:val="24"/>
        </w:rPr>
      </w:pPr>
      <w:r>
        <w:rPr>
          <w:rFonts w:hint="eastAsia" w:ascii="宋体" w:hAnsi="宋体" w:cs="仿宋_GB2312"/>
          <w:color w:val="auto"/>
          <w:kern w:val="0"/>
          <w:sz w:val="24"/>
          <w:lang w:val="zh-CN"/>
        </w:rPr>
        <w:t xml:space="preserve">        </w:t>
      </w:r>
    </w:p>
    <w:p>
      <w:pPr>
        <w:snapToGrid w:val="0"/>
        <w:spacing w:line="600" w:lineRule="exact"/>
        <w:ind w:firstLine="240" w:firstLineChars="100"/>
        <w:rPr>
          <w:rFonts w:hint="eastAsia" w:ascii="宋体" w:hAnsi="宋体" w:cs="宋体"/>
          <w:color w:val="auto"/>
          <w:sz w:val="24"/>
        </w:rPr>
      </w:pPr>
    </w:p>
    <w:p>
      <w:pPr>
        <w:snapToGrid w:val="0"/>
        <w:spacing w:line="600" w:lineRule="exact"/>
        <w:ind w:firstLine="240" w:firstLineChars="100"/>
        <w:rPr>
          <w:rFonts w:hint="eastAsia" w:ascii="宋体" w:hAnsi="宋体" w:cs="宋体"/>
          <w:color w:val="auto"/>
          <w:sz w:val="24"/>
        </w:rPr>
      </w:pPr>
    </w:p>
    <w:p>
      <w:pPr>
        <w:snapToGrid w:val="0"/>
        <w:spacing w:line="600" w:lineRule="exact"/>
        <w:ind w:firstLine="240" w:firstLineChars="100"/>
        <w:rPr>
          <w:rFonts w:hint="eastAsia" w:ascii="宋体" w:hAnsi="宋体" w:cs="宋体"/>
          <w:color w:val="auto"/>
          <w:sz w:val="24"/>
        </w:rPr>
      </w:pPr>
    </w:p>
    <w:p>
      <w:pPr>
        <w:snapToGrid w:val="0"/>
        <w:spacing w:line="600" w:lineRule="exact"/>
        <w:ind w:firstLine="241" w:firstLineChars="100"/>
        <w:rPr>
          <w:rFonts w:hint="eastAsia" w:ascii="宋体" w:hAnsi="宋体" w:cs="宋体"/>
          <w:b/>
          <w:bCs/>
          <w:color w:val="auto"/>
          <w:sz w:val="24"/>
        </w:rPr>
      </w:pPr>
    </w:p>
    <w:p>
      <w:pPr>
        <w:autoSpaceDE w:val="0"/>
        <w:autoSpaceDN w:val="0"/>
        <w:snapToGrid w:val="0"/>
        <w:spacing w:line="600" w:lineRule="exact"/>
        <w:ind w:firstLine="5160" w:firstLineChars="2150"/>
        <w:rPr>
          <w:rFonts w:hint="eastAsia" w:ascii="宋体" w:hAnsi="宋体" w:cs="宋体"/>
          <w:color w:val="auto"/>
          <w:kern w:val="0"/>
          <w:sz w:val="24"/>
          <w:lang w:val="zh-CN"/>
        </w:rPr>
      </w:pPr>
    </w:p>
    <w:p>
      <w:pPr>
        <w:autoSpaceDE w:val="0"/>
        <w:autoSpaceDN w:val="0"/>
        <w:snapToGrid w:val="0"/>
        <w:spacing w:line="600" w:lineRule="exact"/>
        <w:ind w:firstLine="5160" w:firstLineChars="2150"/>
        <w:rPr>
          <w:rFonts w:hint="eastAsia" w:ascii="宋体" w:hAnsi="宋体" w:cs="宋体"/>
          <w:color w:val="auto"/>
          <w:kern w:val="0"/>
          <w:sz w:val="24"/>
        </w:rPr>
      </w:pPr>
      <w:r>
        <w:rPr>
          <w:rFonts w:hint="eastAsia" w:ascii="宋体" w:hAnsi="宋体" w:cs="宋体"/>
          <w:color w:val="auto"/>
          <w:kern w:val="0"/>
          <w:sz w:val="24"/>
          <w:lang w:val="zh-CN"/>
        </w:rPr>
        <w:t xml:space="preserve">投标人名称（公章）：      </w:t>
      </w:r>
    </w:p>
    <w:p>
      <w:pPr>
        <w:autoSpaceDE w:val="0"/>
        <w:autoSpaceDN w:val="0"/>
        <w:snapToGrid w:val="0"/>
        <w:spacing w:line="6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授权代表人（签字）：</w:t>
      </w:r>
    </w:p>
    <w:p>
      <w:pPr>
        <w:autoSpaceDE w:val="0"/>
        <w:autoSpaceDN w:val="0"/>
        <w:snapToGrid w:val="0"/>
        <w:spacing w:line="600" w:lineRule="exact"/>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pPr>
        <w:autoSpaceDE w:val="0"/>
        <w:autoSpaceDN w:val="0"/>
        <w:snapToGrid w:val="0"/>
        <w:spacing w:line="600" w:lineRule="exact"/>
        <w:ind w:firstLine="5160" w:firstLineChars="2150"/>
        <w:rPr>
          <w:rFonts w:hint="eastAsia" w:ascii="宋体" w:hAnsi="宋体" w:cs="宋体"/>
          <w:color w:val="auto"/>
          <w:kern w:val="0"/>
          <w:sz w:val="24"/>
          <w:lang w:val="zh-CN"/>
        </w:rPr>
      </w:pPr>
    </w:p>
    <w:p>
      <w:pPr>
        <w:snapToGrid w:val="0"/>
        <w:spacing w:line="600" w:lineRule="exact"/>
        <w:ind w:firstLine="241" w:firstLineChars="100"/>
        <w:rPr>
          <w:rFonts w:hint="eastAsia" w:ascii="宋体" w:hAnsi="宋体" w:cs="宋体"/>
          <w:b/>
          <w:bCs/>
          <w:color w:val="auto"/>
          <w:sz w:val="24"/>
        </w:rPr>
      </w:pPr>
    </w:p>
    <w:p>
      <w:pPr>
        <w:pStyle w:val="41"/>
        <w:snapToGrid w:val="0"/>
        <w:spacing w:line="600" w:lineRule="exact"/>
        <w:ind w:firstLine="562" w:firstLineChars="200"/>
        <w:jc w:val="center"/>
        <w:outlineLvl w:val="2"/>
        <w:rPr>
          <w:rFonts w:hint="eastAsia" w:ascii="宋体" w:hAnsi="宋体" w:eastAsia="宋体" w:cs="宋体"/>
          <w:b/>
          <w:color w:val="auto"/>
          <w:sz w:val="28"/>
          <w:szCs w:val="28"/>
          <w:lang w:val="zh-CN"/>
        </w:rPr>
      </w:pPr>
    </w:p>
    <w:p>
      <w:pPr>
        <w:pStyle w:val="41"/>
        <w:snapToGrid w:val="0"/>
        <w:spacing w:line="600" w:lineRule="exact"/>
        <w:ind w:firstLine="562" w:firstLineChars="200"/>
        <w:jc w:val="center"/>
        <w:outlineLvl w:val="2"/>
        <w:rPr>
          <w:rFonts w:hint="eastAsia" w:ascii="宋体" w:hAnsi="宋体" w:eastAsia="宋体" w:cs="宋体"/>
          <w:b/>
          <w:color w:val="auto"/>
          <w:sz w:val="28"/>
          <w:szCs w:val="28"/>
          <w:lang w:val="zh-CN"/>
        </w:rPr>
      </w:pPr>
    </w:p>
    <w:p>
      <w:pPr>
        <w:pStyle w:val="41"/>
        <w:snapToGrid w:val="0"/>
        <w:spacing w:line="600" w:lineRule="exact"/>
        <w:ind w:firstLine="562" w:firstLineChars="200"/>
        <w:jc w:val="center"/>
        <w:outlineLvl w:val="2"/>
        <w:rPr>
          <w:rFonts w:hint="eastAsia" w:ascii="宋体" w:hAnsi="宋体" w:eastAsia="宋体" w:cs="宋体"/>
          <w:b/>
          <w:color w:val="auto"/>
          <w:sz w:val="24"/>
          <w:szCs w:val="24"/>
          <w:lang w:val="zh-CN"/>
        </w:rPr>
      </w:pPr>
      <w:r>
        <w:rPr>
          <w:rFonts w:hint="eastAsia" w:ascii="宋体" w:hAnsi="宋体" w:eastAsia="宋体" w:cs="宋体"/>
          <w:b/>
          <w:color w:val="auto"/>
          <w:sz w:val="28"/>
          <w:szCs w:val="28"/>
          <w:lang w:val="zh-CN"/>
        </w:rPr>
        <w:t>四、对于评分细则提供相关证明材料</w:t>
      </w:r>
    </w:p>
    <w:p>
      <w:pPr>
        <w:shd w:val="clear" w:color="auto" w:fill="FFFFFF"/>
        <w:snapToGrid w:val="0"/>
        <w:spacing w:line="600" w:lineRule="exact"/>
        <w:jc w:val="center"/>
        <w:rPr>
          <w:rFonts w:hint="eastAsia" w:ascii="宋体" w:hAnsi="宋体" w:cs="宋体"/>
          <w:b/>
          <w:bCs/>
          <w:color w:val="auto"/>
          <w:sz w:val="24"/>
        </w:rPr>
      </w:pPr>
    </w:p>
    <w:p>
      <w:pPr>
        <w:shd w:val="clear" w:color="auto" w:fill="FFFFFF"/>
        <w:snapToGrid w:val="0"/>
        <w:spacing w:line="600" w:lineRule="exact"/>
        <w:ind w:firstLine="5160" w:firstLineChars="2150"/>
        <w:rPr>
          <w:rFonts w:hint="eastAsia" w:ascii="宋体" w:hAnsi="宋体" w:cs="宋体"/>
          <w:color w:val="auto"/>
          <w:kern w:val="0"/>
          <w:sz w:val="24"/>
        </w:rPr>
      </w:pPr>
      <w:r>
        <w:rPr>
          <w:rFonts w:hint="eastAsia" w:ascii="宋体" w:hAnsi="宋体" w:cs="宋体"/>
          <w:color w:val="auto"/>
          <w:kern w:val="0"/>
          <w:sz w:val="24"/>
          <w:lang w:val="zh-CN"/>
        </w:rPr>
        <w:t xml:space="preserve">投标人名称（公章）：      </w:t>
      </w:r>
    </w:p>
    <w:p>
      <w:pPr>
        <w:shd w:val="clear" w:color="auto" w:fill="FFFFFF"/>
        <w:snapToGrid w:val="0"/>
        <w:spacing w:line="600" w:lineRule="exact"/>
        <w:rPr>
          <w:rFonts w:hint="eastAsia" w:ascii="宋体" w:hAnsi="宋体" w:cs="宋体"/>
          <w:color w:val="auto"/>
          <w:kern w:val="0"/>
          <w:sz w:val="24"/>
          <w:lang w:val="zh-CN"/>
        </w:rPr>
      </w:pPr>
      <w:r>
        <w:rPr>
          <w:rFonts w:hint="eastAsia" w:ascii="宋体" w:hAnsi="宋体" w:cs="宋体"/>
          <w:color w:val="auto"/>
          <w:kern w:val="0"/>
          <w:sz w:val="24"/>
          <w:lang w:val="zh-CN"/>
        </w:rPr>
        <w:t xml:space="preserve">                                           授权代表人（签字）：</w:t>
      </w:r>
    </w:p>
    <w:p>
      <w:pPr>
        <w:shd w:val="clear" w:color="auto" w:fill="FFFFFF"/>
        <w:snapToGrid w:val="0"/>
        <w:spacing w:line="600" w:lineRule="exact"/>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pPr>
        <w:pageBreakBefore/>
        <w:shd w:val="clear" w:color="auto" w:fill="FFFFFF"/>
        <w:snapToGrid w:val="0"/>
        <w:spacing w:line="600" w:lineRule="exact"/>
        <w:outlineLvl w:val="2"/>
        <w:rPr>
          <w:rFonts w:hint="eastAsia" w:ascii="宋体" w:hAnsi="宋体" w:cs="宋体"/>
          <w:b/>
          <w:bCs/>
          <w:color w:val="auto"/>
          <w:sz w:val="24"/>
        </w:rPr>
      </w:pPr>
      <w:r>
        <w:rPr>
          <w:rFonts w:hint="eastAsia" w:ascii="宋体" w:hAnsi="宋体" w:cs="宋体"/>
          <w:b/>
          <w:bCs/>
          <w:color w:val="auto"/>
          <w:sz w:val="24"/>
        </w:rPr>
        <w:t>投标文件封面</w:t>
      </w:r>
    </w:p>
    <w:p>
      <w:pPr>
        <w:shd w:val="clear" w:color="auto" w:fill="FFFFFF"/>
        <w:snapToGrid w:val="0"/>
        <w:spacing w:line="600" w:lineRule="exact"/>
        <w:jc w:val="center"/>
        <w:rPr>
          <w:rFonts w:hint="eastAsia" w:ascii="宋体" w:hAnsi="宋体" w:cs="宋体"/>
          <w:b/>
          <w:bCs/>
          <w:color w:val="auto"/>
          <w:spacing w:val="-17"/>
          <w:sz w:val="32"/>
          <w:szCs w:val="32"/>
        </w:rPr>
      </w:pPr>
    </w:p>
    <w:p>
      <w:pPr>
        <w:shd w:val="clear" w:color="auto" w:fill="FFFFFF"/>
        <w:snapToGrid w:val="0"/>
        <w:spacing w:line="600" w:lineRule="exact"/>
        <w:jc w:val="center"/>
        <w:rPr>
          <w:rFonts w:hint="eastAsia" w:ascii="宋体" w:hAnsi="宋体" w:cs="宋体"/>
          <w:b/>
          <w:bCs/>
          <w:color w:val="auto"/>
          <w:sz w:val="36"/>
          <w:szCs w:val="36"/>
        </w:rPr>
      </w:pPr>
      <w:r>
        <w:rPr>
          <w:rFonts w:hint="eastAsia" w:ascii="宋体" w:hAnsi="宋体" w:cs="宋体"/>
          <w:b/>
          <w:bCs/>
          <w:color w:val="auto"/>
          <w:sz w:val="36"/>
          <w:szCs w:val="36"/>
        </w:rPr>
        <w:t>临平区公共物资仓储管理中心服务外包采购项目</w:t>
      </w:r>
    </w:p>
    <w:p>
      <w:pPr>
        <w:shd w:val="clear" w:color="auto" w:fill="FFFFFF"/>
        <w:snapToGrid w:val="0"/>
        <w:spacing w:line="600" w:lineRule="exact"/>
        <w:jc w:val="center"/>
        <w:rPr>
          <w:rFonts w:hint="eastAsia" w:ascii="宋体" w:hAnsi="宋体" w:cs="宋体"/>
          <w:b/>
          <w:bCs/>
          <w:color w:val="auto"/>
          <w:sz w:val="36"/>
          <w:szCs w:val="36"/>
        </w:rPr>
      </w:pPr>
    </w:p>
    <w:p>
      <w:pPr>
        <w:shd w:val="clear" w:color="auto" w:fill="FFFFFF"/>
        <w:snapToGrid w:val="0"/>
        <w:spacing w:line="600" w:lineRule="exact"/>
        <w:jc w:val="center"/>
        <w:rPr>
          <w:rFonts w:hint="eastAsia" w:ascii="宋体" w:hAnsi="宋体" w:cs="宋体"/>
          <w:b/>
          <w:bCs/>
          <w:color w:val="auto"/>
          <w:sz w:val="36"/>
          <w:szCs w:val="36"/>
        </w:rPr>
      </w:pPr>
      <w:r>
        <w:rPr>
          <w:rFonts w:hint="eastAsia" w:ascii="宋体" w:hAnsi="宋体" w:cs="宋体"/>
          <w:b/>
          <w:bCs/>
          <w:color w:val="auto"/>
          <w:sz w:val="36"/>
          <w:szCs w:val="36"/>
        </w:rPr>
        <w:t xml:space="preserve"> （资格文件/报价文件/商务技术文件）</w:t>
      </w:r>
    </w:p>
    <w:p>
      <w:pPr>
        <w:pStyle w:val="32"/>
        <w:rPr>
          <w:rFonts w:hint="eastAsia" w:ascii="宋体" w:hAnsi="宋体" w:eastAsia="宋体" w:cs="宋体"/>
          <w:b/>
          <w:bCs/>
          <w:color w:val="auto"/>
          <w:sz w:val="24"/>
          <w:szCs w:val="24"/>
        </w:rPr>
      </w:pPr>
    </w:p>
    <w:p>
      <w:pPr>
        <w:pStyle w:val="32"/>
        <w:rPr>
          <w:rFonts w:hint="eastAsia" w:ascii="宋体" w:hAnsi="宋体" w:eastAsia="宋体" w:cs="宋体"/>
          <w:b/>
          <w:bCs/>
          <w:color w:val="auto"/>
          <w:sz w:val="24"/>
          <w:szCs w:val="24"/>
        </w:rPr>
      </w:pPr>
    </w:p>
    <w:p>
      <w:pPr>
        <w:shd w:val="clear" w:color="auto" w:fill="FFFFFF"/>
        <w:snapToGrid w:val="0"/>
        <w:spacing w:line="600" w:lineRule="exact"/>
        <w:jc w:val="center"/>
        <w:rPr>
          <w:rFonts w:hint="eastAsia" w:ascii="宋体" w:hAnsi="宋体" w:cs="宋体"/>
          <w:b/>
          <w:bCs/>
          <w:color w:val="auto"/>
          <w:sz w:val="36"/>
          <w:szCs w:val="36"/>
        </w:rPr>
      </w:pPr>
      <w:r>
        <w:rPr>
          <w:rFonts w:hint="eastAsia" w:ascii="宋体" w:hAnsi="宋体" w:cs="宋体"/>
          <w:b/>
          <w:bCs/>
          <w:color w:val="auto"/>
          <w:sz w:val="36"/>
          <w:szCs w:val="36"/>
        </w:rPr>
        <w:t xml:space="preserve">项目编号： </w:t>
      </w:r>
    </w:p>
    <w:p>
      <w:pPr>
        <w:pStyle w:val="32"/>
        <w:rPr>
          <w:rFonts w:hint="eastAsia" w:ascii="宋体" w:hAnsi="宋体" w:eastAsia="宋体" w:cs="宋体"/>
          <w:b/>
          <w:bCs/>
          <w:color w:val="auto"/>
          <w:sz w:val="24"/>
          <w:szCs w:val="24"/>
        </w:rPr>
      </w:pPr>
    </w:p>
    <w:p>
      <w:pPr>
        <w:pStyle w:val="32"/>
        <w:ind w:firstLine="0"/>
        <w:rPr>
          <w:rFonts w:hint="eastAsia" w:ascii="宋体" w:hAnsi="宋体" w:eastAsia="宋体" w:cs="宋体"/>
          <w:b/>
          <w:bCs/>
          <w:color w:val="auto"/>
          <w:sz w:val="24"/>
          <w:szCs w:val="24"/>
        </w:rPr>
      </w:pPr>
    </w:p>
    <w:p>
      <w:pPr>
        <w:pStyle w:val="32"/>
        <w:rPr>
          <w:rFonts w:hint="eastAsia" w:ascii="宋体" w:hAnsi="宋体" w:eastAsia="宋体" w:cs="宋体"/>
          <w:b/>
          <w:bCs/>
          <w:color w:val="auto"/>
          <w:sz w:val="44"/>
          <w:szCs w:val="44"/>
        </w:rPr>
      </w:pPr>
    </w:p>
    <w:bookmarkEnd w:id="45"/>
    <w:bookmarkEnd w:id="46"/>
    <w:bookmarkEnd w:id="47"/>
    <w:bookmarkEnd w:id="48"/>
    <w:bookmarkEnd w:id="141"/>
    <w:p>
      <w:pPr>
        <w:snapToGrid w:val="0"/>
        <w:spacing w:line="600" w:lineRule="exact"/>
        <w:jc w:val="center"/>
        <w:rPr>
          <w:rFonts w:hint="eastAsia" w:ascii="宋体" w:hAnsi="宋体" w:cs="宋体"/>
          <w:color w:val="auto"/>
          <w:sz w:val="44"/>
          <w:szCs w:val="44"/>
        </w:rPr>
      </w:pPr>
      <w:r>
        <w:rPr>
          <w:rFonts w:hint="eastAsia" w:ascii="宋体" w:hAnsi="宋体" w:cs="宋体"/>
          <w:color w:val="auto"/>
          <w:sz w:val="44"/>
          <w:szCs w:val="44"/>
        </w:rPr>
        <w:t>投</w:t>
      </w:r>
    </w:p>
    <w:p>
      <w:pPr>
        <w:pStyle w:val="32"/>
        <w:rPr>
          <w:rFonts w:hint="eastAsia"/>
          <w:color w:val="auto"/>
        </w:rPr>
      </w:pPr>
    </w:p>
    <w:p>
      <w:pPr>
        <w:snapToGrid w:val="0"/>
        <w:spacing w:line="600" w:lineRule="exact"/>
        <w:jc w:val="center"/>
        <w:rPr>
          <w:rFonts w:hint="eastAsia" w:ascii="宋体" w:hAnsi="宋体" w:cs="宋体"/>
          <w:color w:val="auto"/>
          <w:sz w:val="44"/>
          <w:szCs w:val="44"/>
        </w:rPr>
      </w:pPr>
      <w:r>
        <w:rPr>
          <w:rFonts w:hint="eastAsia" w:ascii="宋体" w:hAnsi="宋体" w:cs="宋体"/>
          <w:color w:val="auto"/>
          <w:sz w:val="44"/>
          <w:szCs w:val="44"/>
        </w:rPr>
        <w:t>标</w:t>
      </w:r>
    </w:p>
    <w:p>
      <w:pPr>
        <w:pStyle w:val="32"/>
        <w:rPr>
          <w:rFonts w:hint="eastAsia"/>
          <w:color w:val="auto"/>
        </w:rPr>
      </w:pPr>
    </w:p>
    <w:p>
      <w:pPr>
        <w:snapToGrid w:val="0"/>
        <w:spacing w:line="600" w:lineRule="exact"/>
        <w:jc w:val="center"/>
        <w:rPr>
          <w:rFonts w:hint="eastAsia" w:ascii="宋体" w:hAnsi="宋体" w:cs="宋体"/>
          <w:color w:val="auto"/>
          <w:sz w:val="44"/>
          <w:szCs w:val="44"/>
        </w:rPr>
      </w:pPr>
      <w:r>
        <w:rPr>
          <w:rFonts w:hint="eastAsia" w:ascii="宋体" w:hAnsi="宋体" w:cs="宋体"/>
          <w:color w:val="auto"/>
          <w:sz w:val="44"/>
          <w:szCs w:val="44"/>
        </w:rPr>
        <w:t>文</w:t>
      </w:r>
    </w:p>
    <w:p>
      <w:pPr>
        <w:pStyle w:val="32"/>
        <w:ind w:firstLine="0"/>
        <w:rPr>
          <w:rFonts w:hint="eastAsia" w:ascii="宋体" w:hAnsi="宋体" w:eastAsia="宋体" w:cs="宋体"/>
          <w:color w:val="auto"/>
          <w:sz w:val="44"/>
          <w:szCs w:val="44"/>
        </w:rPr>
      </w:pPr>
    </w:p>
    <w:p>
      <w:pPr>
        <w:snapToGrid w:val="0"/>
        <w:spacing w:line="600" w:lineRule="exact"/>
        <w:jc w:val="center"/>
        <w:rPr>
          <w:rFonts w:hint="eastAsia" w:ascii="宋体" w:hAnsi="宋体" w:cs="宋体"/>
          <w:color w:val="auto"/>
          <w:sz w:val="24"/>
        </w:rPr>
      </w:pPr>
      <w:r>
        <w:rPr>
          <w:rFonts w:hint="eastAsia" w:ascii="宋体" w:hAnsi="宋体" w:cs="宋体"/>
          <w:color w:val="auto"/>
          <w:sz w:val="44"/>
          <w:szCs w:val="44"/>
        </w:rPr>
        <w:t>件</w:t>
      </w:r>
    </w:p>
    <w:p>
      <w:pPr>
        <w:pStyle w:val="32"/>
        <w:rPr>
          <w:rFonts w:hint="eastAsia" w:ascii="宋体" w:hAnsi="宋体" w:eastAsia="宋体" w:cs="宋体"/>
          <w:color w:val="auto"/>
          <w:sz w:val="24"/>
          <w:szCs w:val="24"/>
        </w:rPr>
      </w:pPr>
    </w:p>
    <w:p>
      <w:pPr>
        <w:pStyle w:val="32"/>
        <w:ind w:firstLine="0"/>
        <w:rPr>
          <w:rFonts w:hint="eastAsia" w:ascii="宋体" w:hAnsi="宋体" w:eastAsia="宋体" w:cs="宋体"/>
          <w:color w:val="auto"/>
          <w:sz w:val="24"/>
          <w:szCs w:val="24"/>
        </w:rPr>
      </w:pPr>
    </w:p>
    <w:p>
      <w:pPr>
        <w:snapToGrid w:val="0"/>
        <w:spacing w:line="600" w:lineRule="exact"/>
        <w:jc w:val="center"/>
        <w:rPr>
          <w:rFonts w:hint="eastAsia" w:ascii="宋体" w:hAnsi="宋体" w:cs="宋体"/>
          <w:color w:val="auto"/>
          <w:sz w:val="30"/>
          <w:szCs w:val="30"/>
        </w:rPr>
      </w:pPr>
      <w:r>
        <w:rPr>
          <w:rFonts w:hint="eastAsia" w:ascii="宋体" w:hAnsi="宋体" w:cs="宋体"/>
          <w:color w:val="auto"/>
          <w:sz w:val="30"/>
          <w:szCs w:val="30"/>
        </w:rPr>
        <w:t>投标人全称：（加盖单位公章）</w:t>
      </w:r>
    </w:p>
    <w:p>
      <w:pPr>
        <w:pStyle w:val="32"/>
        <w:rPr>
          <w:rFonts w:hint="eastAsia"/>
          <w:color w:val="auto"/>
        </w:rPr>
      </w:pPr>
    </w:p>
    <w:p>
      <w:pPr>
        <w:snapToGrid w:val="0"/>
        <w:spacing w:line="600" w:lineRule="exact"/>
        <w:jc w:val="center"/>
        <w:rPr>
          <w:rFonts w:hint="eastAsia" w:ascii="宋体" w:hAnsi="宋体" w:cs="宋体"/>
          <w:color w:val="auto"/>
          <w:sz w:val="30"/>
          <w:szCs w:val="30"/>
        </w:rPr>
      </w:pPr>
      <w:r>
        <w:rPr>
          <w:rFonts w:hint="eastAsia" w:ascii="宋体" w:hAnsi="宋体" w:cs="宋体"/>
          <w:color w:val="auto"/>
          <w:sz w:val="30"/>
          <w:szCs w:val="30"/>
        </w:rPr>
        <w:t>年   月   日</w:t>
      </w:r>
    </w:p>
    <w:p>
      <w:pPr>
        <w:spacing w:line="600" w:lineRule="exact"/>
        <w:rPr>
          <w:rFonts w:hint="eastAsia" w:ascii="宋体" w:hAnsi="宋体" w:cs="宋体"/>
          <w:color w:val="auto"/>
          <w:sz w:val="24"/>
        </w:rPr>
      </w:pPr>
    </w:p>
    <w:p>
      <w:pPr>
        <w:snapToGrid w:val="0"/>
        <w:spacing w:line="600" w:lineRule="exact"/>
        <w:rPr>
          <w:rFonts w:hint="eastAsia" w:ascii="宋体" w:hAnsi="宋体" w:cs="宋体"/>
          <w:color w:val="auto"/>
          <w:sz w:val="24"/>
        </w:rPr>
      </w:pPr>
    </w:p>
    <w:sectPr>
      <w:pgSz w:w="11906" w:h="16838"/>
      <w:pgMar w:top="993" w:right="1474" w:bottom="1134" w:left="1474" w:header="851" w:footer="641"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3"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_GB2312">
    <w:altName w:val="Courier New"/>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Helvetica Neue">
    <w:altName w:val="Segoe UI"/>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3"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Baskerville">
    <w:altName w:val="Cambria Math"/>
    <w:panose1 w:val="02020502070001020303"/>
    <w:charset w:val="00"/>
    <w:family w:val="roman"/>
    <w:pitch w:val="default"/>
    <w:sig w:usb0="00000001" w:usb1="02000000" w:usb2="00000000" w:usb3="00000000" w:csb0="0000019F" w:csb1="00000000"/>
  </w:font>
  <w:font w:name="Helvetica">
    <w:altName w:val="Arial"/>
    <w:panose1 w:val="020B0604020202020204"/>
    <w:charset w:val="00"/>
    <w:family w:val="swiss"/>
    <w:pitch w:val="default"/>
    <w:sig w:usb0="00000003"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1"/>
                            <w:tabs>
                              <w:tab w:val="clear" w:pos="4153"/>
                              <w:tab w:val="clear" w:pos="8306"/>
                            </w:tabs>
                            <w:rPr>
                              <w:rFonts w:hint="eastAsia"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41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66</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Text Box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Jq4QLgBAACYAwAADgAAAGRycy9lMm9Eb2MueG1srVNNb9swDL0P6H8Q dG/s5FAERpxiQ9BhQLENaPcDFFmKBegLpBI7/36UbKdbd+lhF5kiqcf3SHr3ODrLLgrQBN/y9arm THkZOuNPLf/1+nS/5QyT8J2wwauWXxXyx/3dp90QG7UJfbCdAkYgHpshtrxPKTZVhbJXTuAqROUp qAM4kegKp6oDMRC6s9Wmrh+qIUAXIUiFSN7DFOQzInwEMGhtpDoEeXbKpwkVlBWJJGFvIvJ9Yau1 kumH1qgSsy0npamcVITsYz6r/U40JxCxN3KmID5C4Z0mJ4ynojeog0iCncH8A+WMhIBBp5UMrpqE lI6QinX9rjcvvYiqaKFWY7w1Hf8frPx++QnMdC3fcOaFo4G/qjGxL2Fk69ydIWJDSS+R0tJIbtqZ xY/kzKJHDS5/SQ6jOPX2euttBpP50Xaz3dYUkhRbLoRfvT2PgOmrCo5lo+VAwys9FZdnTFPqkpKr +fBkrC0DtP4vB2FmT5W5TxyzlcbjOAs6hu5Kegaae8s9rTln9puntuYVWQxYjONinCOYU0/U1oUX xs/nRCQKt1xhgp0L08CKunm58kb8eS9Zbz/U/jd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AgBAAAW0NvbnRlbnRfVHlwZXNdLnhtbFBLAQIUAAoA AAAAAIdO4kAAAAAAAAAAAAAAAAAGAAAAAAAAAAAAEAAAAAIDAABfcmVscy9QSwECFAAUAAAACACH TuJAihRmPNEAAACUAQAACwAAAAAAAAABACAAAAAmAwAAX3JlbHMvLnJlbHNQSwECFAAKAAAAAACH TuJAAAAAAAAAAAAAAAAABAAAAAAAAAAAABAAAAAAAAAAZHJzL1BLAQIUABQAAAAIAIdO4kDOqXm5 zwAAAAUBAAAPAAAAAAAAAAEAIAAAACIAAABkcnMvZG93bnJldi54bWxQSwECFAAUAAAACACHTuJA vJq4QLgBAACYAwAADgAAAAAAAAABACAAAAAeAQAAZHJzL2Uyb0RvYy54bWxQSwUGAAAAAAYABgBZ AQAASAUAAAAA ">
              <v:fill on="f" focussize="0,0"/>
              <v:stroke on="f"/>
              <v:imagedata o:title=""/>
              <o:lock v:ext="edit" aspectratio="f"/>
              <v:textbox inset="0mm,0mm,0mm,0mm" style="mso-fit-shape-to-text:t;">
                <w:txbxContent>
                  <w:p>
                    <w:pPr>
                      <w:pStyle w:val="51"/>
                      <w:tabs>
                        <w:tab w:val="clear" w:pos="4153"/>
                        <w:tab w:val="clear" w:pos="8306"/>
                      </w:tabs>
                      <w:rPr>
                        <w:rFonts w:hint="eastAsia"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41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66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space"/>
      <w:lvlText w:val="第%1部分"/>
      <w:lvlJc w:val="left"/>
      <w:rPr>
        <w:rFonts w:hint="eastAsia"/>
      </w:rPr>
    </w:lvl>
  </w:abstractNum>
  <w:abstractNum w:abstractNumId="1">
    <w:nsid w:val="00000002"/>
    <w:multiLevelType w:val="multilevel"/>
    <w:tmpl w:val="00000002"/>
    <w:lvl w:ilvl="0" w:tentative="0">
      <w:start w:val="1"/>
      <w:numFmt w:val="bullet"/>
      <w:lvlText w:val="l"/>
      <w:lvlJc w:val="left"/>
      <w:pPr>
        <w:tabs>
          <w:tab w:val="left" w:pos="900"/>
        </w:tabs>
        <w:ind w:left="900" w:hanging="420"/>
      </w:pPr>
      <w:rPr>
        <w:rFonts w:hint="default" w:ascii="Wingdings" w:hAnsi="Wingdings"/>
      </w:rPr>
    </w:lvl>
    <w:lvl w:ilvl="1" w:tentative="0">
      <w:start w:val="1"/>
      <w:numFmt w:val="bullet"/>
      <w:lvlText w:val="n"/>
      <w:lvlJc w:val="left"/>
      <w:pPr>
        <w:tabs>
          <w:tab w:val="left" w:pos="1320"/>
        </w:tabs>
        <w:ind w:left="1320" w:hanging="420"/>
      </w:pPr>
      <w:rPr>
        <w:rFonts w:hint="default" w:ascii="Wingdings" w:hAnsi="Wingdings"/>
      </w:rPr>
    </w:lvl>
    <w:lvl w:ilvl="2" w:tentative="0">
      <w:start w:val="1"/>
      <w:numFmt w:val="bullet"/>
      <w:lvlText w:val="u"/>
      <w:lvlJc w:val="left"/>
      <w:pPr>
        <w:tabs>
          <w:tab w:val="left" w:pos="1740"/>
        </w:tabs>
        <w:ind w:left="1740" w:hanging="420"/>
      </w:pPr>
      <w:rPr>
        <w:rFonts w:hint="default" w:ascii="Wingdings" w:hAnsi="Wingdings"/>
      </w:rPr>
    </w:lvl>
    <w:lvl w:ilvl="3" w:tentative="0">
      <w:start w:val="1"/>
      <w:numFmt w:val="bullet"/>
      <w:lvlText w:val="l"/>
      <w:lvlJc w:val="left"/>
      <w:pPr>
        <w:tabs>
          <w:tab w:val="left" w:pos="2160"/>
        </w:tabs>
        <w:ind w:left="2160" w:hanging="420"/>
      </w:pPr>
      <w:rPr>
        <w:rFonts w:hint="default" w:ascii="Wingdings" w:hAnsi="Wingdings"/>
      </w:rPr>
    </w:lvl>
    <w:lvl w:ilvl="4" w:tentative="0">
      <w:start w:val="1"/>
      <w:numFmt w:val="bullet"/>
      <w:lvlText w:val="n"/>
      <w:lvlJc w:val="left"/>
      <w:pPr>
        <w:tabs>
          <w:tab w:val="left" w:pos="2580"/>
        </w:tabs>
        <w:ind w:left="2580" w:hanging="420"/>
      </w:pPr>
      <w:rPr>
        <w:rFonts w:hint="default" w:ascii="Wingdings" w:hAnsi="Wingdings"/>
      </w:rPr>
    </w:lvl>
    <w:lvl w:ilvl="5" w:tentative="0">
      <w:start w:val="1"/>
      <w:numFmt w:val="bullet"/>
      <w:lvlText w:val="u"/>
      <w:lvlJc w:val="left"/>
      <w:pPr>
        <w:tabs>
          <w:tab w:val="left" w:pos="3000"/>
        </w:tabs>
        <w:ind w:left="3000" w:hanging="420"/>
      </w:pPr>
      <w:rPr>
        <w:rFonts w:hint="default" w:ascii="Wingdings" w:hAnsi="Wingdings"/>
      </w:rPr>
    </w:lvl>
    <w:lvl w:ilvl="6" w:tentative="0">
      <w:start w:val="1"/>
      <w:numFmt w:val="bullet"/>
      <w:lvlText w:val="l"/>
      <w:lvlJc w:val="left"/>
      <w:pPr>
        <w:tabs>
          <w:tab w:val="left" w:pos="3420"/>
        </w:tabs>
        <w:ind w:left="3420" w:hanging="420"/>
      </w:pPr>
      <w:rPr>
        <w:rFonts w:hint="default" w:ascii="Wingdings" w:hAnsi="Wingdings"/>
      </w:rPr>
    </w:lvl>
    <w:lvl w:ilvl="7" w:tentative="0">
      <w:start w:val="1"/>
      <w:numFmt w:val="bullet"/>
      <w:lvlText w:val="n"/>
      <w:lvlJc w:val="left"/>
      <w:pPr>
        <w:tabs>
          <w:tab w:val="left" w:pos="3840"/>
        </w:tabs>
        <w:ind w:left="3840" w:hanging="420"/>
      </w:pPr>
      <w:rPr>
        <w:rFonts w:hint="default" w:ascii="Wingdings" w:hAnsi="Wingdings"/>
      </w:rPr>
    </w:lvl>
    <w:lvl w:ilvl="8" w:tentative="0">
      <w:start w:val="1"/>
      <w:numFmt w:val="bullet"/>
      <w:lvlText w:val="u"/>
      <w:lvlJc w:val="left"/>
      <w:pPr>
        <w:tabs>
          <w:tab w:val="left" w:pos="4260"/>
        </w:tabs>
        <w:ind w:left="4260" w:hanging="420"/>
      </w:pPr>
      <w:rPr>
        <w:rFonts w:hint="default" w:ascii="Wingdings" w:hAnsi="Wingdings"/>
      </w:rPr>
    </w:lvl>
  </w:abstractNum>
  <w:abstractNum w:abstractNumId="2">
    <w:nsid w:val="00000003"/>
    <w:multiLevelType w:val="multilevel"/>
    <w:tmpl w:val="00000003"/>
    <w:lvl w:ilvl="0" w:tentative="0">
      <w:start w:val="1"/>
      <w:numFmt w:val="bullet"/>
      <w:pStyle w:val="331"/>
      <w:lvlText w:val=""/>
      <w:lvlJc w:val="left"/>
      <w:pPr>
        <w:tabs>
          <w:tab w:val="left" w:pos="795"/>
        </w:tabs>
        <w:ind w:left="795" w:hanging="420"/>
      </w:pPr>
      <w:rPr>
        <w:rFonts w:hint="default" w:ascii="Wingdings" w:hAnsi="Wingdings"/>
        <w:lang w:eastAsia="zh-CN"/>
      </w:rPr>
    </w:lvl>
    <w:lvl w:ilvl="1" w:tentative="0">
      <w:start w:val="1"/>
      <w:numFmt w:val="bullet"/>
      <w:lvlText w:val=""/>
      <w:lvlJc w:val="left"/>
      <w:pPr>
        <w:tabs>
          <w:tab w:val="left" w:pos="1215"/>
        </w:tabs>
        <w:ind w:left="1215" w:hanging="420"/>
      </w:pPr>
      <w:rPr>
        <w:rFonts w:hint="default" w:ascii="Wingdings" w:hAnsi="Wingdings"/>
      </w:rPr>
    </w:lvl>
    <w:lvl w:ilvl="2" w:tentative="0">
      <w:start w:val="1"/>
      <w:numFmt w:val="bullet"/>
      <w:lvlText w:val=""/>
      <w:lvlJc w:val="left"/>
      <w:pPr>
        <w:tabs>
          <w:tab w:val="left" w:pos="1635"/>
        </w:tabs>
        <w:ind w:left="1635" w:hanging="420"/>
      </w:pPr>
      <w:rPr>
        <w:rFonts w:hint="default" w:ascii="Wingdings" w:hAnsi="Wingdings"/>
      </w:rPr>
    </w:lvl>
    <w:lvl w:ilvl="3" w:tentative="0">
      <w:start w:val="1"/>
      <w:numFmt w:val="bullet"/>
      <w:lvlText w:val=""/>
      <w:lvlJc w:val="left"/>
      <w:pPr>
        <w:tabs>
          <w:tab w:val="left" w:pos="2055"/>
        </w:tabs>
        <w:ind w:left="2055" w:hanging="420"/>
      </w:pPr>
      <w:rPr>
        <w:rFonts w:hint="default" w:ascii="Wingdings" w:hAnsi="Wingdings"/>
      </w:rPr>
    </w:lvl>
    <w:lvl w:ilvl="4" w:tentative="0">
      <w:start w:val="1"/>
      <w:numFmt w:val="bullet"/>
      <w:lvlText w:val=""/>
      <w:lvlJc w:val="left"/>
      <w:pPr>
        <w:tabs>
          <w:tab w:val="left" w:pos="2475"/>
        </w:tabs>
        <w:ind w:left="2475" w:hanging="420"/>
      </w:pPr>
      <w:rPr>
        <w:rFonts w:hint="default" w:ascii="Wingdings" w:hAnsi="Wingdings"/>
      </w:rPr>
    </w:lvl>
    <w:lvl w:ilvl="5" w:tentative="0">
      <w:start w:val="1"/>
      <w:numFmt w:val="bullet"/>
      <w:lvlText w:val=""/>
      <w:lvlJc w:val="left"/>
      <w:pPr>
        <w:tabs>
          <w:tab w:val="left" w:pos="2895"/>
        </w:tabs>
        <w:ind w:left="2895" w:hanging="420"/>
      </w:pPr>
      <w:rPr>
        <w:rFonts w:hint="default" w:ascii="Wingdings" w:hAnsi="Wingdings"/>
      </w:rPr>
    </w:lvl>
    <w:lvl w:ilvl="6" w:tentative="0">
      <w:start w:val="1"/>
      <w:numFmt w:val="bullet"/>
      <w:lvlText w:val=""/>
      <w:lvlJc w:val="left"/>
      <w:pPr>
        <w:tabs>
          <w:tab w:val="left" w:pos="3315"/>
        </w:tabs>
        <w:ind w:left="3315" w:hanging="420"/>
      </w:pPr>
      <w:rPr>
        <w:rFonts w:hint="default" w:ascii="Wingdings" w:hAnsi="Wingdings"/>
      </w:rPr>
    </w:lvl>
    <w:lvl w:ilvl="7" w:tentative="0">
      <w:start w:val="1"/>
      <w:numFmt w:val="bullet"/>
      <w:lvlText w:val=""/>
      <w:lvlJc w:val="left"/>
      <w:pPr>
        <w:tabs>
          <w:tab w:val="left" w:pos="3735"/>
        </w:tabs>
        <w:ind w:left="3735" w:hanging="420"/>
      </w:pPr>
      <w:rPr>
        <w:rFonts w:hint="default" w:ascii="Wingdings" w:hAnsi="Wingdings"/>
      </w:rPr>
    </w:lvl>
    <w:lvl w:ilvl="8" w:tentative="0">
      <w:start w:val="1"/>
      <w:numFmt w:val="bullet"/>
      <w:lvlText w:val=""/>
      <w:lvlJc w:val="left"/>
      <w:pPr>
        <w:tabs>
          <w:tab w:val="left" w:pos="4155"/>
        </w:tabs>
        <w:ind w:left="4155" w:hanging="420"/>
      </w:pPr>
      <w:rPr>
        <w:rFonts w:hint="default" w:ascii="Wingdings" w:hAnsi="Wingdings"/>
      </w:rPr>
    </w:lvl>
  </w:abstractNum>
  <w:abstractNum w:abstractNumId="3">
    <w:nsid w:val="00000004"/>
    <w:multiLevelType w:val="multilevel"/>
    <w:tmpl w:val="00000004"/>
    <w:lvl w:ilvl="0" w:tentative="0">
      <w:start w:val="1"/>
      <w:numFmt w:val="bullet"/>
      <w:pStyle w:val="1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0000005"/>
    <w:multiLevelType w:val="multilevel"/>
    <w:tmpl w:val="00000005"/>
    <w:lvl w:ilvl="0" w:tentative="0">
      <w:start w:val="1"/>
      <w:numFmt w:val="decimal"/>
      <w:suff w:val="nothing"/>
      <w:lvlText w:val="（%1）"/>
      <w:lvlJc w:val="left"/>
    </w:lvl>
    <w:lvl w:ilvl="1" w:tentative="0">
      <w:start w:val="1"/>
      <w:numFmt w:val="none"/>
      <w:lvlText w:val=""/>
      <w:lvlJc w:val="left"/>
      <w:pPr>
        <w:tabs>
          <w:tab w:val="left" w:pos="576"/>
        </w:tabs>
        <w:ind w:left="576" w:hanging="576"/>
      </w:pPr>
    </w:lvl>
    <w:lvl w:ilvl="2" w:tentative="0">
      <w:start w:val="1"/>
      <w:numFmt w:val="none"/>
      <w:lvlText w:val=""/>
      <w:lvlJc w:val="left"/>
      <w:pPr>
        <w:tabs>
          <w:tab w:val="left" w:pos="720"/>
        </w:tabs>
        <w:ind w:left="720" w:hanging="720"/>
      </w:pPr>
      <w:rPr>
        <w:rFonts w:hint="eastAsia"/>
      </w:r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6"/>
    <w:multiLevelType w:val="singleLevel"/>
    <w:tmpl w:val="00000006"/>
    <w:lvl w:ilvl="0" w:tentative="0">
      <w:start w:val="1"/>
      <w:numFmt w:val="bullet"/>
      <w:pStyle w:val="329"/>
      <w:lvlText w:val=""/>
      <w:lvlJc w:val="left"/>
      <w:pPr>
        <w:tabs>
          <w:tab w:val="left" w:pos="425"/>
        </w:tabs>
        <w:ind w:left="425" w:hanging="425"/>
      </w:pPr>
      <w:rPr>
        <w:rFonts w:hint="default" w:ascii="Wingdings" w:hAnsi="Wingdings"/>
      </w:rPr>
    </w:lvl>
  </w:abstractNum>
  <w:abstractNum w:abstractNumId="6">
    <w:nsid w:val="00000007"/>
    <w:multiLevelType w:val="singleLevel"/>
    <w:tmpl w:val="00000007"/>
    <w:lvl w:ilvl="0" w:tentative="0">
      <w:start w:val="2"/>
      <w:numFmt w:val="decimal"/>
      <w:suff w:val="nothing"/>
      <w:lvlText w:val="%1、"/>
      <w:lvlJc w:val="left"/>
    </w:lvl>
  </w:abstractNum>
  <w:abstractNum w:abstractNumId="7">
    <w:nsid w:val="00000008"/>
    <w:multiLevelType w:val="multilevel"/>
    <w:tmpl w:val="00000008"/>
    <w:lvl w:ilvl="0" w:tentative="0">
      <w:start w:val="1"/>
      <w:numFmt w:val="chineseCountingThousand"/>
      <w:pStyle w:val="188"/>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w:lvlJc w:val="left"/>
      <w:pPr>
        <w:tabs>
          <w:tab w:val="left" w:pos="576"/>
        </w:tabs>
        <w:ind w:left="576" w:hanging="576"/>
      </w:p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pStyle w:val="9"/>
      <w:lvlText w:val=""/>
      <w:lvlJc w:val="left"/>
      <w:pPr>
        <w:tabs>
          <w:tab w:val="left" w:pos="1440"/>
        </w:tabs>
        <w:ind w:left="1152" w:hanging="1152"/>
      </w:pPr>
    </w:lvl>
    <w:lvl w:ilvl="6" w:tentative="0">
      <w:start w:val="1"/>
      <w:numFmt w:val="decimal"/>
      <w:pStyle w:val="10"/>
      <w:lvlText w:val="%1.%2.%3.%4.%5.%6.%7"/>
      <w:lvlJc w:val="left"/>
      <w:pPr>
        <w:tabs>
          <w:tab w:val="left" w:pos="2520"/>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8">
    <w:nsid w:val="00000009"/>
    <w:multiLevelType w:val="multilevel"/>
    <w:tmpl w:val="00000009"/>
    <w:lvl w:ilvl="0" w:tentative="0">
      <w:start w:val="1"/>
      <w:numFmt w:val="bullet"/>
      <w:pStyle w:val="407"/>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A"/>
    <w:multiLevelType w:val="multilevel"/>
    <w:tmpl w:val="0000000A"/>
    <w:lvl w:ilvl="0" w:tentative="0">
      <w:start w:val="1"/>
      <w:numFmt w:val="chineseCountingThousand"/>
      <w:pStyle w:val="5"/>
      <w:lvlText w:val="%1、"/>
      <w:lvlJc w:val="left"/>
      <w:pPr>
        <w:tabs>
          <w:tab w:val="left" w:pos="1110"/>
        </w:tabs>
        <w:ind w:left="106" w:firstLine="454"/>
      </w:pPr>
      <w:rPr>
        <w:rFonts w:hint="default" w:ascii="??" w:hAnsi="??" w:eastAsia="??"/>
        <w:b/>
        <w:i w:val="0"/>
        <w:iCs w:val="0"/>
        <w:caps w:val="0"/>
        <w:smallCaps w:val="0"/>
        <w:outline w:val="0"/>
        <w:shadow w:val="0"/>
        <w:emboss w:val="0"/>
        <w:imprint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0">
    <w:nsid w:val="0000000B"/>
    <w:multiLevelType w:val="multilevel"/>
    <w:tmpl w:val="0000000B"/>
    <w:lvl w:ilvl="0" w:tentative="0">
      <w:start w:val="1"/>
      <w:numFmt w:val="bullet"/>
      <w:pStyle w:val="221"/>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abstractNum w:abstractNumId="11">
    <w:nsid w:val="0000000C"/>
    <w:multiLevelType w:val="multilevel"/>
    <w:tmpl w:val="0000000C"/>
    <w:lvl w:ilvl="0" w:tentative="0">
      <w:start w:val="1"/>
      <w:numFmt w:val="decimal"/>
      <w:lvlText w:val="2.2.%1"/>
      <w:lvlJc w:val="left"/>
      <w:pPr>
        <w:ind w:left="420" w:hanging="420"/>
      </w:pPr>
      <w:rPr>
        <w:rFonts w:hint="eastAsia"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D"/>
    <w:multiLevelType w:val="multilevel"/>
    <w:tmpl w:val="0000000D"/>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0000000F"/>
    <w:multiLevelType w:val="multilevel"/>
    <w:tmpl w:val="0000000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10"/>
    <w:multiLevelType w:val="multilevel"/>
    <w:tmpl w:val="00000010"/>
    <w:lvl w:ilvl="0" w:tentative="0">
      <w:start w:val="1"/>
      <w:numFmt w:val="decimal"/>
      <w:lvlText w:val="2.%1"/>
      <w:lvlJc w:val="left"/>
      <w:pPr>
        <w:ind w:left="840" w:hanging="420"/>
      </w:pPr>
      <w:rPr>
        <w:rFonts w:hint="eastAsia" w:ascii="宋体" w:hAnsi="宋体" w:eastAsia="宋体"/>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00000011"/>
    <w:multiLevelType w:val="singleLevel"/>
    <w:tmpl w:val="00000011"/>
    <w:lvl w:ilvl="0" w:tentative="0">
      <w:start w:val="6"/>
      <w:numFmt w:val="chineseCounting"/>
      <w:suff w:val="nothing"/>
      <w:lvlText w:val="%1、"/>
      <w:lvlJc w:val="left"/>
      <w:rPr>
        <w:rFonts w:hint="eastAsia"/>
      </w:rPr>
    </w:lvl>
  </w:abstractNum>
  <w:abstractNum w:abstractNumId="16">
    <w:nsid w:val="00000012"/>
    <w:multiLevelType w:val="singleLevel"/>
    <w:tmpl w:val="00000012"/>
    <w:lvl w:ilvl="0" w:tentative="0">
      <w:start w:val="1"/>
      <w:numFmt w:val="chineseCounting"/>
      <w:suff w:val="nothing"/>
      <w:lvlText w:val="%1、"/>
      <w:lvlJc w:val="left"/>
    </w:lvl>
  </w:abstractNum>
  <w:abstractNum w:abstractNumId="17">
    <w:nsid w:val="00000013"/>
    <w:multiLevelType w:val="multilevel"/>
    <w:tmpl w:val="00000013"/>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7"/>
  </w:num>
  <w:num w:numId="3">
    <w:abstractNumId w:val="3"/>
  </w:num>
  <w:num w:numId="4">
    <w:abstractNumId w:val="10"/>
  </w:num>
  <w:num w:numId="5">
    <w:abstractNumId w:val="5"/>
  </w:num>
  <w:num w:numId="6">
    <w:abstractNumId w:val="2"/>
  </w:num>
  <w:num w:numId="7">
    <w:abstractNumId w:val="8"/>
  </w:num>
  <w:num w:numId="8">
    <w:abstractNumId w:val="0"/>
  </w:num>
  <w:num w:numId="9">
    <w:abstractNumId w:val="15"/>
  </w:num>
  <w:num w:numId="10">
    <w:abstractNumId w:val="1"/>
  </w:num>
  <w:num w:numId="11">
    <w:abstractNumId w:val="4"/>
  </w:num>
  <w:num w:numId="12">
    <w:abstractNumId w:val="6"/>
  </w:num>
  <w:num w:numId="13">
    <w:abstractNumId w:val="16"/>
  </w:num>
  <w:num w:numId="14">
    <w:abstractNumId w:val="14"/>
  </w:num>
  <w:num w:numId="15">
    <w:abstractNumId w:val="11"/>
  </w:num>
  <w:num w:numId="16">
    <w:abstractNumId w:val="12"/>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2A"/>
    <w:rsid w:val="00004E47"/>
    <w:rsid w:val="000107B1"/>
    <w:rsid w:val="00012442"/>
    <w:rsid w:val="00012D7C"/>
    <w:rsid w:val="00014366"/>
    <w:rsid w:val="000151AB"/>
    <w:rsid w:val="00016A50"/>
    <w:rsid w:val="00016EFE"/>
    <w:rsid w:val="000204DE"/>
    <w:rsid w:val="00021A6C"/>
    <w:rsid w:val="0002489F"/>
    <w:rsid w:val="00027FE8"/>
    <w:rsid w:val="000309C5"/>
    <w:rsid w:val="00030D73"/>
    <w:rsid w:val="0003345D"/>
    <w:rsid w:val="00035520"/>
    <w:rsid w:val="00035599"/>
    <w:rsid w:val="00035E30"/>
    <w:rsid w:val="00035F17"/>
    <w:rsid w:val="00037BD3"/>
    <w:rsid w:val="0004192E"/>
    <w:rsid w:val="000446F6"/>
    <w:rsid w:val="00044BA6"/>
    <w:rsid w:val="0004700C"/>
    <w:rsid w:val="00047275"/>
    <w:rsid w:val="00047C00"/>
    <w:rsid w:val="0005137E"/>
    <w:rsid w:val="00052314"/>
    <w:rsid w:val="000530E1"/>
    <w:rsid w:val="00054058"/>
    <w:rsid w:val="00054724"/>
    <w:rsid w:val="0005617B"/>
    <w:rsid w:val="0005626E"/>
    <w:rsid w:val="00056DFC"/>
    <w:rsid w:val="00057D8F"/>
    <w:rsid w:val="000607F4"/>
    <w:rsid w:val="000618C3"/>
    <w:rsid w:val="00062A83"/>
    <w:rsid w:val="0006385B"/>
    <w:rsid w:val="000648A1"/>
    <w:rsid w:val="000660ED"/>
    <w:rsid w:val="00067CF5"/>
    <w:rsid w:val="00070FB5"/>
    <w:rsid w:val="00073C8D"/>
    <w:rsid w:val="00074029"/>
    <w:rsid w:val="00076141"/>
    <w:rsid w:val="00077434"/>
    <w:rsid w:val="00077570"/>
    <w:rsid w:val="00080A6A"/>
    <w:rsid w:val="000812E5"/>
    <w:rsid w:val="00082827"/>
    <w:rsid w:val="000844B5"/>
    <w:rsid w:val="000851F5"/>
    <w:rsid w:val="00092737"/>
    <w:rsid w:val="000935FD"/>
    <w:rsid w:val="00095DA9"/>
    <w:rsid w:val="000B2120"/>
    <w:rsid w:val="000B2178"/>
    <w:rsid w:val="000B339B"/>
    <w:rsid w:val="000B4324"/>
    <w:rsid w:val="000B50E5"/>
    <w:rsid w:val="000B6B43"/>
    <w:rsid w:val="000C2E28"/>
    <w:rsid w:val="000C43D0"/>
    <w:rsid w:val="000C5C3D"/>
    <w:rsid w:val="000C62A5"/>
    <w:rsid w:val="000D0532"/>
    <w:rsid w:val="000D34BB"/>
    <w:rsid w:val="000D353A"/>
    <w:rsid w:val="000D3C9F"/>
    <w:rsid w:val="000E02E5"/>
    <w:rsid w:val="000E18EA"/>
    <w:rsid w:val="000E259E"/>
    <w:rsid w:val="000E2E75"/>
    <w:rsid w:val="000E3079"/>
    <w:rsid w:val="000E60D3"/>
    <w:rsid w:val="000E627E"/>
    <w:rsid w:val="000E678D"/>
    <w:rsid w:val="000E6894"/>
    <w:rsid w:val="000E72DD"/>
    <w:rsid w:val="000F06D0"/>
    <w:rsid w:val="000F15D4"/>
    <w:rsid w:val="000F21CE"/>
    <w:rsid w:val="000F28F9"/>
    <w:rsid w:val="000F6F52"/>
    <w:rsid w:val="000F78B3"/>
    <w:rsid w:val="000F78E2"/>
    <w:rsid w:val="0010081E"/>
    <w:rsid w:val="00100EFC"/>
    <w:rsid w:val="00102F93"/>
    <w:rsid w:val="0010472C"/>
    <w:rsid w:val="00107F09"/>
    <w:rsid w:val="00111535"/>
    <w:rsid w:val="001124F2"/>
    <w:rsid w:val="001125F4"/>
    <w:rsid w:val="001135A8"/>
    <w:rsid w:val="00114B5E"/>
    <w:rsid w:val="00117CC8"/>
    <w:rsid w:val="001219BA"/>
    <w:rsid w:val="00123EB7"/>
    <w:rsid w:val="00126CF3"/>
    <w:rsid w:val="00127579"/>
    <w:rsid w:val="001337E3"/>
    <w:rsid w:val="00135386"/>
    <w:rsid w:val="0013617B"/>
    <w:rsid w:val="00136BCA"/>
    <w:rsid w:val="00136BF9"/>
    <w:rsid w:val="001372F7"/>
    <w:rsid w:val="00140B75"/>
    <w:rsid w:val="00141C35"/>
    <w:rsid w:val="00143934"/>
    <w:rsid w:val="001470F3"/>
    <w:rsid w:val="0015111D"/>
    <w:rsid w:val="001526DB"/>
    <w:rsid w:val="001531D5"/>
    <w:rsid w:val="0015456E"/>
    <w:rsid w:val="00160D6E"/>
    <w:rsid w:val="00163965"/>
    <w:rsid w:val="00163FC5"/>
    <w:rsid w:val="00164596"/>
    <w:rsid w:val="00166B64"/>
    <w:rsid w:val="001675A1"/>
    <w:rsid w:val="00167A82"/>
    <w:rsid w:val="00172613"/>
    <w:rsid w:val="00174AD9"/>
    <w:rsid w:val="00182875"/>
    <w:rsid w:val="00184B37"/>
    <w:rsid w:val="00184F02"/>
    <w:rsid w:val="00184F2D"/>
    <w:rsid w:val="00185231"/>
    <w:rsid w:val="00185961"/>
    <w:rsid w:val="0018640F"/>
    <w:rsid w:val="00187DB0"/>
    <w:rsid w:val="00191BE9"/>
    <w:rsid w:val="00196B08"/>
    <w:rsid w:val="00196C4E"/>
    <w:rsid w:val="00196E80"/>
    <w:rsid w:val="00197AA5"/>
    <w:rsid w:val="001A5043"/>
    <w:rsid w:val="001B0BB5"/>
    <w:rsid w:val="001B5734"/>
    <w:rsid w:val="001B580D"/>
    <w:rsid w:val="001B59C3"/>
    <w:rsid w:val="001C3AFE"/>
    <w:rsid w:val="001C4F32"/>
    <w:rsid w:val="001D29AC"/>
    <w:rsid w:val="001D5213"/>
    <w:rsid w:val="001D79FC"/>
    <w:rsid w:val="001E1DAF"/>
    <w:rsid w:val="001E1E79"/>
    <w:rsid w:val="001E34A3"/>
    <w:rsid w:val="001E394A"/>
    <w:rsid w:val="001E4F1B"/>
    <w:rsid w:val="001E7936"/>
    <w:rsid w:val="001F0A8E"/>
    <w:rsid w:val="001F2C53"/>
    <w:rsid w:val="001F31FE"/>
    <w:rsid w:val="001F38FB"/>
    <w:rsid w:val="001F3B2E"/>
    <w:rsid w:val="001F7650"/>
    <w:rsid w:val="00200ACD"/>
    <w:rsid w:val="00203490"/>
    <w:rsid w:val="00203701"/>
    <w:rsid w:val="00203B60"/>
    <w:rsid w:val="00203D36"/>
    <w:rsid w:val="00205A55"/>
    <w:rsid w:val="00205AD1"/>
    <w:rsid w:val="00206BB9"/>
    <w:rsid w:val="00206C60"/>
    <w:rsid w:val="0020701C"/>
    <w:rsid w:val="0020701D"/>
    <w:rsid w:val="002075BD"/>
    <w:rsid w:val="002116FD"/>
    <w:rsid w:val="00211ED7"/>
    <w:rsid w:val="00212738"/>
    <w:rsid w:val="0021732D"/>
    <w:rsid w:val="00217C72"/>
    <w:rsid w:val="00220040"/>
    <w:rsid w:val="00220EB5"/>
    <w:rsid w:val="0022671F"/>
    <w:rsid w:val="00232A60"/>
    <w:rsid w:val="00234313"/>
    <w:rsid w:val="002348B5"/>
    <w:rsid w:val="0023705B"/>
    <w:rsid w:val="002373CC"/>
    <w:rsid w:val="00240508"/>
    <w:rsid w:val="002405EF"/>
    <w:rsid w:val="00240603"/>
    <w:rsid w:val="002417B5"/>
    <w:rsid w:val="00242D52"/>
    <w:rsid w:val="00246052"/>
    <w:rsid w:val="002465B1"/>
    <w:rsid w:val="00246C46"/>
    <w:rsid w:val="002519A6"/>
    <w:rsid w:val="00253A44"/>
    <w:rsid w:val="00253C6A"/>
    <w:rsid w:val="00254281"/>
    <w:rsid w:val="00256E7A"/>
    <w:rsid w:val="00261514"/>
    <w:rsid w:val="002616AC"/>
    <w:rsid w:val="00262035"/>
    <w:rsid w:val="00262292"/>
    <w:rsid w:val="00264B8C"/>
    <w:rsid w:val="00264B90"/>
    <w:rsid w:val="002652E2"/>
    <w:rsid w:val="00271E8C"/>
    <w:rsid w:val="00272DB1"/>
    <w:rsid w:val="00281B57"/>
    <w:rsid w:val="002833DF"/>
    <w:rsid w:val="00283722"/>
    <w:rsid w:val="002844EF"/>
    <w:rsid w:val="002859CC"/>
    <w:rsid w:val="00286E9C"/>
    <w:rsid w:val="002913BB"/>
    <w:rsid w:val="00292946"/>
    <w:rsid w:val="00292EA6"/>
    <w:rsid w:val="002931FE"/>
    <w:rsid w:val="00293F66"/>
    <w:rsid w:val="0029400F"/>
    <w:rsid w:val="00297024"/>
    <w:rsid w:val="00297DE5"/>
    <w:rsid w:val="002A2975"/>
    <w:rsid w:val="002A3134"/>
    <w:rsid w:val="002A3AA3"/>
    <w:rsid w:val="002A3E5D"/>
    <w:rsid w:val="002A45BB"/>
    <w:rsid w:val="002A4DA4"/>
    <w:rsid w:val="002A5B70"/>
    <w:rsid w:val="002A69C6"/>
    <w:rsid w:val="002A73C9"/>
    <w:rsid w:val="002A7BD8"/>
    <w:rsid w:val="002B0378"/>
    <w:rsid w:val="002B1D9D"/>
    <w:rsid w:val="002B2761"/>
    <w:rsid w:val="002B6A2B"/>
    <w:rsid w:val="002B6BED"/>
    <w:rsid w:val="002C1467"/>
    <w:rsid w:val="002C5E7F"/>
    <w:rsid w:val="002D1D0B"/>
    <w:rsid w:val="002D1EC8"/>
    <w:rsid w:val="002D36AD"/>
    <w:rsid w:val="002D574C"/>
    <w:rsid w:val="002E1E56"/>
    <w:rsid w:val="002E271C"/>
    <w:rsid w:val="002E4BBB"/>
    <w:rsid w:val="002E62DC"/>
    <w:rsid w:val="002E7954"/>
    <w:rsid w:val="002E7CB4"/>
    <w:rsid w:val="002F07FE"/>
    <w:rsid w:val="002F132E"/>
    <w:rsid w:val="002F35A7"/>
    <w:rsid w:val="002F38B7"/>
    <w:rsid w:val="002F6566"/>
    <w:rsid w:val="002F6BA9"/>
    <w:rsid w:val="003016CD"/>
    <w:rsid w:val="00301D67"/>
    <w:rsid w:val="00304332"/>
    <w:rsid w:val="0030537F"/>
    <w:rsid w:val="00305C03"/>
    <w:rsid w:val="00306438"/>
    <w:rsid w:val="00307542"/>
    <w:rsid w:val="00307EC9"/>
    <w:rsid w:val="00310230"/>
    <w:rsid w:val="00311D86"/>
    <w:rsid w:val="003121A6"/>
    <w:rsid w:val="00315B4B"/>
    <w:rsid w:val="00316398"/>
    <w:rsid w:val="00317A11"/>
    <w:rsid w:val="00320953"/>
    <w:rsid w:val="00321E94"/>
    <w:rsid w:val="00323F0C"/>
    <w:rsid w:val="00326100"/>
    <w:rsid w:val="00326DB1"/>
    <w:rsid w:val="00331293"/>
    <w:rsid w:val="00332FAF"/>
    <w:rsid w:val="00334039"/>
    <w:rsid w:val="00334E12"/>
    <w:rsid w:val="00334EC2"/>
    <w:rsid w:val="0033597A"/>
    <w:rsid w:val="003366AF"/>
    <w:rsid w:val="003378D6"/>
    <w:rsid w:val="00337D84"/>
    <w:rsid w:val="00340B07"/>
    <w:rsid w:val="00342926"/>
    <w:rsid w:val="0034428F"/>
    <w:rsid w:val="003453F2"/>
    <w:rsid w:val="00347607"/>
    <w:rsid w:val="0035022A"/>
    <w:rsid w:val="0035066A"/>
    <w:rsid w:val="0035272E"/>
    <w:rsid w:val="003541B9"/>
    <w:rsid w:val="003547C4"/>
    <w:rsid w:val="00355517"/>
    <w:rsid w:val="003573AC"/>
    <w:rsid w:val="003574BA"/>
    <w:rsid w:val="00366F88"/>
    <w:rsid w:val="00370043"/>
    <w:rsid w:val="0037086E"/>
    <w:rsid w:val="00370AA5"/>
    <w:rsid w:val="00370CBD"/>
    <w:rsid w:val="0037155D"/>
    <w:rsid w:val="00375563"/>
    <w:rsid w:val="00380B88"/>
    <w:rsid w:val="00380C50"/>
    <w:rsid w:val="00383604"/>
    <w:rsid w:val="003839D6"/>
    <w:rsid w:val="003841D6"/>
    <w:rsid w:val="003849D8"/>
    <w:rsid w:val="00384A4B"/>
    <w:rsid w:val="00385AC7"/>
    <w:rsid w:val="003873C1"/>
    <w:rsid w:val="00392161"/>
    <w:rsid w:val="00392496"/>
    <w:rsid w:val="00395D04"/>
    <w:rsid w:val="00395FA3"/>
    <w:rsid w:val="003963A5"/>
    <w:rsid w:val="00396B13"/>
    <w:rsid w:val="003A07BB"/>
    <w:rsid w:val="003A1A0F"/>
    <w:rsid w:val="003A2794"/>
    <w:rsid w:val="003A42BB"/>
    <w:rsid w:val="003A53F1"/>
    <w:rsid w:val="003A5CE7"/>
    <w:rsid w:val="003A6CEF"/>
    <w:rsid w:val="003A7270"/>
    <w:rsid w:val="003B00F7"/>
    <w:rsid w:val="003B1AF4"/>
    <w:rsid w:val="003B3A0C"/>
    <w:rsid w:val="003B7157"/>
    <w:rsid w:val="003C30DC"/>
    <w:rsid w:val="003C5FB2"/>
    <w:rsid w:val="003C676E"/>
    <w:rsid w:val="003C6C07"/>
    <w:rsid w:val="003D1D0E"/>
    <w:rsid w:val="003D28E0"/>
    <w:rsid w:val="003D4927"/>
    <w:rsid w:val="003D6731"/>
    <w:rsid w:val="003D693C"/>
    <w:rsid w:val="003D7BDA"/>
    <w:rsid w:val="003E1519"/>
    <w:rsid w:val="003E1D3A"/>
    <w:rsid w:val="003E1EA6"/>
    <w:rsid w:val="003E27E3"/>
    <w:rsid w:val="003E439A"/>
    <w:rsid w:val="003E650B"/>
    <w:rsid w:val="003E6ADA"/>
    <w:rsid w:val="003F120E"/>
    <w:rsid w:val="003F1E86"/>
    <w:rsid w:val="003F2A4D"/>
    <w:rsid w:val="003F3381"/>
    <w:rsid w:val="003F34B5"/>
    <w:rsid w:val="003F7415"/>
    <w:rsid w:val="003F7AF2"/>
    <w:rsid w:val="00400A03"/>
    <w:rsid w:val="00402399"/>
    <w:rsid w:val="00402432"/>
    <w:rsid w:val="00403724"/>
    <w:rsid w:val="00403DEB"/>
    <w:rsid w:val="00404CF6"/>
    <w:rsid w:val="00405A49"/>
    <w:rsid w:val="0040715F"/>
    <w:rsid w:val="004072E8"/>
    <w:rsid w:val="0041255A"/>
    <w:rsid w:val="00412995"/>
    <w:rsid w:val="00413715"/>
    <w:rsid w:val="00413FE9"/>
    <w:rsid w:val="00415734"/>
    <w:rsid w:val="00415FDB"/>
    <w:rsid w:val="00416152"/>
    <w:rsid w:val="00417320"/>
    <w:rsid w:val="00417EA5"/>
    <w:rsid w:val="00420C8D"/>
    <w:rsid w:val="004239DA"/>
    <w:rsid w:val="00424AE5"/>
    <w:rsid w:val="004256C9"/>
    <w:rsid w:val="00426D86"/>
    <w:rsid w:val="00427393"/>
    <w:rsid w:val="004312E5"/>
    <w:rsid w:val="004342D5"/>
    <w:rsid w:val="004346C0"/>
    <w:rsid w:val="00444AF2"/>
    <w:rsid w:val="00445197"/>
    <w:rsid w:val="00450652"/>
    <w:rsid w:val="0045067D"/>
    <w:rsid w:val="0045098F"/>
    <w:rsid w:val="00450F4C"/>
    <w:rsid w:val="0045288E"/>
    <w:rsid w:val="004531DB"/>
    <w:rsid w:val="00461770"/>
    <w:rsid w:val="004619CE"/>
    <w:rsid w:val="004650FC"/>
    <w:rsid w:val="00465BFB"/>
    <w:rsid w:val="0046766B"/>
    <w:rsid w:val="0047101C"/>
    <w:rsid w:val="00473670"/>
    <w:rsid w:val="00475044"/>
    <w:rsid w:val="00475A2C"/>
    <w:rsid w:val="00476772"/>
    <w:rsid w:val="00476BD6"/>
    <w:rsid w:val="004776BF"/>
    <w:rsid w:val="00482B7C"/>
    <w:rsid w:val="00484B3F"/>
    <w:rsid w:val="004857F6"/>
    <w:rsid w:val="00487FE7"/>
    <w:rsid w:val="00491B8C"/>
    <w:rsid w:val="00491C05"/>
    <w:rsid w:val="00492FCA"/>
    <w:rsid w:val="00494150"/>
    <w:rsid w:val="00494F17"/>
    <w:rsid w:val="0049569F"/>
    <w:rsid w:val="004958DA"/>
    <w:rsid w:val="00497898"/>
    <w:rsid w:val="004A1CFB"/>
    <w:rsid w:val="004A59DA"/>
    <w:rsid w:val="004A59E9"/>
    <w:rsid w:val="004A6E3A"/>
    <w:rsid w:val="004A77B6"/>
    <w:rsid w:val="004B0E39"/>
    <w:rsid w:val="004B1024"/>
    <w:rsid w:val="004B1E59"/>
    <w:rsid w:val="004B2051"/>
    <w:rsid w:val="004B2541"/>
    <w:rsid w:val="004B2DC5"/>
    <w:rsid w:val="004B5A87"/>
    <w:rsid w:val="004B66ED"/>
    <w:rsid w:val="004B6718"/>
    <w:rsid w:val="004B6948"/>
    <w:rsid w:val="004B7209"/>
    <w:rsid w:val="004C3023"/>
    <w:rsid w:val="004C37F5"/>
    <w:rsid w:val="004C5B5B"/>
    <w:rsid w:val="004C610B"/>
    <w:rsid w:val="004C76AF"/>
    <w:rsid w:val="004C7FE3"/>
    <w:rsid w:val="004D0F50"/>
    <w:rsid w:val="004D5B1A"/>
    <w:rsid w:val="004D63E2"/>
    <w:rsid w:val="004D7F69"/>
    <w:rsid w:val="004E047B"/>
    <w:rsid w:val="004E1BC7"/>
    <w:rsid w:val="004E1C17"/>
    <w:rsid w:val="004E3610"/>
    <w:rsid w:val="004E3FBF"/>
    <w:rsid w:val="004E4874"/>
    <w:rsid w:val="004E6B6B"/>
    <w:rsid w:val="004F00B1"/>
    <w:rsid w:val="004F1B07"/>
    <w:rsid w:val="004F2FE6"/>
    <w:rsid w:val="004F39DE"/>
    <w:rsid w:val="004F45D9"/>
    <w:rsid w:val="004F567A"/>
    <w:rsid w:val="004F6A19"/>
    <w:rsid w:val="004F769C"/>
    <w:rsid w:val="004F7752"/>
    <w:rsid w:val="00500AED"/>
    <w:rsid w:val="005012C2"/>
    <w:rsid w:val="00501F97"/>
    <w:rsid w:val="005052A3"/>
    <w:rsid w:val="005129B8"/>
    <w:rsid w:val="005133AF"/>
    <w:rsid w:val="0051505F"/>
    <w:rsid w:val="0051558B"/>
    <w:rsid w:val="00516C3D"/>
    <w:rsid w:val="00516F5C"/>
    <w:rsid w:val="005173BD"/>
    <w:rsid w:val="00517C40"/>
    <w:rsid w:val="005230F0"/>
    <w:rsid w:val="0052320B"/>
    <w:rsid w:val="00523C3D"/>
    <w:rsid w:val="00525073"/>
    <w:rsid w:val="0052704D"/>
    <w:rsid w:val="00527B45"/>
    <w:rsid w:val="00531211"/>
    <w:rsid w:val="00531A93"/>
    <w:rsid w:val="00531B55"/>
    <w:rsid w:val="00532052"/>
    <w:rsid w:val="0053332C"/>
    <w:rsid w:val="00534DC1"/>
    <w:rsid w:val="00537A3F"/>
    <w:rsid w:val="0054182B"/>
    <w:rsid w:val="00543218"/>
    <w:rsid w:val="005435BE"/>
    <w:rsid w:val="00545945"/>
    <w:rsid w:val="0054758F"/>
    <w:rsid w:val="00551F3D"/>
    <w:rsid w:val="0055321F"/>
    <w:rsid w:val="00553225"/>
    <w:rsid w:val="00553883"/>
    <w:rsid w:val="00553D3E"/>
    <w:rsid w:val="00554798"/>
    <w:rsid w:val="00557BD9"/>
    <w:rsid w:val="00557F2A"/>
    <w:rsid w:val="005634F0"/>
    <w:rsid w:val="005674DF"/>
    <w:rsid w:val="005677F5"/>
    <w:rsid w:val="0057047D"/>
    <w:rsid w:val="0057509C"/>
    <w:rsid w:val="00575376"/>
    <w:rsid w:val="00576846"/>
    <w:rsid w:val="00576885"/>
    <w:rsid w:val="005864B7"/>
    <w:rsid w:val="00587329"/>
    <w:rsid w:val="005921F0"/>
    <w:rsid w:val="00595B3D"/>
    <w:rsid w:val="0059607D"/>
    <w:rsid w:val="00596922"/>
    <w:rsid w:val="00597829"/>
    <w:rsid w:val="00597B7E"/>
    <w:rsid w:val="005A2271"/>
    <w:rsid w:val="005A4D77"/>
    <w:rsid w:val="005A7758"/>
    <w:rsid w:val="005B1907"/>
    <w:rsid w:val="005B3E8E"/>
    <w:rsid w:val="005B41AB"/>
    <w:rsid w:val="005B46D1"/>
    <w:rsid w:val="005B4DAE"/>
    <w:rsid w:val="005B59CB"/>
    <w:rsid w:val="005B65BC"/>
    <w:rsid w:val="005B7BDD"/>
    <w:rsid w:val="005C1638"/>
    <w:rsid w:val="005C1838"/>
    <w:rsid w:val="005C19BF"/>
    <w:rsid w:val="005C3200"/>
    <w:rsid w:val="005C428E"/>
    <w:rsid w:val="005C5FCC"/>
    <w:rsid w:val="005D0E93"/>
    <w:rsid w:val="005D11E5"/>
    <w:rsid w:val="005D5E19"/>
    <w:rsid w:val="005D7EFA"/>
    <w:rsid w:val="005D7FB5"/>
    <w:rsid w:val="005E0632"/>
    <w:rsid w:val="005E105C"/>
    <w:rsid w:val="005E1B8D"/>
    <w:rsid w:val="005E2267"/>
    <w:rsid w:val="005E37D8"/>
    <w:rsid w:val="005E3859"/>
    <w:rsid w:val="005E5B5A"/>
    <w:rsid w:val="005E5EFD"/>
    <w:rsid w:val="005E66EA"/>
    <w:rsid w:val="005E6904"/>
    <w:rsid w:val="005F0C79"/>
    <w:rsid w:val="005F0EFE"/>
    <w:rsid w:val="005F1764"/>
    <w:rsid w:val="005F7719"/>
    <w:rsid w:val="005F7D98"/>
    <w:rsid w:val="00603F3E"/>
    <w:rsid w:val="0060407C"/>
    <w:rsid w:val="006046B4"/>
    <w:rsid w:val="006048BF"/>
    <w:rsid w:val="00605223"/>
    <w:rsid w:val="00606E86"/>
    <w:rsid w:val="006146A5"/>
    <w:rsid w:val="00615AEA"/>
    <w:rsid w:val="00617E60"/>
    <w:rsid w:val="00620131"/>
    <w:rsid w:val="0062095E"/>
    <w:rsid w:val="00621E44"/>
    <w:rsid w:val="00624240"/>
    <w:rsid w:val="00626FB9"/>
    <w:rsid w:val="0063085F"/>
    <w:rsid w:val="00634747"/>
    <w:rsid w:val="0063507E"/>
    <w:rsid w:val="00637B97"/>
    <w:rsid w:val="006461B6"/>
    <w:rsid w:val="00646950"/>
    <w:rsid w:val="00646D66"/>
    <w:rsid w:val="00647383"/>
    <w:rsid w:val="00650215"/>
    <w:rsid w:val="006510A8"/>
    <w:rsid w:val="006514FE"/>
    <w:rsid w:val="00651B33"/>
    <w:rsid w:val="006532CF"/>
    <w:rsid w:val="006536A1"/>
    <w:rsid w:val="00654829"/>
    <w:rsid w:val="00654AF9"/>
    <w:rsid w:val="006550E9"/>
    <w:rsid w:val="00657CE5"/>
    <w:rsid w:val="006627E3"/>
    <w:rsid w:val="006646C8"/>
    <w:rsid w:val="00664E2E"/>
    <w:rsid w:val="00666A8B"/>
    <w:rsid w:val="00667983"/>
    <w:rsid w:val="006719BA"/>
    <w:rsid w:val="006726B9"/>
    <w:rsid w:val="00673542"/>
    <w:rsid w:val="006739B8"/>
    <w:rsid w:val="006744D9"/>
    <w:rsid w:val="0067458A"/>
    <w:rsid w:val="0067470E"/>
    <w:rsid w:val="0067485D"/>
    <w:rsid w:val="0068186D"/>
    <w:rsid w:val="006825A5"/>
    <w:rsid w:val="00684839"/>
    <w:rsid w:val="0068503C"/>
    <w:rsid w:val="00685488"/>
    <w:rsid w:val="00686276"/>
    <w:rsid w:val="00686EFC"/>
    <w:rsid w:val="0068716E"/>
    <w:rsid w:val="006900C3"/>
    <w:rsid w:val="00692B74"/>
    <w:rsid w:val="0069570E"/>
    <w:rsid w:val="00696FEF"/>
    <w:rsid w:val="006972CC"/>
    <w:rsid w:val="006A01FD"/>
    <w:rsid w:val="006A068F"/>
    <w:rsid w:val="006A13EE"/>
    <w:rsid w:val="006A218D"/>
    <w:rsid w:val="006A3843"/>
    <w:rsid w:val="006A7F64"/>
    <w:rsid w:val="006B5C65"/>
    <w:rsid w:val="006B61F3"/>
    <w:rsid w:val="006C1ECB"/>
    <w:rsid w:val="006C3C33"/>
    <w:rsid w:val="006C4C7A"/>
    <w:rsid w:val="006C785B"/>
    <w:rsid w:val="006D092A"/>
    <w:rsid w:val="006D34C5"/>
    <w:rsid w:val="006D6827"/>
    <w:rsid w:val="006E1487"/>
    <w:rsid w:val="006E215D"/>
    <w:rsid w:val="006E23BC"/>
    <w:rsid w:val="006E5FB9"/>
    <w:rsid w:val="006E7CFA"/>
    <w:rsid w:val="006F0F00"/>
    <w:rsid w:val="006F2886"/>
    <w:rsid w:val="006F3DFA"/>
    <w:rsid w:val="006F76AB"/>
    <w:rsid w:val="00700308"/>
    <w:rsid w:val="00700C91"/>
    <w:rsid w:val="00704E0E"/>
    <w:rsid w:val="007053CF"/>
    <w:rsid w:val="00707C4E"/>
    <w:rsid w:val="007106C1"/>
    <w:rsid w:val="007106F3"/>
    <w:rsid w:val="0071088B"/>
    <w:rsid w:val="0071148F"/>
    <w:rsid w:val="00712E41"/>
    <w:rsid w:val="00714126"/>
    <w:rsid w:val="00722E6F"/>
    <w:rsid w:val="00723349"/>
    <w:rsid w:val="00724F3D"/>
    <w:rsid w:val="00725202"/>
    <w:rsid w:val="00727632"/>
    <w:rsid w:val="00730D10"/>
    <w:rsid w:val="00730D14"/>
    <w:rsid w:val="007311F3"/>
    <w:rsid w:val="007326B0"/>
    <w:rsid w:val="00732A34"/>
    <w:rsid w:val="00732C44"/>
    <w:rsid w:val="00733B40"/>
    <w:rsid w:val="00733BE3"/>
    <w:rsid w:val="00735AB6"/>
    <w:rsid w:val="00735E1F"/>
    <w:rsid w:val="0074163D"/>
    <w:rsid w:val="00741C1F"/>
    <w:rsid w:val="007423EE"/>
    <w:rsid w:val="00742B33"/>
    <w:rsid w:val="007431F6"/>
    <w:rsid w:val="00743A0F"/>
    <w:rsid w:val="00743D87"/>
    <w:rsid w:val="00743F91"/>
    <w:rsid w:val="00745894"/>
    <w:rsid w:val="00745983"/>
    <w:rsid w:val="00750183"/>
    <w:rsid w:val="0075092D"/>
    <w:rsid w:val="00751056"/>
    <w:rsid w:val="007520EC"/>
    <w:rsid w:val="0075280F"/>
    <w:rsid w:val="00752C92"/>
    <w:rsid w:val="0075311E"/>
    <w:rsid w:val="00754160"/>
    <w:rsid w:val="007601BD"/>
    <w:rsid w:val="00763A64"/>
    <w:rsid w:val="00767CCD"/>
    <w:rsid w:val="0077036F"/>
    <w:rsid w:val="007709A4"/>
    <w:rsid w:val="00771134"/>
    <w:rsid w:val="00772BEF"/>
    <w:rsid w:val="00774469"/>
    <w:rsid w:val="00775B40"/>
    <w:rsid w:val="00775CB5"/>
    <w:rsid w:val="0078049E"/>
    <w:rsid w:val="0078135D"/>
    <w:rsid w:val="00786066"/>
    <w:rsid w:val="00786859"/>
    <w:rsid w:val="0078760E"/>
    <w:rsid w:val="0079045C"/>
    <w:rsid w:val="00793C0C"/>
    <w:rsid w:val="00793E41"/>
    <w:rsid w:val="00795521"/>
    <w:rsid w:val="007955BE"/>
    <w:rsid w:val="007970BD"/>
    <w:rsid w:val="007A259A"/>
    <w:rsid w:val="007A5FAD"/>
    <w:rsid w:val="007A7348"/>
    <w:rsid w:val="007A7AEB"/>
    <w:rsid w:val="007B08FD"/>
    <w:rsid w:val="007B2E4C"/>
    <w:rsid w:val="007B3CC2"/>
    <w:rsid w:val="007B42DB"/>
    <w:rsid w:val="007B449A"/>
    <w:rsid w:val="007B4C65"/>
    <w:rsid w:val="007B7E4B"/>
    <w:rsid w:val="007C026F"/>
    <w:rsid w:val="007C18DC"/>
    <w:rsid w:val="007C2DD5"/>
    <w:rsid w:val="007C31BF"/>
    <w:rsid w:val="007C47E7"/>
    <w:rsid w:val="007C5A0D"/>
    <w:rsid w:val="007C62C8"/>
    <w:rsid w:val="007C65E6"/>
    <w:rsid w:val="007D3C1C"/>
    <w:rsid w:val="007D42BF"/>
    <w:rsid w:val="007D788E"/>
    <w:rsid w:val="007E21D3"/>
    <w:rsid w:val="007F5BBD"/>
    <w:rsid w:val="008025DD"/>
    <w:rsid w:val="00803A6B"/>
    <w:rsid w:val="00803C1D"/>
    <w:rsid w:val="00804F36"/>
    <w:rsid w:val="00807F37"/>
    <w:rsid w:val="00811770"/>
    <w:rsid w:val="008124CF"/>
    <w:rsid w:val="00812BF7"/>
    <w:rsid w:val="00822033"/>
    <w:rsid w:val="00822B55"/>
    <w:rsid w:val="00823958"/>
    <w:rsid w:val="00823F7A"/>
    <w:rsid w:val="008241D3"/>
    <w:rsid w:val="00825003"/>
    <w:rsid w:val="008275FD"/>
    <w:rsid w:val="00830E0E"/>
    <w:rsid w:val="00830FAE"/>
    <w:rsid w:val="008317CA"/>
    <w:rsid w:val="00837F01"/>
    <w:rsid w:val="00842AB5"/>
    <w:rsid w:val="0084494F"/>
    <w:rsid w:val="0084700F"/>
    <w:rsid w:val="00847EBD"/>
    <w:rsid w:val="0085104D"/>
    <w:rsid w:val="008512BB"/>
    <w:rsid w:val="00852CA4"/>
    <w:rsid w:val="008542D0"/>
    <w:rsid w:val="0085663E"/>
    <w:rsid w:val="00860037"/>
    <w:rsid w:val="008602E1"/>
    <w:rsid w:val="0086110F"/>
    <w:rsid w:val="00862B30"/>
    <w:rsid w:val="00863F2D"/>
    <w:rsid w:val="0086451A"/>
    <w:rsid w:val="0086757D"/>
    <w:rsid w:val="00867757"/>
    <w:rsid w:val="008713F8"/>
    <w:rsid w:val="00872F4E"/>
    <w:rsid w:val="00874B96"/>
    <w:rsid w:val="00875698"/>
    <w:rsid w:val="00877006"/>
    <w:rsid w:val="00881128"/>
    <w:rsid w:val="008814F2"/>
    <w:rsid w:val="00883254"/>
    <w:rsid w:val="00883909"/>
    <w:rsid w:val="00883F95"/>
    <w:rsid w:val="008852B6"/>
    <w:rsid w:val="00885F12"/>
    <w:rsid w:val="008863FF"/>
    <w:rsid w:val="00886BB9"/>
    <w:rsid w:val="008913ED"/>
    <w:rsid w:val="00892125"/>
    <w:rsid w:val="008928AA"/>
    <w:rsid w:val="008942D9"/>
    <w:rsid w:val="00896A66"/>
    <w:rsid w:val="008A0D4D"/>
    <w:rsid w:val="008A2928"/>
    <w:rsid w:val="008A2DCA"/>
    <w:rsid w:val="008A4014"/>
    <w:rsid w:val="008A4461"/>
    <w:rsid w:val="008A4717"/>
    <w:rsid w:val="008A478E"/>
    <w:rsid w:val="008A4E0E"/>
    <w:rsid w:val="008A6D63"/>
    <w:rsid w:val="008A7AF2"/>
    <w:rsid w:val="008B08AA"/>
    <w:rsid w:val="008B2491"/>
    <w:rsid w:val="008B36EF"/>
    <w:rsid w:val="008B74EC"/>
    <w:rsid w:val="008B7935"/>
    <w:rsid w:val="008C010B"/>
    <w:rsid w:val="008C02E3"/>
    <w:rsid w:val="008C35CA"/>
    <w:rsid w:val="008C39DF"/>
    <w:rsid w:val="008C3DB7"/>
    <w:rsid w:val="008C467C"/>
    <w:rsid w:val="008C57B4"/>
    <w:rsid w:val="008C5DEC"/>
    <w:rsid w:val="008C6A9D"/>
    <w:rsid w:val="008C7E92"/>
    <w:rsid w:val="008D0131"/>
    <w:rsid w:val="008D08F2"/>
    <w:rsid w:val="008D157C"/>
    <w:rsid w:val="008D1DBE"/>
    <w:rsid w:val="008D2805"/>
    <w:rsid w:val="008D62C3"/>
    <w:rsid w:val="008D7A75"/>
    <w:rsid w:val="008E3D42"/>
    <w:rsid w:val="008E4F5C"/>
    <w:rsid w:val="008E5C01"/>
    <w:rsid w:val="008E6A15"/>
    <w:rsid w:val="008E7CB0"/>
    <w:rsid w:val="008F49EF"/>
    <w:rsid w:val="008F69AE"/>
    <w:rsid w:val="008F7EB7"/>
    <w:rsid w:val="00900145"/>
    <w:rsid w:val="0090071D"/>
    <w:rsid w:val="00901058"/>
    <w:rsid w:val="009012E4"/>
    <w:rsid w:val="0090159F"/>
    <w:rsid w:val="00902173"/>
    <w:rsid w:val="0090232B"/>
    <w:rsid w:val="00903B95"/>
    <w:rsid w:val="009075BA"/>
    <w:rsid w:val="00911F3B"/>
    <w:rsid w:val="0091241A"/>
    <w:rsid w:val="009124FC"/>
    <w:rsid w:val="00913309"/>
    <w:rsid w:val="00914E62"/>
    <w:rsid w:val="00915909"/>
    <w:rsid w:val="00915FEE"/>
    <w:rsid w:val="0092136A"/>
    <w:rsid w:val="00924810"/>
    <w:rsid w:val="0092567F"/>
    <w:rsid w:val="0092727D"/>
    <w:rsid w:val="00930501"/>
    <w:rsid w:val="00932205"/>
    <w:rsid w:val="00933841"/>
    <w:rsid w:val="009338C5"/>
    <w:rsid w:val="00935EFA"/>
    <w:rsid w:val="00935F0D"/>
    <w:rsid w:val="009361BF"/>
    <w:rsid w:val="0093717C"/>
    <w:rsid w:val="00937273"/>
    <w:rsid w:val="00941651"/>
    <w:rsid w:val="009418DE"/>
    <w:rsid w:val="00941CF7"/>
    <w:rsid w:val="00945D11"/>
    <w:rsid w:val="0094718C"/>
    <w:rsid w:val="00950310"/>
    <w:rsid w:val="00950BF3"/>
    <w:rsid w:val="00955657"/>
    <w:rsid w:val="00956A73"/>
    <w:rsid w:val="009612A8"/>
    <w:rsid w:val="009626D7"/>
    <w:rsid w:val="00965D90"/>
    <w:rsid w:val="00970DDB"/>
    <w:rsid w:val="00971DBF"/>
    <w:rsid w:val="0097296A"/>
    <w:rsid w:val="0097381C"/>
    <w:rsid w:val="009759CA"/>
    <w:rsid w:val="00976B33"/>
    <w:rsid w:val="00976C94"/>
    <w:rsid w:val="00976F72"/>
    <w:rsid w:val="0098729D"/>
    <w:rsid w:val="009906E0"/>
    <w:rsid w:val="00991FC9"/>
    <w:rsid w:val="00994FB2"/>
    <w:rsid w:val="00995D50"/>
    <w:rsid w:val="0099687B"/>
    <w:rsid w:val="00997DF8"/>
    <w:rsid w:val="009A2873"/>
    <w:rsid w:val="009A2924"/>
    <w:rsid w:val="009A3DBB"/>
    <w:rsid w:val="009A4F09"/>
    <w:rsid w:val="009A7864"/>
    <w:rsid w:val="009B092D"/>
    <w:rsid w:val="009B0CE1"/>
    <w:rsid w:val="009B26BC"/>
    <w:rsid w:val="009B31BA"/>
    <w:rsid w:val="009B353C"/>
    <w:rsid w:val="009B3AD5"/>
    <w:rsid w:val="009B3CA0"/>
    <w:rsid w:val="009B4293"/>
    <w:rsid w:val="009B471D"/>
    <w:rsid w:val="009B6A27"/>
    <w:rsid w:val="009B76CE"/>
    <w:rsid w:val="009C16D1"/>
    <w:rsid w:val="009C320E"/>
    <w:rsid w:val="009C5388"/>
    <w:rsid w:val="009C6322"/>
    <w:rsid w:val="009C7A89"/>
    <w:rsid w:val="009D02AB"/>
    <w:rsid w:val="009D02E6"/>
    <w:rsid w:val="009D0708"/>
    <w:rsid w:val="009D23F9"/>
    <w:rsid w:val="009D7EBC"/>
    <w:rsid w:val="009D7F01"/>
    <w:rsid w:val="009E1B35"/>
    <w:rsid w:val="009E1D8E"/>
    <w:rsid w:val="009E2422"/>
    <w:rsid w:val="009E2F6A"/>
    <w:rsid w:val="009E3233"/>
    <w:rsid w:val="009E469F"/>
    <w:rsid w:val="009E4BC5"/>
    <w:rsid w:val="009E608D"/>
    <w:rsid w:val="009E6B3F"/>
    <w:rsid w:val="009E6F08"/>
    <w:rsid w:val="009E75EC"/>
    <w:rsid w:val="009F05FB"/>
    <w:rsid w:val="009F246B"/>
    <w:rsid w:val="009F2A33"/>
    <w:rsid w:val="009F2F0D"/>
    <w:rsid w:val="009F3D52"/>
    <w:rsid w:val="009F5147"/>
    <w:rsid w:val="009F58DE"/>
    <w:rsid w:val="009F5932"/>
    <w:rsid w:val="009F7C61"/>
    <w:rsid w:val="00A00E15"/>
    <w:rsid w:val="00A013D2"/>
    <w:rsid w:val="00A01B51"/>
    <w:rsid w:val="00A03561"/>
    <w:rsid w:val="00A05523"/>
    <w:rsid w:val="00A05A7E"/>
    <w:rsid w:val="00A05C26"/>
    <w:rsid w:val="00A05D8F"/>
    <w:rsid w:val="00A06B6C"/>
    <w:rsid w:val="00A071FF"/>
    <w:rsid w:val="00A07259"/>
    <w:rsid w:val="00A123D7"/>
    <w:rsid w:val="00A145CE"/>
    <w:rsid w:val="00A146A1"/>
    <w:rsid w:val="00A14EAF"/>
    <w:rsid w:val="00A1551B"/>
    <w:rsid w:val="00A160A1"/>
    <w:rsid w:val="00A17CD6"/>
    <w:rsid w:val="00A20105"/>
    <w:rsid w:val="00A257AB"/>
    <w:rsid w:val="00A270F8"/>
    <w:rsid w:val="00A27460"/>
    <w:rsid w:val="00A27985"/>
    <w:rsid w:val="00A27A69"/>
    <w:rsid w:val="00A304F3"/>
    <w:rsid w:val="00A31890"/>
    <w:rsid w:val="00A31C56"/>
    <w:rsid w:val="00A31D25"/>
    <w:rsid w:val="00A377E2"/>
    <w:rsid w:val="00A405E2"/>
    <w:rsid w:val="00A40980"/>
    <w:rsid w:val="00A424DD"/>
    <w:rsid w:val="00A42A76"/>
    <w:rsid w:val="00A43D95"/>
    <w:rsid w:val="00A43FE7"/>
    <w:rsid w:val="00A4455C"/>
    <w:rsid w:val="00A537EA"/>
    <w:rsid w:val="00A53C30"/>
    <w:rsid w:val="00A548C5"/>
    <w:rsid w:val="00A55AD8"/>
    <w:rsid w:val="00A61F7C"/>
    <w:rsid w:val="00A6401D"/>
    <w:rsid w:val="00A6531D"/>
    <w:rsid w:val="00A66763"/>
    <w:rsid w:val="00A66B82"/>
    <w:rsid w:val="00A66DFD"/>
    <w:rsid w:val="00A72292"/>
    <w:rsid w:val="00A72C9B"/>
    <w:rsid w:val="00A754B9"/>
    <w:rsid w:val="00A76DDF"/>
    <w:rsid w:val="00A77B75"/>
    <w:rsid w:val="00A8059A"/>
    <w:rsid w:val="00A806BB"/>
    <w:rsid w:val="00A806ED"/>
    <w:rsid w:val="00A80853"/>
    <w:rsid w:val="00A80AFA"/>
    <w:rsid w:val="00A80C35"/>
    <w:rsid w:val="00A82D52"/>
    <w:rsid w:val="00A837FF"/>
    <w:rsid w:val="00A85E64"/>
    <w:rsid w:val="00A8659F"/>
    <w:rsid w:val="00A9173D"/>
    <w:rsid w:val="00A91F30"/>
    <w:rsid w:val="00A920DE"/>
    <w:rsid w:val="00A95C22"/>
    <w:rsid w:val="00A95CEB"/>
    <w:rsid w:val="00AA16DD"/>
    <w:rsid w:val="00AA3B27"/>
    <w:rsid w:val="00AA4B3B"/>
    <w:rsid w:val="00AA5AC9"/>
    <w:rsid w:val="00AA63E3"/>
    <w:rsid w:val="00AA6D57"/>
    <w:rsid w:val="00AB00C3"/>
    <w:rsid w:val="00AB22FB"/>
    <w:rsid w:val="00AB472A"/>
    <w:rsid w:val="00AB68BC"/>
    <w:rsid w:val="00AC0E67"/>
    <w:rsid w:val="00AC0F6C"/>
    <w:rsid w:val="00AC2F2B"/>
    <w:rsid w:val="00AC7031"/>
    <w:rsid w:val="00AD019E"/>
    <w:rsid w:val="00AD09FB"/>
    <w:rsid w:val="00AD10C2"/>
    <w:rsid w:val="00AD152C"/>
    <w:rsid w:val="00AD343F"/>
    <w:rsid w:val="00AD38CB"/>
    <w:rsid w:val="00AD65BE"/>
    <w:rsid w:val="00AD6F9A"/>
    <w:rsid w:val="00AE0046"/>
    <w:rsid w:val="00AE312B"/>
    <w:rsid w:val="00AE4668"/>
    <w:rsid w:val="00AE60E7"/>
    <w:rsid w:val="00AE6D0C"/>
    <w:rsid w:val="00AE7269"/>
    <w:rsid w:val="00AE795C"/>
    <w:rsid w:val="00AE7995"/>
    <w:rsid w:val="00AE7F43"/>
    <w:rsid w:val="00AF013D"/>
    <w:rsid w:val="00AF0B0C"/>
    <w:rsid w:val="00AF1BCF"/>
    <w:rsid w:val="00AF1CD5"/>
    <w:rsid w:val="00AF1F16"/>
    <w:rsid w:val="00AF55CE"/>
    <w:rsid w:val="00AF67D5"/>
    <w:rsid w:val="00AF7C99"/>
    <w:rsid w:val="00B00209"/>
    <w:rsid w:val="00B00F73"/>
    <w:rsid w:val="00B028B9"/>
    <w:rsid w:val="00B02987"/>
    <w:rsid w:val="00B0535C"/>
    <w:rsid w:val="00B05E5C"/>
    <w:rsid w:val="00B060E6"/>
    <w:rsid w:val="00B067BE"/>
    <w:rsid w:val="00B06EAF"/>
    <w:rsid w:val="00B112E8"/>
    <w:rsid w:val="00B14042"/>
    <w:rsid w:val="00B14141"/>
    <w:rsid w:val="00B1621B"/>
    <w:rsid w:val="00B20E01"/>
    <w:rsid w:val="00B220DD"/>
    <w:rsid w:val="00B22234"/>
    <w:rsid w:val="00B24066"/>
    <w:rsid w:val="00B24A5E"/>
    <w:rsid w:val="00B2562E"/>
    <w:rsid w:val="00B2688C"/>
    <w:rsid w:val="00B26C46"/>
    <w:rsid w:val="00B27511"/>
    <w:rsid w:val="00B2784C"/>
    <w:rsid w:val="00B31DC1"/>
    <w:rsid w:val="00B32F7E"/>
    <w:rsid w:val="00B33A29"/>
    <w:rsid w:val="00B35D6A"/>
    <w:rsid w:val="00B35DE1"/>
    <w:rsid w:val="00B37227"/>
    <w:rsid w:val="00B3738C"/>
    <w:rsid w:val="00B41CF8"/>
    <w:rsid w:val="00B42022"/>
    <w:rsid w:val="00B51C64"/>
    <w:rsid w:val="00B52DEF"/>
    <w:rsid w:val="00B53152"/>
    <w:rsid w:val="00B53C04"/>
    <w:rsid w:val="00B53CC7"/>
    <w:rsid w:val="00B55C07"/>
    <w:rsid w:val="00B56BF2"/>
    <w:rsid w:val="00B578A1"/>
    <w:rsid w:val="00B60053"/>
    <w:rsid w:val="00B60DA2"/>
    <w:rsid w:val="00B653D3"/>
    <w:rsid w:val="00B66D12"/>
    <w:rsid w:val="00B73A3F"/>
    <w:rsid w:val="00B743A2"/>
    <w:rsid w:val="00B749F3"/>
    <w:rsid w:val="00B74A24"/>
    <w:rsid w:val="00B74A5E"/>
    <w:rsid w:val="00B74BF9"/>
    <w:rsid w:val="00B852CE"/>
    <w:rsid w:val="00B85E1A"/>
    <w:rsid w:val="00B86373"/>
    <w:rsid w:val="00B9023F"/>
    <w:rsid w:val="00B91B99"/>
    <w:rsid w:val="00B94C4D"/>
    <w:rsid w:val="00B95D82"/>
    <w:rsid w:val="00B97FD6"/>
    <w:rsid w:val="00BA3C73"/>
    <w:rsid w:val="00BA4027"/>
    <w:rsid w:val="00BB2509"/>
    <w:rsid w:val="00BB2C4F"/>
    <w:rsid w:val="00BB3A35"/>
    <w:rsid w:val="00BB6576"/>
    <w:rsid w:val="00BB6E9C"/>
    <w:rsid w:val="00BC0BED"/>
    <w:rsid w:val="00BC1609"/>
    <w:rsid w:val="00BC312C"/>
    <w:rsid w:val="00BC3FBC"/>
    <w:rsid w:val="00BC4A7F"/>
    <w:rsid w:val="00BC70B6"/>
    <w:rsid w:val="00BC77FA"/>
    <w:rsid w:val="00BC77FD"/>
    <w:rsid w:val="00BD002F"/>
    <w:rsid w:val="00BD34C3"/>
    <w:rsid w:val="00BD3F37"/>
    <w:rsid w:val="00BD58EC"/>
    <w:rsid w:val="00BD5A65"/>
    <w:rsid w:val="00BD5AC6"/>
    <w:rsid w:val="00BD7FEE"/>
    <w:rsid w:val="00BE17B7"/>
    <w:rsid w:val="00BE3013"/>
    <w:rsid w:val="00BE3470"/>
    <w:rsid w:val="00BE4396"/>
    <w:rsid w:val="00BF1F71"/>
    <w:rsid w:val="00BF405F"/>
    <w:rsid w:val="00BF6486"/>
    <w:rsid w:val="00C00042"/>
    <w:rsid w:val="00C01161"/>
    <w:rsid w:val="00C0157C"/>
    <w:rsid w:val="00C01E17"/>
    <w:rsid w:val="00C03C5D"/>
    <w:rsid w:val="00C042E5"/>
    <w:rsid w:val="00C04EE5"/>
    <w:rsid w:val="00C064B9"/>
    <w:rsid w:val="00C06D75"/>
    <w:rsid w:val="00C075EE"/>
    <w:rsid w:val="00C10BD5"/>
    <w:rsid w:val="00C112B2"/>
    <w:rsid w:val="00C11EB6"/>
    <w:rsid w:val="00C130B2"/>
    <w:rsid w:val="00C139A0"/>
    <w:rsid w:val="00C144B2"/>
    <w:rsid w:val="00C147A7"/>
    <w:rsid w:val="00C151D8"/>
    <w:rsid w:val="00C20C0C"/>
    <w:rsid w:val="00C23D79"/>
    <w:rsid w:val="00C24A79"/>
    <w:rsid w:val="00C24CDD"/>
    <w:rsid w:val="00C251D5"/>
    <w:rsid w:val="00C26F73"/>
    <w:rsid w:val="00C27879"/>
    <w:rsid w:val="00C31EB3"/>
    <w:rsid w:val="00C32AB4"/>
    <w:rsid w:val="00C34835"/>
    <w:rsid w:val="00C3595C"/>
    <w:rsid w:val="00C36B15"/>
    <w:rsid w:val="00C37ADD"/>
    <w:rsid w:val="00C420B3"/>
    <w:rsid w:val="00C42E33"/>
    <w:rsid w:val="00C4424B"/>
    <w:rsid w:val="00C460A5"/>
    <w:rsid w:val="00C461A1"/>
    <w:rsid w:val="00C46BF9"/>
    <w:rsid w:val="00C4775A"/>
    <w:rsid w:val="00C479F0"/>
    <w:rsid w:val="00C47A14"/>
    <w:rsid w:val="00C504CE"/>
    <w:rsid w:val="00C51304"/>
    <w:rsid w:val="00C513E9"/>
    <w:rsid w:val="00C527FC"/>
    <w:rsid w:val="00C54993"/>
    <w:rsid w:val="00C55125"/>
    <w:rsid w:val="00C57115"/>
    <w:rsid w:val="00C57F13"/>
    <w:rsid w:val="00C63FA1"/>
    <w:rsid w:val="00C65158"/>
    <w:rsid w:val="00C6549F"/>
    <w:rsid w:val="00C67168"/>
    <w:rsid w:val="00C70F0A"/>
    <w:rsid w:val="00C711DA"/>
    <w:rsid w:val="00C75858"/>
    <w:rsid w:val="00C75914"/>
    <w:rsid w:val="00C76A00"/>
    <w:rsid w:val="00C77893"/>
    <w:rsid w:val="00C80E83"/>
    <w:rsid w:val="00C80FAA"/>
    <w:rsid w:val="00C8188D"/>
    <w:rsid w:val="00C820C1"/>
    <w:rsid w:val="00C82445"/>
    <w:rsid w:val="00C8548E"/>
    <w:rsid w:val="00C85809"/>
    <w:rsid w:val="00C85ED5"/>
    <w:rsid w:val="00C8649F"/>
    <w:rsid w:val="00C872F4"/>
    <w:rsid w:val="00C87EA6"/>
    <w:rsid w:val="00C9342F"/>
    <w:rsid w:val="00C96D64"/>
    <w:rsid w:val="00C974B6"/>
    <w:rsid w:val="00CA09B6"/>
    <w:rsid w:val="00CA581F"/>
    <w:rsid w:val="00CB15F4"/>
    <w:rsid w:val="00CB2BF0"/>
    <w:rsid w:val="00CB56BE"/>
    <w:rsid w:val="00CB73E9"/>
    <w:rsid w:val="00CB7479"/>
    <w:rsid w:val="00CC03D4"/>
    <w:rsid w:val="00CC19C1"/>
    <w:rsid w:val="00CC1BA4"/>
    <w:rsid w:val="00CC1CB0"/>
    <w:rsid w:val="00CC34DB"/>
    <w:rsid w:val="00CC4572"/>
    <w:rsid w:val="00CC7062"/>
    <w:rsid w:val="00CC77C8"/>
    <w:rsid w:val="00CD005F"/>
    <w:rsid w:val="00CD1705"/>
    <w:rsid w:val="00CD223F"/>
    <w:rsid w:val="00CD2E79"/>
    <w:rsid w:val="00CD36F4"/>
    <w:rsid w:val="00CD3B88"/>
    <w:rsid w:val="00CD4191"/>
    <w:rsid w:val="00CD4503"/>
    <w:rsid w:val="00CD5E49"/>
    <w:rsid w:val="00CE120F"/>
    <w:rsid w:val="00CE3297"/>
    <w:rsid w:val="00CF0312"/>
    <w:rsid w:val="00CF1C8E"/>
    <w:rsid w:val="00CF1D41"/>
    <w:rsid w:val="00CF2180"/>
    <w:rsid w:val="00CF265C"/>
    <w:rsid w:val="00CF31FA"/>
    <w:rsid w:val="00CF331B"/>
    <w:rsid w:val="00CF3625"/>
    <w:rsid w:val="00CF4DD3"/>
    <w:rsid w:val="00CF6D65"/>
    <w:rsid w:val="00CF7FF3"/>
    <w:rsid w:val="00D020AD"/>
    <w:rsid w:val="00D03F46"/>
    <w:rsid w:val="00D046EC"/>
    <w:rsid w:val="00D047DA"/>
    <w:rsid w:val="00D05386"/>
    <w:rsid w:val="00D065EE"/>
    <w:rsid w:val="00D06D43"/>
    <w:rsid w:val="00D07731"/>
    <w:rsid w:val="00D07CB9"/>
    <w:rsid w:val="00D11315"/>
    <w:rsid w:val="00D11A16"/>
    <w:rsid w:val="00D1276F"/>
    <w:rsid w:val="00D14404"/>
    <w:rsid w:val="00D15909"/>
    <w:rsid w:val="00D15A51"/>
    <w:rsid w:val="00D16ECD"/>
    <w:rsid w:val="00D21857"/>
    <w:rsid w:val="00D21D89"/>
    <w:rsid w:val="00D22BCB"/>
    <w:rsid w:val="00D241F3"/>
    <w:rsid w:val="00D24868"/>
    <w:rsid w:val="00D31F3A"/>
    <w:rsid w:val="00D33613"/>
    <w:rsid w:val="00D37F3F"/>
    <w:rsid w:val="00D40AAD"/>
    <w:rsid w:val="00D43532"/>
    <w:rsid w:val="00D43660"/>
    <w:rsid w:val="00D441CB"/>
    <w:rsid w:val="00D44A18"/>
    <w:rsid w:val="00D455A1"/>
    <w:rsid w:val="00D47142"/>
    <w:rsid w:val="00D523E8"/>
    <w:rsid w:val="00D53617"/>
    <w:rsid w:val="00D5449F"/>
    <w:rsid w:val="00D61193"/>
    <w:rsid w:val="00D61870"/>
    <w:rsid w:val="00D62C16"/>
    <w:rsid w:val="00D630BD"/>
    <w:rsid w:val="00D7172C"/>
    <w:rsid w:val="00D72BA8"/>
    <w:rsid w:val="00D746E5"/>
    <w:rsid w:val="00D74A6F"/>
    <w:rsid w:val="00D75919"/>
    <w:rsid w:val="00D75BA2"/>
    <w:rsid w:val="00D75E73"/>
    <w:rsid w:val="00D7664F"/>
    <w:rsid w:val="00D76A66"/>
    <w:rsid w:val="00D77B9D"/>
    <w:rsid w:val="00D81068"/>
    <w:rsid w:val="00D813E4"/>
    <w:rsid w:val="00D814A3"/>
    <w:rsid w:val="00D815A1"/>
    <w:rsid w:val="00D836AD"/>
    <w:rsid w:val="00D85462"/>
    <w:rsid w:val="00D85C89"/>
    <w:rsid w:val="00D8689A"/>
    <w:rsid w:val="00D92B86"/>
    <w:rsid w:val="00D938D7"/>
    <w:rsid w:val="00D94EEE"/>
    <w:rsid w:val="00D95FD2"/>
    <w:rsid w:val="00D968CE"/>
    <w:rsid w:val="00D96CFD"/>
    <w:rsid w:val="00D9794E"/>
    <w:rsid w:val="00D97D41"/>
    <w:rsid w:val="00DA09EF"/>
    <w:rsid w:val="00DA2396"/>
    <w:rsid w:val="00DA51DD"/>
    <w:rsid w:val="00DA5227"/>
    <w:rsid w:val="00DA715D"/>
    <w:rsid w:val="00DA750B"/>
    <w:rsid w:val="00DB031E"/>
    <w:rsid w:val="00DB1EA5"/>
    <w:rsid w:val="00DB5CEE"/>
    <w:rsid w:val="00DB7547"/>
    <w:rsid w:val="00DC2862"/>
    <w:rsid w:val="00DC2903"/>
    <w:rsid w:val="00DC548A"/>
    <w:rsid w:val="00DC5738"/>
    <w:rsid w:val="00DC5F81"/>
    <w:rsid w:val="00DC6A08"/>
    <w:rsid w:val="00DD06E5"/>
    <w:rsid w:val="00DD0887"/>
    <w:rsid w:val="00DD1A37"/>
    <w:rsid w:val="00DE0E12"/>
    <w:rsid w:val="00DE1D3A"/>
    <w:rsid w:val="00DE20B1"/>
    <w:rsid w:val="00DE2306"/>
    <w:rsid w:val="00DE2400"/>
    <w:rsid w:val="00DE495E"/>
    <w:rsid w:val="00DE54AD"/>
    <w:rsid w:val="00DE6A4D"/>
    <w:rsid w:val="00DE744D"/>
    <w:rsid w:val="00DF3040"/>
    <w:rsid w:val="00DF38E7"/>
    <w:rsid w:val="00DF4503"/>
    <w:rsid w:val="00DF61E8"/>
    <w:rsid w:val="00DF6705"/>
    <w:rsid w:val="00DF6921"/>
    <w:rsid w:val="00DF757E"/>
    <w:rsid w:val="00DF7DEC"/>
    <w:rsid w:val="00E0384E"/>
    <w:rsid w:val="00E04B5D"/>
    <w:rsid w:val="00E04E2B"/>
    <w:rsid w:val="00E05378"/>
    <w:rsid w:val="00E071CC"/>
    <w:rsid w:val="00E07B68"/>
    <w:rsid w:val="00E13D69"/>
    <w:rsid w:val="00E16384"/>
    <w:rsid w:val="00E168AC"/>
    <w:rsid w:val="00E17056"/>
    <w:rsid w:val="00E17539"/>
    <w:rsid w:val="00E179FD"/>
    <w:rsid w:val="00E20CA8"/>
    <w:rsid w:val="00E212A9"/>
    <w:rsid w:val="00E244FD"/>
    <w:rsid w:val="00E25C6F"/>
    <w:rsid w:val="00E303E1"/>
    <w:rsid w:val="00E313EB"/>
    <w:rsid w:val="00E32CA8"/>
    <w:rsid w:val="00E33F06"/>
    <w:rsid w:val="00E35F09"/>
    <w:rsid w:val="00E37F6F"/>
    <w:rsid w:val="00E44542"/>
    <w:rsid w:val="00E4479D"/>
    <w:rsid w:val="00E4550A"/>
    <w:rsid w:val="00E45A14"/>
    <w:rsid w:val="00E5094F"/>
    <w:rsid w:val="00E53147"/>
    <w:rsid w:val="00E53E8D"/>
    <w:rsid w:val="00E5480E"/>
    <w:rsid w:val="00E56EFC"/>
    <w:rsid w:val="00E609C2"/>
    <w:rsid w:val="00E6150B"/>
    <w:rsid w:val="00E63E57"/>
    <w:rsid w:val="00E63F57"/>
    <w:rsid w:val="00E65741"/>
    <w:rsid w:val="00E67CF5"/>
    <w:rsid w:val="00E7082E"/>
    <w:rsid w:val="00E72523"/>
    <w:rsid w:val="00E7436B"/>
    <w:rsid w:val="00E75DC5"/>
    <w:rsid w:val="00E76666"/>
    <w:rsid w:val="00E767B7"/>
    <w:rsid w:val="00E76BFF"/>
    <w:rsid w:val="00E77308"/>
    <w:rsid w:val="00E8116C"/>
    <w:rsid w:val="00E81A2B"/>
    <w:rsid w:val="00E83D29"/>
    <w:rsid w:val="00E857A9"/>
    <w:rsid w:val="00E873EF"/>
    <w:rsid w:val="00E87AB9"/>
    <w:rsid w:val="00E93296"/>
    <w:rsid w:val="00E936E0"/>
    <w:rsid w:val="00E93D5D"/>
    <w:rsid w:val="00E941A3"/>
    <w:rsid w:val="00E9461C"/>
    <w:rsid w:val="00E94C83"/>
    <w:rsid w:val="00EA104D"/>
    <w:rsid w:val="00EA3458"/>
    <w:rsid w:val="00EA3796"/>
    <w:rsid w:val="00EA38C8"/>
    <w:rsid w:val="00EA402F"/>
    <w:rsid w:val="00EA60AF"/>
    <w:rsid w:val="00EB2766"/>
    <w:rsid w:val="00EB2925"/>
    <w:rsid w:val="00EB3862"/>
    <w:rsid w:val="00EB3BC2"/>
    <w:rsid w:val="00EB4B5E"/>
    <w:rsid w:val="00EB5034"/>
    <w:rsid w:val="00EB5039"/>
    <w:rsid w:val="00EB6B2F"/>
    <w:rsid w:val="00EB7134"/>
    <w:rsid w:val="00EB76FC"/>
    <w:rsid w:val="00EC07CD"/>
    <w:rsid w:val="00EC16D5"/>
    <w:rsid w:val="00EC213C"/>
    <w:rsid w:val="00EC2A77"/>
    <w:rsid w:val="00EC2B67"/>
    <w:rsid w:val="00EC41E5"/>
    <w:rsid w:val="00EC56DD"/>
    <w:rsid w:val="00EC5928"/>
    <w:rsid w:val="00EC766C"/>
    <w:rsid w:val="00EC7B39"/>
    <w:rsid w:val="00EC7CE6"/>
    <w:rsid w:val="00ED0D58"/>
    <w:rsid w:val="00ED0DB8"/>
    <w:rsid w:val="00ED1096"/>
    <w:rsid w:val="00ED1843"/>
    <w:rsid w:val="00ED297C"/>
    <w:rsid w:val="00ED4F43"/>
    <w:rsid w:val="00ED7EEF"/>
    <w:rsid w:val="00EE0956"/>
    <w:rsid w:val="00EE22E2"/>
    <w:rsid w:val="00EE2FF2"/>
    <w:rsid w:val="00EE4191"/>
    <w:rsid w:val="00EE42AD"/>
    <w:rsid w:val="00EE686F"/>
    <w:rsid w:val="00EE6D02"/>
    <w:rsid w:val="00EF268A"/>
    <w:rsid w:val="00EF2A03"/>
    <w:rsid w:val="00EF39EA"/>
    <w:rsid w:val="00EF4195"/>
    <w:rsid w:val="00EF4B19"/>
    <w:rsid w:val="00EF6699"/>
    <w:rsid w:val="00F00690"/>
    <w:rsid w:val="00F0164B"/>
    <w:rsid w:val="00F02B30"/>
    <w:rsid w:val="00F036AC"/>
    <w:rsid w:val="00F045FF"/>
    <w:rsid w:val="00F06CA9"/>
    <w:rsid w:val="00F10434"/>
    <w:rsid w:val="00F11A57"/>
    <w:rsid w:val="00F14461"/>
    <w:rsid w:val="00F14ED1"/>
    <w:rsid w:val="00F152B6"/>
    <w:rsid w:val="00F15354"/>
    <w:rsid w:val="00F20369"/>
    <w:rsid w:val="00F20630"/>
    <w:rsid w:val="00F21147"/>
    <w:rsid w:val="00F2119D"/>
    <w:rsid w:val="00F22293"/>
    <w:rsid w:val="00F24BFF"/>
    <w:rsid w:val="00F24EE2"/>
    <w:rsid w:val="00F25F66"/>
    <w:rsid w:val="00F26D18"/>
    <w:rsid w:val="00F31BD5"/>
    <w:rsid w:val="00F321D5"/>
    <w:rsid w:val="00F32BB7"/>
    <w:rsid w:val="00F33A1D"/>
    <w:rsid w:val="00F33CB0"/>
    <w:rsid w:val="00F33E1C"/>
    <w:rsid w:val="00F33F06"/>
    <w:rsid w:val="00F40839"/>
    <w:rsid w:val="00F43144"/>
    <w:rsid w:val="00F46827"/>
    <w:rsid w:val="00F47EA9"/>
    <w:rsid w:val="00F50110"/>
    <w:rsid w:val="00F530D0"/>
    <w:rsid w:val="00F53E25"/>
    <w:rsid w:val="00F57C35"/>
    <w:rsid w:val="00F63C8E"/>
    <w:rsid w:val="00F6454A"/>
    <w:rsid w:val="00F653FC"/>
    <w:rsid w:val="00F65B08"/>
    <w:rsid w:val="00F66649"/>
    <w:rsid w:val="00F70A3F"/>
    <w:rsid w:val="00F70D1C"/>
    <w:rsid w:val="00F812ED"/>
    <w:rsid w:val="00F813CB"/>
    <w:rsid w:val="00F81E98"/>
    <w:rsid w:val="00F81FEB"/>
    <w:rsid w:val="00F8220D"/>
    <w:rsid w:val="00F8265B"/>
    <w:rsid w:val="00F8335E"/>
    <w:rsid w:val="00F8523D"/>
    <w:rsid w:val="00F87114"/>
    <w:rsid w:val="00F875F6"/>
    <w:rsid w:val="00F91B5F"/>
    <w:rsid w:val="00F9219E"/>
    <w:rsid w:val="00F9235C"/>
    <w:rsid w:val="00F976A3"/>
    <w:rsid w:val="00F97855"/>
    <w:rsid w:val="00FA0F81"/>
    <w:rsid w:val="00FA10B0"/>
    <w:rsid w:val="00FA1765"/>
    <w:rsid w:val="00FA25D2"/>
    <w:rsid w:val="00FA64AB"/>
    <w:rsid w:val="00FB272F"/>
    <w:rsid w:val="00FB3D87"/>
    <w:rsid w:val="00FB54D6"/>
    <w:rsid w:val="00FC27CF"/>
    <w:rsid w:val="00FC399F"/>
    <w:rsid w:val="00FC40CD"/>
    <w:rsid w:val="00FC524A"/>
    <w:rsid w:val="00FC74B4"/>
    <w:rsid w:val="00FC75A5"/>
    <w:rsid w:val="00FD0423"/>
    <w:rsid w:val="00FD23D4"/>
    <w:rsid w:val="00FD54C5"/>
    <w:rsid w:val="00FD67FE"/>
    <w:rsid w:val="00FD77C0"/>
    <w:rsid w:val="00FE075B"/>
    <w:rsid w:val="00FE150D"/>
    <w:rsid w:val="00FE5DE4"/>
    <w:rsid w:val="00FE5E93"/>
    <w:rsid w:val="00FE644C"/>
    <w:rsid w:val="00FE6F1F"/>
    <w:rsid w:val="00FF03B0"/>
    <w:rsid w:val="00FF207D"/>
    <w:rsid w:val="00FF28BC"/>
    <w:rsid w:val="00FF321C"/>
    <w:rsid w:val="00FF4998"/>
    <w:rsid w:val="00FF59A4"/>
    <w:rsid w:val="00FF5DFC"/>
    <w:rsid w:val="00FF5FB2"/>
    <w:rsid w:val="01186B66"/>
    <w:rsid w:val="014E5781"/>
    <w:rsid w:val="015E4ACC"/>
    <w:rsid w:val="019B6FA8"/>
    <w:rsid w:val="01BB5180"/>
    <w:rsid w:val="01C103F8"/>
    <w:rsid w:val="01FA07B0"/>
    <w:rsid w:val="02313F2A"/>
    <w:rsid w:val="0275404D"/>
    <w:rsid w:val="02E01568"/>
    <w:rsid w:val="03046375"/>
    <w:rsid w:val="03352FBA"/>
    <w:rsid w:val="03700089"/>
    <w:rsid w:val="03CF5D5C"/>
    <w:rsid w:val="03DB2498"/>
    <w:rsid w:val="041C5514"/>
    <w:rsid w:val="043625FE"/>
    <w:rsid w:val="04733514"/>
    <w:rsid w:val="04924634"/>
    <w:rsid w:val="04A2167D"/>
    <w:rsid w:val="04B17441"/>
    <w:rsid w:val="04BA44CE"/>
    <w:rsid w:val="055A7952"/>
    <w:rsid w:val="05706921"/>
    <w:rsid w:val="05846550"/>
    <w:rsid w:val="05CA327E"/>
    <w:rsid w:val="05DA7960"/>
    <w:rsid w:val="06370542"/>
    <w:rsid w:val="06774985"/>
    <w:rsid w:val="069E11BE"/>
    <w:rsid w:val="06BF1F63"/>
    <w:rsid w:val="06E239EF"/>
    <w:rsid w:val="07291206"/>
    <w:rsid w:val="073C47BA"/>
    <w:rsid w:val="07C0082E"/>
    <w:rsid w:val="07C3125D"/>
    <w:rsid w:val="07CF7EA2"/>
    <w:rsid w:val="07F551F5"/>
    <w:rsid w:val="08036534"/>
    <w:rsid w:val="08517112"/>
    <w:rsid w:val="087C1A4A"/>
    <w:rsid w:val="08A9717D"/>
    <w:rsid w:val="08C34746"/>
    <w:rsid w:val="08D63752"/>
    <w:rsid w:val="08DD4CB6"/>
    <w:rsid w:val="08E34101"/>
    <w:rsid w:val="092335EB"/>
    <w:rsid w:val="092B4F51"/>
    <w:rsid w:val="096E46D5"/>
    <w:rsid w:val="097D29DA"/>
    <w:rsid w:val="098F4396"/>
    <w:rsid w:val="09934557"/>
    <w:rsid w:val="09C87119"/>
    <w:rsid w:val="0A5E71AF"/>
    <w:rsid w:val="0A6B261E"/>
    <w:rsid w:val="0AB51F5E"/>
    <w:rsid w:val="0AE32174"/>
    <w:rsid w:val="0AED2B4D"/>
    <w:rsid w:val="0B433477"/>
    <w:rsid w:val="0B514F31"/>
    <w:rsid w:val="0B8278DF"/>
    <w:rsid w:val="0BD20695"/>
    <w:rsid w:val="0C8F7597"/>
    <w:rsid w:val="0CC35432"/>
    <w:rsid w:val="0D1348B8"/>
    <w:rsid w:val="0D55787D"/>
    <w:rsid w:val="0D762D89"/>
    <w:rsid w:val="0DBF4CE3"/>
    <w:rsid w:val="0DE23A56"/>
    <w:rsid w:val="0E174BA7"/>
    <w:rsid w:val="0E491E5D"/>
    <w:rsid w:val="0F0D25C9"/>
    <w:rsid w:val="0F2910C0"/>
    <w:rsid w:val="0FEF3A91"/>
    <w:rsid w:val="10032189"/>
    <w:rsid w:val="104657AB"/>
    <w:rsid w:val="1073306D"/>
    <w:rsid w:val="1077029D"/>
    <w:rsid w:val="10ED777A"/>
    <w:rsid w:val="10F03FA8"/>
    <w:rsid w:val="11413E7B"/>
    <w:rsid w:val="11495023"/>
    <w:rsid w:val="114C321C"/>
    <w:rsid w:val="11551DB0"/>
    <w:rsid w:val="1155307D"/>
    <w:rsid w:val="11607970"/>
    <w:rsid w:val="11776175"/>
    <w:rsid w:val="121C1A71"/>
    <w:rsid w:val="12205FC9"/>
    <w:rsid w:val="12640C27"/>
    <w:rsid w:val="12817F09"/>
    <w:rsid w:val="1294794D"/>
    <w:rsid w:val="12966AF3"/>
    <w:rsid w:val="12FE0FC0"/>
    <w:rsid w:val="12FE519E"/>
    <w:rsid w:val="131E56C0"/>
    <w:rsid w:val="143C3D3B"/>
    <w:rsid w:val="146C4654"/>
    <w:rsid w:val="150F2679"/>
    <w:rsid w:val="153C6916"/>
    <w:rsid w:val="153D5B80"/>
    <w:rsid w:val="155A5817"/>
    <w:rsid w:val="15702B4E"/>
    <w:rsid w:val="15944F85"/>
    <w:rsid w:val="16A82188"/>
    <w:rsid w:val="16E858FC"/>
    <w:rsid w:val="17323BCF"/>
    <w:rsid w:val="175E174E"/>
    <w:rsid w:val="178E5E27"/>
    <w:rsid w:val="17C4317A"/>
    <w:rsid w:val="180C188B"/>
    <w:rsid w:val="18622C45"/>
    <w:rsid w:val="18890248"/>
    <w:rsid w:val="18EA1D61"/>
    <w:rsid w:val="190F396D"/>
    <w:rsid w:val="191E46DC"/>
    <w:rsid w:val="1934514E"/>
    <w:rsid w:val="196D749E"/>
    <w:rsid w:val="199A349F"/>
    <w:rsid w:val="19AC5014"/>
    <w:rsid w:val="19C80C5B"/>
    <w:rsid w:val="19EC6237"/>
    <w:rsid w:val="1A404D20"/>
    <w:rsid w:val="1A681199"/>
    <w:rsid w:val="1AB167CC"/>
    <w:rsid w:val="1ADD7A0C"/>
    <w:rsid w:val="1ADF1A19"/>
    <w:rsid w:val="1AF346F6"/>
    <w:rsid w:val="1B534665"/>
    <w:rsid w:val="1B735097"/>
    <w:rsid w:val="1C000C8E"/>
    <w:rsid w:val="1C0E7896"/>
    <w:rsid w:val="1C1076DE"/>
    <w:rsid w:val="1C4C269E"/>
    <w:rsid w:val="1C8403CB"/>
    <w:rsid w:val="1CBE463A"/>
    <w:rsid w:val="1CF52C8F"/>
    <w:rsid w:val="1D2F40BA"/>
    <w:rsid w:val="1D7B5175"/>
    <w:rsid w:val="1DC01261"/>
    <w:rsid w:val="1DC45E9A"/>
    <w:rsid w:val="1E0F5267"/>
    <w:rsid w:val="1E1F1478"/>
    <w:rsid w:val="1E20277C"/>
    <w:rsid w:val="1E314C15"/>
    <w:rsid w:val="1E34141D"/>
    <w:rsid w:val="1E6766DA"/>
    <w:rsid w:val="1E9654AF"/>
    <w:rsid w:val="1E9A0AF3"/>
    <w:rsid w:val="1EEF62CD"/>
    <w:rsid w:val="1EFC3FD6"/>
    <w:rsid w:val="1F306E32"/>
    <w:rsid w:val="20075BF3"/>
    <w:rsid w:val="20426910"/>
    <w:rsid w:val="205677C5"/>
    <w:rsid w:val="20EC2DA8"/>
    <w:rsid w:val="210E7827"/>
    <w:rsid w:val="21120551"/>
    <w:rsid w:val="21393E6A"/>
    <w:rsid w:val="21430CB8"/>
    <w:rsid w:val="21A76846"/>
    <w:rsid w:val="220B144C"/>
    <w:rsid w:val="222011FD"/>
    <w:rsid w:val="22453ABF"/>
    <w:rsid w:val="22837FE4"/>
    <w:rsid w:val="22A33518"/>
    <w:rsid w:val="22C26C24"/>
    <w:rsid w:val="22CE2D0F"/>
    <w:rsid w:val="22F10A77"/>
    <w:rsid w:val="2314403B"/>
    <w:rsid w:val="23327BB2"/>
    <w:rsid w:val="23872EDF"/>
    <w:rsid w:val="23AB3DF5"/>
    <w:rsid w:val="23E359D2"/>
    <w:rsid w:val="23EF6A65"/>
    <w:rsid w:val="246A2F0F"/>
    <w:rsid w:val="24D25AC6"/>
    <w:rsid w:val="24F54FAD"/>
    <w:rsid w:val="250C1CDD"/>
    <w:rsid w:val="251116B1"/>
    <w:rsid w:val="251C1489"/>
    <w:rsid w:val="25421B0C"/>
    <w:rsid w:val="254622CA"/>
    <w:rsid w:val="25786F5B"/>
    <w:rsid w:val="259524DA"/>
    <w:rsid w:val="259C79F3"/>
    <w:rsid w:val="25C835CF"/>
    <w:rsid w:val="25CD20D7"/>
    <w:rsid w:val="262C55EE"/>
    <w:rsid w:val="266F38DE"/>
    <w:rsid w:val="26871406"/>
    <w:rsid w:val="26A967F0"/>
    <w:rsid w:val="27473686"/>
    <w:rsid w:val="276E4F09"/>
    <w:rsid w:val="277933CE"/>
    <w:rsid w:val="288F6F25"/>
    <w:rsid w:val="28C3168F"/>
    <w:rsid w:val="28EC6CD8"/>
    <w:rsid w:val="28FA09F6"/>
    <w:rsid w:val="29363A03"/>
    <w:rsid w:val="29A37A01"/>
    <w:rsid w:val="29B13A13"/>
    <w:rsid w:val="29B84F82"/>
    <w:rsid w:val="29DF21B0"/>
    <w:rsid w:val="29E57EBF"/>
    <w:rsid w:val="2A575538"/>
    <w:rsid w:val="2A610A4B"/>
    <w:rsid w:val="2A633308"/>
    <w:rsid w:val="2A987773"/>
    <w:rsid w:val="2A9F1722"/>
    <w:rsid w:val="2AF1429C"/>
    <w:rsid w:val="2BC714CB"/>
    <w:rsid w:val="2C247C7C"/>
    <w:rsid w:val="2C470A2A"/>
    <w:rsid w:val="2C5043FD"/>
    <w:rsid w:val="2C5134AF"/>
    <w:rsid w:val="2C865673"/>
    <w:rsid w:val="2CA43B8F"/>
    <w:rsid w:val="2CD955CB"/>
    <w:rsid w:val="2CE432ED"/>
    <w:rsid w:val="2CF134CA"/>
    <w:rsid w:val="2D203581"/>
    <w:rsid w:val="2D355FA7"/>
    <w:rsid w:val="2D643327"/>
    <w:rsid w:val="2D7732D6"/>
    <w:rsid w:val="2D8861A8"/>
    <w:rsid w:val="2E051101"/>
    <w:rsid w:val="2E3E78ED"/>
    <w:rsid w:val="2E6D4479"/>
    <w:rsid w:val="2ECA3698"/>
    <w:rsid w:val="2F4859CC"/>
    <w:rsid w:val="2FA92733"/>
    <w:rsid w:val="2FF5479D"/>
    <w:rsid w:val="2FF745EF"/>
    <w:rsid w:val="30030FB5"/>
    <w:rsid w:val="30164626"/>
    <w:rsid w:val="309019B5"/>
    <w:rsid w:val="30C56DEE"/>
    <w:rsid w:val="31245E6F"/>
    <w:rsid w:val="31B95301"/>
    <w:rsid w:val="320F23C2"/>
    <w:rsid w:val="328E591A"/>
    <w:rsid w:val="32DB717D"/>
    <w:rsid w:val="33296423"/>
    <w:rsid w:val="336D609E"/>
    <w:rsid w:val="337B1F07"/>
    <w:rsid w:val="33EC718C"/>
    <w:rsid w:val="33F569AA"/>
    <w:rsid w:val="34036C9A"/>
    <w:rsid w:val="34182A9B"/>
    <w:rsid w:val="343E22E2"/>
    <w:rsid w:val="346A3BA4"/>
    <w:rsid w:val="348C321C"/>
    <w:rsid w:val="349D2033"/>
    <w:rsid w:val="34AB4F22"/>
    <w:rsid w:val="35022F48"/>
    <w:rsid w:val="35AF2F3A"/>
    <w:rsid w:val="35C94004"/>
    <w:rsid w:val="361C77CB"/>
    <w:rsid w:val="36203A46"/>
    <w:rsid w:val="36316A75"/>
    <w:rsid w:val="3640288A"/>
    <w:rsid w:val="36E17279"/>
    <w:rsid w:val="372A204B"/>
    <w:rsid w:val="37666E72"/>
    <w:rsid w:val="37EB36C4"/>
    <w:rsid w:val="380B1AC9"/>
    <w:rsid w:val="380E34ED"/>
    <w:rsid w:val="382563C7"/>
    <w:rsid w:val="3832671F"/>
    <w:rsid w:val="3838185E"/>
    <w:rsid w:val="384A0F7C"/>
    <w:rsid w:val="388A0841"/>
    <w:rsid w:val="389F1247"/>
    <w:rsid w:val="38E33B21"/>
    <w:rsid w:val="392213F1"/>
    <w:rsid w:val="395077F0"/>
    <w:rsid w:val="397200C0"/>
    <w:rsid w:val="3977253A"/>
    <w:rsid w:val="397F146D"/>
    <w:rsid w:val="3994237E"/>
    <w:rsid w:val="39A41479"/>
    <w:rsid w:val="39CA6372"/>
    <w:rsid w:val="39D42F61"/>
    <w:rsid w:val="39F52BBB"/>
    <w:rsid w:val="3A25387D"/>
    <w:rsid w:val="3A904555"/>
    <w:rsid w:val="3A936424"/>
    <w:rsid w:val="3AA5567A"/>
    <w:rsid w:val="3AB17F39"/>
    <w:rsid w:val="3ADA260F"/>
    <w:rsid w:val="3B0875A8"/>
    <w:rsid w:val="3B1E2AD4"/>
    <w:rsid w:val="3B8A1AFA"/>
    <w:rsid w:val="3BDB4034"/>
    <w:rsid w:val="3C724079"/>
    <w:rsid w:val="3CE609A9"/>
    <w:rsid w:val="3CF94FF9"/>
    <w:rsid w:val="3CFD291B"/>
    <w:rsid w:val="3D3C14BA"/>
    <w:rsid w:val="3D622DCF"/>
    <w:rsid w:val="3D651B10"/>
    <w:rsid w:val="3D8204FA"/>
    <w:rsid w:val="3DE4134A"/>
    <w:rsid w:val="3DFF76B9"/>
    <w:rsid w:val="3E130551"/>
    <w:rsid w:val="3EAE71F2"/>
    <w:rsid w:val="3EB63546"/>
    <w:rsid w:val="3EBF1C19"/>
    <w:rsid w:val="3EDA112C"/>
    <w:rsid w:val="3EE3386B"/>
    <w:rsid w:val="3F2F49DC"/>
    <w:rsid w:val="3F3C090C"/>
    <w:rsid w:val="3F442945"/>
    <w:rsid w:val="3F4F4DA0"/>
    <w:rsid w:val="3F7E27E2"/>
    <w:rsid w:val="3F9F6207"/>
    <w:rsid w:val="3FE96941"/>
    <w:rsid w:val="3FF81320"/>
    <w:rsid w:val="40015512"/>
    <w:rsid w:val="40200E8D"/>
    <w:rsid w:val="40210A98"/>
    <w:rsid w:val="4063109C"/>
    <w:rsid w:val="406E430C"/>
    <w:rsid w:val="4094020B"/>
    <w:rsid w:val="40A55546"/>
    <w:rsid w:val="40AA40FF"/>
    <w:rsid w:val="40EB2F11"/>
    <w:rsid w:val="40FC6BFB"/>
    <w:rsid w:val="41295026"/>
    <w:rsid w:val="41685545"/>
    <w:rsid w:val="41A2496E"/>
    <w:rsid w:val="41DD49A0"/>
    <w:rsid w:val="420F4C19"/>
    <w:rsid w:val="42DA5A81"/>
    <w:rsid w:val="42EE608A"/>
    <w:rsid w:val="43C474DF"/>
    <w:rsid w:val="43EB0BC6"/>
    <w:rsid w:val="445D346B"/>
    <w:rsid w:val="449378AD"/>
    <w:rsid w:val="44FB2E63"/>
    <w:rsid w:val="44FB7E38"/>
    <w:rsid w:val="451E605E"/>
    <w:rsid w:val="45A31E69"/>
    <w:rsid w:val="45DE2F45"/>
    <w:rsid w:val="461D64BE"/>
    <w:rsid w:val="467C599A"/>
    <w:rsid w:val="47083695"/>
    <w:rsid w:val="4760077B"/>
    <w:rsid w:val="479445B2"/>
    <w:rsid w:val="47A23A66"/>
    <w:rsid w:val="47A44642"/>
    <w:rsid w:val="47BC4A5E"/>
    <w:rsid w:val="47F866AA"/>
    <w:rsid w:val="47FD752B"/>
    <w:rsid w:val="47FE67F6"/>
    <w:rsid w:val="4917106F"/>
    <w:rsid w:val="498C15B9"/>
    <w:rsid w:val="499C1EB2"/>
    <w:rsid w:val="49AA3180"/>
    <w:rsid w:val="49C73637"/>
    <w:rsid w:val="4A123A9E"/>
    <w:rsid w:val="4A1914E6"/>
    <w:rsid w:val="4A2C2C73"/>
    <w:rsid w:val="4A347A18"/>
    <w:rsid w:val="4A7C087B"/>
    <w:rsid w:val="4A8D73F9"/>
    <w:rsid w:val="4AA45BE1"/>
    <w:rsid w:val="4AA65B3B"/>
    <w:rsid w:val="4AFC74DF"/>
    <w:rsid w:val="4B8322F0"/>
    <w:rsid w:val="4B833213"/>
    <w:rsid w:val="4C0412E8"/>
    <w:rsid w:val="4C377209"/>
    <w:rsid w:val="4C3C1AA8"/>
    <w:rsid w:val="4C8463EE"/>
    <w:rsid w:val="4CC06BFB"/>
    <w:rsid w:val="4D4F113F"/>
    <w:rsid w:val="4DDA1A4C"/>
    <w:rsid w:val="4DE87042"/>
    <w:rsid w:val="4E023609"/>
    <w:rsid w:val="4E1A5C09"/>
    <w:rsid w:val="4E1A6AB1"/>
    <w:rsid w:val="4E2F2359"/>
    <w:rsid w:val="4E380CCC"/>
    <w:rsid w:val="4E431849"/>
    <w:rsid w:val="4E8B0B7B"/>
    <w:rsid w:val="4E9D5938"/>
    <w:rsid w:val="4EB237AC"/>
    <w:rsid w:val="4EBB5959"/>
    <w:rsid w:val="4ED04F5B"/>
    <w:rsid w:val="4EF14F49"/>
    <w:rsid w:val="4EF6050D"/>
    <w:rsid w:val="4F1A59BF"/>
    <w:rsid w:val="4FB045C9"/>
    <w:rsid w:val="50123891"/>
    <w:rsid w:val="502A4A4C"/>
    <w:rsid w:val="503F09B5"/>
    <w:rsid w:val="507A0ADC"/>
    <w:rsid w:val="50D83106"/>
    <w:rsid w:val="511328D0"/>
    <w:rsid w:val="513421C6"/>
    <w:rsid w:val="513E6359"/>
    <w:rsid w:val="5156335A"/>
    <w:rsid w:val="51652482"/>
    <w:rsid w:val="51805724"/>
    <w:rsid w:val="51884B5E"/>
    <w:rsid w:val="518D3779"/>
    <w:rsid w:val="51C7515F"/>
    <w:rsid w:val="51D050D1"/>
    <w:rsid w:val="51D7211E"/>
    <w:rsid w:val="52505661"/>
    <w:rsid w:val="5257610A"/>
    <w:rsid w:val="526E5CB5"/>
    <w:rsid w:val="52753E57"/>
    <w:rsid w:val="52A9427B"/>
    <w:rsid w:val="52D93B7C"/>
    <w:rsid w:val="53157900"/>
    <w:rsid w:val="53865274"/>
    <w:rsid w:val="53DC1A03"/>
    <w:rsid w:val="54272FB7"/>
    <w:rsid w:val="542E1C7D"/>
    <w:rsid w:val="54683D67"/>
    <w:rsid w:val="547503CA"/>
    <w:rsid w:val="54A21BB2"/>
    <w:rsid w:val="54A32459"/>
    <w:rsid w:val="54B05B82"/>
    <w:rsid w:val="54C254CA"/>
    <w:rsid w:val="54FB0113"/>
    <w:rsid w:val="54FC0DB5"/>
    <w:rsid w:val="54FC1185"/>
    <w:rsid w:val="55B95A64"/>
    <w:rsid w:val="55DD2479"/>
    <w:rsid w:val="55F70216"/>
    <w:rsid w:val="55FF5737"/>
    <w:rsid w:val="56022458"/>
    <w:rsid w:val="561D267A"/>
    <w:rsid w:val="561E51C2"/>
    <w:rsid w:val="56400CAD"/>
    <w:rsid w:val="56CC7D61"/>
    <w:rsid w:val="575710A5"/>
    <w:rsid w:val="57F7496D"/>
    <w:rsid w:val="58453A62"/>
    <w:rsid w:val="585B0093"/>
    <w:rsid w:val="58D858C7"/>
    <w:rsid w:val="59186B24"/>
    <w:rsid w:val="592C2178"/>
    <w:rsid w:val="593E3AF5"/>
    <w:rsid w:val="5980115E"/>
    <w:rsid w:val="59B3121D"/>
    <w:rsid w:val="59B40DDE"/>
    <w:rsid w:val="59DF6902"/>
    <w:rsid w:val="59FA7700"/>
    <w:rsid w:val="5A6C3F68"/>
    <w:rsid w:val="5A764AEA"/>
    <w:rsid w:val="5A7C6794"/>
    <w:rsid w:val="5ACF0B14"/>
    <w:rsid w:val="5AD97D44"/>
    <w:rsid w:val="5AFE2B3E"/>
    <w:rsid w:val="5B22024B"/>
    <w:rsid w:val="5B835103"/>
    <w:rsid w:val="5BAF2355"/>
    <w:rsid w:val="5BF60B78"/>
    <w:rsid w:val="5C0A3D46"/>
    <w:rsid w:val="5C1668CF"/>
    <w:rsid w:val="5C2448DF"/>
    <w:rsid w:val="5C281A1F"/>
    <w:rsid w:val="5C653248"/>
    <w:rsid w:val="5C7E749C"/>
    <w:rsid w:val="5C800C68"/>
    <w:rsid w:val="5D05202B"/>
    <w:rsid w:val="5DA424B0"/>
    <w:rsid w:val="5DB27F4B"/>
    <w:rsid w:val="5DD94F09"/>
    <w:rsid w:val="5E052F60"/>
    <w:rsid w:val="5E484D06"/>
    <w:rsid w:val="5E995CB6"/>
    <w:rsid w:val="5F4B4928"/>
    <w:rsid w:val="5F6D1766"/>
    <w:rsid w:val="5F9E0F56"/>
    <w:rsid w:val="5FA06C93"/>
    <w:rsid w:val="601A75CE"/>
    <w:rsid w:val="60730CCD"/>
    <w:rsid w:val="60787DEF"/>
    <w:rsid w:val="60A73DA2"/>
    <w:rsid w:val="60B97D7B"/>
    <w:rsid w:val="60C471C8"/>
    <w:rsid w:val="60F0127D"/>
    <w:rsid w:val="610229C7"/>
    <w:rsid w:val="61575DB9"/>
    <w:rsid w:val="615D62A4"/>
    <w:rsid w:val="61A9603A"/>
    <w:rsid w:val="61DB5605"/>
    <w:rsid w:val="62282029"/>
    <w:rsid w:val="622B7960"/>
    <w:rsid w:val="624D13D2"/>
    <w:rsid w:val="624D3262"/>
    <w:rsid w:val="62862AB6"/>
    <w:rsid w:val="62952C26"/>
    <w:rsid w:val="62E03330"/>
    <w:rsid w:val="63661CC6"/>
    <w:rsid w:val="639844F4"/>
    <w:rsid w:val="63D30286"/>
    <w:rsid w:val="63D8165B"/>
    <w:rsid w:val="640C4D66"/>
    <w:rsid w:val="643D6AEA"/>
    <w:rsid w:val="644704AA"/>
    <w:rsid w:val="64512008"/>
    <w:rsid w:val="64836A7E"/>
    <w:rsid w:val="64F37D8E"/>
    <w:rsid w:val="65177A81"/>
    <w:rsid w:val="651D7D2C"/>
    <w:rsid w:val="65344221"/>
    <w:rsid w:val="65593354"/>
    <w:rsid w:val="658339DD"/>
    <w:rsid w:val="658C1862"/>
    <w:rsid w:val="659A4B3F"/>
    <w:rsid w:val="65AC64D4"/>
    <w:rsid w:val="65C014DD"/>
    <w:rsid w:val="66334E81"/>
    <w:rsid w:val="66693D7A"/>
    <w:rsid w:val="66932504"/>
    <w:rsid w:val="66EF434C"/>
    <w:rsid w:val="67085112"/>
    <w:rsid w:val="6716631D"/>
    <w:rsid w:val="671770C4"/>
    <w:rsid w:val="6727355B"/>
    <w:rsid w:val="677B7505"/>
    <w:rsid w:val="688C494F"/>
    <w:rsid w:val="68947D20"/>
    <w:rsid w:val="68B34444"/>
    <w:rsid w:val="68D35286"/>
    <w:rsid w:val="68E52730"/>
    <w:rsid w:val="69013A3D"/>
    <w:rsid w:val="69031495"/>
    <w:rsid w:val="697D10D3"/>
    <w:rsid w:val="69882C1F"/>
    <w:rsid w:val="6A3645BE"/>
    <w:rsid w:val="6A9937FB"/>
    <w:rsid w:val="6AF615B1"/>
    <w:rsid w:val="6B0E6819"/>
    <w:rsid w:val="6B815528"/>
    <w:rsid w:val="6BB76662"/>
    <w:rsid w:val="6BD85097"/>
    <w:rsid w:val="6C2F2D0A"/>
    <w:rsid w:val="6C913258"/>
    <w:rsid w:val="6CE14C19"/>
    <w:rsid w:val="6D7B5101"/>
    <w:rsid w:val="6D7E20B6"/>
    <w:rsid w:val="6D8F394B"/>
    <w:rsid w:val="6E027843"/>
    <w:rsid w:val="6E9D4317"/>
    <w:rsid w:val="6EA43E65"/>
    <w:rsid w:val="6ED215D0"/>
    <w:rsid w:val="6F11121C"/>
    <w:rsid w:val="6F89280C"/>
    <w:rsid w:val="6FD36A45"/>
    <w:rsid w:val="6FF97934"/>
    <w:rsid w:val="70281C68"/>
    <w:rsid w:val="70311D20"/>
    <w:rsid w:val="703377EA"/>
    <w:rsid w:val="70A21D6E"/>
    <w:rsid w:val="70B10776"/>
    <w:rsid w:val="7114562E"/>
    <w:rsid w:val="717F1642"/>
    <w:rsid w:val="72253032"/>
    <w:rsid w:val="726D1F0A"/>
    <w:rsid w:val="726D5A47"/>
    <w:rsid w:val="73042021"/>
    <w:rsid w:val="736F36E4"/>
    <w:rsid w:val="73BD7D1D"/>
    <w:rsid w:val="741D46A8"/>
    <w:rsid w:val="745E480C"/>
    <w:rsid w:val="74741F55"/>
    <w:rsid w:val="74816CD1"/>
    <w:rsid w:val="748976C1"/>
    <w:rsid w:val="74D4090E"/>
    <w:rsid w:val="7514080C"/>
    <w:rsid w:val="751C1E37"/>
    <w:rsid w:val="75325822"/>
    <w:rsid w:val="754001E3"/>
    <w:rsid w:val="757310D2"/>
    <w:rsid w:val="75A03CD1"/>
    <w:rsid w:val="75BA3D10"/>
    <w:rsid w:val="75D97917"/>
    <w:rsid w:val="76134F53"/>
    <w:rsid w:val="76515436"/>
    <w:rsid w:val="76850C11"/>
    <w:rsid w:val="769E1EB6"/>
    <w:rsid w:val="76BB18DA"/>
    <w:rsid w:val="76D95C71"/>
    <w:rsid w:val="77074DCA"/>
    <w:rsid w:val="770816F8"/>
    <w:rsid w:val="772A2634"/>
    <w:rsid w:val="77883EA5"/>
    <w:rsid w:val="77BE4B43"/>
    <w:rsid w:val="78616AC8"/>
    <w:rsid w:val="790F01DA"/>
    <w:rsid w:val="796B05A5"/>
    <w:rsid w:val="79775F17"/>
    <w:rsid w:val="79A43FE1"/>
    <w:rsid w:val="79B57CC2"/>
    <w:rsid w:val="79E55657"/>
    <w:rsid w:val="79F70A30"/>
    <w:rsid w:val="79FF2965"/>
    <w:rsid w:val="7A3913E2"/>
    <w:rsid w:val="7A721D3D"/>
    <w:rsid w:val="7AAF2754"/>
    <w:rsid w:val="7ADD7225"/>
    <w:rsid w:val="7B0E5AAD"/>
    <w:rsid w:val="7B9D24D3"/>
    <w:rsid w:val="7B9F5675"/>
    <w:rsid w:val="7BC4481A"/>
    <w:rsid w:val="7BCF3EB0"/>
    <w:rsid w:val="7BD132F1"/>
    <w:rsid w:val="7C2F6A6C"/>
    <w:rsid w:val="7C677BE9"/>
    <w:rsid w:val="7C81697F"/>
    <w:rsid w:val="7C883222"/>
    <w:rsid w:val="7C886408"/>
    <w:rsid w:val="7C936CCC"/>
    <w:rsid w:val="7D170593"/>
    <w:rsid w:val="7D4F5F80"/>
    <w:rsid w:val="7D5354FA"/>
    <w:rsid w:val="7D640DAC"/>
    <w:rsid w:val="7EAD764E"/>
    <w:rsid w:val="7EB47327"/>
    <w:rsid w:val="7EB57BDC"/>
    <w:rsid w:val="7ECB089F"/>
    <w:rsid w:val="7F0511FB"/>
    <w:rsid w:val="7FE55DFA"/>
    <w:rsid w:val="7FF17E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iPriority="99"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name="List"/>
    <w:lsdException w:unhideWhenUsed="0" w:uiPriority="0" w:semiHidden="0" w:name="List Bullet"/>
    <w:lsdException w:unhideWhenUsed="0" w:uiPriority="0" w:semiHidden="0" w:name="List Number"/>
    <w:lsdException w:unhideWhenUsed="0" w:uiPriority="0" w:semiHidden="0" w:name="List 2"/>
    <w:lsdException w:uiPriority="99"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99"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iPriority="99" w:name="List Continue 3"/>
    <w:lsdException w:unhideWhenUsed="0" w:uiPriority="0" w:semiHidden="0" w:name="List Continue 4"/>
    <w:lsdException w:unhideWhenUsed="0" w:uiPriority="0" w:semiHidden="0" w:name="List Continue 5"/>
    <w:lsdException w:uiPriority="99"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nhideWhenUsed="0" w:uiPriority="0"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kern w:val="2"/>
      <w:sz w:val="21"/>
      <w:szCs w:val="24"/>
      <w:lang w:val="en-US" w:eastAsia="zh-CN" w:bidi="ar-SA"/>
    </w:rPr>
  </w:style>
  <w:style w:type="paragraph" w:styleId="4">
    <w:name w:val="heading 1"/>
    <w:basedOn w:val="1"/>
    <w:next w:val="1"/>
    <w:link w:val="88"/>
    <w:qFormat/>
    <w:uiPriority w:val="0"/>
    <w:pPr>
      <w:keepNext/>
      <w:widowControl/>
      <w:spacing w:line="360" w:lineRule="auto"/>
      <w:jc w:val="center"/>
      <w:outlineLvl w:val="0"/>
    </w:pPr>
    <w:rPr>
      <w:rFonts w:ascii="??" w:hAnsi="??" w:eastAsia="??" w:cs="宋体"/>
      <w:b/>
      <w:kern w:val="36"/>
      <w:sz w:val="32"/>
      <w:szCs w:val="28"/>
    </w:rPr>
  </w:style>
  <w:style w:type="paragraph" w:styleId="5">
    <w:name w:val="heading 2"/>
    <w:basedOn w:val="1"/>
    <w:next w:val="1"/>
    <w:link w:val="89"/>
    <w:qFormat/>
    <w:uiPriority w:val="0"/>
    <w:pPr>
      <w:keepNext/>
      <w:keepLines/>
      <w:numPr>
        <w:ilvl w:val="0"/>
        <w:numId w:val="1"/>
      </w:numPr>
      <w:tabs>
        <w:tab w:val="left" w:pos="706"/>
        <w:tab w:val="clear" w:pos="1110"/>
      </w:tabs>
      <w:spacing w:line="360" w:lineRule="auto"/>
      <w:outlineLvl w:val="1"/>
    </w:pPr>
    <w:rPr>
      <w:rFonts w:ascii="Arial" w:hAnsi="Arial" w:eastAsia="??" w:cs="Arial"/>
      <w:b/>
      <w:bCs/>
      <w:szCs w:val="32"/>
    </w:rPr>
  </w:style>
  <w:style w:type="paragraph" w:styleId="6">
    <w:name w:val="heading 3"/>
    <w:basedOn w:val="1"/>
    <w:next w:val="1"/>
    <w:link w:val="90"/>
    <w:qFormat/>
    <w:uiPriority w:val="0"/>
    <w:pPr>
      <w:keepNext/>
      <w:keepLines/>
      <w:widowControl/>
      <w:numPr>
        <w:ilvl w:val="2"/>
        <w:numId w:val="2"/>
      </w:numPr>
      <w:tabs>
        <w:tab w:val="clear" w:pos="720"/>
      </w:tabs>
      <w:spacing w:before="120" w:after="120" w:line="360" w:lineRule="auto"/>
      <w:jc w:val="center"/>
      <w:outlineLvl w:val="2"/>
    </w:pPr>
    <w:rPr>
      <w:rFonts w:ascii="Calibri" w:hAnsi="Calibri" w:eastAsia="??" w:cs="Times New Roman"/>
      <w:b/>
      <w:kern w:val="0"/>
      <w:sz w:val="32"/>
      <w:szCs w:val="28"/>
    </w:rPr>
  </w:style>
  <w:style w:type="paragraph" w:styleId="7">
    <w:name w:val="heading 4"/>
    <w:basedOn w:val="1"/>
    <w:next w:val="1"/>
    <w:link w:val="91"/>
    <w:qFormat/>
    <w:uiPriority w:val="0"/>
    <w:pPr>
      <w:keepNext/>
      <w:keepLines/>
      <w:spacing w:before="280" w:after="290" w:line="376" w:lineRule="auto"/>
      <w:outlineLvl w:val="3"/>
    </w:pPr>
    <w:rPr>
      <w:rFonts w:ascii="Arial" w:hAnsi="Arial" w:eastAsia="??" w:cs="Arial"/>
      <w:b/>
      <w:bCs/>
      <w:sz w:val="28"/>
      <w:szCs w:val="28"/>
    </w:rPr>
  </w:style>
  <w:style w:type="paragraph" w:styleId="8">
    <w:name w:val="heading 5"/>
    <w:basedOn w:val="1"/>
    <w:next w:val="1"/>
    <w:link w:val="92"/>
    <w:qFormat/>
    <w:uiPriority w:val="0"/>
    <w:pPr>
      <w:keepNext/>
      <w:keepLines/>
      <w:spacing w:before="280" w:after="290" w:line="376" w:lineRule="auto"/>
      <w:outlineLvl w:val="4"/>
    </w:pPr>
    <w:rPr>
      <w:rFonts w:ascii="Calibri" w:hAnsi="Calibri" w:eastAsia="??" w:cs="Times New Roman"/>
      <w:b/>
      <w:bCs/>
      <w:sz w:val="28"/>
      <w:szCs w:val="28"/>
    </w:rPr>
  </w:style>
  <w:style w:type="paragraph" w:styleId="9">
    <w:name w:val="heading 6"/>
    <w:basedOn w:val="8"/>
    <w:next w:val="1"/>
    <w:link w:val="93"/>
    <w:qFormat/>
    <w:uiPriority w:val="0"/>
    <w:pPr>
      <w:keepNext/>
      <w:keepLines/>
      <w:widowControl/>
      <w:numPr>
        <w:ilvl w:val="5"/>
        <w:numId w:val="2"/>
      </w:numPr>
      <w:tabs>
        <w:tab w:val="clear" w:pos="1440"/>
      </w:tabs>
      <w:spacing w:before="240" w:after="64" w:line="319" w:lineRule="auto"/>
      <w:jc w:val="left"/>
      <w:outlineLvl w:val="5"/>
    </w:pPr>
    <w:rPr>
      <w:rFonts w:ascii="Arial" w:hAnsi="Arial" w:eastAsia="宋体" w:cs="Arial"/>
      <w:kern w:val="0"/>
      <w:sz w:val="24"/>
    </w:rPr>
  </w:style>
  <w:style w:type="paragraph" w:styleId="10">
    <w:name w:val="heading 7"/>
    <w:basedOn w:val="1"/>
    <w:next w:val="1"/>
    <w:link w:val="94"/>
    <w:qFormat/>
    <w:uiPriority w:val="0"/>
    <w:pPr>
      <w:keepNext/>
      <w:keepLines/>
      <w:widowControl/>
      <w:numPr>
        <w:ilvl w:val="6"/>
        <w:numId w:val="2"/>
      </w:numPr>
      <w:tabs>
        <w:tab w:val="clear" w:pos="2520"/>
      </w:tabs>
      <w:spacing w:before="240" w:after="64" w:line="319" w:lineRule="auto"/>
      <w:jc w:val="left"/>
      <w:outlineLvl w:val="6"/>
    </w:pPr>
    <w:rPr>
      <w:rFonts w:ascii="Calibri" w:hAnsi="Calibri" w:eastAsia="??" w:cs="Times New Roman"/>
      <w:b/>
      <w:bCs/>
      <w:kern w:val="0"/>
      <w:sz w:val="24"/>
      <w:szCs w:val="28"/>
    </w:rPr>
  </w:style>
  <w:style w:type="paragraph" w:styleId="11">
    <w:name w:val="heading 8"/>
    <w:basedOn w:val="1"/>
    <w:next w:val="1"/>
    <w:link w:val="95"/>
    <w:qFormat/>
    <w:uiPriority w:val="0"/>
    <w:pPr>
      <w:keepNext/>
      <w:keepLines/>
      <w:widowControl/>
      <w:numPr>
        <w:ilvl w:val="7"/>
        <w:numId w:val="2"/>
      </w:numPr>
      <w:tabs>
        <w:tab w:val="clear" w:pos="1440"/>
      </w:tabs>
      <w:spacing w:before="240" w:after="64" w:line="319" w:lineRule="auto"/>
      <w:jc w:val="left"/>
      <w:outlineLvl w:val="7"/>
    </w:pPr>
    <w:rPr>
      <w:rFonts w:ascii="Arial" w:hAnsi="Arial" w:eastAsia="??" w:cs="Arial"/>
      <w:kern w:val="0"/>
      <w:sz w:val="24"/>
      <w:szCs w:val="28"/>
    </w:rPr>
  </w:style>
  <w:style w:type="paragraph" w:styleId="12">
    <w:name w:val="heading 9"/>
    <w:basedOn w:val="1"/>
    <w:next w:val="1"/>
    <w:link w:val="96"/>
    <w:qFormat/>
    <w:uiPriority w:val="0"/>
    <w:pPr>
      <w:keepNext/>
      <w:keepLines/>
      <w:widowControl/>
      <w:numPr>
        <w:ilvl w:val="8"/>
        <w:numId w:val="2"/>
      </w:numPr>
      <w:tabs>
        <w:tab w:val="clear" w:pos="1584"/>
      </w:tabs>
      <w:spacing w:before="240" w:after="64" w:line="319" w:lineRule="auto"/>
      <w:jc w:val="left"/>
      <w:outlineLvl w:val="8"/>
    </w:pPr>
    <w:rPr>
      <w:rFonts w:ascii="Arial" w:hAnsi="Arial" w:eastAsia="??" w:cs="Arial"/>
      <w:kern w:val="0"/>
      <w:szCs w:val="21"/>
    </w:rPr>
  </w:style>
  <w:style w:type="character" w:default="1" w:styleId="79">
    <w:name w:val="Default Paragraph Font"/>
    <w:link w:val="80"/>
    <w:uiPriority w:val="0"/>
    <w:rPr>
      <w:rFonts w:ascii="??_GB2312" w:hAnsi="??_GB2312" w:eastAsia="??_GB2312" w:cs="宋体"/>
      <w:b/>
      <w:sz w:val="32"/>
      <w:szCs w:val="32"/>
    </w:rPr>
  </w:style>
  <w:style w:type="table" w:default="1" w:styleId="77">
    <w:name w:val="Normal Table"/>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Style w:val="77"/>
      <w:tblCellMar>
        <w:top w:w="0" w:type="dxa"/>
        <w:left w:w="108" w:type="dxa"/>
        <w:bottom w:w="0" w:type="dxa"/>
        <w:right w:w="108" w:type="dxa"/>
      </w:tblCellMar>
    </w:tblPr>
  </w:style>
  <w:style w:type="paragraph" w:customStyle="1" w:styleId="2">
    <w:name w:val="正文1"/>
    <w:basedOn w:val="1"/>
    <w:next w:val="1"/>
    <w:uiPriority w:val="0"/>
    <w:pPr>
      <w:spacing w:before="156" w:line="360" w:lineRule="auto"/>
      <w:ind w:left="426"/>
    </w:pPr>
    <w:rPr>
      <w:rFonts w:ascii="Times New Roman" w:hAnsi="Times New Roman" w:eastAsia="宋体" w:cs="Times New Roman"/>
      <w:sz w:val="24"/>
      <w:szCs w:val="20"/>
    </w:rPr>
  </w:style>
  <w:style w:type="paragraph" w:styleId="3">
    <w:name w:val="macro"/>
    <w:link w:val="87"/>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13">
    <w:name w:val="toc 7"/>
    <w:basedOn w:val="1"/>
    <w:next w:val="1"/>
    <w:uiPriority w:val="0"/>
    <w:pPr>
      <w:ind w:left="1260"/>
      <w:jc w:val="left"/>
    </w:pPr>
    <w:rPr>
      <w:rFonts w:ascii="Times New Roman" w:hAnsi="Times New Roman" w:eastAsia="宋体" w:cs="Times New Roman"/>
      <w:sz w:val="18"/>
      <w:szCs w:val="18"/>
    </w:rPr>
  </w:style>
  <w:style w:type="paragraph" w:styleId="14">
    <w:name w:val="List Number 2"/>
    <w:basedOn w:val="1"/>
    <w:uiPriority w:val="0"/>
    <w:pPr>
      <w:numPr>
        <w:ilvl w:val="0"/>
        <w:numId w:val="3"/>
      </w:numPr>
      <w:tabs>
        <w:tab w:val="clear" w:pos="840"/>
      </w:tabs>
      <w:spacing w:line="360" w:lineRule="auto"/>
    </w:pPr>
    <w:rPr>
      <w:rFonts w:ascii="Times New Roman" w:hAnsi="Times New Roman" w:eastAsia="宋体" w:cs="Times New Roman"/>
      <w:sz w:val="24"/>
    </w:rPr>
  </w:style>
  <w:style w:type="paragraph" w:styleId="15">
    <w:name w:val="table of authorities"/>
    <w:basedOn w:val="1"/>
    <w:next w:val="1"/>
    <w:uiPriority w:val="0"/>
    <w:pPr>
      <w:spacing w:line="360" w:lineRule="auto"/>
      <w:ind w:left="420" w:leftChars="200"/>
    </w:pPr>
    <w:rPr>
      <w:rFonts w:ascii="Times New Roman" w:hAnsi="Times New Roman" w:eastAsia="楷体_GB2312" w:cs="Times New Roman"/>
      <w:sz w:val="24"/>
    </w:rPr>
  </w:style>
  <w:style w:type="paragraph" w:styleId="16">
    <w:name w:val="List Bullet 4"/>
    <w:basedOn w:val="1"/>
    <w:uiPriority w:val="0"/>
    <w:pPr>
      <w:tabs>
        <w:tab w:val="left" w:pos="1620"/>
      </w:tabs>
      <w:spacing w:line="360" w:lineRule="auto"/>
      <w:ind w:left="1620" w:leftChars="600" w:hanging="360" w:hangingChars="200"/>
    </w:pPr>
    <w:rPr>
      <w:rFonts w:ascii="Times New Roman" w:hAnsi="Times New Roman" w:eastAsia="楷体_GB2312" w:cs="Times New Roman"/>
      <w:sz w:val="24"/>
    </w:rPr>
  </w:style>
  <w:style w:type="paragraph" w:styleId="17">
    <w:name w:val="index 8"/>
    <w:basedOn w:val="1"/>
    <w:next w:val="1"/>
    <w:uiPriority w:val="0"/>
    <w:pPr>
      <w:spacing w:line="360" w:lineRule="auto"/>
      <w:ind w:left="1400" w:leftChars="1400"/>
    </w:pPr>
    <w:rPr>
      <w:rFonts w:ascii="Times New Roman" w:hAnsi="Times New Roman" w:eastAsia="楷体_GB2312" w:cs="Times New Roman"/>
      <w:sz w:val="24"/>
    </w:rPr>
  </w:style>
  <w:style w:type="paragraph" w:styleId="18">
    <w:name w:val="E-mail Signature"/>
    <w:basedOn w:val="1"/>
    <w:link w:val="97"/>
    <w:uiPriority w:val="0"/>
    <w:pPr>
      <w:spacing w:line="360" w:lineRule="auto"/>
    </w:pPr>
    <w:rPr>
      <w:rFonts w:ascii="Calibri" w:hAnsi="Calibri" w:eastAsia="楷体_GB2312" w:cs="Times New Roman"/>
      <w:sz w:val="24"/>
    </w:rPr>
  </w:style>
  <w:style w:type="paragraph" w:styleId="19">
    <w:name w:val="List Number"/>
    <w:basedOn w:val="1"/>
    <w:uiPriority w:val="0"/>
    <w:pPr>
      <w:tabs>
        <w:tab w:val="left" w:pos="360"/>
      </w:tabs>
      <w:spacing w:line="360" w:lineRule="auto"/>
      <w:ind w:left="360" w:hanging="360" w:hangingChars="200"/>
    </w:pPr>
    <w:rPr>
      <w:rFonts w:ascii="Times New Roman" w:hAnsi="Times New Roman" w:eastAsia="楷体_GB2312" w:cs="Times New Roman"/>
      <w:sz w:val="24"/>
    </w:rPr>
  </w:style>
  <w:style w:type="paragraph" w:styleId="20">
    <w:name w:val="Normal Indent"/>
    <w:basedOn w:val="1"/>
    <w:link w:val="98"/>
    <w:uiPriority w:val="0"/>
    <w:pPr>
      <w:widowControl/>
      <w:ind w:firstLine="420"/>
      <w:jc w:val="left"/>
    </w:pPr>
    <w:rPr>
      <w:rFonts w:ascii="Calibri" w:hAnsi="Calibri" w:eastAsia="??" w:cs="Times New Roman"/>
      <w:kern w:val="0"/>
      <w:sz w:val="24"/>
    </w:rPr>
  </w:style>
  <w:style w:type="paragraph" w:styleId="21">
    <w:name w:val="caption"/>
    <w:basedOn w:val="1"/>
    <w:next w:val="1"/>
    <w:qFormat/>
    <w:uiPriority w:val="0"/>
    <w:pPr>
      <w:spacing w:before="152" w:after="160" w:line="360" w:lineRule="auto"/>
    </w:pPr>
    <w:rPr>
      <w:rFonts w:ascii="Arial" w:hAnsi="Arial" w:eastAsia="黑体" w:cs="Arial"/>
      <w:sz w:val="20"/>
      <w:szCs w:val="20"/>
    </w:rPr>
  </w:style>
  <w:style w:type="paragraph" w:styleId="22">
    <w:name w:val="index 5"/>
    <w:basedOn w:val="1"/>
    <w:next w:val="1"/>
    <w:uiPriority w:val="0"/>
    <w:pPr>
      <w:spacing w:line="360" w:lineRule="auto"/>
      <w:ind w:left="800" w:leftChars="800"/>
    </w:pPr>
    <w:rPr>
      <w:rFonts w:ascii="Times New Roman" w:hAnsi="Times New Roman" w:eastAsia="楷体_GB2312" w:cs="Times New Roman"/>
      <w:sz w:val="24"/>
    </w:rPr>
  </w:style>
  <w:style w:type="paragraph" w:styleId="23">
    <w:name w:val="List Bullet"/>
    <w:basedOn w:val="1"/>
    <w:uiPriority w:val="0"/>
    <w:pPr>
      <w:tabs>
        <w:tab w:val="left" w:pos="360"/>
      </w:tabs>
      <w:autoSpaceDE w:val="0"/>
      <w:autoSpaceDN w:val="0"/>
      <w:adjustRightInd w:val="0"/>
      <w:spacing w:before="100" w:beforeAutospacing="1" w:after="100" w:afterAutospacing="1" w:line="360" w:lineRule="auto"/>
      <w:ind w:left="360" w:hanging="360" w:firstLineChars="200"/>
    </w:pPr>
    <w:rPr>
      <w:rFonts w:ascii="Times New Roman" w:hAnsi="Times New Roman" w:eastAsia="楷体_GB2312" w:cs="Times New Roman"/>
      <w:color w:val="000000"/>
      <w:sz w:val="24"/>
      <w:szCs w:val="20"/>
    </w:rPr>
  </w:style>
  <w:style w:type="paragraph" w:styleId="24">
    <w:name w:val="Document Map"/>
    <w:basedOn w:val="1"/>
    <w:uiPriority w:val="0"/>
    <w:pPr>
      <w:shd w:val="clear" w:color="auto" w:fill="000080"/>
    </w:pPr>
    <w:rPr>
      <w:rFonts w:ascii="Times New Roman" w:hAnsi="Times New Roman" w:eastAsia="??" w:cs="Times New Roman"/>
      <w:sz w:val="28"/>
      <w:szCs w:val="28"/>
    </w:rPr>
  </w:style>
  <w:style w:type="paragraph" w:styleId="25">
    <w:name w:val="toa heading"/>
    <w:basedOn w:val="1"/>
    <w:next w:val="1"/>
    <w:uiPriority w:val="0"/>
    <w:pPr>
      <w:spacing w:before="120" w:line="360" w:lineRule="auto"/>
    </w:pPr>
    <w:rPr>
      <w:rFonts w:ascii="Arial" w:hAnsi="Arial" w:eastAsia="楷体_GB2312" w:cs="Arial"/>
      <w:sz w:val="24"/>
    </w:rPr>
  </w:style>
  <w:style w:type="paragraph" w:styleId="26">
    <w:name w:val="annotation text"/>
    <w:basedOn w:val="1"/>
    <w:link w:val="99"/>
    <w:uiPriority w:val="0"/>
    <w:pPr>
      <w:jc w:val="left"/>
    </w:pPr>
    <w:rPr>
      <w:rFonts w:ascii="Calibri" w:hAnsi="Calibri" w:eastAsia="宋体" w:cs="Lucida Sans"/>
      <w:szCs w:val="20"/>
    </w:rPr>
  </w:style>
  <w:style w:type="paragraph" w:styleId="27">
    <w:name w:val="index 6"/>
    <w:basedOn w:val="1"/>
    <w:next w:val="1"/>
    <w:uiPriority w:val="0"/>
    <w:pPr>
      <w:spacing w:line="360" w:lineRule="auto"/>
      <w:ind w:left="1000" w:leftChars="1000"/>
    </w:pPr>
    <w:rPr>
      <w:rFonts w:ascii="Times New Roman" w:hAnsi="Times New Roman" w:eastAsia="楷体_GB2312" w:cs="Times New Roman"/>
      <w:sz w:val="24"/>
    </w:rPr>
  </w:style>
  <w:style w:type="paragraph" w:styleId="28">
    <w:name w:val="Salutation"/>
    <w:basedOn w:val="1"/>
    <w:next w:val="1"/>
    <w:link w:val="100"/>
    <w:uiPriority w:val="0"/>
    <w:rPr>
      <w:rFonts w:ascii="仿宋_GB2312" w:hAnsi="Calibri" w:eastAsia="仿宋_GB2312" w:cs="Times New Roman"/>
      <w:sz w:val="28"/>
      <w:szCs w:val="20"/>
    </w:rPr>
  </w:style>
  <w:style w:type="paragraph" w:styleId="29">
    <w:name w:val="Body Text 3"/>
    <w:basedOn w:val="1"/>
    <w:link w:val="101"/>
    <w:uiPriority w:val="0"/>
    <w:pPr>
      <w:jc w:val="center"/>
    </w:pPr>
    <w:rPr>
      <w:rFonts w:ascii="Calibri" w:hAnsi="Calibri" w:eastAsia="宋体" w:cs="Times New Roman"/>
      <w:szCs w:val="20"/>
    </w:rPr>
  </w:style>
  <w:style w:type="paragraph" w:styleId="30">
    <w:name w:val="List Bullet 3"/>
    <w:basedOn w:val="1"/>
    <w:uiPriority w:val="0"/>
    <w:pPr>
      <w:tabs>
        <w:tab w:val="left" w:pos="1200"/>
      </w:tabs>
      <w:spacing w:line="360" w:lineRule="auto"/>
      <w:ind w:left="1200" w:leftChars="400" w:hanging="360" w:hangingChars="200"/>
    </w:pPr>
    <w:rPr>
      <w:rFonts w:ascii="Times New Roman" w:hAnsi="Times New Roman" w:eastAsia="楷体_GB2312" w:cs="Times New Roman"/>
      <w:sz w:val="24"/>
    </w:rPr>
  </w:style>
  <w:style w:type="paragraph" w:styleId="31">
    <w:name w:val="Body Text"/>
    <w:basedOn w:val="1"/>
    <w:uiPriority w:val="0"/>
    <w:rPr>
      <w:rFonts w:ascii="Times New Roman" w:hAnsi="Times New Roman" w:eastAsia="??" w:cs="Times New Roman"/>
      <w:sz w:val="24"/>
      <w:szCs w:val="28"/>
    </w:rPr>
  </w:style>
  <w:style w:type="paragraph" w:styleId="32">
    <w:name w:val="Body Text Indent"/>
    <w:basedOn w:val="1"/>
    <w:link w:val="102"/>
    <w:uiPriority w:val="0"/>
    <w:pPr>
      <w:spacing w:line="480" w:lineRule="atLeast"/>
      <w:ind w:firstLine="570"/>
    </w:pPr>
    <w:rPr>
      <w:rFonts w:ascii="??" w:hAnsi="??" w:eastAsia="??" w:cs="Times New Roman"/>
      <w:sz w:val="28"/>
      <w:szCs w:val="28"/>
    </w:rPr>
  </w:style>
  <w:style w:type="paragraph" w:styleId="33">
    <w:name w:val="List Number 3"/>
    <w:basedOn w:val="1"/>
    <w:uiPriority w:val="0"/>
    <w:pPr>
      <w:tabs>
        <w:tab w:val="left" w:pos="1200"/>
      </w:tabs>
      <w:spacing w:line="360" w:lineRule="auto"/>
      <w:ind w:left="1200" w:leftChars="400" w:hanging="360" w:hangingChars="200"/>
    </w:pPr>
    <w:rPr>
      <w:rFonts w:ascii="Times New Roman" w:hAnsi="Times New Roman" w:eastAsia="楷体_GB2312" w:cs="Times New Roman"/>
      <w:sz w:val="24"/>
    </w:rPr>
  </w:style>
  <w:style w:type="paragraph" w:styleId="34">
    <w:name w:val="List 2"/>
    <w:basedOn w:val="1"/>
    <w:uiPriority w:val="0"/>
    <w:pPr>
      <w:spacing w:line="360" w:lineRule="auto"/>
      <w:ind w:left="100" w:leftChars="200" w:hanging="200" w:hangingChars="200"/>
      <w:contextualSpacing/>
    </w:pPr>
    <w:rPr>
      <w:rFonts w:ascii="Times New Roman" w:hAnsi="Times New Roman" w:eastAsia="宋体" w:cs="Times New Roman"/>
      <w:sz w:val="24"/>
    </w:rPr>
  </w:style>
  <w:style w:type="paragraph" w:styleId="35">
    <w:name w:val="List Continue"/>
    <w:basedOn w:val="1"/>
    <w:uiPriority w:val="0"/>
    <w:pPr>
      <w:spacing w:after="120" w:line="360" w:lineRule="auto"/>
      <w:ind w:left="420" w:leftChars="200"/>
    </w:pPr>
    <w:rPr>
      <w:rFonts w:ascii="Times New Roman" w:hAnsi="Times New Roman" w:eastAsia="楷体_GB2312" w:cs="Times New Roman"/>
      <w:sz w:val="24"/>
    </w:rPr>
  </w:style>
  <w:style w:type="paragraph" w:styleId="36">
    <w:name w:val="Block Text"/>
    <w:basedOn w:val="1"/>
    <w:uiPriority w:val="0"/>
    <w:pPr>
      <w:widowControl/>
      <w:spacing w:line="360" w:lineRule="auto"/>
      <w:ind w:left="720" w:right="-240"/>
      <w:jc w:val="left"/>
    </w:pPr>
    <w:rPr>
      <w:rFonts w:ascii="Times New Roman" w:hAnsi="Times New Roman" w:eastAsia="楷体_GB2312" w:cs="Times New Roman"/>
      <w:kern w:val="0"/>
      <w:sz w:val="24"/>
      <w:szCs w:val="20"/>
      <w:lang w:bidi="he-IL"/>
    </w:rPr>
  </w:style>
  <w:style w:type="paragraph" w:styleId="37">
    <w:name w:val="List Bullet 2"/>
    <w:basedOn w:val="1"/>
    <w:uiPriority w:val="0"/>
    <w:pPr>
      <w:tabs>
        <w:tab w:val="left" w:pos="780"/>
      </w:tabs>
      <w:spacing w:line="360" w:lineRule="auto"/>
      <w:ind w:left="780" w:leftChars="200" w:hanging="360" w:hangingChars="200"/>
    </w:pPr>
    <w:rPr>
      <w:rFonts w:ascii="Times New Roman" w:hAnsi="Times New Roman" w:eastAsia="楷体_GB2312" w:cs="Times New Roman"/>
      <w:sz w:val="24"/>
    </w:rPr>
  </w:style>
  <w:style w:type="paragraph" w:styleId="38">
    <w:name w:val="index 4"/>
    <w:basedOn w:val="1"/>
    <w:next w:val="1"/>
    <w:uiPriority w:val="0"/>
    <w:pPr>
      <w:spacing w:line="360" w:lineRule="auto"/>
      <w:ind w:left="600" w:leftChars="600"/>
    </w:pPr>
    <w:rPr>
      <w:rFonts w:ascii="Times New Roman" w:hAnsi="Times New Roman" w:eastAsia="楷体_GB2312" w:cs="Times New Roman"/>
      <w:sz w:val="24"/>
    </w:rPr>
  </w:style>
  <w:style w:type="paragraph" w:styleId="39">
    <w:name w:val="toc 5"/>
    <w:basedOn w:val="1"/>
    <w:next w:val="1"/>
    <w:uiPriority w:val="0"/>
    <w:pPr>
      <w:ind w:left="840"/>
      <w:jc w:val="left"/>
    </w:pPr>
    <w:rPr>
      <w:rFonts w:ascii="Times New Roman" w:hAnsi="Times New Roman" w:eastAsia="宋体" w:cs="Times New Roman"/>
      <w:sz w:val="18"/>
      <w:szCs w:val="18"/>
    </w:rPr>
  </w:style>
  <w:style w:type="paragraph" w:styleId="40">
    <w:name w:val="toc 3"/>
    <w:basedOn w:val="1"/>
    <w:next w:val="1"/>
    <w:uiPriority w:val="0"/>
    <w:pPr>
      <w:ind w:left="420"/>
      <w:jc w:val="left"/>
    </w:pPr>
    <w:rPr>
      <w:rFonts w:ascii="Times New Roman" w:hAnsi="Times New Roman" w:eastAsia="宋体" w:cs="Times New Roman"/>
      <w:i/>
      <w:iCs/>
      <w:sz w:val="20"/>
      <w:szCs w:val="20"/>
    </w:rPr>
  </w:style>
  <w:style w:type="paragraph" w:styleId="41">
    <w:name w:val="Plain Text"/>
    <w:basedOn w:val="1"/>
    <w:next w:val="1"/>
    <w:link w:val="103"/>
    <w:uiPriority w:val="0"/>
    <w:rPr>
      <w:rFonts w:ascii="??" w:hAnsi="??" w:eastAsia="??" w:cs="Times New Roman"/>
      <w:szCs w:val="21"/>
    </w:rPr>
  </w:style>
  <w:style w:type="paragraph" w:styleId="42">
    <w:name w:val="List Bullet 5"/>
    <w:basedOn w:val="1"/>
    <w:uiPriority w:val="0"/>
    <w:pPr>
      <w:tabs>
        <w:tab w:val="left" w:pos="2040"/>
      </w:tabs>
      <w:spacing w:line="360" w:lineRule="auto"/>
      <w:ind w:left="2040" w:leftChars="800" w:hanging="360" w:hangingChars="200"/>
    </w:pPr>
    <w:rPr>
      <w:rFonts w:ascii="Times New Roman" w:hAnsi="Times New Roman" w:eastAsia="楷体_GB2312" w:cs="Times New Roman"/>
      <w:sz w:val="24"/>
    </w:rPr>
  </w:style>
  <w:style w:type="paragraph" w:styleId="43">
    <w:name w:val="List Number 4"/>
    <w:basedOn w:val="1"/>
    <w:uiPriority w:val="0"/>
    <w:pPr>
      <w:tabs>
        <w:tab w:val="left" w:pos="1620"/>
      </w:tabs>
      <w:spacing w:line="360" w:lineRule="auto"/>
      <w:ind w:left="1620" w:leftChars="600" w:hanging="360" w:hangingChars="200"/>
    </w:pPr>
    <w:rPr>
      <w:rFonts w:ascii="Times New Roman" w:hAnsi="Times New Roman" w:eastAsia="楷体_GB2312" w:cs="Times New Roman"/>
      <w:sz w:val="24"/>
    </w:rPr>
  </w:style>
  <w:style w:type="paragraph" w:styleId="44">
    <w:name w:val="toc 8"/>
    <w:basedOn w:val="1"/>
    <w:next w:val="1"/>
    <w:uiPriority w:val="0"/>
    <w:pPr>
      <w:ind w:left="1470"/>
      <w:jc w:val="left"/>
    </w:pPr>
    <w:rPr>
      <w:rFonts w:ascii="Times New Roman" w:hAnsi="Times New Roman" w:eastAsia="宋体" w:cs="Times New Roman"/>
      <w:sz w:val="18"/>
      <w:szCs w:val="18"/>
    </w:rPr>
  </w:style>
  <w:style w:type="paragraph" w:styleId="45">
    <w:name w:val="index 3"/>
    <w:basedOn w:val="1"/>
    <w:next w:val="1"/>
    <w:uiPriority w:val="0"/>
    <w:pPr>
      <w:spacing w:line="360" w:lineRule="auto"/>
      <w:ind w:left="400" w:leftChars="400"/>
    </w:pPr>
    <w:rPr>
      <w:rFonts w:ascii="Times New Roman" w:hAnsi="Times New Roman" w:eastAsia="楷体_GB2312" w:cs="Times New Roman"/>
      <w:sz w:val="24"/>
    </w:rPr>
  </w:style>
  <w:style w:type="paragraph" w:styleId="46">
    <w:name w:val="Date"/>
    <w:basedOn w:val="1"/>
    <w:next w:val="1"/>
    <w:link w:val="104"/>
    <w:uiPriority w:val="0"/>
    <w:pPr>
      <w:adjustRightInd w:val="0"/>
      <w:jc w:val="right"/>
      <w:textAlignment w:val="baseline"/>
    </w:pPr>
    <w:rPr>
      <w:rFonts w:ascii="Calibri" w:hAnsi="Calibri" w:eastAsia="??_GB2312" w:cs="Times New Roman"/>
      <w:b/>
      <w:kern w:val="0"/>
      <w:sz w:val="28"/>
      <w:szCs w:val="28"/>
    </w:rPr>
  </w:style>
  <w:style w:type="paragraph" w:styleId="47">
    <w:name w:val="Body Text Indent 2"/>
    <w:basedOn w:val="1"/>
    <w:link w:val="105"/>
    <w:uiPriority w:val="0"/>
    <w:pPr>
      <w:spacing w:line="520" w:lineRule="exact"/>
      <w:ind w:firstLine="303" w:firstLineChars="303"/>
    </w:pPr>
    <w:rPr>
      <w:rFonts w:ascii="??" w:hAnsi="??" w:eastAsia="??" w:cs="宋体"/>
      <w:sz w:val="28"/>
      <w:szCs w:val="28"/>
    </w:rPr>
  </w:style>
  <w:style w:type="paragraph" w:styleId="48">
    <w:name w:val="endnote text"/>
    <w:basedOn w:val="1"/>
    <w:link w:val="106"/>
    <w:uiPriority w:val="0"/>
    <w:pPr>
      <w:snapToGrid w:val="0"/>
      <w:spacing w:line="360" w:lineRule="auto"/>
      <w:jc w:val="left"/>
    </w:pPr>
    <w:rPr>
      <w:rFonts w:ascii="Calibri" w:hAnsi="Calibri" w:eastAsia="楷体_GB2312" w:cs="Times New Roman"/>
      <w:sz w:val="24"/>
    </w:rPr>
  </w:style>
  <w:style w:type="paragraph" w:styleId="49">
    <w:name w:val="List Continue 5"/>
    <w:basedOn w:val="1"/>
    <w:uiPriority w:val="0"/>
    <w:pPr>
      <w:spacing w:after="120" w:line="360" w:lineRule="auto"/>
      <w:ind w:left="2100" w:leftChars="1000"/>
    </w:pPr>
    <w:rPr>
      <w:rFonts w:ascii="Times New Roman" w:hAnsi="Times New Roman" w:eastAsia="楷体_GB2312" w:cs="Times New Roman"/>
      <w:sz w:val="24"/>
    </w:rPr>
  </w:style>
  <w:style w:type="paragraph" w:styleId="50">
    <w:name w:val="Balloon Text"/>
    <w:basedOn w:val="1"/>
    <w:link w:val="107"/>
    <w:uiPriority w:val="0"/>
    <w:rPr>
      <w:rFonts w:ascii="Calibri" w:hAnsi="Calibri" w:eastAsia="??" w:cs="Times New Roman"/>
      <w:sz w:val="18"/>
      <w:szCs w:val="18"/>
    </w:rPr>
  </w:style>
  <w:style w:type="paragraph" w:styleId="51">
    <w:name w:val="footer"/>
    <w:basedOn w:val="1"/>
    <w:link w:val="108"/>
    <w:uiPriority w:val="0"/>
    <w:pPr>
      <w:tabs>
        <w:tab w:val="center" w:pos="4153"/>
        <w:tab w:val="right" w:pos="8306"/>
      </w:tabs>
      <w:snapToGrid w:val="0"/>
      <w:jc w:val="left"/>
    </w:pPr>
    <w:rPr>
      <w:rFonts w:ascii="Calibri" w:hAnsi="Calibri" w:eastAsia="??" w:cs="Times New Roman"/>
      <w:sz w:val="18"/>
      <w:szCs w:val="28"/>
    </w:rPr>
  </w:style>
  <w:style w:type="paragraph" w:styleId="52">
    <w:name w:val="header"/>
    <w:basedOn w:val="1"/>
    <w:link w:val="109"/>
    <w:uiPriority w:val="0"/>
    <w:pPr>
      <w:pBdr>
        <w:bottom w:val="single" w:color="auto" w:sz="6" w:space="1"/>
      </w:pBdr>
      <w:tabs>
        <w:tab w:val="center" w:pos="4153"/>
        <w:tab w:val="right" w:pos="8306"/>
      </w:tabs>
      <w:snapToGrid w:val="0"/>
      <w:jc w:val="center"/>
    </w:pPr>
    <w:rPr>
      <w:rFonts w:ascii="Calibri" w:hAnsi="Calibri" w:eastAsia="??" w:cs="Times New Roman"/>
      <w:sz w:val="18"/>
      <w:szCs w:val="28"/>
    </w:rPr>
  </w:style>
  <w:style w:type="paragraph" w:styleId="53">
    <w:name w:val="Signature"/>
    <w:basedOn w:val="1"/>
    <w:link w:val="110"/>
    <w:uiPriority w:val="0"/>
    <w:pPr>
      <w:adjustRightInd w:val="0"/>
      <w:spacing w:after="600" w:line="312" w:lineRule="atLeast"/>
      <w:jc w:val="center"/>
      <w:textAlignment w:val="baseline"/>
    </w:pPr>
    <w:rPr>
      <w:rFonts w:ascii="Calibri" w:hAnsi="Calibri" w:eastAsia="仿宋_GB2312" w:cs="Times New Roman"/>
      <w:kern w:val="0"/>
      <w:sz w:val="24"/>
      <w:szCs w:val="20"/>
    </w:rPr>
  </w:style>
  <w:style w:type="paragraph" w:styleId="54">
    <w:name w:val="toc 1"/>
    <w:basedOn w:val="1"/>
    <w:next w:val="1"/>
    <w:uiPriority w:val="0"/>
    <w:pPr>
      <w:spacing w:before="120" w:after="120"/>
      <w:jc w:val="left"/>
    </w:pPr>
    <w:rPr>
      <w:rFonts w:ascii="Times New Roman" w:hAnsi="Times New Roman" w:eastAsia="宋体" w:cs="Times New Roman"/>
      <w:b/>
      <w:bCs/>
      <w:caps/>
      <w:sz w:val="20"/>
      <w:szCs w:val="20"/>
    </w:rPr>
  </w:style>
  <w:style w:type="paragraph" w:styleId="55">
    <w:name w:val="List Continue 4"/>
    <w:basedOn w:val="1"/>
    <w:uiPriority w:val="0"/>
    <w:pPr>
      <w:spacing w:after="120" w:line="360" w:lineRule="auto"/>
      <w:ind w:left="1680" w:leftChars="800"/>
    </w:pPr>
    <w:rPr>
      <w:rFonts w:ascii="Times New Roman" w:hAnsi="Times New Roman" w:eastAsia="楷体_GB2312" w:cs="Times New Roman"/>
      <w:sz w:val="24"/>
    </w:rPr>
  </w:style>
  <w:style w:type="paragraph" w:styleId="56">
    <w:name w:val="toc 4"/>
    <w:basedOn w:val="1"/>
    <w:next w:val="1"/>
    <w:uiPriority w:val="0"/>
    <w:pPr>
      <w:ind w:left="630"/>
      <w:jc w:val="left"/>
    </w:pPr>
    <w:rPr>
      <w:rFonts w:ascii="Times New Roman" w:hAnsi="Times New Roman" w:eastAsia="宋体" w:cs="Times New Roman"/>
      <w:sz w:val="18"/>
      <w:szCs w:val="18"/>
    </w:rPr>
  </w:style>
  <w:style w:type="paragraph" w:styleId="57">
    <w:name w:val="index heading"/>
    <w:basedOn w:val="1"/>
    <w:next w:val="58"/>
    <w:uiPriority w:val="0"/>
    <w:pPr>
      <w:spacing w:line="360" w:lineRule="auto"/>
    </w:pPr>
    <w:rPr>
      <w:rFonts w:ascii="Arial" w:hAnsi="Arial" w:eastAsia="楷体_GB2312" w:cs="Arial"/>
      <w:b/>
      <w:bCs/>
      <w:sz w:val="24"/>
    </w:rPr>
  </w:style>
  <w:style w:type="paragraph" w:styleId="58">
    <w:name w:val="index 1"/>
    <w:basedOn w:val="1"/>
    <w:next w:val="1"/>
    <w:uiPriority w:val="0"/>
    <w:pPr>
      <w:autoSpaceDE w:val="0"/>
      <w:autoSpaceDN w:val="0"/>
      <w:adjustRightInd w:val="0"/>
      <w:spacing w:before="100" w:after="100" w:line="360" w:lineRule="auto"/>
    </w:pPr>
    <w:rPr>
      <w:rFonts w:ascii="Arial" w:hAnsi="Arial" w:eastAsia="楷体_GB2312" w:cs="Arial"/>
      <w:bCs/>
      <w:color w:val="000000"/>
      <w:sz w:val="24"/>
      <w:szCs w:val="20"/>
    </w:rPr>
  </w:style>
  <w:style w:type="paragraph" w:styleId="59">
    <w:name w:val="List Number 5"/>
    <w:basedOn w:val="1"/>
    <w:uiPriority w:val="0"/>
    <w:pPr>
      <w:tabs>
        <w:tab w:val="left" w:pos="2040"/>
      </w:tabs>
      <w:spacing w:line="360" w:lineRule="auto"/>
      <w:ind w:left="2040" w:leftChars="800" w:hanging="360" w:hangingChars="200"/>
    </w:pPr>
    <w:rPr>
      <w:rFonts w:ascii="Times New Roman" w:hAnsi="Times New Roman" w:eastAsia="楷体_GB2312" w:cs="Times New Roman"/>
      <w:sz w:val="24"/>
    </w:rPr>
  </w:style>
  <w:style w:type="paragraph" w:styleId="60">
    <w:name w:val="footnote text"/>
    <w:basedOn w:val="1"/>
    <w:link w:val="111"/>
    <w:uiPriority w:val="0"/>
    <w:pPr>
      <w:snapToGrid w:val="0"/>
      <w:spacing w:line="360" w:lineRule="auto"/>
      <w:jc w:val="left"/>
    </w:pPr>
    <w:rPr>
      <w:rFonts w:ascii="Calibri" w:hAnsi="Calibri" w:eastAsia="楷体_GB2312" w:cs="Times New Roman"/>
      <w:sz w:val="18"/>
      <w:szCs w:val="18"/>
    </w:rPr>
  </w:style>
  <w:style w:type="paragraph" w:styleId="61">
    <w:name w:val="toc 6"/>
    <w:basedOn w:val="1"/>
    <w:next w:val="1"/>
    <w:uiPriority w:val="0"/>
    <w:pPr>
      <w:ind w:left="1050"/>
      <w:jc w:val="left"/>
    </w:pPr>
    <w:rPr>
      <w:rFonts w:ascii="Times New Roman" w:hAnsi="Times New Roman" w:eastAsia="宋体" w:cs="Times New Roman"/>
      <w:sz w:val="18"/>
      <w:szCs w:val="18"/>
    </w:rPr>
  </w:style>
  <w:style w:type="paragraph" w:styleId="62">
    <w:name w:val="Body Text Indent 3"/>
    <w:basedOn w:val="1"/>
    <w:link w:val="112"/>
    <w:uiPriority w:val="0"/>
    <w:pPr>
      <w:spacing w:line="520" w:lineRule="exact"/>
      <w:ind w:firstLine="547"/>
    </w:pPr>
    <w:rPr>
      <w:rFonts w:ascii="Calibri" w:hAnsi="Calibri" w:eastAsia="??" w:cs="Times New Roman"/>
      <w:sz w:val="28"/>
      <w:szCs w:val="28"/>
    </w:rPr>
  </w:style>
  <w:style w:type="paragraph" w:styleId="63">
    <w:name w:val="index 7"/>
    <w:basedOn w:val="1"/>
    <w:next w:val="1"/>
    <w:uiPriority w:val="0"/>
    <w:pPr>
      <w:spacing w:line="360" w:lineRule="auto"/>
      <w:ind w:left="1200" w:leftChars="1200"/>
    </w:pPr>
    <w:rPr>
      <w:rFonts w:ascii="Times New Roman" w:hAnsi="Times New Roman" w:eastAsia="楷体_GB2312" w:cs="Times New Roman"/>
      <w:sz w:val="24"/>
    </w:rPr>
  </w:style>
  <w:style w:type="paragraph" w:styleId="64">
    <w:name w:val="index 9"/>
    <w:basedOn w:val="1"/>
    <w:next w:val="1"/>
    <w:uiPriority w:val="0"/>
    <w:pPr>
      <w:spacing w:line="360" w:lineRule="auto"/>
      <w:ind w:left="1600" w:leftChars="1600"/>
    </w:pPr>
    <w:rPr>
      <w:rFonts w:ascii="Times New Roman" w:hAnsi="Times New Roman" w:eastAsia="楷体_GB2312" w:cs="Times New Roman"/>
      <w:sz w:val="24"/>
    </w:rPr>
  </w:style>
  <w:style w:type="paragraph" w:styleId="65">
    <w:name w:val="table of figures"/>
    <w:basedOn w:val="1"/>
    <w:next w:val="1"/>
    <w:uiPriority w:val="0"/>
    <w:pPr>
      <w:ind w:left="560" w:hanging="560"/>
      <w:jc w:val="left"/>
    </w:pPr>
    <w:rPr>
      <w:rFonts w:ascii="Calibri" w:hAnsi="Calibri" w:eastAsia="??" w:cs="宋体"/>
      <w:smallCaps/>
      <w:sz w:val="20"/>
      <w:szCs w:val="28"/>
    </w:rPr>
  </w:style>
  <w:style w:type="paragraph" w:styleId="66">
    <w:name w:val="toc 2"/>
    <w:basedOn w:val="1"/>
    <w:next w:val="1"/>
    <w:uiPriority w:val="0"/>
    <w:pPr>
      <w:ind w:left="210"/>
      <w:jc w:val="left"/>
    </w:pPr>
    <w:rPr>
      <w:rFonts w:ascii="Times New Roman" w:hAnsi="Times New Roman" w:eastAsia="宋体" w:cs="Times New Roman"/>
      <w:smallCaps/>
      <w:sz w:val="20"/>
      <w:szCs w:val="20"/>
    </w:rPr>
  </w:style>
  <w:style w:type="paragraph" w:styleId="67">
    <w:name w:val="toc 9"/>
    <w:basedOn w:val="1"/>
    <w:next w:val="1"/>
    <w:uiPriority w:val="0"/>
    <w:pPr>
      <w:ind w:left="1680"/>
      <w:jc w:val="left"/>
    </w:pPr>
    <w:rPr>
      <w:rFonts w:ascii="Times New Roman" w:hAnsi="Times New Roman" w:eastAsia="宋体" w:cs="Times New Roman"/>
      <w:sz w:val="18"/>
      <w:szCs w:val="18"/>
    </w:rPr>
  </w:style>
  <w:style w:type="paragraph" w:styleId="68">
    <w:name w:val="Body Text 2"/>
    <w:basedOn w:val="1"/>
    <w:link w:val="113"/>
    <w:uiPriority w:val="0"/>
    <w:pPr>
      <w:spacing w:after="120" w:line="480" w:lineRule="auto"/>
    </w:pPr>
    <w:rPr>
      <w:rFonts w:ascii="Calibri" w:hAnsi="Calibri" w:eastAsia="宋体" w:cs="Times New Roman"/>
      <w:szCs w:val="20"/>
    </w:rPr>
  </w:style>
  <w:style w:type="paragraph" w:styleId="69">
    <w:name w:val="List Continue 2"/>
    <w:basedOn w:val="1"/>
    <w:uiPriority w:val="0"/>
    <w:pPr>
      <w:spacing w:after="120" w:line="360" w:lineRule="auto"/>
      <w:ind w:left="840" w:leftChars="400"/>
    </w:pPr>
    <w:rPr>
      <w:rFonts w:ascii="Times New Roman" w:hAnsi="Times New Roman" w:eastAsia="楷体_GB2312" w:cs="Times New Roman"/>
      <w:sz w:val="24"/>
    </w:rPr>
  </w:style>
  <w:style w:type="paragraph" w:styleId="70">
    <w:name w:val="HTML Preformatted"/>
    <w:basedOn w:val="1"/>
    <w:link w:val="11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71">
    <w:name w:val="Normal (Web)"/>
    <w:basedOn w:val="1"/>
    <w:uiPriority w:val="0"/>
    <w:pPr>
      <w:widowControl/>
      <w:spacing w:before="100" w:beforeAutospacing="1" w:after="100" w:afterAutospacing="1"/>
      <w:jc w:val="left"/>
    </w:pPr>
    <w:rPr>
      <w:rFonts w:ascii="??" w:hAnsi="??" w:eastAsia="??" w:cs="宋体"/>
      <w:kern w:val="0"/>
      <w:sz w:val="24"/>
    </w:rPr>
  </w:style>
  <w:style w:type="paragraph" w:styleId="72">
    <w:name w:val="index 2"/>
    <w:basedOn w:val="1"/>
    <w:next w:val="1"/>
    <w:uiPriority w:val="0"/>
    <w:pPr>
      <w:spacing w:line="360" w:lineRule="auto"/>
      <w:ind w:left="200" w:leftChars="200"/>
    </w:pPr>
    <w:rPr>
      <w:rFonts w:ascii="Times New Roman" w:hAnsi="Times New Roman" w:eastAsia="楷体_GB2312" w:cs="Times New Roman"/>
      <w:sz w:val="24"/>
    </w:rPr>
  </w:style>
  <w:style w:type="paragraph" w:styleId="73">
    <w:name w:val="Title"/>
    <w:basedOn w:val="1"/>
    <w:next w:val="1"/>
    <w:link w:val="115"/>
    <w:qFormat/>
    <w:uiPriority w:val="0"/>
    <w:pPr>
      <w:widowControl/>
      <w:overflowPunct w:val="0"/>
      <w:autoSpaceDE w:val="0"/>
      <w:autoSpaceDN w:val="0"/>
      <w:adjustRightInd w:val="0"/>
      <w:jc w:val="center"/>
      <w:textAlignment w:val="baseline"/>
    </w:pPr>
    <w:rPr>
      <w:rFonts w:ascii="Calibri" w:hAnsi="Calibri" w:eastAsia="??" w:cs="Times New Roman"/>
      <w:b/>
      <w:kern w:val="0"/>
      <w:sz w:val="24"/>
      <w:szCs w:val="28"/>
      <w:lang w:val="en-GB"/>
    </w:rPr>
  </w:style>
  <w:style w:type="paragraph" w:styleId="74">
    <w:name w:val="annotation subject"/>
    <w:basedOn w:val="26"/>
    <w:next w:val="26"/>
    <w:link w:val="116"/>
    <w:uiPriority w:val="0"/>
    <w:rPr>
      <w:rFonts w:ascii="Times New Roman" w:hAnsi="Times New Roman" w:eastAsia="宋体" w:cs="Times New Roman"/>
      <w:b/>
    </w:rPr>
  </w:style>
  <w:style w:type="paragraph" w:styleId="75">
    <w:name w:val="Body Text First Indent"/>
    <w:basedOn w:val="31"/>
    <w:link w:val="117"/>
    <w:uiPriority w:val="0"/>
    <w:pPr>
      <w:autoSpaceDE w:val="0"/>
      <w:autoSpaceDN w:val="0"/>
      <w:adjustRightInd w:val="0"/>
      <w:spacing w:line="360" w:lineRule="auto"/>
      <w:ind w:firstLine="420"/>
    </w:pPr>
    <w:rPr>
      <w:rFonts w:ascii="宋体" w:hAnsi="Calibri" w:eastAsia="宋体" w:cs="Times New Roman"/>
      <w:szCs w:val="20"/>
      <w:lang w:val="zh-CN"/>
    </w:rPr>
  </w:style>
  <w:style w:type="paragraph" w:styleId="76">
    <w:name w:val="Body Text First Indent 2"/>
    <w:basedOn w:val="32"/>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78">
    <w:name w:val="Table Grid"/>
    <w:basedOn w:val="77"/>
    <w:uiPriority w:val="0"/>
    <w:rPr>
      <w:rFonts w:ascii="Times New Roman" w:hAnsi="Times New Roman" w:eastAsia="宋体" w:cs="Times New Roman"/>
    </w:rPr>
    <w:tblPr>
      <w:tblStyle w:val="7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0">
    <w:name w:val="_Style 223"/>
    <w:basedOn w:val="1"/>
    <w:link w:val="79"/>
    <w:uiPriority w:val="0"/>
    <w:rPr>
      <w:rFonts w:ascii="??_GB2312" w:hAnsi="??_GB2312" w:eastAsia="??_GB2312" w:cs="宋体"/>
      <w:b/>
      <w:sz w:val="32"/>
      <w:szCs w:val="32"/>
    </w:rPr>
  </w:style>
  <w:style w:type="character" w:styleId="81">
    <w:name w:val="Strong"/>
    <w:qFormat/>
    <w:uiPriority w:val="0"/>
    <w:rPr>
      <w:rFonts w:ascii="Times New Roman" w:hAnsi="Times New Roman" w:eastAsia="宋体" w:cs="Times New Roman"/>
      <w:b/>
    </w:rPr>
  </w:style>
  <w:style w:type="character" w:styleId="82">
    <w:name w:val="page number"/>
    <w:uiPriority w:val="0"/>
    <w:rPr>
      <w:rFonts w:ascii="??_GB2312" w:hAnsi="??_GB2312" w:eastAsia="??_GB2312" w:cs="宋体"/>
      <w:b/>
      <w:sz w:val="32"/>
      <w:szCs w:val="32"/>
    </w:rPr>
  </w:style>
  <w:style w:type="character" w:styleId="83">
    <w:name w:val="FollowedHyperlink"/>
    <w:uiPriority w:val="0"/>
    <w:rPr>
      <w:rFonts w:ascii="Times New Roman" w:hAnsi="Times New Roman" w:eastAsia="宋体" w:cs="Times New Roman"/>
      <w:color w:val="800080"/>
      <w:u w:val="single"/>
    </w:rPr>
  </w:style>
  <w:style w:type="character" w:styleId="84">
    <w:name w:val="line number"/>
    <w:uiPriority w:val="0"/>
    <w:rPr>
      <w:rFonts w:ascii="Times New Roman" w:hAnsi="Times New Roman" w:eastAsia="宋体" w:cs="Times New Roman"/>
      <w:b/>
      <w:sz w:val="32"/>
      <w:szCs w:val="32"/>
    </w:rPr>
  </w:style>
  <w:style w:type="character" w:styleId="85">
    <w:name w:val="Hyperlink"/>
    <w:uiPriority w:val="0"/>
    <w:rPr>
      <w:rFonts w:ascii="Times New Roman" w:hAnsi="Times New Roman" w:eastAsia="宋体" w:cs="Times New Roman"/>
      <w:color w:val="0000FF"/>
      <w:u w:val="single"/>
    </w:rPr>
  </w:style>
  <w:style w:type="character" w:styleId="86">
    <w:name w:val="annotation reference"/>
    <w:uiPriority w:val="0"/>
    <w:rPr>
      <w:rFonts w:ascii="Times New Roman" w:hAnsi="Times New Roman" w:eastAsia="宋体" w:cs="Times New Roman"/>
      <w:sz w:val="21"/>
    </w:rPr>
  </w:style>
  <w:style w:type="character" w:customStyle="1" w:styleId="87">
    <w:name w:val=" Char Char23"/>
    <w:link w:val="3"/>
    <w:uiPriority w:val="0"/>
    <w:rPr>
      <w:rFonts w:ascii="Courier New" w:hAnsi="Courier New" w:eastAsia="宋体" w:cs="Courier New"/>
      <w:kern w:val="2"/>
      <w:sz w:val="24"/>
      <w:szCs w:val="24"/>
      <w:lang w:val="en-US" w:eastAsia="zh-CN" w:bidi="ar-SA"/>
    </w:rPr>
  </w:style>
  <w:style w:type="character" w:customStyle="1" w:styleId="88">
    <w:name w:val=" Char Char40"/>
    <w:link w:val="4"/>
    <w:uiPriority w:val="0"/>
    <w:rPr>
      <w:rFonts w:ascii="??" w:hAnsi="??" w:eastAsia="??" w:cs="宋体"/>
      <w:b/>
      <w:kern w:val="36"/>
      <w:sz w:val="32"/>
      <w:szCs w:val="28"/>
      <w:lang w:val="en-US" w:eastAsia="zh-CN" w:bidi="ar-SA"/>
    </w:rPr>
  </w:style>
  <w:style w:type="character" w:customStyle="1" w:styleId="89">
    <w:name w:val=" Char Char39"/>
    <w:link w:val="5"/>
    <w:uiPriority w:val="0"/>
    <w:rPr>
      <w:rFonts w:ascii="Arial" w:hAnsi="Arial" w:eastAsia="??" w:cs="Arial"/>
      <w:b/>
      <w:bCs/>
      <w:kern w:val="2"/>
      <w:sz w:val="21"/>
      <w:szCs w:val="32"/>
      <w:lang w:val="en-US" w:eastAsia="zh-CN" w:bidi="ar-SA"/>
    </w:rPr>
  </w:style>
  <w:style w:type="character" w:customStyle="1" w:styleId="90">
    <w:name w:val=" Char Char38"/>
    <w:link w:val="6"/>
    <w:uiPriority w:val="0"/>
    <w:rPr>
      <w:rFonts w:ascii="Times New Roman" w:hAnsi="Times New Roman" w:eastAsia="??" w:cs="Times New Roman"/>
      <w:b/>
      <w:sz w:val="32"/>
      <w:szCs w:val="28"/>
      <w:lang w:val="en-US" w:eastAsia="zh-CN" w:bidi="ar-SA"/>
    </w:rPr>
  </w:style>
  <w:style w:type="character" w:customStyle="1" w:styleId="91">
    <w:name w:val=" Char Char37"/>
    <w:link w:val="7"/>
    <w:uiPriority w:val="0"/>
    <w:rPr>
      <w:rFonts w:ascii="Arial" w:hAnsi="Arial" w:eastAsia="??" w:cs="Arial"/>
      <w:b/>
      <w:bCs/>
      <w:kern w:val="2"/>
      <w:sz w:val="28"/>
      <w:szCs w:val="28"/>
      <w:lang w:val="en-US" w:eastAsia="zh-CN" w:bidi="ar-SA"/>
    </w:rPr>
  </w:style>
  <w:style w:type="character" w:customStyle="1" w:styleId="92">
    <w:name w:val=" Char Char36"/>
    <w:link w:val="8"/>
    <w:uiPriority w:val="0"/>
    <w:rPr>
      <w:rFonts w:ascii="Times New Roman" w:hAnsi="Times New Roman" w:eastAsia="??" w:cs="Times New Roman"/>
      <w:b/>
      <w:bCs/>
      <w:kern w:val="2"/>
      <w:sz w:val="28"/>
      <w:szCs w:val="28"/>
      <w:lang w:val="en-US" w:eastAsia="zh-CN" w:bidi="ar-SA"/>
    </w:rPr>
  </w:style>
  <w:style w:type="character" w:customStyle="1" w:styleId="93">
    <w:name w:val=" Char Char35"/>
    <w:link w:val="9"/>
    <w:uiPriority w:val="0"/>
    <w:rPr>
      <w:rFonts w:ascii="Arial" w:hAnsi="Arial" w:eastAsia="??" w:cs="Arial"/>
      <w:b/>
      <w:bCs/>
      <w:sz w:val="24"/>
      <w:szCs w:val="28"/>
      <w:lang w:val="en-US" w:eastAsia="zh-CN" w:bidi="ar-SA"/>
    </w:rPr>
  </w:style>
  <w:style w:type="character" w:customStyle="1" w:styleId="94">
    <w:name w:val=" Char Char34"/>
    <w:link w:val="10"/>
    <w:uiPriority w:val="0"/>
    <w:rPr>
      <w:rFonts w:ascii="Times New Roman" w:hAnsi="Times New Roman" w:eastAsia="??" w:cs="Times New Roman"/>
      <w:b/>
      <w:bCs/>
      <w:sz w:val="24"/>
      <w:szCs w:val="28"/>
      <w:lang w:val="en-US" w:eastAsia="zh-CN" w:bidi="ar-SA"/>
    </w:rPr>
  </w:style>
  <w:style w:type="character" w:customStyle="1" w:styleId="95">
    <w:name w:val=" Char Char33"/>
    <w:link w:val="11"/>
    <w:uiPriority w:val="0"/>
    <w:rPr>
      <w:rFonts w:ascii="Arial" w:hAnsi="Arial" w:eastAsia="??" w:cs="Arial"/>
      <w:sz w:val="24"/>
      <w:szCs w:val="28"/>
      <w:lang w:val="en-US" w:eastAsia="zh-CN" w:bidi="ar-SA"/>
    </w:rPr>
  </w:style>
  <w:style w:type="character" w:customStyle="1" w:styleId="96">
    <w:name w:val=" Char Char32"/>
    <w:link w:val="12"/>
    <w:uiPriority w:val="0"/>
    <w:rPr>
      <w:rFonts w:ascii="Arial" w:hAnsi="Arial" w:eastAsia="??" w:cs="Arial"/>
      <w:sz w:val="21"/>
      <w:szCs w:val="21"/>
      <w:lang w:val="en-US" w:eastAsia="zh-CN" w:bidi="ar-SA"/>
    </w:rPr>
  </w:style>
  <w:style w:type="character" w:customStyle="1" w:styleId="97">
    <w:name w:val=" Char Char28"/>
    <w:link w:val="18"/>
    <w:uiPriority w:val="0"/>
    <w:rPr>
      <w:rFonts w:ascii="Times New Roman" w:hAnsi="Times New Roman" w:eastAsia="楷体_GB2312" w:cs="Times New Roman"/>
      <w:kern w:val="2"/>
      <w:sz w:val="24"/>
      <w:szCs w:val="24"/>
      <w:lang w:bidi="ar-SA"/>
    </w:rPr>
  </w:style>
  <w:style w:type="character" w:customStyle="1" w:styleId="98">
    <w:name w:val=" Char Char10"/>
    <w:link w:val="20"/>
    <w:uiPriority w:val="0"/>
    <w:rPr>
      <w:rFonts w:ascii="Times New Roman" w:hAnsi="Times New Roman" w:eastAsia="??" w:cs="Times New Roman"/>
      <w:sz w:val="24"/>
      <w:szCs w:val="24"/>
      <w:lang w:val="en-US" w:eastAsia="zh-CN" w:bidi="ar-SA"/>
    </w:rPr>
  </w:style>
  <w:style w:type="character" w:customStyle="1" w:styleId="99">
    <w:name w:val=" Char Char8"/>
    <w:link w:val="26"/>
    <w:uiPriority w:val="0"/>
    <w:rPr>
      <w:rFonts w:ascii="Times New Roman" w:hAnsi="Times New Roman" w:eastAsia="宋体" w:cs="Lucida Sans"/>
      <w:kern w:val="2"/>
      <w:sz w:val="21"/>
      <w:lang w:val="en-US" w:eastAsia="zh-CN" w:bidi="ar-SA"/>
    </w:rPr>
  </w:style>
  <w:style w:type="character" w:customStyle="1" w:styleId="100">
    <w:name w:val=" Char Char21"/>
    <w:link w:val="28"/>
    <w:uiPriority w:val="0"/>
    <w:rPr>
      <w:rFonts w:ascii="仿宋_GB2312" w:hAnsi="Times New Roman" w:eastAsia="仿宋_GB2312" w:cs="Times New Roman"/>
      <w:kern w:val="2"/>
      <w:sz w:val="28"/>
      <w:lang w:bidi="ar-SA"/>
    </w:rPr>
  </w:style>
  <w:style w:type="character" w:customStyle="1" w:styleId="101">
    <w:name w:val=" Char Char26"/>
    <w:link w:val="29"/>
    <w:uiPriority w:val="0"/>
    <w:rPr>
      <w:rFonts w:ascii="Times New Roman" w:hAnsi="Times New Roman" w:eastAsia="宋体" w:cs="Times New Roman"/>
      <w:kern w:val="2"/>
      <w:sz w:val="21"/>
      <w:lang w:bidi="ar-SA"/>
    </w:rPr>
  </w:style>
  <w:style w:type="character" w:customStyle="1" w:styleId="102">
    <w:name w:val=" Char Char30"/>
    <w:link w:val="32"/>
    <w:uiPriority w:val="0"/>
    <w:rPr>
      <w:rFonts w:ascii="??" w:hAnsi="??" w:eastAsia="??" w:cs="宋体"/>
      <w:kern w:val="2"/>
      <w:sz w:val="28"/>
      <w:szCs w:val="28"/>
    </w:rPr>
  </w:style>
  <w:style w:type="character" w:customStyle="1" w:styleId="103">
    <w:name w:val=" Char Char9"/>
    <w:link w:val="41"/>
    <w:uiPriority w:val="0"/>
    <w:rPr>
      <w:rFonts w:ascii="??" w:hAnsi="??" w:eastAsia="??" w:cs="宋体"/>
      <w:kern w:val="2"/>
      <w:sz w:val="21"/>
      <w:szCs w:val="21"/>
    </w:rPr>
  </w:style>
  <w:style w:type="character" w:customStyle="1" w:styleId="104">
    <w:name w:val=" Char Char17"/>
    <w:link w:val="46"/>
    <w:uiPriority w:val="0"/>
    <w:rPr>
      <w:rFonts w:ascii="Times New Roman" w:hAnsi="Times New Roman" w:eastAsia="??_GB2312" w:cs="Times New Roman"/>
      <w:b/>
      <w:sz w:val="28"/>
      <w:szCs w:val="28"/>
      <w:lang w:val="en-US" w:eastAsia="zh-CN" w:bidi="ar-SA"/>
    </w:rPr>
  </w:style>
  <w:style w:type="character" w:customStyle="1" w:styleId="105">
    <w:name w:val=" Char Char27"/>
    <w:link w:val="47"/>
    <w:uiPriority w:val="0"/>
    <w:rPr>
      <w:rFonts w:ascii="??" w:hAnsi="??" w:eastAsia="??" w:cs="宋体"/>
      <w:kern w:val="2"/>
      <w:sz w:val="28"/>
      <w:szCs w:val="28"/>
      <w:lang w:val="en-US" w:eastAsia="zh-CN" w:bidi="ar-SA"/>
    </w:rPr>
  </w:style>
  <w:style w:type="character" w:customStyle="1" w:styleId="106">
    <w:name w:val=" Char Char5"/>
    <w:link w:val="48"/>
    <w:uiPriority w:val="0"/>
    <w:rPr>
      <w:rFonts w:ascii="Times New Roman" w:hAnsi="Times New Roman" w:eastAsia="楷体_GB2312" w:cs="Times New Roman"/>
      <w:kern w:val="2"/>
      <w:sz w:val="24"/>
      <w:szCs w:val="24"/>
      <w:lang w:bidi="ar-SA"/>
    </w:rPr>
  </w:style>
  <w:style w:type="character" w:customStyle="1" w:styleId="107">
    <w:name w:val=" Char Char18"/>
    <w:link w:val="50"/>
    <w:uiPriority w:val="0"/>
    <w:rPr>
      <w:rFonts w:ascii="Times New Roman" w:hAnsi="Times New Roman" w:eastAsia="??" w:cs="Times New Roman"/>
      <w:kern w:val="2"/>
      <w:sz w:val="18"/>
      <w:szCs w:val="18"/>
      <w:lang w:val="en-US" w:eastAsia="zh-CN" w:bidi="ar-SA"/>
    </w:rPr>
  </w:style>
  <w:style w:type="character" w:customStyle="1" w:styleId="108">
    <w:name w:val=" Char Char24"/>
    <w:link w:val="51"/>
    <w:uiPriority w:val="0"/>
    <w:rPr>
      <w:rFonts w:ascii="Times New Roman" w:hAnsi="Times New Roman" w:eastAsia="??" w:cs="Times New Roman"/>
      <w:kern w:val="2"/>
      <w:sz w:val="18"/>
      <w:szCs w:val="28"/>
      <w:lang w:val="en-US" w:eastAsia="zh-CN" w:bidi="ar-SA"/>
    </w:rPr>
  </w:style>
  <w:style w:type="character" w:customStyle="1" w:styleId="109">
    <w:name w:val=" Char Char20"/>
    <w:link w:val="52"/>
    <w:uiPriority w:val="0"/>
    <w:rPr>
      <w:rFonts w:ascii="Times New Roman" w:hAnsi="Times New Roman" w:eastAsia="??" w:cs="Times New Roman"/>
      <w:kern w:val="2"/>
      <w:sz w:val="18"/>
      <w:szCs w:val="28"/>
      <w:lang w:val="en-US" w:eastAsia="zh-CN" w:bidi="ar-SA"/>
    </w:rPr>
  </w:style>
  <w:style w:type="character" w:customStyle="1" w:styleId="110">
    <w:name w:val=" Char Char25"/>
    <w:link w:val="53"/>
    <w:uiPriority w:val="0"/>
    <w:rPr>
      <w:rFonts w:ascii="Times New Roman" w:hAnsi="Times New Roman" w:eastAsia="仿宋_GB2312" w:cs="Times New Roman"/>
      <w:sz w:val="24"/>
      <w:lang w:bidi="ar-SA"/>
    </w:rPr>
  </w:style>
  <w:style w:type="character" w:customStyle="1" w:styleId="111">
    <w:name w:val=" Char Char29"/>
    <w:link w:val="60"/>
    <w:uiPriority w:val="0"/>
    <w:rPr>
      <w:rFonts w:ascii="Times New Roman" w:hAnsi="Times New Roman" w:eastAsia="楷体_GB2312" w:cs="Times New Roman"/>
      <w:kern w:val="2"/>
      <w:sz w:val="18"/>
      <w:szCs w:val="18"/>
      <w:lang w:bidi="ar-SA"/>
    </w:rPr>
  </w:style>
  <w:style w:type="character" w:customStyle="1" w:styleId="112">
    <w:name w:val=" Char Char22"/>
    <w:link w:val="62"/>
    <w:uiPriority w:val="0"/>
    <w:rPr>
      <w:rFonts w:ascii="Times New Roman" w:hAnsi="Times New Roman" w:eastAsia="??" w:cs="Times New Roman"/>
      <w:kern w:val="2"/>
      <w:sz w:val="28"/>
      <w:szCs w:val="28"/>
      <w:lang w:val="en-US" w:eastAsia="zh-CN" w:bidi="ar-SA"/>
    </w:rPr>
  </w:style>
  <w:style w:type="character" w:customStyle="1" w:styleId="113">
    <w:name w:val=" Char Char3"/>
    <w:link w:val="68"/>
    <w:uiPriority w:val="0"/>
    <w:rPr>
      <w:rFonts w:ascii="Times New Roman" w:hAnsi="Times New Roman" w:eastAsia="宋体" w:cs="Times New Roman"/>
      <w:kern w:val="2"/>
      <w:sz w:val="21"/>
      <w:lang w:bidi="ar-SA"/>
    </w:rPr>
  </w:style>
  <w:style w:type="character" w:customStyle="1" w:styleId="114">
    <w:name w:val=" Char Char4"/>
    <w:link w:val="70"/>
    <w:uiPriority w:val="0"/>
    <w:rPr>
      <w:rFonts w:ascii="??" w:hAnsi="??" w:eastAsia="??" w:cs="Courier New"/>
      <w:szCs w:val="28"/>
      <w:lang w:val="en-US" w:eastAsia="zh-CN" w:bidi="ar-SA"/>
    </w:rPr>
  </w:style>
  <w:style w:type="character" w:customStyle="1" w:styleId="115">
    <w:name w:val=" Char Char11"/>
    <w:link w:val="73"/>
    <w:uiPriority w:val="0"/>
    <w:rPr>
      <w:rFonts w:ascii="Times New Roman" w:hAnsi="Times New Roman" w:eastAsia="??" w:cs="Times New Roman"/>
      <w:b/>
      <w:sz w:val="24"/>
      <w:szCs w:val="28"/>
      <w:lang w:val="en-GB" w:eastAsia="zh-CN" w:bidi="ar-SA"/>
    </w:rPr>
  </w:style>
  <w:style w:type="character" w:customStyle="1" w:styleId="116">
    <w:name w:val=" Char Char13"/>
    <w:link w:val="74"/>
    <w:uiPriority w:val="0"/>
    <w:rPr>
      <w:rFonts w:ascii="Times New Roman" w:hAnsi="Times New Roman" w:eastAsia="宋体" w:cs="Times New Roman"/>
      <w:b/>
      <w:kern w:val="2"/>
      <w:sz w:val="21"/>
      <w:lang w:bidi="ar-SA"/>
    </w:rPr>
  </w:style>
  <w:style w:type="character" w:customStyle="1" w:styleId="117">
    <w:name w:val=" Char Char"/>
    <w:link w:val="75"/>
    <w:uiPriority w:val="0"/>
    <w:rPr>
      <w:rFonts w:ascii="宋体" w:hAnsi="Times New Roman" w:eastAsia="宋体" w:cs="Times New Roman"/>
      <w:kern w:val="2"/>
      <w:sz w:val="24"/>
      <w:lang w:val="zh-CN" w:eastAsia="zh-CN" w:bidi="ar-SA"/>
    </w:rPr>
  </w:style>
  <w:style w:type="character" w:customStyle="1" w:styleId="118">
    <w:name w:val="time"/>
    <w:uiPriority w:val="0"/>
    <w:rPr>
      <w:rFonts w:ascii="??_GB2312" w:hAnsi="??_GB2312" w:eastAsia="??_GB2312" w:cs="宋体"/>
      <w:b/>
      <w:color w:val="769199"/>
      <w:sz w:val="32"/>
      <w:szCs w:val="32"/>
    </w:rPr>
  </w:style>
  <w:style w:type="character" w:customStyle="1" w:styleId="119">
    <w:name w:val="纯文本 Char2"/>
    <w:uiPriority w:val="0"/>
    <w:rPr>
      <w:rFonts w:ascii="??" w:hAnsi="??" w:eastAsia="??" w:cs="宋体"/>
      <w:kern w:val="2"/>
      <w:sz w:val="21"/>
      <w:szCs w:val="21"/>
    </w:rPr>
  </w:style>
  <w:style w:type="character" w:customStyle="1" w:styleId="120">
    <w:name w:val="dectext1"/>
    <w:uiPriority w:val="0"/>
    <w:rPr>
      <w:rFonts w:ascii="宋体" w:hAnsi="宋体" w:eastAsia="宋体" w:cs="Times New Roman"/>
      <w:color w:val="333333"/>
      <w:sz w:val="21"/>
      <w:u w:val="none"/>
    </w:rPr>
  </w:style>
  <w:style w:type="character" w:customStyle="1" w:styleId="121">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ascii="Times New Roman" w:hAnsi="Times New Roman" w:eastAsia="宋体" w:cs="Times New Roman"/>
      <w:b/>
      <w:bCs/>
      <w:kern w:val="2"/>
      <w:sz w:val="32"/>
      <w:szCs w:val="32"/>
      <w:lang w:val="en-US" w:eastAsia="zh-CN" w:bidi="ar-SA"/>
    </w:rPr>
  </w:style>
  <w:style w:type="character" w:customStyle="1" w:styleId="122">
    <w:name w:val="正文1 Char"/>
    <w:uiPriority w:val="0"/>
    <w:rPr>
      <w:rFonts w:ascii="宋体" w:hAnsi="Times New Roman" w:eastAsia="宋体" w:cs="Times New Roman"/>
      <w:snapToGrid w:val="0"/>
      <w:color w:val="000000"/>
      <w:kern w:val="28"/>
      <w:sz w:val="28"/>
      <w:lang w:val="en-US" w:eastAsia="zh-CN" w:bidi="ar-SA"/>
    </w:rPr>
  </w:style>
  <w:style w:type="character" w:customStyle="1" w:styleId="123">
    <w:name w:val=" Char Char19"/>
    <w:uiPriority w:val="0"/>
    <w:rPr>
      <w:rFonts w:ascii="Times New Roman" w:hAnsi="Times New Roman" w:eastAsia="宋体" w:cs="Times New Roman"/>
      <w:kern w:val="2"/>
      <w:sz w:val="18"/>
    </w:rPr>
  </w:style>
  <w:style w:type="character" w:customStyle="1" w:styleId="124">
    <w:name w:val="fonts11"/>
    <w:uiPriority w:val="0"/>
    <w:rPr>
      <w:rFonts w:ascii="Times New Roman" w:hAnsi="Times New Roman" w:eastAsia="宋体" w:cs="Times New Roman"/>
      <w:sz w:val="18"/>
      <w:szCs w:val="18"/>
    </w:rPr>
  </w:style>
  <w:style w:type="character" w:customStyle="1" w:styleId="125">
    <w:name w:val="gf正文1 Char"/>
    <w:link w:val="126"/>
    <w:uiPriority w:val="0"/>
    <w:rPr>
      <w:rFonts w:ascii="宋体" w:hAnsi="宋体" w:eastAsia="宋体" w:cs="Times New Roman"/>
      <w:kern w:val="2"/>
      <w:sz w:val="24"/>
      <w:lang w:val="en-US" w:eastAsia="zh-CN" w:bidi="ar-SA"/>
    </w:rPr>
  </w:style>
  <w:style w:type="paragraph" w:customStyle="1" w:styleId="126">
    <w:name w:val="gf正文1"/>
    <w:basedOn w:val="1"/>
    <w:link w:val="125"/>
    <w:uiPriority w:val="0"/>
    <w:pPr>
      <w:adjustRightInd w:val="0"/>
      <w:snapToGrid w:val="0"/>
      <w:spacing w:before="156" w:beforeLines="50" w:line="360" w:lineRule="auto"/>
      <w:ind w:firstLine="480" w:firstLineChars="200"/>
    </w:pPr>
    <w:rPr>
      <w:rFonts w:ascii="宋体" w:hAnsi="宋体" w:eastAsia="宋体" w:cs="Times New Roman"/>
      <w:sz w:val="24"/>
      <w:szCs w:val="20"/>
    </w:rPr>
  </w:style>
  <w:style w:type="character" w:customStyle="1" w:styleId="127">
    <w:name w:val="正文 首行缩进:  2 字符 Char Char Char"/>
    <w:uiPriority w:val="0"/>
    <w:rPr>
      <w:rFonts w:ascii="Times New Roman" w:hAnsi="Times New Roman" w:eastAsia="宋体" w:cs="宋体"/>
      <w:kern w:val="2"/>
      <w:sz w:val="24"/>
      <w:lang w:val="en-US" w:eastAsia="zh-CN" w:bidi="ar-SA"/>
    </w:rPr>
  </w:style>
  <w:style w:type="character" w:customStyle="1" w:styleId="128">
    <w:name w:val="ca-41"/>
    <w:uiPriority w:val="0"/>
    <w:rPr>
      <w:rFonts w:hint="eastAsia" w:ascii="仿宋_GB2312" w:hAnsi="Times New Roman" w:eastAsia="仿宋_GB2312" w:cs="Times New Roman"/>
      <w:sz w:val="24"/>
      <w:szCs w:val="24"/>
    </w:rPr>
  </w:style>
  <w:style w:type="character" w:customStyle="1" w:styleId="129">
    <w:name w:val="正文 首行缩进2字符 Char Char Char"/>
    <w:uiPriority w:val="0"/>
    <w:rPr>
      <w:rFonts w:ascii="Times New Roman" w:hAnsi="Times New Roman" w:eastAsia="宋体" w:cs="Times New Roman"/>
      <w:kern w:val="2"/>
      <w:sz w:val="24"/>
      <w:szCs w:val="24"/>
      <w:lang w:val="en-US" w:eastAsia="zh-CN" w:bidi="ar-SA"/>
    </w:rPr>
  </w:style>
  <w:style w:type="character" w:customStyle="1" w:styleId="130">
    <w:name w:val="pword"/>
    <w:uiPriority w:val="0"/>
    <w:rPr>
      <w:rFonts w:ascii="Times New Roman" w:hAnsi="Times New Roman" w:eastAsia="宋体" w:cs="Times New Roman"/>
    </w:rPr>
  </w:style>
  <w:style w:type="character" w:customStyle="1" w:styleId="131">
    <w:name w:val=" Char Char14"/>
    <w:uiPriority w:val="0"/>
    <w:rPr>
      <w:rFonts w:ascii="Times New Roman" w:hAnsi="Times New Roman" w:eastAsia="宋体" w:cs="Times New Roman"/>
      <w:kern w:val="2"/>
      <w:sz w:val="21"/>
    </w:rPr>
  </w:style>
  <w:style w:type="character" w:customStyle="1" w:styleId="132">
    <w:name w:val="无间隔 Char"/>
    <w:link w:val="133"/>
    <w:uiPriority w:val="0"/>
    <w:rPr>
      <w:rFonts w:ascii="Times New Roman" w:hAnsi="Times New Roman" w:eastAsia="楷体_GB2312" w:cs="Lucida Sans"/>
      <w:kern w:val="2"/>
      <w:sz w:val="24"/>
      <w:szCs w:val="24"/>
      <w:lang w:val="en-US" w:eastAsia="zh-CN" w:bidi="ar-SA"/>
    </w:rPr>
  </w:style>
  <w:style w:type="paragraph" w:customStyle="1" w:styleId="133">
    <w:name w:val="无间隔"/>
    <w:link w:val="132"/>
    <w:qFormat/>
    <w:uiPriority w:val="0"/>
    <w:pPr>
      <w:widowControl w:val="0"/>
      <w:jc w:val="both"/>
    </w:pPr>
    <w:rPr>
      <w:rFonts w:eastAsia="楷体_GB2312" w:cs="Lucida Sans"/>
      <w:kern w:val="2"/>
      <w:sz w:val="24"/>
      <w:szCs w:val="24"/>
      <w:lang w:val="en-US" w:eastAsia="zh-CN" w:bidi="ar-SA"/>
    </w:rPr>
  </w:style>
  <w:style w:type="character" w:customStyle="1" w:styleId="134">
    <w:name w:val="FA正文 Char Char"/>
    <w:link w:val="135"/>
    <w:uiPriority w:val="0"/>
    <w:rPr>
      <w:rFonts w:ascii="Times New Roman" w:hAnsi="宋体" w:eastAsia="宋体" w:cs="Times New Roman"/>
      <w:kern w:val="2"/>
      <w:sz w:val="24"/>
      <w:lang w:bidi="ar-SA"/>
    </w:rPr>
  </w:style>
  <w:style w:type="paragraph" w:customStyle="1" w:styleId="135">
    <w:name w:val="FA正文"/>
    <w:basedOn w:val="1"/>
    <w:link w:val="134"/>
    <w:uiPriority w:val="0"/>
    <w:pPr>
      <w:spacing w:line="360" w:lineRule="auto"/>
      <w:ind w:firstLine="480" w:firstLineChars="200"/>
    </w:pPr>
    <w:rPr>
      <w:rFonts w:ascii="Calibri" w:hAnsi="宋体" w:eastAsia="宋体" w:cs="Times New Roman"/>
      <w:sz w:val="24"/>
      <w:szCs w:val="20"/>
    </w:rPr>
  </w:style>
  <w:style w:type="character" w:customStyle="1" w:styleId="136">
    <w:name w:val=" Char Char7"/>
    <w:uiPriority w:val="0"/>
    <w:rPr>
      <w:rFonts w:ascii="宋体" w:hAnsi="Times New Roman" w:eastAsia="宋体" w:cs="Times New Roman"/>
      <w:snapToGrid w:val="0"/>
      <w:color w:val="000000"/>
      <w:kern w:val="28"/>
      <w:sz w:val="28"/>
      <w:lang w:val="en-US" w:eastAsia="zh-CN"/>
    </w:rPr>
  </w:style>
  <w:style w:type="character" w:customStyle="1" w:styleId="137">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ascii="Times New Roman" w:hAnsi="Times New Roman" w:eastAsia="宋体" w:cs="Times New Roman"/>
      <w:b/>
      <w:bCs/>
      <w:kern w:val="2"/>
      <w:sz w:val="32"/>
      <w:szCs w:val="32"/>
      <w:lang w:val="en-US" w:eastAsia="zh-CN" w:bidi="ar-SA"/>
    </w:rPr>
  </w:style>
  <w:style w:type="character" w:customStyle="1" w:styleId="138">
    <w:name w:val=" Char Char6"/>
    <w:uiPriority w:val="0"/>
    <w:rPr>
      <w:rFonts w:ascii="Times New Roman" w:hAnsi="Times New Roman" w:eastAsia="宋体" w:cs="Times New Roman"/>
      <w:kern w:val="28"/>
      <w:sz w:val="24"/>
      <w:szCs w:val="24"/>
    </w:rPr>
  </w:style>
  <w:style w:type="character" w:customStyle="1" w:styleId="139">
    <w:name w:val="正文2 Char"/>
    <w:link w:val="140"/>
    <w:uiPriority w:val="0"/>
    <w:rPr>
      <w:rFonts w:ascii="Times New Roman" w:hAnsi="Times New Roman" w:eastAsia="??" w:cs="Times New Roman"/>
      <w:kern w:val="2"/>
      <w:sz w:val="24"/>
      <w:szCs w:val="28"/>
    </w:rPr>
  </w:style>
  <w:style w:type="paragraph" w:customStyle="1" w:styleId="140">
    <w:name w:val="正文2"/>
    <w:basedOn w:val="1"/>
    <w:link w:val="139"/>
    <w:uiPriority w:val="0"/>
    <w:pPr>
      <w:spacing w:before="156" w:line="360" w:lineRule="auto"/>
      <w:ind w:firstLine="200" w:firstLineChars="200"/>
    </w:pPr>
    <w:rPr>
      <w:rFonts w:ascii="Calibri" w:hAnsi="Calibri" w:eastAsia="??" w:cs="Times New Roman"/>
      <w:sz w:val="24"/>
      <w:szCs w:val="28"/>
    </w:rPr>
  </w:style>
  <w:style w:type="character" w:customStyle="1" w:styleId="141">
    <w:name w:val="标准正文 Char"/>
    <w:link w:val="142"/>
    <w:uiPriority w:val="0"/>
    <w:rPr>
      <w:rFonts w:ascii="Times New Roman" w:hAnsi="Times New Roman" w:eastAsia="宋体" w:cs="Times New Roman"/>
      <w:sz w:val="24"/>
      <w:lang w:bidi="ar-SA"/>
    </w:rPr>
  </w:style>
  <w:style w:type="paragraph" w:customStyle="1" w:styleId="142">
    <w:name w:val="标准正文"/>
    <w:basedOn w:val="1"/>
    <w:link w:val="141"/>
    <w:uiPriority w:val="0"/>
    <w:pPr>
      <w:spacing w:line="360" w:lineRule="auto"/>
      <w:ind w:firstLine="480" w:firstLineChars="200"/>
    </w:pPr>
    <w:rPr>
      <w:rFonts w:ascii="Calibri" w:hAnsi="Calibri" w:eastAsia="宋体" w:cs="Times New Roman"/>
      <w:kern w:val="0"/>
      <w:sz w:val="24"/>
      <w:szCs w:val="20"/>
    </w:rPr>
  </w:style>
  <w:style w:type="character" w:customStyle="1" w:styleId="143">
    <w:name w:val="font41"/>
    <w:uiPriority w:val="0"/>
    <w:rPr>
      <w:rFonts w:hint="eastAsia" w:ascii="宋体" w:hAnsi="宋体" w:eastAsia="宋体" w:cs="宋体"/>
      <w:b/>
      <w:color w:val="000000"/>
      <w:sz w:val="20"/>
      <w:szCs w:val="20"/>
      <w:u w:val="none"/>
    </w:rPr>
  </w:style>
  <w:style w:type="character" w:customStyle="1" w:styleId="144">
    <w:name w:val="页脚 Char"/>
    <w:uiPriority w:val="0"/>
    <w:rPr>
      <w:rFonts w:ascii="Times New Roman" w:hAnsi="Times New Roman" w:eastAsia="Calibri" w:cs="Times New Roman"/>
      <w:sz w:val="21"/>
    </w:rPr>
  </w:style>
  <w:style w:type="character" w:customStyle="1" w:styleId="145">
    <w:name w:val="title141"/>
    <w:uiPriority w:val="0"/>
    <w:rPr>
      <w:rFonts w:ascii="Times New Roman" w:hAnsi="Times New Roman" w:eastAsia="宋体" w:cs="Times New Roman"/>
      <w:sz w:val="25"/>
      <w:szCs w:val="25"/>
    </w:rPr>
  </w:style>
  <w:style w:type="character" w:customStyle="1" w:styleId="146">
    <w:name w:val=" Char Char16"/>
    <w:uiPriority w:val="0"/>
    <w:rPr>
      <w:rFonts w:ascii="宋体" w:hAnsi="宋体" w:eastAsia="宋体" w:cs="Lucida Sans"/>
    </w:rPr>
  </w:style>
  <w:style w:type="character" w:customStyle="1" w:styleId="147">
    <w:name w:val="normalfont1"/>
    <w:uiPriority w:val="0"/>
    <w:rPr>
      <w:rFonts w:hint="default" w:ascii="ˎ̥" w:hAnsi="ˎ̥" w:eastAsia="宋体" w:cs="Times New Roman"/>
      <w:sz w:val="18"/>
      <w:szCs w:val="18"/>
      <w:u w:val="none"/>
    </w:rPr>
  </w:style>
  <w:style w:type="character" w:customStyle="1" w:styleId="148">
    <w:name w:val="ca-61"/>
    <w:uiPriority w:val="0"/>
    <w:rPr>
      <w:rFonts w:hint="eastAsia" w:ascii="仿宋_GB2312" w:hAnsi="Times New Roman" w:eastAsia="仿宋_GB2312" w:cs="Times New Roman"/>
      <w:b/>
      <w:bCs/>
      <w:spacing w:val="-20"/>
      <w:sz w:val="24"/>
      <w:szCs w:val="24"/>
    </w:rPr>
  </w:style>
  <w:style w:type="character" w:customStyle="1" w:styleId="149">
    <w:name w:val="公文正文 Char"/>
    <w:link w:val="150"/>
    <w:uiPriority w:val="0"/>
    <w:rPr>
      <w:rFonts w:ascii="??_GB2312" w:hAnsi="??_GB2312" w:eastAsia="??_GB2312" w:cs="宋体"/>
      <w:kern w:val="2"/>
      <w:sz w:val="24"/>
      <w:szCs w:val="24"/>
      <w:lang w:val="en-US" w:eastAsia="zh-CN" w:bidi="ar-SA"/>
    </w:rPr>
  </w:style>
  <w:style w:type="paragraph" w:customStyle="1" w:styleId="150">
    <w:name w:val="公文正文"/>
    <w:basedOn w:val="1"/>
    <w:link w:val="149"/>
    <w:uiPriority w:val="0"/>
    <w:pPr>
      <w:spacing w:before="156" w:line="360" w:lineRule="auto"/>
      <w:ind w:firstLine="200" w:firstLineChars="200"/>
    </w:pPr>
    <w:rPr>
      <w:rFonts w:ascii="??_GB2312" w:hAnsi="??_GB2312" w:eastAsia="??_GB2312" w:cs="宋体"/>
      <w:sz w:val="24"/>
    </w:rPr>
  </w:style>
  <w:style w:type="character" w:customStyle="1" w:styleId="151">
    <w:name w:val="ih151"/>
    <w:uiPriority w:val="0"/>
    <w:rPr>
      <w:rFonts w:ascii="Times New Roman" w:hAnsi="Times New Roman" w:eastAsia="宋体" w:cs="Times New Roman"/>
      <w:color w:val="666666"/>
      <w:sz w:val="18"/>
      <w:szCs w:val="18"/>
      <w:u w:val="none"/>
    </w:rPr>
  </w:style>
  <w:style w:type="character" w:customStyle="1" w:styleId="152">
    <w:name w:val="纯文本 字符"/>
    <w:uiPriority w:val="0"/>
    <w:rPr>
      <w:rFonts w:ascii="??" w:hAnsi="??" w:eastAsia="??" w:cs="宋体"/>
      <w:kern w:val="2"/>
      <w:sz w:val="21"/>
      <w:szCs w:val="21"/>
    </w:rPr>
  </w:style>
  <w:style w:type="character" w:customStyle="1" w:styleId="153">
    <w:name w:val="标题 1 Char Char"/>
    <w:uiPriority w:val="0"/>
    <w:rPr>
      <w:rFonts w:ascii="仿宋_GB2312" w:hAnsi="Times New Roman" w:eastAsia="宋体" w:cs="Times New Roman"/>
      <w:b/>
      <w:bCs/>
      <w:spacing w:val="-2"/>
      <w:sz w:val="24"/>
      <w:szCs w:val="24"/>
      <w:lang w:val="en-US" w:eastAsia="zh-CN"/>
    </w:rPr>
  </w:style>
  <w:style w:type="character" w:customStyle="1" w:styleId="154">
    <w:name w:val="标题 5 Char Char Char Char Char Char Char Char Char Char Char Char Char"/>
    <w:uiPriority w:val="0"/>
    <w:rPr>
      <w:rFonts w:ascii="Times New Roman" w:hAnsi="Times New Roman" w:eastAsia="宋体" w:cs="Times New Roman"/>
      <w:b/>
      <w:bCs/>
      <w:kern w:val="2"/>
      <w:sz w:val="28"/>
      <w:szCs w:val="28"/>
      <w:lang w:val="en-US" w:eastAsia="zh-CN" w:bidi="ar-SA"/>
    </w:rPr>
  </w:style>
  <w:style w:type="character" w:customStyle="1" w:styleId="155">
    <w:name w:val="纯文本 Char1"/>
    <w:uiPriority w:val="0"/>
    <w:rPr>
      <w:rFonts w:ascii="宋体" w:hAnsi="Courier New" w:eastAsia="宋体" w:cs="Times New Roman"/>
    </w:rPr>
  </w:style>
  <w:style w:type="character" w:customStyle="1" w:styleId="156">
    <w:name w:val="哈哈改 Char"/>
    <w:link w:val="157"/>
    <w:uiPriority w:val="0"/>
    <w:rPr>
      <w:rFonts w:ascii="宋体" w:hAnsi="宋体" w:eastAsia="宋体" w:cs="Times New Roman"/>
      <w:b/>
      <w:kern w:val="2"/>
      <w:sz w:val="24"/>
      <w:szCs w:val="24"/>
      <w:lang w:bidi="ar-SA"/>
    </w:rPr>
  </w:style>
  <w:style w:type="paragraph" w:customStyle="1" w:styleId="157">
    <w:name w:val="哈哈改"/>
    <w:basedOn w:val="158"/>
    <w:link w:val="156"/>
    <w:uiPriority w:val="0"/>
    <w:pPr>
      <w:ind w:firstLine="480"/>
    </w:pPr>
    <w:rPr>
      <w:rFonts w:ascii="Times New Roman" w:hAnsi="Times New Roman" w:eastAsia="宋体" w:cs="Times New Roman"/>
      <w:b/>
      <w:szCs w:val="24"/>
    </w:rPr>
  </w:style>
  <w:style w:type="paragraph" w:customStyle="1" w:styleId="158">
    <w:name w:val="哈哈正文"/>
    <w:basedOn w:val="1"/>
    <w:link w:val="159"/>
    <w:uiPriority w:val="0"/>
    <w:pPr>
      <w:spacing w:line="360" w:lineRule="auto"/>
      <w:ind w:firstLine="200" w:firstLineChars="200"/>
    </w:pPr>
    <w:rPr>
      <w:rFonts w:ascii="宋体" w:hAnsi="宋体" w:eastAsia="宋体" w:cs="Times New Roman"/>
      <w:sz w:val="24"/>
      <w:szCs w:val="20"/>
    </w:rPr>
  </w:style>
  <w:style w:type="character" w:customStyle="1" w:styleId="159">
    <w:name w:val="哈哈正文 Char"/>
    <w:link w:val="158"/>
    <w:uiPriority w:val="0"/>
    <w:rPr>
      <w:rFonts w:ascii="宋体" w:hAnsi="宋体" w:eastAsia="宋体" w:cs="Times New Roman"/>
      <w:kern w:val="2"/>
      <w:sz w:val="24"/>
      <w:lang w:bidi="ar-SA"/>
    </w:rPr>
  </w:style>
  <w:style w:type="character" w:customStyle="1" w:styleId="160">
    <w:name w:val="pubtime"/>
    <w:uiPriority w:val="0"/>
    <w:rPr>
      <w:rFonts w:ascii="??_GB2312" w:hAnsi="??_GB2312" w:eastAsia="??_GB2312" w:cs="宋体"/>
      <w:color w:val="000000"/>
      <w:sz w:val="18"/>
      <w:szCs w:val="18"/>
    </w:rPr>
  </w:style>
  <w:style w:type="character" w:customStyle="1" w:styleId="161">
    <w:name w:val="subtitle1"/>
    <w:uiPriority w:val="0"/>
    <w:rPr>
      <w:rFonts w:hint="default" w:ascii="Georgia" w:hAnsi="Georgia" w:eastAsia="宋体" w:cs="Times New Roman"/>
      <w:b/>
      <w:bCs/>
      <w:color w:val="666666"/>
      <w:sz w:val="18"/>
      <w:szCs w:val="18"/>
    </w:rPr>
  </w:style>
  <w:style w:type="character" w:customStyle="1" w:styleId="162">
    <w:name w:val="param_td12"/>
    <w:uiPriority w:val="0"/>
    <w:rPr>
      <w:rFonts w:ascii="Times New Roman" w:hAnsi="Times New Roman" w:eastAsia="宋体" w:cs="Times New Roman"/>
    </w:rPr>
  </w:style>
  <w:style w:type="character" w:customStyle="1" w:styleId="163">
    <w:name w:val=" Char Char15"/>
    <w:uiPriority w:val="0"/>
    <w:rPr>
      <w:rFonts w:ascii="Times New Roman" w:hAnsi="Times New Roman" w:eastAsia="宋体" w:cs="Times New Roman"/>
      <w:sz w:val="18"/>
    </w:rPr>
  </w:style>
  <w:style w:type="character" w:customStyle="1" w:styleId="164">
    <w:name w:val="普通文字 Char Char"/>
    <w:aliases w:val="纯文本 Char Char Char,普通文字 Char1,纯文本 Char Char1,普通文字 Char Char Char Char Char,普通文字 Char Char Char Char1,纯文本 Char Char Char Char Char Char Char Char Char Char Char Char Char Char,小 Char,普通文字1 Char,普通文字2 Char,普通文字3 Char,普通文字4 Char,普通文字5 Char"/>
    <w:uiPriority w:val="0"/>
    <w:rPr>
      <w:rFonts w:ascii="宋体" w:hAnsi="Courier New" w:eastAsia="宋体" w:cs="Times New Roman"/>
      <w:kern w:val="2"/>
      <w:sz w:val="21"/>
      <w:szCs w:val="21"/>
      <w:lang w:bidi="ar-SA"/>
    </w:rPr>
  </w:style>
  <w:style w:type="character" w:customStyle="1" w:styleId="165">
    <w:name w:val="DN-正文 Char Char"/>
    <w:link w:val="166"/>
    <w:uiPriority w:val="0"/>
    <w:rPr>
      <w:rFonts w:ascii="Times New Roman" w:hAnsi="Times New Roman" w:eastAsia="宋体" w:cs="Times New Roman"/>
      <w:kern w:val="2"/>
      <w:sz w:val="21"/>
      <w:szCs w:val="24"/>
      <w:lang w:bidi="ar-SA"/>
    </w:rPr>
  </w:style>
  <w:style w:type="paragraph" w:customStyle="1" w:styleId="166">
    <w:name w:val="DN-正文"/>
    <w:basedOn w:val="20"/>
    <w:link w:val="165"/>
    <w:uiPriority w:val="0"/>
    <w:pPr>
      <w:widowControl w:val="0"/>
      <w:spacing w:line="400" w:lineRule="exact"/>
      <w:ind w:firstLine="200" w:firstLineChars="200"/>
      <w:jc w:val="both"/>
    </w:pPr>
    <w:rPr>
      <w:rFonts w:ascii="Times New Roman" w:hAnsi="Times New Roman" w:eastAsia="宋体" w:cs="Times New Roman"/>
      <w:kern w:val="2"/>
      <w:sz w:val="21"/>
    </w:rPr>
  </w:style>
  <w:style w:type="character" w:customStyle="1" w:styleId="167">
    <w:name w:val="more"/>
    <w:uiPriority w:val="0"/>
    <w:rPr>
      <w:rFonts w:ascii="Times New Roman" w:hAnsi="Times New Roman" w:eastAsia="宋体" w:cs="Times New Roman"/>
      <w:b/>
      <w:sz w:val="32"/>
      <w:szCs w:val="32"/>
    </w:rPr>
  </w:style>
  <w:style w:type="character" w:customStyle="1" w:styleId="168">
    <w:name w:val="font51"/>
    <w:uiPriority w:val="0"/>
    <w:rPr>
      <w:rFonts w:hint="eastAsia" w:ascii="宋体" w:hAnsi="宋体" w:eastAsia="宋体" w:cs="宋体"/>
      <w:b/>
      <w:color w:val="000000"/>
      <w:sz w:val="20"/>
      <w:szCs w:val="20"/>
      <w:u w:val="none"/>
    </w:rPr>
  </w:style>
  <w:style w:type="character" w:customStyle="1" w:styleId="169">
    <w:name w:val="sony121"/>
    <w:uiPriority w:val="0"/>
    <w:rPr>
      <w:rFonts w:hint="eastAsia" w:ascii="宋体" w:hAnsi="宋体" w:eastAsia="宋体" w:cs="Times New Roman"/>
      <w:sz w:val="18"/>
      <w:szCs w:val="18"/>
    </w:rPr>
  </w:style>
  <w:style w:type="character" w:customStyle="1" w:styleId="170">
    <w:name w:val="标题 2 Char1"/>
    <w:aliases w:val="h2 Char,H2 Char,h21 Char,h22 Char,H21 Char,h23 Char,H22 Char,Heading2 Char,list2 Char,H2-Heading 2 Char,2 Char,Header 2 Char,l2 Char,Header 2 Char,h24 Char,Header2 Char,22 Char,heading2 Char,heading 2 Char,2 2 Char,heading 2 Char,H23 Char"/>
    <w:uiPriority w:val="0"/>
    <w:rPr>
      <w:rFonts w:ascii="宋体" w:hAnsi="宋体" w:eastAsia="黑体" w:cs="Times New Roman"/>
      <w:bCs/>
      <w:kern w:val="2"/>
      <w:sz w:val="32"/>
      <w:szCs w:val="32"/>
    </w:rPr>
  </w:style>
  <w:style w:type="character" w:customStyle="1" w:styleId="171">
    <w:name w:val="正文4 Char"/>
    <w:link w:val="172"/>
    <w:uiPriority w:val="0"/>
    <w:rPr>
      <w:rFonts w:ascii="Times New Roman" w:hAnsi="Times New Roman" w:eastAsia="楷体_GB2312" w:cs="Times New Roman"/>
      <w:kern w:val="2"/>
      <w:sz w:val="24"/>
      <w:szCs w:val="24"/>
      <w:lang w:bidi="ar-SA"/>
    </w:rPr>
  </w:style>
  <w:style w:type="paragraph" w:customStyle="1" w:styleId="172">
    <w:name w:val="正文4"/>
    <w:basedOn w:val="1"/>
    <w:link w:val="171"/>
    <w:uiPriority w:val="0"/>
    <w:pPr>
      <w:spacing w:before="60" w:after="60" w:line="360" w:lineRule="auto"/>
    </w:pPr>
    <w:rPr>
      <w:rFonts w:ascii="Calibri" w:hAnsi="Calibri" w:eastAsia="楷体_GB2312" w:cs="Times New Roman"/>
      <w:sz w:val="24"/>
    </w:rPr>
  </w:style>
  <w:style w:type="character" w:customStyle="1" w:styleId="173">
    <w:name w:val="font21"/>
    <w:uiPriority w:val="0"/>
    <w:rPr>
      <w:rFonts w:hint="eastAsia" w:ascii="宋体" w:hAnsi="宋体" w:eastAsia="宋体" w:cs="Times New Roman"/>
      <w:kern w:val="2"/>
      <w:sz w:val="28"/>
      <w:szCs w:val="28"/>
      <w:lang w:val="en-US" w:eastAsia="zh-CN" w:bidi="ar-SA"/>
    </w:rPr>
  </w:style>
  <w:style w:type="character" w:customStyle="1" w:styleId="174">
    <w:name w:val="样式 样式4 + 加粗 首行缩进: Char Char Char Char"/>
    <w:uiPriority w:val="0"/>
    <w:rPr>
      <w:rFonts w:ascii="Times New Roman" w:hAnsi="Times New Roman" w:eastAsia="宋体" w:cs="宋体"/>
      <w:b/>
      <w:bCs/>
      <w:color w:val="000000"/>
      <w:kern w:val="2"/>
      <w:sz w:val="24"/>
      <w:szCs w:val="24"/>
      <w:lang w:val="en-US" w:eastAsia="zh-CN" w:bidi="ar-SA"/>
    </w:rPr>
  </w:style>
  <w:style w:type="character" w:customStyle="1" w:styleId="175">
    <w:name w:val="占位符文本"/>
    <w:uiPriority w:val="0"/>
    <w:rPr>
      <w:rFonts w:ascii="Times New Roman" w:hAnsi="Times New Roman" w:eastAsia="宋体" w:cs="Times New Roman"/>
      <w:color w:val="808080"/>
    </w:rPr>
  </w:style>
  <w:style w:type="character" w:customStyle="1" w:styleId="176">
    <w:name w:val="font-121"/>
    <w:uiPriority w:val="0"/>
    <w:rPr>
      <w:rFonts w:ascii="Times New Roman" w:hAnsi="Times New Roman" w:eastAsia="宋体" w:cs="Times New Roman"/>
      <w:color w:val="666666"/>
      <w:sz w:val="18"/>
      <w:szCs w:val="18"/>
      <w:u w:val="none"/>
    </w:rPr>
  </w:style>
  <w:style w:type="character" w:customStyle="1" w:styleId="177">
    <w:name w:val="正文缩 Char"/>
    <w:link w:val="178"/>
    <w:uiPriority w:val="0"/>
    <w:rPr>
      <w:rFonts w:ascii="Times New Roman" w:hAnsi="Times New Roman" w:eastAsia="楷体_GB2312" w:cs="Times New Roman"/>
      <w:kern w:val="2"/>
      <w:sz w:val="24"/>
      <w:szCs w:val="24"/>
      <w:lang w:bidi="ar-SA"/>
    </w:rPr>
  </w:style>
  <w:style w:type="paragraph" w:customStyle="1" w:styleId="178">
    <w:name w:val="正文缩"/>
    <w:basedOn w:val="1"/>
    <w:link w:val="177"/>
    <w:uiPriority w:val="0"/>
    <w:pPr>
      <w:spacing w:line="360" w:lineRule="auto"/>
      <w:ind w:firstLine="200" w:firstLineChars="200"/>
    </w:pPr>
    <w:rPr>
      <w:rFonts w:ascii="Calibri" w:hAnsi="Calibri" w:eastAsia="楷体_GB2312" w:cs="Times New Roman"/>
      <w:sz w:val="24"/>
    </w:rPr>
  </w:style>
  <w:style w:type="character" w:customStyle="1" w:styleId="179">
    <w:name w:val="style161"/>
    <w:uiPriority w:val="0"/>
    <w:rPr>
      <w:rFonts w:ascii="Times New Roman" w:hAnsi="Times New Roman" w:eastAsia="宋体" w:cs="Times New Roman"/>
      <w:sz w:val="20"/>
      <w:szCs w:val="20"/>
    </w:rPr>
  </w:style>
  <w:style w:type="character" w:customStyle="1" w:styleId="180">
    <w:name w:val="t_tag"/>
    <w:uiPriority w:val="0"/>
    <w:rPr>
      <w:rFonts w:ascii="Times New Roman" w:hAnsi="Times New Roman" w:eastAsia="宋体" w:cs="Times New Roman"/>
      <w:b/>
      <w:sz w:val="32"/>
      <w:szCs w:val="32"/>
    </w:rPr>
  </w:style>
  <w:style w:type="character" w:customStyle="1" w:styleId="181">
    <w:name w:val="纯文本 Char"/>
    <w:uiPriority w:val="0"/>
    <w:rPr>
      <w:rFonts w:ascii="??" w:hAnsi="??" w:eastAsia="??" w:cs="宋体"/>
      <w:kern w:val="2"/>
      <w:sz w:val="21"/>
      <w:szCs w:val="21"/>
    </w:rPr>
  </w:style>
  <w:style w:type="character" w:customStyle="1" w:styleId="182">
    <w:name w:val="正文2 Char Char"/>
    <w:uiPriority w:val="0"/>
    <w:rPr>
      <w:rFonts w:ascii="Times New Roman" w:hAnsi="Times New Roman" w:eastAsia="??" w:cs="Times New Roman"/>
      <w:kern w:val="2"/>
      <w:sz w:val="24"/>
      <w:szCs w:val="28"/>
      <w:lang w:val="en-US" w:eastAsia="zh-CN" w:bidi="ar-SA"/>
    </w:rPr>
  </w:style>
  <w:style w:type="character" w:customStyle="1" w:styleId="183">
    <w:name w:val="样式 样式 标书正文 + 首行缩进:  0.01 字符 + 首行缩进:  0.01 字符 Char"/>
    <w:link w:val="184"/>
    <w:uiPriority w:val="0"/>
    <w:rPr>
      <w:rFonts w:ascii="宋体" w:hAnsi="宋体" w:eastAsia="宋体" w:cs="宋体"/>
      <w:sz w:val="28"/>
      <w:lang w:val="en-US" w:eastAsia="zh-CN" w:bidi="ar-SA"/>
    </w:rPr>
  </w:style>
  <w:style w:type="paragraph" w:customStyle="1" w:styleId="184">
    <w:name w:val="样式 样式 标书正文 + 首行缩进:  0.01 字符 + 首行缩进:  0.01 字符"/>
    <w:basedOn w:val="1"/>
    <w:link w:val="183"/>
    <w:uiPriority w:val="0"/>
    <w:pPr>
      <w:widowControl/>
      <w:adjustRightInd w:val="0"/>
      <w:snapToGrid w:val="0"/>
      <w:spacing w:after="50" w:afterLines="50" w:line="360" w:lineRule="auto"/>
      <w:ind w:left="-2" w:leftChars="-2" w:firstLine="200" w:firstLineChars="200"/>
      <w:jc w:val="left"/>
    </w:pPr>
    <w:rPr>
      <w:rFonts w:ascii="宋体" w:hAnsi="宋体" w:eastAsia="宋体" w:cs="宋体"/>
      <w:kern w:val="0"/>
      <w:sz w:val="28"/>
      <w:szCs w:val="20"/>
    </w:rPr>
  </w:style>
  <w:style w:type="character" w:customStyle="1" w:styleId="185">
    <w:name w:val="样式4 Char Char"/>
    <w:uiPriority w:val="0"/>
    <w:rPr>
      <w:rFonts w:ascii="Times New Roman" w:hAnsi="Times New Roman" w:eastAsia="宋体" w:cs="宋体"/>
      <w:color w:val="000000"/>
      <w:sz w:val="24"/>
      <w:szCs w:val="24"/>
      <w:lang w:val="en-US" w:eastAsia="zh-CN" w:bidi="ar-SA"/>
    </w:rPr>
  </w:style>
  <w:style w:type="character" w:customStyle="1" w:styleId="186">
    <w:name w:val="md"/>
    <w:uiPriority w:val="0"/>
    <w:rPr>
      <w:rFonts w:ascii="Times New Roman" w:hAnsi="Times New Roman" w:eastAsia="宋体" w:cs="Times New Roman"/>
      <w:b/>
      <w:sz w:val="32"/>
      <w:szCs w:val="32"/>
    </w:rPr>
  </w:style>
  <w:style w:type="character" w:customStyle="1" w:styleId="187">
    <w:name w:val="样式1 Char Char"/>
    <w:link w:val="188"/>
    <w:uiPriority w:val="0"/>
    <w:rPr>
      <w:rFonts w:ascii="??" w:hAnsi="??" w:eastAsia="??" w:cs="宋体"/>
      <w:b/>
      <w:sz w:val="32"/>
      <w:szCs w:val="28"/>
    </w:rPr>
  </w:style>
  <w:style w:type="paragraph" w:customStyle="1" w:styleId="188">
    <w:name w:val="样式1"/>
    <w:basedOn w:val="4"/>
    <w:link w:val="187"/>
    <w:uiPriority w:val="0"/>
    <w:pPr>
      <w:numPr>
        <w:ilvl w:val="0"/>
        <w:numId w:val="2"/>
      </w:numPr>
      <w:tabs>
        <w:tab w:val="clear" w:pos="-839"/>
      </w:tabs>
    </w:pPr>
    <w:rPr>
      <w:rFonts w:ascii="Times New Roman" w:hAnsi="Times New Roman" w:eastAsia="宋体" w:cs="Times New Roman"/>
      <w:kern w:val="0"/>
    </w:rPr>
  </w:style>
  <w:style w:type="character" w:customStyle="1" w:styleId="189">
    <w:name w:val="unnamed11"/>
    <w:uiPriority w:val="0"/>
    <w:rPr>
      <w:rFonts w:ascii="Times New Roman" w:hAnsi="Times New Roman" w:eastAsia="宋体" w:cs="Times New Roman"/>
      <w:sz w:val="20"/>
    </w:rPr>
  </w:style>
  <w:style w:type="character" w:customStyle="1" w:styleId="190">
    <w:name w:val="段 Char Char Char"/>
    <w:uiPriority w:val="0"/>
    <w:rPr>
      <w:rFonts w:ascii="宋体" w:hAnsi="Times New Roman" w:eastAsia="宋体" w:cs="Times New Roman"/>
      <w:sz w:val="21"/>
      <w:lang w:val="en-US" w:eastAsia="zh-CN" w:bidi="ar-SA"/>
    </w:rPr>
  </w:style>
  <w:style w:type="character" w:customStyle="1" w:styleId="191">
    <w:name w:val="shadow11"/>
    <w:uiPriority w:val="0"/>
    <w:rPr>
      <w:rFonts w:ascii="Times New Roman" w:hAnsi="Times New Roman" w:eastAsia="宋体" w:cs="Times New Roman"/>
      <w:color w:val="000000"/>
      <w:sz w:val="21"/>
    </w:rPr>
  </w:style>
  <w:style w:type="character" w:customStyle="1" w:styleId="192">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 w:hAnsi="Times New Roman" w:eastAsia="??" w:cs="Times New Roman"/>
      <w:snapToGrid w:val="0"/>
      <w:color w:val="000000"/>
      <w:kern w:val="28"/>
      <w:sz w:val="28"/>
      <w:lang w:val="en-US" w:eastAsia="zh-CN" w:bidi="ar-SA"/>
    </w:rPr>
  </w:style>
  <w:style w:type="character" w:customStyle="1" w:styleId="193">
    <w:name w:val=" Char12"/>
    <w:uiPriority w:val="0"/>
    <w:rPr>
      <w:rFonts w:ascii="Times New Roman" w:hAnsi="Times New Roman" w:eastAsia="宋体" w:cs="Times New Roman"/>
      <w:kern w:val="2"/>
      <w:sz w:val="24"/>
      <w:szCs w:val="24"/>
      <w:lang w:val="en-US" w:eastAsia="zh-CN" w:bidi="ar-SA"/>
    </w:rPr>
  </w:style>
  <w:style w:type="character" w:customStyle="1" w:styleId="194">
    <w:name w:val=" Char Char7 Char"/>
    <w:uiPriority w:val="0"/>
    <w:rPr>
      <w:rFonts w:ascii="仿宋_GB2312" w:hAnsi="Times New Roman" w:eastAsia="仿宋_GB2312" w:cs="Times New Roman"/>
      <w:b/>
      <w:sz w:val="32"/>
      <w:szCs w:val="32"/>
    </w:rPr>
  </w:style>
  <w:style w:type="character" w:customStyle="1" w:styleId="195">
    <w:name w:val="正文首行缩进两字 Char"/>
    <w:link w:val="196"/>
    <w:uiPriority w:val="0"/>
    <w:rPr>
      <w:rFonts w:ascii="Times New Roman" w:hAnsi="Times New Roman" w:eastAsia="宋体" w:cs="Times New Roman"/>
      <w:sz w:val="24"/>
      <w:szCs w:val="24"/>
      <w:lang w:val="en-US" w:eastAsia="zh-CN" w:bidi="ar-SA"/>
    </w:rPr>
  </w:style>
  <w:style w:type="paragraph" w:customStyle="1" w:styleId="196">
    <w:name w:val="正文首行缩进两字"/>
    <w:link w:val="195"/>
    <w:uiPriority w:val="0"/>
    <w:pPr>
      <w:spacing w:after="163" w:afterLines="50" w:line="300" w:lineRule="auto"/>
      <w:ind w:firstLine="480" w:firstLineChars="200"/>
    </w:pPr>
    <w:rPr>
      <w:sz w:val="24"/>
      <w:szCs w:val="24"/>
      <w:lang w:val="en-US" w:eastAsia="zh-CN" w:bidi="ar-SA"/>
    </w:rPr>
  </w:style>
  <w:style w:type="paragraph" w:customStyle="1" w:styleId="197">
    <w:name w:val="pa-67"/>
    <w:basedOn w:val="1"/>
    <w:uiPriority w:val="0"/>
    <w:pPr>
      <w:widowControl/>
      <w:spacing w:line="360" w:lineRule="atLeast"/>
      <w:ind w:firstLine="480"/>
      <w:jc w:val="center"/>
    </w:pPr>
    <w:rPr>
      <w:rFonts w:ascii="宋体" w:hAnsi="宋体" w:eastAsia="宋体" w:cs="宋体"/>
      <w:kern w:val="0"/>
      <w:sz w:val="24"/>
    </w:rPr>
  </w:style>
  <w:style w:type="paragraph" w:customStyle="1" w:styleId="198">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Times New Roman"/>
      <w:color w:val="FF0000"/>
      <w:kern w:val="0"/>
      <w:sz w:val="18"/>
      <w:szCs w:val="20"/>
    </w:rPr>
  </w:style>
  <w:style w:type="paragraph" w:styleId="199">
    <w:name w:val=""/>
    <w:basedOn w:val="1"/>
    <w:next w:val="1"/>
    <w:uiPriority w:val="0"/>
    <w:pPr>
      <w:pBdr>
        <w:top w:val="single" w:color="auto" w:sz="6" w:space="1"/>
      </w:pBdr>
      <w:jc w:val="center"/>
    </w:pPr>
    <w:rPr>
      <w:rFonts w:ascii="Arial" w:hAnsi="Times New Roman" w:eastAsia="宋体" w:cs="Times New Roman"/>
      <w:vanish/>
      <w:sz w:val="16"/>
    </w:rPr>
  </w:style>
  <w:style w:type="paragraph" w:customStyle="1" w:styleId="200">
    <w:name w:val="xl33"/>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eastAsia="宋体" w:cs="Times New Roman"/>
      <w:b/>
      <w:color w:val="FFFFFF"/>
      <w:kern w:val="0"/>
      <w:sz w:val="20"/>
      <w:szCs w:val="20"/>
    </w:rPr>
  </w:style>
  <w:style w:type="paragraph" w:customStyle="1" w:styleId="201">
    <w:name w:val=" Char Char1 Char Char Char Char"/>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02">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eastAsia="宋体" w:cs="Times New Roman"/>
      <w:color w:val="FF0000"/>
      <w:kern w:val="0"/>
      <w:sz w:val="18"/>
      <w:szCs w:val="20"/>
    </w:rPr>
  </w:style>
  <w:style w:type="paragraph" w:customStyle="1" w:styleId="203">
    <w:name w:val="正文段"/>
    <w:basedOn w:val="1"/>
    <w:uiPriority w:val="0"/>
    <w:pPr>
      <w:widowControl/>
      <w:snapToGrid w:val="0"/>
      <w:spacing w:afterLines="50"/>
      <w:ind w:firstLine="200" w:firstLineChars="200"/>
    </w:pPr>
    <w:rPr>
      <w:rFonts w:ascii="Times New Roman" w:hAnsi="Times New Roman" w:eastAsia="??" w:cs="Times New Roman"/>
      <w:kern w:val="0"/>
      <w:sz w:val="24"/>
      <w:szCs w:val="28"/>
    </w:rPr>
  </w:style>
  <w:style w:type="paragraph" w:customStyle="1" w:styleId="204">
    <w:name w:val="编号 3"/>
    <w:basedOn w:val="1"/>
    <w:uiPriority w:val="0"/>
    <w:pPr>
      <w:tabs>
        <w:tab w:val="left" w:pos="1155"/>
      </w:tabs>
      <w:spacing w:line="360" w:lineRule="auto"/>
      <w:ind w:left="1155" w:hanging="735"/>
    </w:pPr>
    <w:rPr>
      <w:rFonts w:ascii="宋体" w:hAnsi="宋体" w:eastAsia="楷体_GB2312" w:cs="Times New Roman"/>
      <w:color w:val="000000"/>
      <w:sz w:val="24"/>
      <w:szCs w:val="20"/>
    </w:rPr>
  </w:style>
  <w:style w:type="paragraph" w:customStyle="1" w:styleId="205">
    <w:name w:val="xl87"/>
    <w:basedOn w:val="1"/>
    <w:uiPriority w:val="0"/>
    <w:pPr>
      <w:widowControl/>
      <w:spacing w:before="100" w:beforeAutospacing="1" w:after="100" w:afterAutospacing="1"/>
      <w:jc w:val="left"/>
      <w:textAlignment w:val="bottom"/>
    </w:pPr>
    <w:rPr>
      <w:rFonts w:ascii="宋体" w:hAnsi="宋体" w:eastAsia="宋体" w:cs="Times New Roman"/>
      <w:kern w:val="0"/>
      <w:sz w:val="18"/>
      <w:szCs w:val="20"/>
    </w:rPr>
  </w:style>
  <w:style w:type="paragraph" w:customStyle="1" w:styleId="206">
    <w:name w:val=" Char Char Char Char Char Char Char"/>
    <w:basedOn w:val="1"/>
    <w:uiPriority w:val="0"/>
    <w:rPr>
      <w:rFonts w:ascii="仿宋_GB2312" w:hAnsi="Times New Roman" w:eastAsia="仿宋_GB2312" w:cs="Times New Roman"/>
      <w:b/>
      <w:sz w:val="32"/>
      <w:szCs w:val="20"/>
    </w:rPr>
  </w:style>
  <w:style w:type="paragraph" w:customStyle="1" w:styleId="207">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Times New Roman"/>
      <w:color w:val="FF0000"/>
      <w:kern w:val="0"/>
      <w:sz w:val="20"/>
      <w:szCs w:val="20"/>
    </w:rPr>
  </w:style>
  <w:style w:type="paragraph" w:customStyle="1" w:styleId="208">
    <w:name w:val="符号 2"/>
    <w:basedOn w:val="209"/>
    <w:uiPriority w:val="0"/>
    <w:pPr>
      <w:tabs>
        <w:tab w:val="left" w:pos="1320"/>
      </w:tabs>
      <w:ind w:left="1320"/>
    </w:pPr>
    <w:rPr>
      <w:rFonts w:ascii="Times New Roman" w:hAnsi="Times New Roman" w:eastAsia="宋体" w:cs="Times New Roman"/>
    </w:rPr>
  </w:style>
  <w:style w:type="paragraph" w:customStyle="1" w:styleId="209">
    <w:name w:val="符号 1"/>
    <w:basedOn w:val="32"/>
    <w:uiPriority w:val="0"/>
    <w:pPr>
      <w:tabs>
        <w:tab w:val="left" w:pos="900"/>
      </w:tabs>
      <w:spacing w:line="360" w:lineRule="auto"/>
      <w:ind w:left="900" w:hanging="420"/>
    </w:pPr>
    <w:rPr>
      <w:rFonts w:ascii="Times New Roman" w:hAnsi="Times New Roman" w:eastAsia="楷体_GB2312" w:cs="Times New Roman"/>
      <w:kern w:val="28"/>
      <w:sz w:val="24"/>
      <w:szCs w:val="24"/>
    </w:rPr>
  </w:style>
  <w:style w:type="paragraph" w:customStyle="1" w:styleId="210">
    <w:name w:val="正文缩进1"/>
    <w:basedOn w:val="1"/>
    <w:next w:val="32"/>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0"/>
    </w:rPr>
  </w:style>
  <w:style w:type="paragraph" w:customStyle="1" w:styleId="211">
    <w:name w:val="功能列表"/>
    <w:basedOn w:val="1"/>
    <w:uiPriority w:val="0"/>
    <w:pPr>
      <w:tabs>
        <w:tab w:val="left" w:pos="0"/>
        <w:tab w:val="left" w:pos="900"/>
      </w:tabs>
      <w:spacing w:line="360" w:lineRule="auto"/>
      <w:ind w:firstLineChars="200"/>
    </w:pPr>
    <w:rPr>
      <w:rFonts w:ascii="Times New Roman" w:hAnsi="Times New Roman" w:eastAsia="宋体" w:cs="Times New Roman"/>
      <w:sz w:val="24"/>
      <w:szCs w:val="20"/>
    </w:rPr>
  </w:style>
  <w:style w:type="paragraph" w:customStyle="1" w:styleId="212">
    <w:name w:val="样式"/>
    <w:basedOn w:val="1"/>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213">
    <w:name w:val="标题 5l"/>
    <w:basedOn w:val="8"/>
    <w:uiPriority w:val="0"/>
    <w:pPr>
      <w:numPr>
        <w:ilvl w:val="0"/>
        <w:numId w:val="0"/>
      </w:numPr>
      <w:tabs>
        <w:tab w:val="left" w:pos="0"/>
      </w:tabs>
      <w:adjustRightInd w:val="0"/>
      <w:spacing w:line="376" w:lineRule="atLeast"/>
      <w:textAlignment w:val="baseline"/>
    </w:pPr>
    <w:rPr>
      <w:rFonts w:ascii="Times New Roman" w:hAnsi="Times New Roman" w:eastAsia="楷体_GB2312" w:cs="Times New Roman"/>
      <w:kern w:val="0"/>
    </w:rPr>
  </w:style>
  <w:style w:type="paragraph" w:customStyle="1" w:styleId="214">
    <w:name w:val="默认段落字体 Para Char Char Char Char Char Char Char"/>
    <w:basedOn w:val="1"/>
    <w:uiPriority w:val="0"/>
    <w:rPr>
      <w:rFonts w:ascii="Times New Roman" w:hAnsi="Times New Roman" w:eastAsia="仿宋_GB2312" w:cs="Times New Roman"/>
      <w:sz w:val="28"/>
      <w:szCs w:val="20"/>
    </w:rPr>
  </w:style>
  <w:style w:type="paragraph" w:customStyle="1" w:styleId="215">
    <w:name w:val="正文 + 首行缩进:  2 字符"/>
    <w:basedOn w:val="1"/>
    <w:uiPriority w:val="0"/>
    <w:pPr>
      <w:spacing w:line="360" w:lineRule="auto"/>
      <w:ind w:left="-34" w:firstLine="482"/>
    </w:pPr>
    <w:rPr>
      <w:rFonts w:ascii="宋体" w:hAnsi="宋体" w:eastAsia="宋体" w:cs="Times New Roman"/>
      <w:bCs/>
      <w:sz w:val="24"/>
      <w:szCs w:val="20"/>
    </w:rPr>
  </w:style>
  <w:style w:type="paragraph" w:customStyle="1" w:styleId="216">
    <w:name w:val="font9"/>
    <w:basedOn w:val="1"/>
    <w:uiPriority w:val="0"/>
    <w:pPr>
      <w:widowControl/>
      <w:spacing w:before="100" w:beforeAutospacing="1" w:after="100" w:afterAutospacing="1"/>
      <w:jc w:val="left"/>
    </w:pPr>
    <w:rPr>
      <w:rFonts w:ascii="Times New Roman" w:hAnsi="Times New Roman" w:eastAsia="宋体" w:cs="Times New Roman"/>
      <w:kern w:val="0"/>
      <w:sz w:val="18"/>
      <w:szCs w:val="20"/>
    </w:rPr>
  </w:style>
  <w:style w:type="paragraph" w:customStyle="1" w:styleId="217">
    <w:name w:val="xl94"/>
    <w:basedOn w:val="1"/>
    <w:uiPriority w:val="0"/>
    <w:pPr>
      <w:widowControl/>
      <w:pBdr>
        <w:bottom w:val="single" w:color="auto" w:sz="8" w:space="0"/>
        <w:right w:val="single" w:color="auto" w:sz="4" w:space="0"/>
      </w:pBdr>
      <w:spacing w:before="100" w:beforeAutospacing="1" w:after="100" w:afterAutospacing="1"/>
      <w:jc w:val="left"/>
      <w:textAlignment w:val="bottom"/>
    </w:pPr>
    <w:rPr>
      <w:rFonts w:ascii="宋体" w:hAnsi="宋体" w:eastAsia="宋体" w:cs="Times New Roman"/>
      <w:kern w:val="0"/>
      <w:sz w:val="18"/>
      <w:szCs w:val="20"/>
    </w:rPr>
  </w:style>
  <w:style w:type="paragraph" w:customStyle="1" w:styleId="218">
    <w:name w:val="_Style 40"/>
    <w:basedOn w:val="1"/>
    <w:uiPriority w:val="0"/>
    <w:rPr>
      <w:rFonts w:ascii="Times New Roman" w:hAnsi="Times New Roman" w:eastAsia="??" w:cs="Times New Roman"/>
      <w:szCs w:val="28"/>
    </w:rPr>
  </w:style>
  <w:style w:type="paragraph" w:customStyle="1" w:styleId="219">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Times New Roman"/>
      <w:kern w:val="0"/>
      <w:sz w:val="18"/>
      <w:szCs w:val="20"/>
    </w:rPr>
  </w:style>
  <w:style w:type="paragraph" w:customStyle="1" w:styleId="220">
    <w:name w:val="xl13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bottom"/>
    </w:pPr>
    <w:rPr>
      <w:rFonts w:ascii="Arial" w:hAnsi="Arial" w:eastAsia="宋体" w:cs="Times New Roman"/>
      <w:kern w:val="0"/>
      <w:sz w:val="20"/>
      <w:szCs w:val="20"/>
    </w:rPr>
  </w:style>
  <w:style w:type="paragraph" w:customStyle="1" w:styleId="221">
    <w:name w:val="标准小三"/>
    <w:basedOn w:val="1"/>
    <w:uiPriority w:val="0"/>
    <w:pPr>
      <w:widowControl/>
      <w:numPr>
        <w:ilvl w:val="0"/>
        <w:numId w:val="4"/>
      </w:numPr>
      <w:tabs>
        <w:tab w:val="clear" w:pos="700"/>
      </w:tabs>
      <w:spacing w:line="700" w:lineRule="exact"/>
      <w:ind w:left="0" w:firstLine="200" w:firstLineChars="200"/>
      <w:jc w:val="left"/>
    </w:pPr>
    <w:rPr>
      <w:rFonts w:ascii="宋体" w:hAnsi="Arial" w:eastAsia="仿宋_GB2312" w:cs="宋体"/>
      <w:snapToGrid w:val="0"/>
      <w:kern w:val="0"/>
      <w:sz w:val="30"/>
      <w:szCs w:val="32"/>
    </w:rPr>
  </w:style>
  <w:style w:type="paragraph" w:customStyle="1" w:styleId="222">
    <w:name w:val=" Char1"/>
    <w:basedOn w:val="1"/>
    <w:uiPriority w:val="0"/>
    <w:rPr>
      <w:rFonts w:ascii="仿宋_GB2312" w:hAnsi="Times New Roman" w:eastAsia="仿宋_GB2312" w:cs="Times New Roman"/>
      <w:b/>
      <w:sz w:val="32"/>
      <w:szCs w:val="20"/>
    </w:rPr>
  </w:style>
  <w:style w:type="paragraph" w:customStyle="1" w:styleId="223">
    <w:name w:val="表格文字"/>
    <w:basedOn w:val="1"/>
    <w:uiPriority w:val="0"/>
    <w:pPr>
      <w:autoSpaceDE w:val="0"/>
      <w:autoSpaceDN w:val="0"/>
      <w:adjustRightInd w:val="0"/>
      <w:spacing w:before="100" w:beforeAutospacing="1" w:after="100" w:afterAutospacing="1" w:line="360" w:lineRule="auto"/>
      <w:jc w:val="center"/>
      <w:textAlignment w:val="baseline"/>
    </w:pPr>
    <w:rPr>
      <w:rFonts w:ascii="Times New Roman" w:hAnsi="Times New Roman" w:eastAsia="楷体_GB2312" w:cs="Times New Roman"/>
      <w:color w:val="000000"/>
      <w:kern w:val="0"/>
      <w:sz w:val="24"/>
      <w:szCs w:val="20"/>
    </w:rPr>
  </w:style>
  <w:style w:type="paragraph" w:customStyle="1" w:styleId="224">
    <w:name w:val="xl1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eastAsia="宋体" w:cs="Times New Roman"/>
      <w:kern w:val="0"/>
      <w:sz w:val="18"/>
      <w:szCs w:val="20"/>
    </w:rPr>
  </w:style>
  <w:style w:type="paragraph" w:styleId="225">
    <w:name w:val=""/>
    <w:basedOn w:val="1"/>
    <w:next w:val="1"/>
    <w:uiPriority w:val="0"/>
    <w:pPr>
      <w:pBdr>
        <w:bottom w:val="single" w:color="auto" w:sz="6" w:space="1"/>
      </w:pBdr>
      <w:jc w:val="center"/>
    </w:pPr>
    <w:rPr>
      <w:rFonts w:ascii="Arial" w:hAnsi="Times New Roman" w:eastAsia="宋体" w:cs="Times New Roman"/>
      <w:vanish/>
      <w:sz w:val="16"/>
    </w:rPr>
  </w:style>
  <w:style w:type="paragraph" w:customStyle="1" w:styleId="226">
    <w:name w:val="网格型1"/>
    <w:uiPriority w:val="0"/>
    <w:rPr>
      <w:rFonts w:ascii="Cambria" w:hAnsi="Cambria" w:eastAsia="Cambria" w:cs="Cambria"/>
      <w:color w:val="000000"/>
      <w:sz w:val="24"/>
      <w:szCs w:val="24"/>
      <w:lang w:val="en-US" w:eastAsia="zh-CN" w:bidi="ar-SA"/>
    </w:rPr>
  </w:style>
  <w:style w:type="paragraph" w:customStyle="1" w:styleId="227">
    <w:name w:val=" Char3 Char Char Char"/>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28">
    <w:name w:val="xl125"/>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eastAsia="宋体" w:cs="Times New Roman"/>
      <w:kern w:val="0"/>
      <w:sz w:val="18"/>
      <w:szCs w:val="20"/>
    </w:rPr>
  </w:style>
  <w:style w:type="paragraph" w:customStyle="1" w:styleId="229">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eastAsia="宋体" w:cs="Times New Roman"/>
      <w:kern w:val="0"/>
      <w:sz w:val="18"/>
      <w:szCs w:val="20"/>
    </w:rPr>
  </w:style>
  <w:style w:type="paragraph" w:customStyle="1" w:styleId="230">
    <w:name w:val="xl69"/>
    <w:basedOn w:val="1"/>
    <w:uiPriority w:val="0"/>
    <w:pPr>
      <w:widowControl/>
      <w:pBdr>
        <w:left w:val="single" w:color="auto" w:sz="4" w:space="0"/>
        <w:right w:val="single" w:color="auto" w:sz="4" w:space="0"/>
      </w:pBdr>
      <w:spacing w:before="100" w:beforeAutospacing="1" w:after="100" w:afterAutospacing="1"/>
      <w:jc w:val="center"/>
      <w:textAlignment w:val="bottom"/>
    </w:pPr>
    <w:rPr>
      <w:rFonts w:ascii="宋体" w:hAnsi="宋体" w:eastAsia="宋体" w:cs="Times New Roman"/>
      <w:kern w:val="0"/>
      <w:sz w:val="18"/>
      <w:szCs w:val="20"/>
    </w:rPr>
  </w:style>
  <w:style w:type="paragraph" w:customStyle="1" w:styleId="231">
    <w:name w:val="2"/>
    <w:basedOn w:val="1"/>
    <w:uiPriority w:val="0"/>
    <w:rPr>
      <w:rFonts w:ascii="Tahoma" w:hAnsi="Tahoma" w:eastAsia="??" w:cs="Tahoma"/>
      <w:sz w:val="24"/>
      <w:szCs w:val="28"/>
    </w:rPr>
  </w:style>
  <w:style w:type="paragraph" w:customStyle="1" w:styleId="232">
    <w:name w:val="xl11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eastAsia="宋体" w:cs="Times New Roman"/>
      <w:color w:val="FF0000"/>
      <w:kern w:val="0"/>
      <w:sz w:val="18"/>
      <w:szCs w:val="20"/>
    </w:rPr>
  </w:style>
  <w:style w:type="paragraph" w:customStyle="1" w:styleId="233">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Times New Roman"/>
      <w:color w:val="FF0000"/>
      <w:kern w:val="0"/>
      <w:sz w:val="18"/>
      <w:szCs w:val="20"/>
    </w:rPr>
  </w:style>
  <w:style w:type="paragraph" w:customStyle="1" w:styleId="234">
    <w:name w:val=" Char Char Char Char"/>
    <w:basedOn w:val="1"/>
    <w:uiPriority w:val="0"/>
    <w:rPr>
      <w:rFonts w:ascii="Tahoma" w:hAnsi="Tahoma" w:eastAsia="宋体" w:cs="Times New Roman"/>
      <w:sz w:val="24"/>
      <w:szCs w:val="20"/>
    </w:rPr>
  </w:style>
  <w:style w:type="paragraph" w:customStyle="1" w:styleId="235">
    <w:name w:val="修订"/>
    <w:uiPriority w:val="0"/>
    <w:rPr>
      <w:kern w:val="2"/>
      <w:sz w:val="21"/>
      <w:lang w:val="en-US" w:eastAsia="zh-CN" w:bidi="ar-SA"/>
    </w:rPr>
  </w:style>
  <w:style w:type="paragraph" w:customStyle="1" w:styleId="236">
    <w:name w:val="xl11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eastAsia="宋体" w:cs="Times New Roman"/>
      <w:b/>
      <w:color w:val="FF0000"/>
      <w:kern w:val="0"/>
      <w:sz w:val="18"/>
      <w:szCs w:val="20"/>
    </w:rPr>
  </w:style>
  <w:style w:type="paragraph" w:customStyle="1" w:styleId="237">
    <w:name w:val="xl92"/>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Times New Roman" w:hAnsi="Times New Roman" w:eastAsia="宋体" w:cs="Times New Roman"/>
      <w:kern w:val="0"/>
      <w:sz w:val="24"/>
      <w:szCs w:val="20"/>
    </w:rPr>
  </w:style>
  <w:style w:type="paragraph" w:customStyle="1" w:styleId="238">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eastAsia="宋体" w:cs="Times New Roman"/>
      <w:kern w:val="0"/>
      <w:sz w:val="18"/>
      <w:szCs w:val="20"/>
    </w:rPr>
  </w:style>
  <w:style w:type="paragraph" w:customStyle="1" w:styleId="239">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Times New Roman"/>
      <w:color w:val="FF0000"/>
      <w:kern w:val="0"/>
      <w:sz w:val="18"/>
      <w:szCs w:val="20"/>
    </w:rPr>
  </w:style>
  <w:style w:type="paragraph" w:customStyle="1" w:styleId="240">
    <w:name w:val="font6"/>
    <w:basedOn w:val="1"/>
    <w:uiPriority w:val="0"/>
    <w:pPr>
      <w:widowControl/>
      <w:spacing w:before="100" w:beforeAutospacing="1" w:after="100" w:afterAutospacing="1"/>
      <w:jc w:val="left"/>
    </w:pPr>
    <w:rPr>
      <w:rFonts w:ascii="宋体" w:hAnsi="宋体" w:eastAsia="宋体" w:cs="Times New Roman"/>
      <w:kern w:val="0"/>
      <w:sz w:val="18"/>
      <w:szCs w:val="20"/>
    </w:rPr>
  </w:style>
  <w:style w:type="paragraph" w:customStyle="1" w:styleId="241">
    <w:name w:val="Normal_13"/>
    <w:uiPriority w:val="0"/>
    <w:pPr>
      <w:spacing w:before="120" w:after="240"/>
      <w:jc w:val="both"/>
    </w:pPr>
    <w:rPr>
      <w:rFonts w:eastAsia="Calibri"/>
      <w:sz w:val="22"/>
      <w:szCs w:val="22"/>
      <w:lang w:val="ru-RU" w:eastAsia="en-US" w:bidi="ar-SA"/>
    </w:rPr>
  </w:style>
  <w:style w:type="paragraph" w:customStyle="1" w:styleId="242">
    <w:name w:val="图"/>
    <w:basedOn w:val="1"/>
    <w:uiPriority w:val="0"/>
    <w:pPr>
      <w:spacing w:line="360" w:lineRule="auto"/>
      <w:jc w:val="center"/>
    </w:pPr>
    <w:rPr>
      <w:rFonts w:ascii="宋体" w:hAnsi="宋体" w:eastAsia="楷体_GB2312" w:cs="宋体"/>
      <w:sz w:val="24"/>
      <w:szCs w:val="20"/>
    </w:rPr>
  </w:style>
  <w:style w:type="paragraph" w:customStyle="1" w:styleId="243">
    <w:name w:val=" Char Char1 Char Char Char Char Char Char Char Char"/>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44">
    <w:name w:val=" Char Char1 Char"/>
    <w:basedOn w:val="1"/>
    <w:uiPriority w:val="0"/>
    <w:rPr>
      <w:rFonts w:ascii="仿宋_GB2312" w:hAnsi="Times New Roman" w:eastAsia="仿宋_GB2312" w:cs="Times New Roman"/>
      <w:b/>
      <w:sz w:val="32"/>
      <w:szCs w:val="32"/>
    </w:rPr>
  </w:style>
  <w:style w:type="paragraph" w:customStyle="1" w:styleId="245">
    <w:name w:val="font8"/>
    <w:basedOn w:val="1"/>
    <w:uiPriority w:val="0"/>
    <w:pPr>
      <w:widowControl/>
      <w:spacing w:before="100" w:beforeAutospacing="1" w:after="100" w:afterAutospacing="1"/>
      <w:jc w:val="left"/>
    </w:pPr>
    <w:rPr>
      <w:rFonts w:ascii="宋体" w:hAnsi="宋体" w:eastAsia="宋体" w:cs="Times New Roman"/>
      <w:kern w:val="0"/>
      <w:sz w:val="20"/>
      <w:szCs w:val="20"/>
    </w:rPr>
  </w:style>
  <w:style w:type="paragraph" w:customStyle="1" w:styleId="246">
    <w:name w:val="xl67"/>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18"/>
      <w:szCs w:val="20"/>
    </w:rPr>
  </w:style>
  <w:style w:type="paragraph" w:customStyle="1" w:styleId="247">
    <w:name w:val="xl66"/>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eastAsia="宋体" w:cs="Times New Roman"/>
      <w:kern w:val="0"/>
      <w:sz w:val="18"/>
      <w:szCs w:val="20"/>
    </w:rPr>
  </w:style>
  <w:style w:type="paragraph" w:customStyle="1" w:styleId="248">
    <w:name w:val="公文标题 4"/>
    <w:basedOn w:val="249"/>
    <w:next w:val="150"/>
    <w:uiPriority w:val="0"/>
    <w:pPr>
      <w:outlineLvl w:val="9"/>
    </w:pPr>
    <w:rPr>
      <w:rFonts w:ascii="Times New Roman" w:hAnsi="Times New Roman" w:eastAsia="宋体" w:cs="Times New Roman"/>
    </w:rPr>
  </w:style>
  <w:style w:type="paragraph" w:customStyle="1" w:styleId="249">
    <w:name w:val="公文标题 3"/>
    <w:basedOn w:val="250"/>
    <w:next w:val="150"/>
    <w:uiPriority w:val="0"/>
    <w:pPr>
      <w:outlineLvl w:val="2"/>
    </w:pPr>
    <w:rPr>
      <w:rFonts w:ascii="Times New Roman" w:hAnsi="Times New Roman" w:eastAsia="宋体" w:cs="Times New Roman"/>
    </w:rPr>
  </w:style>
  <w:style w:type="paragraph" w:customStyle="1" w:styleId="250">
    <w:name w:val="公文标题 2"/>
    <w:basedOn w:val="251"/>
    <w:next w:val="150"/>
    <w:uiPriority w:val="0"/>
    <w:pPr>
      <w:ind w:firstLine="561"/>
      <w:outlineLvl w:val="1"/>
    </w:pPr>
    <w:rPr>
      <w:rFonts w:ascii="Times New Roman" w:hAnsi="Times New Roman" w:eastAsia="宋体" w:cs="Times New Roman"/>
      <w:sz w:val="28"/>
      <w:lang w:val="en-US"/>
    </w:rPr>
  </w:style>
  <w:style w:type="paragraph" w:customStyle="1" w:styleId="251">
    <w:name w:val="公文标题 1"/>
    <w:basedOn w:val="1"/>
    <w:next w:val="1"/>
    <w:uiPriority w:val="0"/>
    <w:pPr>
      <w:spacing w:line="360" w:lineRule="auto"/>
      <w:outlineLvl w:val="0"/>
    </w:pPr>
    <w:rPr>
      <w:rFonts w:ascii="仿宋_GB2312" w:hAnsi="宋体" w:eastAsia="仿宋_GB2312" w:cs="Times New Roman"/>
      <w:kern w:val="28"/>
      <w:sz w:val="24"/>
      <w:lang w:val="zh-CN"/>
    </w:rPr>
  </w:style>
  <w:style w:type="paragraph" w:customStyle="1" w:styleId="252">
    <w:name w:val="xl99"/>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253">
    <w:name w:val="0"/>
    <w:basedOn w:val="1"/>
    <w:uiPriority w:val="0"/>
    <w:pPr>
      <w:widowControl/>
    </w:pPr>
    <w:rPr>
      <w:rFonts w:ascii="Times New Roman" w:hAnsi="Times New Roman" w:eastAsia="宋体" w:cs="Times New Roman"/>
      <w:kern w:val="0"/>
      <w:sz w:val="24"/>
      <w:szCs w:val="20"/>
    </w:rPr>
  </w:style>
  <w:style w:type="paragraph" w:customStyle="1" w:styleId="254">
    <w:name w:val="xl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eastAsia="宋体" w:cs="Times New Roman"/>
      <w:kern w:val="0"/>
      <w:sz w:val="18"/>
      <w:szCs w:val="20"/>
    </w:rPr>
  </w:style>
  <w:style w:type="paragraph" w:customStyle="1" w:styleId="255">
    <w:name w:val="xl128"/>
    <w:basedOn w:val="1"/>
    <w:uiPriority w:val="0"/>
    <w:pPr>
      <w:widowControl/>
      <w:spacing w:before="100" w:beforeAutospacing="1" w:after="100" w:afterAutospacing="1"/>
      <w:jc w:val="center"/>
    </w:pPr>
    <w:rPr>
      <w:rFonts w:ascii="Arial" w:hAnsi="Arial" w:eastAsia="宋体" w:cs="Times New Roman"/>
      <w:kern w:val="0"/>
      <w:sz w:val="24"/>
      <w:szCs w:val="20"/>
    </w:rPr>
  </w:style>
  <w:style w:type="paragraph" w:customStyle="1" w:styleId="256">
    <w:name w:val="编号 1"/>
    <w:basedOn w:val="1"/>
    <w:uiPriority w:val="0"/>
    <w:pPr>
      <w:tabs>
        <w:tab w:val="left" w:pos="1320"/>
      </w:tabs>
      <w:spacing w:before="100" w:beforeAutospacing="1" w:after="100" w:afterAutospacing="1" w:line="360" w:lineRule="auto"/>
      <w:ind w:left="400" w:firstLine="560"/>
    </w:pPr>
    <w:rPr>
      <w:rFonts w:ascii="宋体" w:hAnsi="Times New Roman" w:eastAsia="楷体_GB2312" w:cs="Times New Roman"/>
      <w:sz w:val="24"/>
    </w:rPr>
  </w:style>
  <w:style w:type="paragraph" w:customStyle="1" w:styleId="257">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Times New Roman"/>
      <w:kern w:val="0"/>
      <w:sz w:val="20"/>
      <w:szCs w:val="20"/>
    </w:rPr>
  </w:style>
  <w:style w:type="paragraph" w:customStyle="1" w:styleId="258">
    <w:name w:val="xl86"/>
    <w:basedOn w:val="1"/>
    <w:uiPriority w:val="0"/>
    <w:pPr>
      <w:widowControl/>
      <w:pBdr>
        <w:right w:val="single" w:color="auto" w:sz="4" w:space="0"/>
      </w:pBdr>
      <w:spacing w:before="100" w:beforeAutospacing="1" w:after="100" w:afterAutospacing="1"/>
      <w:jc w:val="left"/>
      <w:textAlignment w:val="bottom"/>
    </w:pPr>
    <w:rPr>
      <w:rFonts w:ascii="宋体" w:hAnsi="宋体" w:eastAsia="宋体" w:cs="Times New Roman"/>
      <w:kern w:val="0"/>
      <w:sz w:val="18"/>
      <w:szCs w:val="20"/>
    </w:rPr>
  </w:style>
  <w:style w:type="paragraph" w:customStyle="1" w:styleId="259">
    <w:name w:val="Char Char Char Char Char Char Char Char Char Char"/>
    <w:basedOn w:val="1"/>
    <w:uiPriority w:val="0"/>
    <w:rPr>
      <w:rFonts w:ascii="仿宋_GB2312" w:hAnsi="Times New Roman" w:eastAsia="仿宋_GB2312" w:cs="Times New Roman"/>
      <w:b/>
      <w:sz w:val="32"/>
      <w:szCs w:val="20"/>
    </w:rPr>
  </w:style>
  <w:style w:type="paragraph" w:customStyle="1" w:styleId="260">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Times New Roman"/>
      <w:kern w:val="0"/>
      <w:sz w:val="18"/>
      <w:szCs w:val="20"/>
    </w:rPr>
  </w:style>
  <w:style w:type="paragraph" w:customStyle="1" w:styleId="261">
    <w:name w:val="xl10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eastAsia="宋体" w:cs="Times New Roman"/>
      <w:color w:val="FF0000"/>
      <w:kern w:val="0"/>
      <w:sz w:val="18"/>
      <w:szCs w:val="20"/>
    </w:rPr>
  </w:style>
  <w:style w:type="paragraph" w:customStyle="1" w:styleId="262">
    <w:name w:val="xl138"/>
    <w:basedOn w:val="1"/>
    <w:uiPriority w:val="0"/>
    <w:pPr>
      <w:widowControl/>
      <w:spacing w:before="100" w:beforeAutospacing="1" w:after="100" w:afterAutospacing="1"/>
      <w:jc w:val="center"/>
      <w:textAlignment w:val="bottom"/>
    </w:pPr>
    <w:rPr>
      <w:rFonts w:ascii="Arial" w:hAnsi="Arial" w:eastAsia="宋体" w:cs="Times New Roman"/>
      <w:kern w:val="0"/>
      <w:sz w:val="18"/>
      <w:szCs w:val="20"/>
    </w:rPr>
  </w:style>
  <w:style w:type="paragraph" w:customStyle="1" w:styleId="263">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Times New Roman"/>
      <w:color w:val="FF0000"/>
      <w:kern w:val="0"/>
      <w:sz w:val="20"/>
      <w:szCs w:val="20"/>
    </w:rPr>
  </w:style>
  <w:style w:type="paragraph" w:customStyle="1" w:styleId="264">
    <w:name w:val="Char Char Char"/>
    <w:basedOn w:val="1"/>
    <w:uiPriority w:val="0"/>
    <w:pPr>
      <w:adjustRightInd w:val="0"/>
      <w:spacing w:line="312" w:lineRule="atLeast"/>
      <w:textAlignment w:val="baseline"/>
    </w:pPr>
    <w:rPr>
      <w:rFonts w:ascii="Tahoma" w:hAnsi="Tahoma" w:eastAsia="宋体" w:cs="Times New Roman"/>
      <w:b/>
      <w:kern w:val="0"/>
      <w:sz w:val="28"/>
      <w:szCs w:val="20"/>
    </w:rPr>
  </w:style>
  <w:style w:type="paragraph" w:customStyle="1" w:styleId="265">
    <w:name w:val="列表段落"/>
    <w:basedOn w:val="1"/>
    <w:uiPriority w:val="0"/>
    <w:pPr>
      <w:widowControl/>
      <w:ind w:firstLine="200" w:firstLineChars="200"/>
      <w:jc w:val="left"/>
    </w:pPr>
    <w:rPr>
      <w:rFonts w:ascii="??" w:hAnsi="??" w:eastAsia="??" w:cs="??"/>
      <w:kern w:val="0"/>
      <w:sz w:val="24"/>
    </w:rPr>
  </w:style>
  <w:style w:type="paragraph" w:customStyle="1" w:styleId="266">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Times New Roman"/>
      <w:kern w:val="0"/>
      <w:sz w:val="20"/>
      <w:szCs w:val="20"/>
    </w:rPr>
  </w:style>
  <w:style w:type="paragraph" w:customStyle="1" w:styleId="267">
    <w:name w:val="xl10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Arial" w:hAnsi="Arial" w:eastAsia="宋体" w:cs="Times New Roman"/>
      <w:kern w:val="0"/>
      <w:sz w:val="18"/>
      <w:szCs w:val="20"/>
    </w:rPr>
  </w:style>
  <w:style w:type="paragraph" w:customStyle="1" w:styleId="268">
    <w:name w:val="Code"/>
    <w:basedOn w:val="1"/>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269">
    <w:name w:val="样式4"/>
    <w:basedOn w:val="1"/>
    <w:uiPriority w:val="0"/>
    <w:pPr>
      <w:widowControl/>
      <w:spacing w:line="360" w:lineRule="auto"/>
      <w:ind w:firstLine="480"/>
      <w:jc w:val="left"/>
    </w:pPr>
    <w:rPr>
      <w:rFonts w:ascii="Times New Roman" w:hAnsi="Times New Roman" w:eastAsia="楷体_GB2312" w:cs="宋体"/>
      <w:color w:val="000000"/>
      <w:sz w:val="24"/>
    </w:rPr>
  </w:style>
  <w:style w:type="paragraph" w:customStyle="1" w:styleId="270">
    <w:name w:val="xl7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Times New Roman" w:hAnsi="Times New Roman" w:eastAsia="宋体" w:cs="Times New Roman"/>
      <w:kern w:val="0"/>
      <w:sz w:val="20"/>
      <w:szCs w:val="20"/>
    </w:rPr>
  </w:style>
  <w:style w:type="paragraph" w:customStyle="1" w:styleId="271">
    <w:name w:val="二级条标题"/>
    <w:basedOn w:val="1"/>
    <w:next w:val="272"/>
    <w:uiPriority w:val="0"/>
    <w:pPr>
      <w:widowControl/>
      <w:jc w:val="left"/>
      <w:outlineLvl w:val="3"/>
    </w:pPr>
    <w:rPr>
      <w:rFonts w:ascii="黑体" w:hAnsi="Times New Roman" w:eastAsia="黑体" w:cs="Times New Roman"/>
      <w:kern w:val="0"/>
      <w:sz w:val="24"/>
      <w:szCs w:val="20"/>
    </w:rPr>
  </w:style>
  <w:style w:type="paragraph" w:customStyle="1" w:styleId="272">
    <w:name w:val="段"/>
    <w:uiPriority w:val="0"/>
    <w:pPr>
      <w:autoSpaceDE w:val="0"/>
      <w:autoSpaceDN w:val="0"/>
      <w:ind w:firstLine="200" w:firstLineChars="200"/>
      <w:jc w:val="both"/>
    </w:pPr>
    <w:rPr>
      <w:rFonts w:ascii="宋体"/>
      <w:sz w:val="21"/>
      <w:lang w:val="en-US" w:eastAsia="zh-CN" w:bidi="ar-SA"/>
    </w:rPr>
  </w:style>
  <w:style w:type="paragraph" w:customStyle="1" w:styleId="273">
    <w:name w:val=" Char Char2"/>
    <w:basedOn w:val="1"/>
    <w:uiPriority w:val="0"/>
    <w:rPr>
      <w:rFonts w:ascii="仿宋_GB2312" w:hAnsi="Times New Roman" w:eastAsia="仿宋_GB2312" w:cs="Times New Roman"/>
      <w:b/>
      <w:sz w:val="32"/>
      <w:szCs w:val="32"/>
    </w:rPr>
  </w:style>
  <w:style w:type="paragraph" w:customStyle="1" w:styleId="274">
    <w:name w:val="样式 样式 样式 我的正文首行缩进 + 首行缩进:  2 字符 + 首行缩进:  2 字符 + 首行缩进:  2 字符"/>
    <w:basedOn w:val="1"/>
    <w:uiPriority w:val="0"/>
    <w:pPr>
      <w:widowControl/>
      <w:tabs>
        <w:tab w:val="left" w:pos="840"/>
      </w:tabs>
      <w:spacing w:after="120" w:line="300" w:lineRule="auto"/>
      <w:ind w:left="840" w:hanging="360"/>
      <w:jc w:val="left"/>
    </w:pPr>
    <w:rPr>
      <w:rFonts w:ascii="Times New Roman" w:hAnsi="Times New Roman" w:eastAsia="华文细黑" w:cs="Times New Roman"/>
      <w:kern w:val="0"/>
      <w:sz w:val="24"/>
    </w:rPr>
  </w:style>
  <w:style w:type="paragraph" w:customStyle="1" w:styleId="275">
    <w:name w:val="样式 标题 3标题 3 Char第二层条h33Bold Headbh章标题1小标题level_3PIM 3..."/>
    <w:basedOn w:val="6"/>
    <w:uiPriority w:val="0"/>
    <w:pPr>
      <w:widowControl w:val="0"/>
      <w:numPr>
        <w:ilvl w:val="2"/>
        <w:numId w:val="0"/>
      </w:numPr>
      <w:adjustRightInd w:val="0"/>
      <w:snapToGrid w:val="0"/>
      <w:spacing w:before="0" w:after="0"/>
      <w:jc w:val="both"/>
    </w:pPr>
    <w:rPr>
      <w:rFonts w:ascii="黑体" w:hAnsi="宋体" w:eastAsia="黑体" w:cs="Times New Roman"/>
      <w:b w:val="0"/>
      <w:color w:val="000000"/>
      <w:sz w:val="28"/>
      <w:szCs w:val="20"/>
    </w:rPr>
  </w:style>
  <w:style w:type="paragraph" w:customStyle="1" w:styleId="276">
    <w:name w:val=" Char Char Char1 Char"/>
    <w:basedOn w:val="1"/>
    <w:uiPriority w:val="0"/>
    <w:rPr>
      <w:rFonts w:ascii="Times New Roman" w:hAnsi="Times New Roman" w:eastAsia="宋体" w:cs="Times New Roman"/>
      <w:szCs w:val="20"/>
    </w:rPr>
  </w:style>
  <w:style w:type="paragraph" w:customStyle="1" w:styleId="277">
    <w:name w:val="xl95"/>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eastAsia="宋体" w:cs="Times New Roman"/>
      <w:kern w:val="0"/>
      <w:sz w:val="18"/>
      <w:szCs w:val="20"/>
    </w:rPr>
  </w:style>
  <w:style w:type="paragraph" w:customStyle="1" w:styleId="278">
    <w:name w:val="xl13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eastAsia="宋体" w:cs="Times New Roman"/>
      <w:kern w:val="0"/>
      <w:sz w:val="20"/>
      <w:szCs w:val="20"/>
    </w:rPr>
  </w:style>
  <w:style w:type="paragraph" w:customStyle="1" w:styleId="279">
    <w:name w:val="pa-68"/>
    <w:basedOn w:val="1"/>
    <w:uiPriority w:val="0"/>
    <w:pPr>
      <w:widowControl/>
      <w:spacing w:line="330" w:lineRule="atLeast"/>
      <w:jc w:val="left"/>
    </w:pPr>
    <w:rPr>
      <w:rFonts w:ascii="宋体" w:hAnsi="宋体" w:eastAsia="宋体" w:cs="宋体"/>
      <w:kern w:val="0"/>
      <w:sz w:val="24"/>
    </w:rPr>
  </w:style>
  <w:style w:type="paragraph" w:customStyle="1" w:styleId="280">
    <w:name w:val="xl12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eastAsia="宋体" w:cs="Times New Roman"/>
      <w:color w:val="FF0000"/>
      <w:kern w:val="0"/>
      <w:sz w:val="18"/>
      <w:szCs w:val="20"/>
    </w:rPr>
  </w:style>
  <w:style w:type="paragraph" w:customStyle="1" w:styleId="281">
    <w:name w:val="Char Char"/>
    <w:basedOn w:val="1"/>
    <w:uiPriority w:val="0"/>
    <w:pPr>
      <w:spacing w:line="360" w:lineRule="auto"/>
    </w:pPr>
    <w:rPr>
      <w:rFonts w:ascii="Tahoma" w:hAnsi="Tahoma" w:eastAsia="宋体" w:cs="Lucida Sans"/>
      <w:sz w:val="24"/>
      <w:szCs w:val="20"/>
    </w:rPr>
  </w:style>
  <w:style w:type="paragraph" w:customStyle="1" w:styleId="282">
    <w:name w:val="Char Char2"/>
    <w:basedOn w:val="1"/>
    <w:uiPriority w:val="0"/>
    <w:rPr>
      <w:rFonts w:ascii="Tahoma" w:hAnsi="Tahoma" w:eastAsia="??" w:cs="Tahoma"/>
      <w:sz w:val="24"/>
      <w:szCs w:val="28"/>
    </w:rPr>
  </w:style>
  <w:style w:type="paragraph" w:customStyle="1" w:styleId="283">
    <w:name w:val="样式 正文文本缩进 + 左侧:  0.63 厘米 首行缩进:  0 厘米"/>
    <w:basedOn w:val="32"/>
    <w:uiPriority w:val="0"/>
    <w:pPr>
      <w:autoSpaceDE w:val="0"/>
      <w:autoSpaceDN w:val="0"/>
      <w:adjustRightInd w:val="0"/>
      <w:spacing w:after="120" w:line="360" w:lineRule="auto"/>
      <w:ind w:left="278" w:leftChars="116" w:right="17" w:firstLine="461" w:firstLineChars="192"/>
    </w:pPr>
    <w:rPr>
      <w:rFonts w:ascii="宋体" w:hAnsi="宋体" w:eastAsia="楷体_GB2312" w:cs="Times New Roman"/>
      <w:sz w:val="24"/>
      <w:szCs w:val="24"/>
    </w:rPr>
  </w:style>
  <w:style w:type="paragraph" w:customStyle="1" w:styleId="284">
    <w:name w:val="xl5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eastAsia="宋体" w:cs="Times New Roman"/>
      <w:kern w:val="0"/>
      <w:sz w:val="18"/>
      <w:szCs w:val="20"/>
    </w:rPr>
  </w:style>
  <w:style w:type="paragraph" w:customStyle="1" w:styleId="285">
    <w:name w:val="xl6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eastAsia="宋体" w:cs="Times New Roman"/>
      <w:kern w:val="0"/>
      <w:sz w:val="18"/>
      <w:szCs w:val="20"/>
    </w:rPr>
  </w:style>
  <w:style w:type="paragraph" w:customStyle="1" w:styleId="286">
    <w:name w:val="aspnumfaautoadjustrightr"/>
    <w:uiPriority w:val="0"/>
    <w:pPr>
      <w:widowControl w:val="0"/>
      <w:autoSpaceDE w:val="0"/>
      <w:autoSpaceDN w:val="0"/>
      <w:adjustRightInd w:val="0"/>
      <w:ind w:firstLine="720"/>
      <w:jc w:val="both"/>
    </w:pPr>
    <w:rPr>
      <w:rFonts w:eastAsia="??"/>
      <w:szCs w:val="28"/>
      <w:lang w:val="en-US" w:eastAsia="zh-CN" w:bidi="ar-SA"/>
    </w:rPr>
  </w:style>
  <w:style w:type="paragraph" w:customStyle="1" w:styleId="287">
    <w:name w:val="xl140"/>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eastAsia="宋体" w:cs="Times New Roman"/>
      <w:kern w:val="0"/>
      <w:sz w:val="24"/>
      <w:szCs w:val="20"/>
    </w:rPr>
  </w:style>
  <w:style w:type="paragraph" w:customStyle="1" w:styleId="288">
    <w:name w:val="xl25"/>
    <w:basedOn w:val="1"/>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0"/>
    </w:rPr>
  </w:style>
  <w:style w:type="paragraph" w:customStyle="1" w:styleId="289">
    <w:name w:val="正文 首行缩进2字符"/>
    <w:basedOn w:val="1"/>
    <w:uiPriority w:val="0"/>
    <w:pPr>
      <w:spacing w:line="360" w:lineRule="auto"/>
      <w:ind w:firstLine="200" w:firstLineChars="200"/>
    </w:pPr>
    <w:rPr>
      <w:rFonts w:ascii="Times New Roman" w:hAnsi="Times New Roman" w:eastAsia="楷体_GB2312" w:cs="Times New Roman"/>
      <w:sz w:val="24"/>
      <w:szCs w:val="20"/>
    </w:rPr>
  </w:style>
  <w:style w:type="paragraph" w:customStyle="1" w:styleId="290">
    <w:name w:val="公文标题"/>
    <w:basedOn w:val="150"/>
    <w:next w:val="150"/>
    <w:uiPriority w:val="0"/>
    <w:pPr>
      <w:spacing w:before="0"/>
      <w:ind w:firstLine="0" w:firstLineChars="0"/>
      <w:jc w:val="center"/>
    </w:pPr>
    <w:rPr>
      <w:rFonts w:ascii="仿宋_GB2312" w:hAnsi="宋体" w:eastAsia="仿宋_GB2312" w:cs="Times New Roman"/>
      <w:b/>
      <w:bCs/>
      <w:kern w:val="28"/>
      <w:sz w:val="44"/>
    </w:rPr>
  </w:style>
  <w:style w:type="paragraph" w:customStyle="1" w:styleId="291">
    <w:name w:val="样式 Arial 左侧:  0.43 厘米 段前: 1.4 磅 段后: 2.8 磅"/>
    <w:basedOn w:val="1"/>
    <w:uiPriority w:val="0"/>
    <w:pPr>
      <w:spacing w:before="28" w:after="56" w:line="360" w:lineRule="auto"/>
      <w:ind w:left="244" w:firstLine="540" w:firstLineChars="225"/>
    </w:pPr>
    <w:rPr>
      <w:rFonts w:ascii="Arial" w:hAnsi="Arial" w:eastAsia="楷体_GB2312" w:cs="宋体"/>
      <w:sz w:val="24"/>
    </w:rPr>
  </w:style>
  <w:style w:type="paragraph" w:customStyle="1" w:styleId="292">
    <w:name w:val="xl8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eastAsia="宋体" w:cs="Times New Roman"/>
      <w:kern w:val="0"/>
      <w:sz w:val="18"/>
      <w:szCs w:val="20"/>
    </w:rPr>
  </w:style>
  <w:style w:type="paragraph" w:customStyle="1" w:styleId="293">
    <w:name w:val="xl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eastAsia="宋体" w:cs="Times New Roman"/>
      <w:kern w:val="0"/>
      <w:sz w:val="20"/>
      <w:szCs w:val="20"/>
    </w:rPr>
  </w:style>
  <w:style w:type="paragraph" w:customStyle="1" w:styleId="294">
    <w:name w:val="font10"/>
    <w:basedOn w:val="1"/>
    <w:uiPriority w:val="0"/>
    <w:pPr>
      <w:widowControl/>
      <w:spacing w:before="100" w:beforeAutospacing="1" w:after="100" w:afterAutospacing="1"/>
      <w:jc w:val="left"/>
    </w:pPr>
    <w:rPr>
      <w:rFonts w:ascii="Arial" w:hAnsi="Arial" w:eastAsia="宋体" w:cs="Times New Roman"/>
      <w:kern w:val="0"/>
      <w:sz w:val="18"/>
      <w:szCs w:val="20"/>
    </w:rPr>
  </w:style>
  <w:style w:type="paragraph" w:customStyle="1" w:styleId="295">
    <w:name w:val="样式4 Char"/>
    <w:basedOn w:val="1"/>
    <w:uiPriority w:val="0"/>
    <w:pPr>
      <w:widowControl/>
      <w:spacing w:line="360" w:lineRule="auto"/>
      <w:ind w:firstLine="480"/>
      <w:jc w:val="left"/>
    </w:pPr>
    <w:rPr>
      <w:rFonts w:ascii="Times New Roman" w:hAnsi="Times New Roman" w:eastAsia="楷体_GB2312" w:cs="宋体"/>
      <w:color w:val="000000"/>
      <w:kern w:val="0"/>
      <w:sz w:val="24"/>
    </w:rPr>
  </w:style>
  <w:style w:type="paragraph" w:customStyle="1" w:styleId="296">
    <w:name w:val="xl9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eastAsia="宋体" w:cs="Times New Roman"/>
      <w:kern w:val="0"/>
      <w:sz w:val="20"/>
      <w:szCs w:val="20"/>
    </w:rPr>
  </w:style>
  <w:style w:type="paragraph" w:customStyle="1" w:styleId="297">
    <w:name w:val="xl7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宋体" w:hAnsi="宋体" w:eastAsia="宋体" w:cs="Times New Roman"/>
      <w:kern w:val="0"/>
      <w:sz w:val="20"/>
      <w:szCs w:val="20"/>
    </w:rPr>
  </w:style>
  <w:style w:type="paragraph" w:customStyle="1" w:styleId="298">
    <w:name w:val="xl13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bottom"/>
    </w:pPr>
    <w:rPr>
      <w:rFonts w:ascii="Arial" w:hAnsi="Arial" w:eastAsia="宋体" w:cs="Times New Roman"/>
      <w:kern w:val="0"/>
      <w:sz w:val="20"/>
      <w:szCs w:val="20"/>
    </w:rPr>
  </w:style>
  <w:style w:type="paragraph" w:customStyle="1" w:styleId="299">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eastAsia="宋体" w:cs="Times New Roman"/>
      <w:kern w:val="0"/>
      <w:sz w:val="24"/>
      <w:szCs w:val="20"/>
    </w:rPr>
  </w:style>
  <w:style w:type="paragraph" w:customStyle="1" w:styleId="300">
    <w:name w:val="表格内容"/>
    <w:basedOn w:val="1"/>
    <w:uiPriority w:val="0"/>
    <w:pPr>
      <w:widowControl/>
      <w:autoSpaceDE w:val="0"/>
      <w:autoSpaceDN w:val="0"/>
      <w:adjustRightInd w:val="0"/>
      <w:spacing w:before="60" w:line="300" w:lineRule="auto"/>
      <w:jc w:val="center"/>
      <w:textAlignment w:val="bottom"/>
    </w:pPr>
    <w:rPr>
      <w:rFonts w:ascii="Times New Roman" w:hAnsi="Times New Roman" w:eastAsia="宋体" w:cs="Times New Roman"/>
      <w:kern w:val="0"/>
      <w:szCs w:val="20"/>
    </w:rPr>
  </w:style>
  <w:style w:type="paragraph" w:customStyle="1" w:styleId="301">
    <w:name w:val="无间隔1"/>
    <w:uiPriority w:val="0"/>
    <w:rPr>
      <w:rFonts w:eastAsia="??" w:cs="宋体"/>
      <w:sz w:val="22"/>
      <w:szCs w:val="22"/>
      <w:lang w:val="en-US" w:eastAsia="en-US" w:bidi="ar-SA"/>
    </w:rPr>
  </w:style>
  <w:style w:type="paragraph" w:customStyle="1" w:styleId="302">
    <w:name w:val="xl11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eastAsia="宋体" w:cs="Times New Roman"/>
      <w:kern w:val="0"/>
      <w:sz w:val="18"/>
      <w:szCs w:val="20"/>
    </w:rPr>
  </w:style>
  <w:style w:type="paragraph" w:customStyle="1" w:styleId="303">
    <w:name w:val="样式 正文缩进正文（首行缩进两字）表正文正文非缩进特点段1段1 Charno-step正文双线四号首行缩进..."/>
    <w:basedOn w:val="20"/>
    <w:uiPriority w:val="0"/>
    <w:pPr>
      <w:widowControl w:val="0"/>
      <w:adjustRightInd w:val="0"/>
      <w:snapToGrid w:val="0"/>
      <w:spacing w:line="360" w:lineRule="auto"/>
      <w:ind w:firstLine="560" w:firstLineChars="200"/>
      <w:jc w:val="both"/>
    </w:pPr>
    <w:rPr>
      <w:rFonts w:ascii="仿宋_GB2312" w:hAnsi="Times New Roman" w:eastAsia="仿宋_GB2312" w:cs="Century"/>
      <w:color w:val="000000"/>
      <w:kern w:val="2"/>
      <w:sz w:val="28"/>
      <w:szCs w:val="20"/>
    </w:rPr>
  </w:style>
  <w:style w:type="paragraph" w:customStyle="1" w:styleId="304">
    <w:name w:val="段 1"/>
    <w:basedOn w:val="1"/>
    <w:uiPriority w:val="0"/>
    <w:pPr>
      <w:spacing w:line="360" w:lineRule="auto"/>
    </w:pPr>
    <w:rPr>
      <w:rFonts w:ascii="Times New Roman" w:hAnsi="Times New Roman" w:eastAsia="楷体_GB2312" w:cs="Times New Roman"/>
      <w:b/>
      <w:bCs/>
      <w:sz w:val="24"/>
    </w:rPr>
  </w:style>
  <w:style w:type="paragraph" w:customStyle="1" w:styleId="305">
    <w:name w:val="Char Char1 Char"/>
    <w:basedOn w:val="1"/>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306">
    <w:name w:val="xl49"/>
    <w:basedOn w:val="1"/>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Autospacing="1" w:after="100" w:afterAutospacing="1"/>
      <w:jc w:val="center"/>
    </w:pPr>
    <w:rPr>
      <w:rFonts w:ascii="宋体" w:hAnsi="宋体" w:eastAsia="宋体" w:cs="Times New Roman"/>
      <w:b/>
      <w:color w:val="FFFFFF"/>
      <w:kern w:val="0"/>
      <w:sz w:val="20"/>
      <w:szCs w:val="20"/>
    </w:rPr>
  </w:style>
  <w:style w:type="paragraph" w:customStyle="1" w:styleId="307">
    <w:name w:val="xl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0"/>
    </w:rPr>
  </w:style>
  <w:style w:type="paragraph" w:customStyle="1" w:styleId="308">
    <w:name w:val="xl6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kern w:val="0"/>
      <w:sz w:val="20"/>
      <w:szCs w:val="20"/>
    </w:rPr>
  </w:style>
  <w:style w:type="paragraph" w:customStyle="1" w:styleId="309">
    <w:name w:val="正文3"/>
    <w:basedOn w:val="1"/>
    <w:uiPriority w:val="0"/>
    <w:pPr>
      <w:spacing w:beforeLines="50" w:afterLines="50" w:line="360" w:lineRule="auto"/>
      <w:outlineLvl w:val="8"/>
    </w:pPr>
    <w:rPr>
      <w:rFonts w:ascii="Segoe UI" w:hAnsi="宋体" w:eastAsia="楷体_GB2312" w:cs="Latha"/>
      <w:sz w:val="24"/>
      <w:szCs w:val="21"/>
    </w:rPr>
  </w:style>
  <w:style w:type="paragraph" w:customStyle="1" w:styleId="310">
    <w:name w:val="Char Char Char Char Char Char Char"/>
    <w:basedOn w:val="1"/>
    <w:uiPriority w:val="0"/>
    <w:pPr>
      <w:spacing w:line="360" w:lineRule="auto"/>
      <w:ind w:firstLine="480" w:firstLineChars="200"/>
    </w:pPr>
    <w:rPr>
      <w:rFonts w:ascii="Tahoma" w:hAnsi="Tahoma" w:eastAsia="宋体" w:cs="宋体"/>
      <w:sz w:val="24"/>
      <w:szCs w:val="20"/>
    </w:rPr>
  </w:style>
  <w:style w:type="paragraph" w:customStyle="1" w:styleId="311">
    <w:name w:val="xl8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eastAsia="宋体" w:cs="Times New Roman"/>
      <w:kern w:val="0"/>
      <w:sz w:val="20"/>
      <w:szCs w:val="20"/>
    </w:rPr>
  </w:style>
  <w:style w:type="paragraph" w:customStyle="1" w:styleId="312">
    <w:name w:val="xl8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color w:val="FF0000"/>
      <w:kern w:val="0"/>
      <w:sz w:val="20"/>
      <w:szCs w:val="20"/>
    </w:rPr>
  </w:style>
  <w:style w:type="paragraph" w:customStyle="1" w:styleId="313">
    <w:name w:val="xl74"/>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eastAsia="宋体" w:cs="Times New Roman"/>
      <w:kern w:val="0"/>
      <w:sz w:val="20"/>
      <w:szCs w:val="20"/>
    </w:rPr>
  </w:style>
  <w:style w:type="paragraph" w:customStyle="1" w:styleId="314">
    <w:name w:val=" Char2 Char Char Char"/>
    <w:basedOn w:val="1"/>
    <w:uiPriority w:val="0"/>
    <w:rPr>
      <w:rFonts w:ascii="仿宋_GB2312" w:hAnsi="Times New Roman" w:eastAsia="仿宋_GB2312" w:cs="Times New Roman"/>
      <w:b/>
      <w:sz w:val="32"/>
      <w:szCs w:val="32"/>
    </w:rPr>
  </w:style>
  <w:style w:type="paragraph" w:customStyle="1" w:styleId="315">
    <w:name w:val=" Char Char Char"/>
    <w:basedOn w:val="1"/>
    <w:uiPriority w:val="0"/>
    <w:rPr>
      <w:rFonts w:ascii="Tahoma" w:hAnsi="Tahoma" w:eastAsia="宋体" w:cs="Times New Roman"/>
      <w:sz w:val="24"/>
      <w:szCs w:val="20"/>
    </w:rPr>
  </w:style>
  <w:style w:type="paragraph" w:customStyle="1" w:styleId="316">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Times New Roman"/>
      <w:kern w:val="0"/>
      <w:sz w:val="20"/>
      <w:szCs w:val="20"/>
    </w:rPr>
  </w:style>
  <w:style w:type="paragraph" w:customStyle="1" w:styleId="317">
    <w:name w:val="样式 宋体 小四 行距: 1.5 倍行距 首行缩进:  2 字符"/>
    <w:basedOn w:val="1"/>
    <w:uiPriority w:val="0"/>
    <w:pPr>
      <w:spacing w:line="360" w:lineRule="auto"/>
      <w:ind w:firstLine="200" w:firstLineChars="200"/>
    </w:pPr>
    <w:rPr>
      <w:rFonts w:ascii="宋体" w:hAnsi="宋体" w:eastAsia="宋体" w:cs="宋体"/>
      <w:sz w:val="24"/>
    </w:rPr>
  </w:style>
  <w:style w:type="paragraph" w:customStyle="1" w:styleId="318">
    <w:name w:val="[Normal]"/>
    <w:uiPriority w:val="0"/>
    <w:rPr>
      <w:rFonts w:ascii="宋体" w:hAnsi="宋体"/>
      <w:sz w:val="24"/>
      <w:szCs w:val="22"/>
      <w:lang w:val="zh-CN" w:eastAsia="zh-CN" w:bidi="ar-SA"/>
    </w:rPr>
  </w:style>
  <w:style w:type="paragraph" w:customStyle="1" w:styleId="319">
    <w:name w:val=" Char2"/>
    <w:basedOn w:val="1"/>
    <w:uiPriority w:val="0"/>
    <w:rPr>
      <w:rFonts w:ascii="仿宋_GB2312" w:hAnsi="仿宋_GB2312" w:eastAsia="仿宋_GB2312" w:cs="Lucida Sans"/>
      <w:b/>
      <w:sz w:val="32"/>
      <w:szCs w:val="32"/>
    </w:rPr>
  </w:style>
  <w:style w:type="paragraph" w:customStyle="1" w:styleId="320">
    <w:name w:val="xl124"/>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eastAsia="宋体" w:cs="Times New Roman"/>
      <w:kern w:val="0"/>
      <w:sz w:val="18"/>
      <w:szCs w:val="20"/>
    </w:rPr>
  </w:style>
  <w:style w:type="paragraph" w:customStyle="1" w:styleId="321">
    <w:name w:val="p1"/>
    <w:uiPriority w:val="0"/>
    <w:pPr>
      <w:spacing w:line="320" w:lineRule="atLeast"/>
    </w:pPr>
    <w:rPr>
      <w:rFonts w:ascii="Helvetica Neue" w:hAnsi="Helvetica Neue" w:eastAsia="Helvetica Neue"/>
      <w:color w:val="000000"/>
      <w:sz w:val="22"/>
      <w:szCs w:val="22"/>
      <w:lang w:val="en-US" w:eastAsia="zh-CN" w:bidi="ar-SA"/>
    </w:rPr>
  </w:style>
  <w:style w:type="paragraph" w:customStyle="1" w:styleId="322">
    <w:name w:val="规范正文"/>
    <w:basedOn w:val="1"/>
    <w:uiPriority w:val="0"/>
    <w:pPr>
      <w:tabs>
        <w:tab w:val="left" w:pos="900"/>
      </w:tabs>
      <w:adjustRightInd w:val="0"/>
      <w:spacing w:before="156" w:beforeLines="50" w:line="360" w:lineRule="auto"/>
      <w:ind w:left="900" w:hanging="420"/>
      <w:textAlignment w:val="baseline"/>
    </w:pPr>
    <w:rPr>
      <w:rFonts w:ascii="Times New Roman" w:hAnsi="Times New Roman" w:eastAsia="宋体" w:cs="Times New Roman"/>
      <w:szCs w:val="20"/>
    </w:rPr>
  </w:style>
  <w:style w:type="paragraph" w:customStyle="1" w:styleId="323">
    <w:name w:val="样式 首行缩进:  2 字符"/>
    <w:basedOn w:val="1"/>
    <w:uiPriority w:val="0"/>
    <w:pPr>
      <w:snapToGrid w:val="0"/>
      <w:spacing w:line="360" w:lineRule="auto"/>
    </w:pPr>
    <w:rPr>
      <w:rFonts w:ascii="仿宋_GB2312" w:hAnsi="宋体" w:eastAsia="仿宋_GB2312" w:cs="Times New Roman"/>
      <w:color w:val="000000"/>
      <w:kern w:val="0"/>
      <w:sz w:val="28"/>
      <w:szCs w:val="20"/>
    </w:rPr>
  </w:style>
  <w:style w:type="paragraph" w:customStyle="1" w:styleId="324">
    <w:name w:val="xl110"/>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bottom"/>
    </w:pPr>
    <w:rPr>
      <w:rFonts w:ascii="Arial" w:hAnsi="Arial" w:eastAsia="宋体" w:cs="Times New Roman"/>
      <w:kern w:val="0"/>
      <w:sz w:val="18"/>
      <w:szCs w:val="20"/>
    </w:rPr>
  </w:style>
  <w:style w:type="paragraph" w:customStyle="1" w:styleId="325">
    <w:name w:val="xl123"/>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eastAsia="宋体" w:cs="Times New Roman"/>
      <w:kern w:val="0"/>
      <w:sz w:val="18"/>
      <w:szCs w:val="20"/>
    </w:rPr>
  </w:style>
  <w:style w:type="paragraph" w:customStyle="1" w:styleId="326">
    <w:name w:val="正文文字缩进 3"/>
    <w:basedOn w:val="1"/>
    <w:uiPriority w:val="0"/>
    <w:pPr>
      <w:suppressAutoHyphens/>
      <w:spacing w:line="360" w:lineRule="auto"/>
      <w:ind w:left="481" w:firstLine="480"/>
    </w:pPr>
    <w:rPr>
      <w:rFonts w:ascii="Times New Roman" w:hAnsi="Times New Roman" w:eastAsia="楷体_GB2312" w:cs="Times New Roman"/>
      <w:kern w:val="1"/>
      <w:sz w:val="24"/>
      <w:szCs w:val="20"/>
      <w:lang w:eastAsia="ar-SA"/>
    </w:rPr>
  </w:style>
  <w:style w:type="paragraph" w:customStyle="1" w:styleId="327">
    <w:name w:val="Body Text 2"/>
    <w:basedOn w:val="1"/>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328">
    <w:name w:val="xl13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eastAsia="宋体" w:cs="Times New Roman"/>
      <w:kern w:val="0"/>
      <w:sz w:val="20"/>
      <w:szCs w:val="20"/>
    </w:rPr>
  </w:style>
  <w:style w:type="paragraph" w:customStyle="1" w:styleId="329">
    <w:name w:val="带标题正文"/>
    <w:basedOn w:val="1"/>
    <w:uiPriority w:val="0"/>
    <w:pPr>
      <w:numPr>
        <w:ilvl w:val="0"/>
        <w:numId w:val="5"/>
      </w:numPr>
      <w:tabs>
        <w:tab w:val="clear" w:pos="425"/>
      </w:tabs>
      <w:snapToGrid w:val="0"/>
      <w:spacing w:before="100" w:after="100"/>
      <w:ind w:firstLine="115"/>
    </w:pPr>
    <w:rPr>
      <w:rFonts w:ascii="楷体" w:hAnsi="Times New Roman" w:eastAsia="楷体" w:cs="Times New Roman"/>
      <w:b/>
      <w:sz w:val="28"/>
      <w:szCs w:val="20"/>
    </w:rPr>
  </w:style>
  <w:style w:type="paragraph" w:customStyle="1" w:styleId="330">
    <w:name w:val="xl63"/>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eastAsia="宋体" w:cs="Times New Roman"/>
      <w:kern w:val="0"/>
      <w:sz w:val="18"/>
      <w:szCs w:val="20"/>
    </w:rPr>
  </w:style>
  <w:style w:type="paragraph" w:customStyle="1" w:styleId="331">
    <w:name w:val="符号》"/>
    <w:basedOn w:val="1"/>
    <w:uiPriority w:val="0"/>
    <w:pPr>
      <w:widowControl/>
      <w:numPr>
        <w:ilvl w:val="0"/>
        <w:numId w:val="6"/>
      </w:numPr>
      <w:tabs>
        <w:tab w:val="clear" w:pos="795"/>
      </w:tabs>
      <w:spacing w:line="360" w:lineRule="auto"/>
      <w:jc w:val="left"/>
    </w:pPr>
    <w:rPr>
      <w:rFonts w:ascii="宋体" w:hAnsi="宋体" w:eastAsia="楷体_GB2312" w:cs="宋体"/>
      <w:kern w:val="0"/>
      <w:sz w:val="24"/>
    </w:rPr>
  </w:style>
  <w:style w:type="paragraph" w:customStyle="1" w:styleId="332">
    <w:name w:val="正文 首行缩进:  2 字符 Char Char"/>
    <w:basedOn w:val="1"/>
    <w:uiPriority w:val="0"/>
    <w:pPr>
      <w:spacing w:line="360" w:lineRule="auto"/>
      <w:ind w:firstLine="480"/>
    </w:pPr>
    <w:rPr>
      <w:rFonts w:ascii="楷体_GB2312" w:hAnsi="Times New Roman" w:eastAsia="楷体_GB2312" w:cs="Times New Roman"/>
      <w:bCs/>
      <w:sz w:val="24"/>
    </w:rPr>
  </w:style>
  <w:style w:type="paragraph" w:customStyle="1" w:styleId="333">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334">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Times New Roman"/>
      <w:kern w:val="0"/>
      <w:sz w:val="18"/>
      <w:szCs w:val="20"/>
    </w:rPr>
  </w:style>
  <w:style w:type="paragraph" w:customStyle="1" w:styleId="335">
    <w:name w:val="xl3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eastAsia="宋体" w:cs="Times New Roman"/>
      <w:kern w:val="0"/>
      <w:sz w:val="18"/>
      <w:szCs w:val="20"/>
    </w:rPr>
  </w:style>
  <w:style w:type="paragraph" w:customStyle="1" w:styleId="336">
    <w:name w:val="xl11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eastAsia="宋体" w:cs="Times New Roman"/>
      <w:color w:val="FF0000"/>
      <w:kern w:val="0"/>
      <w:sz w:val="18"/>
      <w:szCs w:val="20"/>
    </w:rPr>
  </w:style>
  <w:style w:type="paragraph" w:customStyle="1" w:styleId="337">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Times New Roman"/>
      <w:kern w:val="0"/>
      <w:sz w:val="18"/>
      <w:szCs w:val="20"/>
    </w:rPr>
  </w:style>
  <w:style w:type="paragraph" w:customStyle="1" w:styleId="338">
    <w:name w:val="正文 首行缩进"/>
    <w:basedOn w:val="1"/>
    <w:uiPriority w:val="0"/>
    <w:pPr>
      <w:spacing w:line="360" w:lineRule="auto"/>
      <w:ind w:firstLine="200" w:firstLineChars="200"/>
    </w:pPr>
    <w:rPr>
      <w:rFonts w:ascii="Times New Roman" w:hAnsi="Times New Roman" w:eastAsia="楷体_GB2312" w:cs="Times New Roman"/>
      <w:sz w:val="28"/>
      <w:szCs w:val="20"/>
    </w:rPr>
  </w:style>
  <w:style w:type="paragraph" w:customStyle="1" w:styleId="339">
    <w:name w:val="xl5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eastAsia="宋体" w:cs="Times New Roman"/>
      <w:kern w:val="0"/>
      <w:sz w:val="18"/>
      <w:szCs w:val="20"/>
    </w:rPr>
  </w:style>
  <w:style w:type="paragraph" w:customStyle="1" w:styleId="340">
    <w:name w:val=" Char Char Char Char Char Char Char Char Char Char"/>
    <w:basedOn w:val="1"/>
    <w:uiPriority w:val="0"/>
    <w:rPr>
      <w:rFonts w:ascii="仿宋_GB2312" w:hAnsi="Times New Roman" w:eastAsia="仿宋_GB2312" w:cs="Times New Roman"/>
      <w:b/>
      <w:sz w:val="32"/>
      <w:szCs w:val="20"/>
    </w:rPr>
  </w:style>
  <w:style w:type="paragraph" w:customStyle="1" w:styleId="341">
    <w:name w:val="样式 样式 首行缩进:  0.74 厘米 行距: 1.5 倍行距 + 段后: 0.5 行"/>
    <w:basedOn w:val="1"/>
    <w:uiPriority w:val="0"/>
    <w:pPr>
      <w:widowControl/>
      <w:spacing w:after="200" w:line="360" w:lineRule="auto"/>
      <w:ind w:firstLine="420" w:firstLineChars="200"/>
      <w:jc w:val="left"/>
    </w:pPr>
    <w:rPr>
      <w:rFonts w:ascii="Calibri" w:hAnsi="Calibri" w:eastAsia="宋体" w:cs="Times New Roman"/>
      <w:kern w:val="0"/>
      <w:sz w:val="22"/>
      <w:szCs w:val="20"/>
      <w:lang w:eastAsia="en-US" w:bidi="en-US"/>
    </w:rPr>
  </w:style>
  <w:style w:type="paragraph" w:customStyle="1" w:styleId="342">
    <w:name w:val="样式 标题 2H2h2Heading 2 HiddenHeading 2 CCBSl2heading 2I22n...1"/>
    <w:basedOn w:val="5"/>
    <w:uiPriority w:val="0"/>
    <w:pPr>
      <w:numPr>
        <w:ilvl w:val="0"/>
        <w:numId w:val="0"/>
      </w:numPr>
      <w:tabs>
        <w:tab w:val="left" w:pos="1560"/>
        <w:tab w:val="clear" w:pos="706"/>
      </w:tabs>
      <w:spacing w:before="260" w:after="260" w:line="416" w:lineRule="auto"/>
      <w:ind w:left="1560" w:hanging="420"/>
    </w:pPr>
    <w:rPr>
      <w:rFonts w:ascii="Times New Roman" w:hAnsi="Times New Roman" w:eastAsia="黑体" w:cs="Times New Roman"/>
      <w:b w:val="0"/>
      <w:sz w:val="24"/>
    </w:rPr>
  </w:style>
  <w:style w:type="paragraph" w:customStyle="1" w:styleId="343">
    <w:name w:val="Blockquote"/>
    <w:basedOn w:val="1"/>
    <w:uiPriority w:val="0"/>
    <w:pPr>
      <w:autoSpaceDE w:val="0"/>
      <w:autoSpaceDN w:val="0"/>
      <w:adjustRightInd w:val="0"/>
      <w:spacing w:before="100" w:after="100"/>
      <w:ind w:left="360" w:right="360"/>
      <w:jc w:val="left"/>
    </w:pPr>
    <w:rPr>
      <w:rFonts w:ascii="Times New Roman" w:hAnsi="Times New Roman" w:eastAsia="??" w:cs="Times New Roman"/>
      <w:kern w:val="0"/>
      <w:sz w:val="24"/>
      <w:szCs w:val="28"/>
    </w:rPr>
  </w:style>
  <w:style w:type="paragraph" w:customStyle="1" w:styleId="344">
    <w:name w:val="paragraph1"/>
    <w:basedOn w:val="1"/>
    <w:uiPriority w:val="0"/>
    <w:pPr>
      <w:spacing w:beforeLines="20" w:afterLines="30" w:line="360" w:lineRule="auto"/>
      <w:ind w:firstLine="200" w:firstLineChars="200"/>
    </w:pPr>
    <w:rPr>
      <w:rFonts w:ascii="Times New Roman" w:hAnsi="Times New Roman" w:eastAsia="宋体" w:cs="Times New Roman"/>
      <w:sz w:val="24"/>
    </w:rPr>
  </w:style>
  <w:style w:type="paragraph" w:customStyle="1" w:styleId="345">
    <w:name w:val="xl13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eastAsia="宋体" w:cs="Times New Roman"/>
      <w:color w:val="FF0000"/>
      <w:kern w:val="0"/>
      <w:sz w:val="18"/>
      <w:szCs w:val="20"/>
    </w:rPr>
  </w:style>
  <w:style w:type="paragraph" w:customStyle="1" w:styleId="346">
    <w:name w:val="TOC 标题"/>
    <w:basedOn w:val="4"/>
    <w:next w:val="1"/>
    <w:qFormat/>
    <w:uiPriority w:val="0"/>
    <w:pPr>
      <w:keepLines/>
      <w:spacing w:before="480" w:line="276" w:lineRule="auto"/>
      <w:jc w:val="left"/>
      <w:outlineLvl w:val="9"/>
    </w:pPr>
    <w:rPr>
      <w:rFonts w:ascii="Cambria" w:hAnsi="Cambria" w:eastAsia="宋体" w:cs="Times New Roman"/>
      <w:bCs/>
      <w:color w:val="365F91"/>
      <w:kern w:val="0"/>
      <w:sz w:val="28"/>
    </w:rPr>
  </w:style>
  <w:style w:type="paragraph" w:customStyle="1" w:styleId="347">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Times New Roman"/>
      <w:color w:val="FF0000"/>
      <w:kern w:val="0"/>
      <w:sz w:val="18"/>
      <w:szCs w:val="20"/>
    </w:rPr>
  </w:style>
  <w:style w:type="paragraph" w:customStyle="1" w:styleId="348">
    <w:name w:val="xl10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eastAsia="宋体" w:cs="Times New Roman"/>
      <w:kern w:val="0"/>
      <w:sz w:val="18"/>
      <w:szCs w:val="20"/>
    </w:rPr>
  </w:style>
  <w:style w:type="paragraph" w:customStyle="1" w:styleId="349">
    <w:name w:val="xl96"/>
    <w:basedOn w:val="1"/>
    <w:uiPriority w:val="0"/>
    <w:pPr>
      <w:widowControl/>
      <w:pBdr>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eastAsia="宋体" w:cs="Times New Roman"/>
      <w:kern w:val="0"/>
      <w:sz w:val="18"/>
      <w:szCs w:val="20"/>
    </w:rPr>
  </w:style>
  <w:style w:type="paragraph" w:customStyle="1" w:styleId="350">
    <w:name w:val="xl9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Times New Roman" w:hAnsi="Times New Roman" w:eastAsia="宋体" w:cs="Times New Roman"/>
      <w:kern w:val="0"/>
      <w:sz w:val="24"/>
      <w:szCs w:val="20"/>
    </w:rPr>
  </w:style>
  <w:style w:type="paragraph" w:customStyle="1" w:styleId="351">
    <w:name w:val="xl61"/>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eastAsia="宋体" w:cs="Times New Roman"/>
      <w:b/>
      <w:color w:val="FFFFFF"/>
      <w:kern w:val="0"/>
      <w:sz w:val="18"/>
      <w:szCs w:val="20"/>
    </w:rPr>
  </w:style>
  <w:style w:type="paragraph" w:customStyle="1" w:styleId="352">
    <w:name w:val="xl142"/>
    <w:basedOn w:val="1"/>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353">
    <w:name w:val="Normal_3"/>
    <w:uiPriority w:val="0"/>
    <w:pPr>
      <w:spacing w:before="120" w:after="240"/>
      <w:jc w:val="both"/>
    </w:pPr>
    <w:rPr>
      <w:rFonts w:eastAsia="Calibri"/>
      <w:sz w:val="22"/>
      <w:szCs w:val="22"/>
      <w:lang w:val="ru-RU" w:eastAsia="en-US" w:bidi="ar-SA"/>
    </w:rPr>
  </w:style>
  <w:style w:type="paragraph" w:customStyle="1" w:styleId="354">
    <w:name w:val="xl145"/>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355">
    <w:name w:val="xl62"/>
    <w:basedOn w:val="1"/>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eastAsia="宋体" w:cs="Times New Roman"/>
      <w:b/>
      <w:color w:val="FFFFFF"/>
      <w:kern w:val="0"/>
      <w:sz w:val="20"/>
      <w:szCs w:val="20"/>
    </w:rPr>
  </w:style>
  <w:style w:type="paragraph" w:customStyle="1" w:styleId="356">
    <w:name w:val="样式 正文文本缩进 2 + 仿宋_GB2312 黑色 行距: 1.5 倍行距"/>
    <w:basedOn w:val="47"/>
    <w:uiPriority w:val="0"/>
    <w:pPr>
      <w:spacing w:line="360" w:lineRule="auto"/>
      <w:ind w:firstLine="560" w:firstLineChars="200"/>
    </w:pPr>
    <w:rPr>
      <w:rFonts w:ascii="宋体" w:hAnsi="宋体" w:eastAsia="宋体" w:cs="Times New Roman"/>
      <w:color w:val="000000"/>
      <w:sz w:val="24"/>
      <w:szCs w:val="20"/>
    </w:rPr>
  </w:style>
  <w:style w:type="paragraph" w:customStyle="1" w:styleId="357">
    <w:name w:val="Test2"/>
    <w:basedOn w:val="5"/>
    <w:uiPriority w:val="0"/>
    <w:pPr>
      <w:widowControl/>
      <w:numPr>
        <w:ilvl w:val="0"/>
        <w:numId w:val="0"/>
      </w:numPr>
      <w:tabs>
        <w:tab w:val="left" w:pos="1110"/>
        <w:tab w:val="clear" w:pos="706"/>
      </w:tabs>
      <w:adjustRightInd w:val="0"/>
      <w:snapToGrid w:val="0"/>
      <w:spacing w:before="360" w:after="360" w:line="240" w:lineRule="atLeast"/>
      <w:jc w:val="left"/>
    </w:pPr>
    <w:rPr>
      <w:rFonts w:ascii="宋体" w:hAnsi="Times New Roman" w:eastAsia="宋体" w:cs="Times New Roman"/>
      <w:bCs w:val="0"/>
      <w:snapToGrid w:val="0"/>
      <w:kern w:val="0"/>
      <w:sz w:val="28"/>
      <w:szCs w:val="20"/>
    </w:rPr>
  </w:style>
  <w:style w:type="paragraph" w:customStyle="1" w:styleId="358">
    <w:name w:val="正文 首行缩进:  2 字符 Char"/>
    <w:basedOn w:val="1"/>
    <w:uiPriority w:val="0"/>
    <w:pPr>
      <w:spacing w:line="360" w:lineRule="auto"/>
      <w:ind w:firstLine="480"/>
    </w:pPr>
    <w:rPr>
      <w:rFonts w:ascii="Times New Roman" w:hAnsi="Times New Roman" w:eastAsia="宋体" w:cs="宋体"/>
      <w:sz w:val="24"/>
      <w:szCs w:val="20"/>
    </w:rPr>
  </w:style>
  <w:style w:type="paragraph" w:customStyle="1" w:styleId="359">
    <w:name w:val="jd-正文1"/>
    <w:basedOn w:val="1"/>
    <w:uiPriority w:val="0"/>
    <w:pPr>
      <w:widowControl/>
      <w:adjustRightInd/>
      <w:spacing w:line="360" w:lineRule="auto"/>
      <w:ind w:firstLine="482" w:firstLineChars="200"/>
    </w:pPr>
    <w:rPr>
      <w:rFonts w:ascii="宋体" w:hAnsi="宋体" w:eastAsia="宋体" w:cs="宋体"/>
      <w:sz w:val="24"/>
      <w:szCs w:val="20"/>
    </w:rPr>
  </w:style>
  <w:style w:type="paragraph" w:customStyle="1" w:styleId="360">
    <w:name w:val="表格标题"/>
    <w:basedOn w:val="361"/>
    <w:uiPriority w:val="0"/>
    <w:pPr>
      <w:jc w:val="center"/>
    </w:pPr>
    <w:rPr>
      <w:rFonts w:ascii="Times New Roman" w:hAnsi="Times New Roman" w:eastAsia="宋体" w:cs="Times New Roman"/>
      <w:b/>
    </w:rPr>
  </w:style>
  <w:style w:type="paragraph" w:customStyle="1" w:styleId="361">
    <w:name w:val="表格正文"/>
    <w:basedOn w:val="1"/>
    <w:uiPriority w:val="0"/>
    <w:pPr>
      <w:spacing w:line="360" w:lineRule="auto"/>
    </w:pPr>
    <w:rPr>
      <w:rFonts w:ascii="宋体" w:hAnsi="宋体" w:eastAsia="楷体_GB2312" w:cs="宋体"/>
      <w:sz w:val="24"/>
      <w:szCs w:val="20"/>
    </w:rPr>
  </w:style>
  <w:style w:type="paragraph" w:customStyle="1" w:styleId="362">
    <w:name w:val="xl76"/>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eastAsia="宋体" w:cs="Times New Roman"/>
      <w:b/>
      <w:kern w:val="0"/>
      <w:sz w:val="20"/>
      <w:szCs w:val="20"/>
    </w:rPr>
  </w:style>
  <w:style w:type="paragraph" w:customStyle="1" w:styleId="363">
    <w:name w:val="xl4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eastAsia="宋体" w:cs="Times New Roman"/>
      <w:kern w:val="0"/>
      <w:sz w:val="18"/>
      <w:szCs w:val="20"/>
    </w:rPr>
  </w:style>
  <w:style w:type="paragraph" w:customStyle="1" w:styleId="364">
    <w:name w:val="常用正文"/>
    <w:uiPriority w:val="0"/>
    <w:pPr>
      <w:widowControl w:val="0"/>
      <w:spacing w:line="360" w:lineRule="auto"/>
      <w:ind w:firstLine="200"/>
      <w:textAlignment w:val="bottom"/>
    </w:pPr>
    <w:rPr>
      <w:rFonts w:ascii="Arial" w:hAnsi="Arial" w:eastAsia="楷体_GB2312"/>
      <w:sz w:val="28"/>
      <w:lang w:val="en-US" w:eastAsia="zh-CN" w:bidi="ar-SA"/>
    </w:rPr>
  </w:style>
  <w:style w:type="paragraph" w:customStyle="1" w:styleId="365">
    <w:name w:val="Char Char Char1 Char Char Char1 Char"/>
    <w:basedOn w:val="1"/>
    <w:uiPriority w:val="0"/>
    <w:pPr>
      <w:tabs>
        <w:tab w:val="left" w:pos="360"/>
      </w:tabs>
    </w:pPr>
    <w:rPr>
      <w:rFonts w:ascii="Times New Roman" w:hAnsi="Times New Roman" w:eastAsia="宋体" w:cs="Times New Roman"/>
      <w:sz w:val="24"/>
    </w:rPr>
  </w:style>
  <w:style w:type="paragraph" w:customStyle="1" w:styleId="366">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Times New Roman"/>
      <w:kern w:val="0"/>
      <w:sz w:val="18"/>
      <w:szCs w:val="20"/>
    </w:rPr>
  </w:style>
  <w:style w:type="paragraph" w:customStyle="1" w:styleId="367">
    <w:name w:val=" Char1 Char Char Char"/>
    <w:basedOn w:val="1"/>
    <w:uiPriority w:val="0"/>
    <w:rPr>
      <w:rFonts w:ascii="仿宋_GB2312" w:hAnsi="仿宋_GB2312" w:eastAsia="仿宋_GB2312" w:cs="Lucida Sans"/>
      <w:b/>
      <w:sz w:val="32"/>
      <w:szCs w:val="32"/>
    </w:rPr>
  </w:style>
  <w:style w:type="paragraph" w:customStyle="1" w:styleId="368">
    <w:name w:val="xl5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eastAsia="宋体" w:cs="Times New Roman"/>
      <w:b/>
      <w:color w:val="FF0000"/>
      <w:kern w:val="0"/>
      <w:sz w:val="18"/>
      <w:szCs w:val="20"/>
    </w:rPr>
  </w:style>
  <w:style w:type="paragraph" w:customStyle="1" w:styleId="369">
    <w:name w:val="样式 样式 样式 我的正文首行缩进 + 首行缩进:  2 字符 + 首行缩进:  2 字符 + 首行缩进:  2 字符1"/>
    <w:basedOn w:val="1"/>
    <w:uiPriority w:val="0"/>
    <w:pPr>
      <w:widowControl/>
      <w:spacing w:after="120"/>
      <w:ind w:firstLine="200" w:firstLineChars="200"/>
      <w:jc w:val="left"/>
    </w:pPr>
    <w:rPr>
      <w:rFonts w:ascii="Times New Roman" w:hAnsi="Times New Roman" w:eastAsia="华文细黑" w:cs="Times New Roman"/>
      <w:sz w:val="24"/>
    </w:rPr>
  </w:style>
  <w:style w:type="paragraph" w:customStyle="1" w:styleId="370">
    <w:name w:val=" Char Char Char Char Char Char Char Char Char Char Char Char Char Char Char Char Char Char Char Char Char Char Char Char Char"/>
    <w:basedOn w:val="1"/>
    <w:uiPriority w:val="0"/>
    <w:rPr>
      <w:rFonts w:ascii="Tahoma" w:hAnsi="Tahoma" w:eastAsia="宋体" w:cs="Times New Roman"/>
      <w:sz w:val="24"/>
      <w:szCs w:val="20"/>
    </w:rPr>
  </w:style>
  <w:style w:type="paragraph" w:customStyle="1" w:styleId="371">
    <w:name w:val="xl11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eastAsia="宋体" w:cs="Times New Roman"/>
      <w:kern w:val="0"/>
      <w:sz w:val="18"/>
      <w:szCs w:val="20"/>
    </w:rPr>
  </w:style>
  <w:style w:type="paragraph" w:customStyle="1" w:styleId="372">
    <w:name w:val="正文 居中"/>
    <w:basedOn w:val="1"/>
    <w:uiPriority w:val="0"/>
    <w:pPr>
      <w:spacing w:line="360" w:lineRule="auto"/>
      <w:jc w:val="center"/>
    </w:pPr>
    <w:rPr>
      <w:rFonts w:ascii="Times New Roman" w:hAnsi="Times New Roman" w:eastAsia="宋体" w:cs="Times New Roman"/>
      <w:sz w:val="24"/>
      <w:szCs w:val="20"/>
    </w:rPr>
  </w:style>
  <w:style w:type="paragraph" w:customStyle="1" w:styleId="373">
    <w:name w:val=" Char Char1 Char Char Char Char Char Char"/>
    <w:basedOn w:val="1"/>
    <w:uiPriority w:val="0"/>
    <w:rPr>
      <w:rFonts w:ascii="仿宋_GB2312" w:hAnsi="Times New Roman" w:eastAsia="仿宋_GB2312" w:cs="Times New Roman"/>
      <w:b/>
      <w:sz w:val="32"/>
      <w:szCs w:val="20"/>
    </w:rPr>
  </w:style>
  <w:style w:type="paragraph" w:customStyle="1" w:styleId="374">
    <w:name w:val="彩色列表 - 强调文字颜色 11"/>
    <w:basedOn w:val="1"/>
    <w:uiPriority w:val="0"/>
    <w:pPr>
      <w:ind w:firstLine="420" w:firstLineChars="200"/>
    </w:pPr>
    <w:rPr>
      <w:rFonts w:ascii="Times New Roman" w:hAnsi="Times New Roman" w:eastAsia="宋体" w:cs="Times New Roman"/>
    </w:rPr>
  </w:style>
  <w:style w:type="paragraph" w:customStyle="1" w:styleId="375">
    <w:name w:val="xl32"/>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eastAsia="宋体" w:cs="Times New Roman"/>
      <w:b/>
      <w:color w:val="FFFFFF"/>
      <w:kern w:val="0"/>
      <w:sz w:val="20"/>
      <w:szCs w:val="20"/>
    </w:rPr>
  </w:style>
  <w:style w:type="paragraph" w:customStyle="1" w:styleId="376">
    <w:name w:val="xl126"/>
    <w:basedOn w:val="1"/>
    <w:uiPriority w:val="0"/>
    <w:pPr>
      <w:widowControl/>
      <w:spacing w:before="100" w:beforeAutospacing="1" w:after="100" w:afterAutospacing="1"/>
      <w:jc w:val="left"/>
      <w:textAlignment w:val="bottom"/>
    </w:pPr>
    <w:rPr>
      <w:rFonts w:ascii="Arial" w:hAnsi="Arial" w:eastAsia="宋体" w:cs="Times New Roman"/>
      <w:kern w:val="0"/>
      <w:sz w:val="18"/>
      <w:szCs w:val="20"/>
    </w:rPr>
  </w:style>
  <w:style w:type="paragraph" w:customStyle="1" w:styleId="377">
    <w:name w:val="xl98"/>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textAlignment w:val="bottom"/>
    </w:pPr>
    <w:rPr>
      <w:rFonts w:ascii="宋体" w:hAnsi="宋体" w:eastAsia="宋体" w:cs="Times New Roman"/>
      <w:kern w:val="0"/>
      <w:sz w:val="20"/>
      <w:szCs w:val="20"/>
    </w:rPr>
  </w:style>
  <w:style w:type="paragraph" w:customStyle="1" w:styleId="378">
    <w:name w:val="xl7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379">
    <w:name w:val="xl7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eastAsia="宋体" w:cs="Times New Roman"/>
      <w:color w:val="FF0000"/>
      <w:kern w:val="0"/>
      <w:sz w:val="18"/>
      <w:szCs w:val="20"/>
    </w:rPr>
  </w:style>
  <w:style w:type="paragraph" w:customStyle="1" w:styleId="380">
    <w:name w:val="xl116"/>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eastAsia="宋体" w:cs="Times New Roman"/>
      <w:color w:val="000000"/>
      <w:kern w:val="0"/>
      <w:sz w:val="18"/>
      <w:szCs w:val="20"/>
    </w:rPr>
  </w:style>
  <w:style w:type="paragraph" w:customStyle="1" w:styleId="381">
    <w:name w:val="普通段落"/>
    <w:basedOn w:val="1"/>
    <w:uiPriority w:val="0"/>
    <w:pPr>
      <w:adjustRightInd w:val="0"/>
      <w:snapToGrid w:val="0"/>
      <w:spacing w:line="360" w:lineRule="auto"/>
      <w:ind w:firstLine="480" w:firstLineChars="200"/>
    </w:pPr>
    <w:rPr>
      <w:rFonts w:ascii="Times New Roman" w:hAnsi="Times New Roman" w:eastAsia="宋体" w:cs="Times New Roman"/>
      <w:sz w:val="24"/>
      <w:szCs w:val="20"/>
    </w:rPr>
  </w:style>
  <w:style w:type="paragraph" w:customStyle="1" w:styleId="382">
    <w:name w:val="样式 标题 1 + 五号1 Char Char Char Char Char Char Char Char Char Char Char Char Char Char Char Char Char"/>
    <w:basedOn w:val="4"/>
    <w:uiPriority w:val="0"/>
    <w:pPr>
      <w:keepLines/>
      <w:widowControl w:val="0"/>
      <w:spacing w:line="480" w:lineRule="auto"/>
      <w:jc w:val="both"/>
    </w:pPr>
    <w:rPr>
      <w:rFonts w:ascii="Calibri" w:hAnsi="Calibri" w:eastAsia="宋体" w:cs="Times New Roman"/>
      <w:kern w:val="44"/>
      <w:sz w:val="21"/>
      <w:szCs w:val="20"/>
    </w:rPr>
  </w:style>
  <w:style w:type="paragraph" w:customStyle="1" w:styleId="383">
    <w:name w:val="xl127"/>
    <w:basedOn w:val="1"/>
    <w:uiPriority w:val="0"/>
    <w:pPr>
      <w:widowControl/>
      <w:spacing w:before="100" w:beforeAutospacing="1" w:after="100" w:afterAutospacing="1"/>
      <w:jc w:val="center"/>
      <w:textAlignment w:val="bottom"/>
    </w:pPr>
    <w:rPr>
      <w:rFonts w:ascii="Arial" w:hAnsi="Arial" w:eastAsia="宋体" w:cs="Times New Roman"/>
      <w:kern w:val="0"/>
      <w:sz w:val="18"/>
      <w:szCs w:val="20"/>
    </w:rPr>
  </w:style>
  <w:style w:type="paragraph" w:customStyle="1" w:styleId="384">
    <w:name w:val="font12"/>
    <w:basedOn w:val="1"/>
    <w:uiPriority w:val="0"/>
    <w:pPr>
      <w:widowControl/>
      <w:spacing w:before="100" w:beforeAutospacing="1" w:after="100" w:afterAutospacing="1"/>
      <w:jc w:val="left"/>
    </w:pPr>
    <w:rPr>
      <w:rFonts w:ascii="Arial" w:hAnsi="Arial" w:eastAsia="宋体" w:cs="Times New Roman"/>
      <w:color w:val="FF0000"/>
      <w:kern w:val="0"/>
      <w:sz w:val="18"/>
      <w:szCs w:val="20"/>
    </w:rPr>
  </w:style>
  <w:style w:type="paragraph" w:customStyle="1" w:styleId="385">
    <w:name w:val="中文标题 3"/>
    <w:basedOn w:val="32"/>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386">
    <w:name w:val="正文 首行缩进:  2 字符 Char Char Char Char"/>
    <w:basedOn w:val="1"/>
    <w:uiPriority w:val="0"/>
    <w:pPr>
      <w:spacing w:line="360" w:lineRule="auto"/>
      <w:ind w:firstLine="480"/>
    </w:pPr>
    <w:rPr>
      <w:rFonts w:ascii="Times New Roman" w:hAnsi="Times New Roman" w:eastAsia="楷体_GB2312" w:cs="宋体"/>
      <w:sz w:val="24"/>
    </w:rPr>
  </w:style>
  <w:style w:type="paragraph" w:customStyle="1" w:styleId="387">
    <w:name w:val="xl5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eastAsia="宋体" w:cs="Times New Roman"/>
      <w:kern w:val="0"/>
      <w:sz w:val="24"/>
      <w:szCs w:val="20"/>
    </w:rPr>
  </w:style>
  <w:style w:type="paragraph" w:customStyle="1" w:styleId="388">
    <w:name w:val="段 Char Char"/>
    <w:uiPriority w:val="0"/>
    <w:pPr>
      <w:autoSpaceDE w:val="0"/>
      <w:autoSpaceDN w:val="0"/>
      <w:ind w:firstLine="200" w:firstLineChars="200"/>
      <w:jc w:val="both"/>
    </w:pPr>
    <w:rPr>
      <w:rFonts w:ascii="宋体"/>
      <w:sz w:val="21"/>
      <w:lang w:val="en-US" w:eastAsia="zh-CN" w:bidi="ar-SA"/>
    </w:rPr>
  </w:style>
  <w:style w:type="paragraph" w:customStyle="1" w:styleId="389">
    <w:name w:val="xl101"/>
    <w:basedOn w:val="1"/>
    <w:uiPriority w:val="0"/>
    <w:pPr>
      <w:widowControl/>
      <w:spacing w:before="100" w:beforeAutospacing="1" w:after="100" w:afterAutospacing="1"/>
      <w:jc w:val="center"/>
    </w:pPr>
    <w:rPr>
      <w:rFonts w:ascii="Arial" w:hAnsi="Arial" w:eastAsia="宋体" w:cs="Times New Roman"/>
      <w:kern w:val="0"/>
      <w:sz w:val="18"/>
      <w:szCs w:val="20"/>
    </w:rPr>
  </w:style>
  <w:style w:type="paragraph" w:customStyle="1" w:styleId="390">
    <w:name w:val="样式 仿宋_GB2312 三号"/>
    <w:basedOn w:val="1"/>
    <w:uiPriority w:val="0"/>
    <w:pPr>
      <w:adjustRightInd w:val="0"/>
      <w:snapToGrid w:val="0"/>
      <w:spacing w:line="360" w:lineRule="auto"/>
      <w:ind w:firstLine="560" w:firstLineChars="200"/>
    </w:pPr>
    <w:rPr>
      <w:rFonts w:ascii="仿宋_GB2312" w:hAnsi="Times New Roman" w:eastAsia="仿宋_GB2312" w:cs="宋体"/>
      <w:sz w:val="32"/>
      <w:szCs w:val="20"/>
    </w:rPr>
  </w:style>
  <w:style w:type="paragraph" w:customStyle="1" w:styleId="391">
    <w:name w:val="5 Char"/>
    <w:basedOn w:val="1"/>
    <w:uiPriority w:val="0"/>
    <w:rPr>
      <w:rFonts w:ascii="Times New Roman" w:hAnsi="Times New Roman" w:eastAsia="楷体_GB2312" w:cs="Times New Roman"/>
    </w:rPr>
  </w:style>
  <w:style w:type="paragraph" w:customStyle="1" w:styleId="392">
    <w:name w:val="段 Char"/>
    <w:uiPriority w:val="0"/>
    <w:pPr>
      <w:autoSpaceDE w:val="0"/>
      <w:autoSpaceDN w:val="0"/>
      <w:ind w:firstLine="200" w:firstLineChars="200"/>
      <w:jc w:val="both"/>
    </w:pPr>
    <w:rPr>
      <w:rFonts w:ascii="宋体"/>
      <w:sz w:val="21"/>
      <w:lang w:val="en-US" w:eastAsia="zh-CN" w:bidi="ar-SA"/>
    </w:rPr>
  </w:style>
  <w:style w:type="paragraph" w:customStyle="1" w:styleId="393">
    <w:name w:val="4"/>
    <w:basedOn w:val="1"/>
    <w:next w:val="47"/>
    <w:uiPriority w:val="0"/>
    <w:pPr>
      <w:spacing w:after="120" w:line="480" w:lineRule="auto"/>
      <w:ind w:left="420" w:leftChars="200"/>
    </w:pPr>
    <w:rPr>
      <w:rFonts w:ascii="Times New Roman" w:hAnsi="Times New Roman" w:eastAsia="宋体" w:cs="Times New Roman"/>
      <w:sz w:val="24"/>
      <w:szCs w:val="20"/>
    </w:rPr>
  </w:style>
  <w:style w:type="paragraph" w:customStyle="1" w:styleId="394">
    <w:name w:val="图样式"/>
    <w:basedOn w:val="1"/>
    <w:uiPriority w:val="0"/>
    <w:pPr>
      <w:keepNext/>
      <w:widowControl/>
      <w:tabs>
        <w:tab w:val="left" w:pos="840"/>
      </w:tabs>
      <w:snapToGrid w:val="0"/>
      <w:spacing w:before="80" w:after="80" w:line="300" w:lineRule="auto"/>
      <w:ind w:left="851" w:hanging="420"/>
      <w:jc w:val="center"/>
    </w:pPr>
    <w:rPr>
      <w:rFonts w:ascii="Arial" w:hAnsi="Arial" w:eastAsia="宋体" w:cs="Times New Roman"/>
      <w:kern w:val="0"/>
      <w:szCs w:val="20"/>
    </w:rPr>
  </w:style>
  <w:style w:type="paragraph" w:customStyle="1" w:styleId="395">
    <w:name w:val="列出段落2"/>
    <w:basedOn w:val="1"/>
    <w:uiPriority w:val="0"/>
    <w:pPr>
      <w:ind w:firstLine="420" w:firstLineChars="200"/>
    </w:pPr>
    <w:rPr>
      <w:rFonts w:ascii="Calibri" w:hAnsi="Calibri" w:eastAsia="宋体" w:cs="Times New Roman"/>
      <w:szCs w:val="22"/>
    </w:rPr>
  </w:style>
  <w:style w:type="paragraph" w:customStyle="1" w:styleId="396">
    <w:name w:val=" Char Char1 Char Char Char"/>
    <w:basedOn w:val="1"/>
    <w:uiPriority w:val="0"/>
    <w:rPr>
      <w:rFonts w:ascii="仿宋_GB2312" w:hAnsi="Times New Roman" w:eastAsia="仿宋_GB2312" w:cs="Times New Roman"/>
      <w:b/>
      <w:sz w:val="32"/>
      <w:szCs w:val="20"/>
    </w:rPr>
  </w:style>
  <w:style w:type="paragraph" w:customStyle="1" w:styleId="397">
    <w:name w:val="button"/>
    <w:basedOn w:val="1"/>
    <w:uiPriority w:val="0"/>
    <w:pPr>
      <w:widowControl/>
      <w:spacing w:before="100" w:beforeAutospacing="1" w:after="100" w:afterAutospacing="1"/>
      <w:jc w:val="left"/>
    </w:pPr>
    <w:rPr>
      <w:rFonts w:ascii="Arial Unicode MS" w:hAnsi="Arial Unicode MS" w:eastAsia="宋体" w:cs="Times New Roman"/>
      <w:color w:val="000000"/>
      <w:kern w:val="0"/>
      <w:sz w:val="24"/>
      <w:szCs w:val="20"/>
    </w:rPr>
  </w:style>
  <w:style w:type="paragraph" w:customStyle="1" w:styleId="398">
    <w:name w:val="默认段落字体 Para Char Char Char1 Char"/>
    <w:basedOn w:val="1"/>
    <w:next w:val="1"/>
    <w:uiPriority w:val="0"/>
    <w:pPr>
      <w:spacing w:line="240" w:lineRule="atLeast"/>
      <w:ind w:left="420" w:firstLine="420"/>
      <w:jc w:val="left"/>
    </w:pPr>
    <w:rPr>
      <w:rFonts w:ascii="Times New Roman" w:hAnsi="Times New Roman" w:eastAsia="宋体" w:cs="Times New Roman"/>
      <w:kern w:val="0"/>
      <w:szCs w:val="21"/>
    </w:rPr>
  </w:style>
  <w:style w:type="paragraph" w:customStyle="1" w:styleId="399">
    <w:name w:val="首行缩进正文"/>
    <w:basedOn w:val="1"/>
    <w:uiPriority w:val="0"/>
    <w:pPr>
      <w:spacing w:line="360" w:lineRule="auto"/>
      <w:ind w:firstLine="480"/>
    </w:pPr>
    <w:rPr>
      <w:rFonts w:ascii="Times New Roman" w:hAnsi="Times New Roman" w:eastAsia="楷体_GB2312" w:cs="Times New Roman"/>
      <w:sz w:val="24"/>
      <w:szCs w:val="20"/>
    </w:rPr>
  </w:style>
  <w:style w:type="paragraph" w:customStyle="1" w:styleId="400">
    <w:name w:val="xl4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Times New Roman" w:hAnsi="Times New Roman" w:eastAsia="宋体" w:cs="Times New Roman"/>
      <w:kern w:val="0"/>
      <w:sz w:val="18"/>
      <w:szCs w:val="20"/>
    </w:rPr>
  </w:style>
  <w:style w:type="paragraph" w:customStyle="1" w:styleId="401">
    <w:name w:val="中文标题 4"/>
    <w:basedOn w:val="32"/>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402">
    <w:name w:val="正文 A"/>
    <w:uiPriority w:val="0"/>
    <w:pPr>
      <w:widowControl w:val="0"/>
      <w:jc w:val="both"/>
    </w:pPr>
    <w:rPr>
      <w:rFonts w:hint="eastAsia" w:ascii="Arial Unicode MS" w:hAnsi="Arial Unicode MS"/>
      <w:color w:val="000000"/>
      <w:kern w:val="2"/>
      <w:sz w:val="21"/>
      <w:szCs w:val="22"/>
      <w:u w:val="none" w:color="000000"/>
      <w:lang w:val="en-US" w:eastAsia="zh-CN" w:bidi="ar-SA"/>
    </w:rPr>
  </w:style>
  <w:style w:type="paragraph" w:customStyle="1" w:styleId="403">
    <w:name w:val="xl38"/>
    <w:basedOn w:val="1"/>
    <w:uiPriority w:val="0"/>
    <w:pPr>
      <w:widowControl/>
      <w:spacing w:before="100" w:beforeAutospacing="1" w:after="100" w:afterAutospacing="1"/>
      <w:jc w:val="center"/>
    </w:pPr>
    <w:rPr>
      <w:rFonts w:ascii="Arial" w:hAnsi="Arial" w:eastAsia="宋体" w:cs="Times New Roman"/>
      <w:kern w:val="0"/>
      <w:sz w:val="20"/>
      <w:szCs w:val="20"/>
    </w:rPr>
  </w:style>
  <w:style w:type="paragraph" w:customStyle="1" w:styleId="404">
    <w:name w:val="xl7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eastAsia="宋体" w:cs="Times New Roman"/>
      <w:kern w:val="0"/>
      <w:sz w:val="18"/>
      <w:szCs w:val="20"/>
    </w:rPr>
  </w:style>
  <w:style w:type="paragraph" w:customStyle="1" w:styleId="405">
    <w:name w:val="xl4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eastAsia="宋体" w:cs="Times New Roman"/>
      <w:kern w:val="0"/>
      <w:sz w:val="20"/>
      <w:szCs w:val="20"/>
    </w:rPr>
  </w:style>
  <w:style w:type="paragraph" w:customStyle="1" w:styleId="406">
    <w:name w:val="xl10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eastAsia="宋体" w:cs="Times New Roman"/>
      <w:kern w:val="0"/>
      <w:sz w:val="18"/>
      <w:szCs w:val="20"/>
    </w:rPr>
  </w:style>
  <w:style w:type="paragraph" w:customStyle="1" w:styleId="407">
    <w:name w:val="正文6"/>
    <w:basedOn w:val="1"/>
    <w:uiPriority w:val="0"/>
    <w:pPr>
      <w:numPr>
        <w:ilvl w:val="0"/>
        <w:numId w:val="7"/>
      </w:numPr>
      <w:tabs>
        <w:tab w:val="left" w:pos="900"/>
        <w:tab w:val="clear" w:pos="720"/>
      </w:tabs>
      <w:spacing w:before="156" w:beforeLines="50" w:after="156" w:afterLines="50" w:line="360" w:lineRule="auto"/>
      <w:ind w:left="1290" w:leftChars="500" w:hanging="240" w:hangingChars="100"/>
    </w:pPr>
    <w:rPr>
      <w:rFonts w:ascii="Book Antiqua" w:hAnsi="Book Antiqua" w:eastAsia="楷体_GB2312" w:cs="Times New Roman"/>
      <w:sz w:val="24"/>
      <w:szCs w:val="21"/>
    </w:rPr>
  </w:style>
  <w:style w:type="paragraph" w:customStyle="1" w:styleId="408">
    <w:name w:val="自由格式"/>
    <w:uiPriority w:val="0"/>
    <w:rPr>
      <w:rFonts w:ascii="Cambria" w:hAnsi="Cambria" w:eastAsia="Cambria" w:cs="Cambria"/>
      <w:color w:val="000000"/>
      <w:sz w:val="24"/>
      <w:szCs w:val="24"/>
      <w:lang w:val="en-US" w:eastAsia="zh-CN" w:bidi="ar-SA"/>
    </w:rPr>
  </w:style>
  <w:style w:type="paragraph" w:customStyle="1" w:styleId="409">
    <w:name w:val="正文 首行缩进2字符 Char Char"/>
    <w:basedOn w:val="1"/>
    <w:uiPriority w:val="0"/>
    <w:pPr>
      <w:spacing w:line="360" w:lineRule="auto"/>
      <w:ind w:firstLine="200" w:firstLineChars="200"/>
    </w:pPr>
    <w:rPr>
      <w:rFonts w:ascii="Times New Roman" w:hAnsi="Times New Roman" w:eastAsia="楷体_GB2312" w:cs="Times New Roman"/>
      <w:sz w:val="24"/>
    </w:rPr>
  </w:style>
  <w:style w:type="paragraph" w:customStyle="1" w:styleId="410">
    <w:name w:val="Char"/>
    <w:basedOn w:val="1"/>
    <w:uiPriority w:val="0"/>
    <w:rPr>
      <w:rFonts w:ascii="Times New Roman" w:hAnsi="Times New Roman" w:eastAsia="??_GB2312" w:cs="Times New Roman"/>
      <w:sz w:val="28"/>
    </w:rPr>
  </w:style>
  <w:style w:type="paragraph" w:customStyle="1" w:styleId="411">
    <w:name w:val="正文 2"/>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412">
    <w:name w:val="No Spacing"/>
    <w:uiPriority w:val="0"/>
    <w:rPr>
      <w:rFonts w:eastAsia="??" w:cs="宋体"/>
      <w:sz w:val="22"/>
      <w:szCs w:val="22"/>
      <w:lang w:val="en-US" w:eastAsia="en-US" w:bidi="ar-SA"/>
    </w:rPr>
  </w:style>
  <w:style w:type="paragraph" w:customStyle="1" w:styleId="413">
    <w:name w:val="xl7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w:hAnsi="Arial" w:eastAsia="宋体" w:cs="Times New Roman"/>
      <w:color w:val="FF0000"/>
      <w:kern w:val="0"/>
      <w:sz w:val="18"/>
      <w:szCs w:val="20"/>
    </w:rPr>
  </w:style>
  <w:style w:type="paragraph" w:customStyle="1" w:styleId="414">
    <w:name w:val="xl144"/>
    <w:basedOn w:val="1"/>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pPr>
    <w:rPr>
      <w:rFonts w:ascii="宋体" w:hAnsi="宋体" w:eastAsia="宋体" w:cs="宋体"/>
      <w:kern w:val="0"/>
      <w:sz w:val="24"/>
    </w:rPr>
  </w:style>
  <w:style w:type="paragraph" w:customStyle="1" w:styleId="415">
    <w:name w:val="xl10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Arial" w:hAnsi="Arial" w:eastAsia="宋体" w:cs="Times New Roman"/>
      <w:kern w:val="0"/>
      <w:sz w:val="18"/>
      <w:szCs w:val="20"/>
    </w:rPr>
  </w:style>
  <w:style w:type="paragraph" w:customStyle="1" w:styleId="416">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Times New Roman"/>
      <w:kern w:val="0"/>
      <w:sz w:val="18"/>
      <w:szCs w:val="20"/>
    </w:rPr>
  </w:style>
  <w:style w:type="paragraph" w:customStyle="1" w:styleId="417">
    <w:name w:val="Char Char1 Char Char Char"/>
    <w:basedOn w:val="1"/>
    <w:uiPriority w:val="0"/>
    <w:rPr>
      <w:rFonts w:ascii="仿宋_GB2312" w:hAnsi="Times New Roman" w:eastAsia="仿宋_GB2312" w:cs="Times New Roman"/>
      <w:b/>
      <w:sz w:val="32"/>
      <w:szCs w:val="20"/>
    </w:rPr>
  </w:style>
  <w:style w:type="paragraph" w:customStyle="1" w:styleId="418">
    <w:name w:val="部分1"/>
    <w:basedOn w:val="1"/>
    <w:uiPriority w:val="0"/>
    <w:pPr>
      <w:keepNext/>
      <w:pageBreakBefore/>
      <w:tabs>
        <w:tab w:val="left" w:pos="720"/>
      </w:tabs>
      <w:spacing w:line="360" w:lineRule="auto"/>
      <w:jc w:val="center"/>
      <w:outlineLvl w:val="0"/>
    </w:pPr>
    <w:rPr>
      <w:rFonts w:ascii="Times New Roman" w:hAnsi="Times New Roman" w:eastAsia="??" w:cs="Times New Roman"/>
      <w:b/>
      <w:kern w:val="44"/>
      <w:sz w:val="36"/>
      <w:szCs w:val="28"/>
    </w:rPr>
  </w:style>
  <w:style w:type="paragraph" w:customStyle="1" w:styleId="419">
    <w:name w:val="xl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宋体" w:hAnsi="宋体" w:eastAsia="宋体" w:cs="Times New Roman"/>
      <w:kern w:val="0"/>
      <w:sz w:val="18"/>
      <w:szCs w:val="20"/>
    </w:rPr>
  </w:style>
  <w:style w:type="paragraph" w:customStyle="1" w:styleId="420">
    <w:name w:val="xl72"/>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eastAsia="宋体" w:cs="Times New Roman"/>
      <w:kern w:val="0"/>
      <w:sz w:val="18"/>
      <w:szCs w:val="20"/>
    </w:rPr>
  </w:style>
  <w:style w:type="paragraph" w:customStyle="1" w:styleId="421">
    <w:name w:val="Char Char Char Char1"/>
    <w:basedOn w:val="1"/>
    <w:uiPriority w:val="0"/>
    <w:rPr>
      <w:rFonts w:ascii="Times New Roman" w:hAnsi="Times New Roman" w:eastAsia="宋体" w:cs="Times New Roman"/>
      <w:szCs w:val="20"/>
    </w:rPr>
  </w:style>
  <w:style w:type="paragraph" w:customStyle="1" w:styleId="422">
    <w:name w:val="样式 正文缩进 + 首行缩进:  2 字符"/>
    <w:basedOn w:val="20"/>
    <w:uiPriority w:val="0"/>
    <w:pPr>
      <w:widowControl w:val="0"/>
      <w:spacing w:line="360" w:lineRule="auto"/>
      <w:ind w:firstLine="200" w:firstLineChars="200"/>
      <w:jc w:val="both"/>
    </w:pPr>
    <w:rPr>
      <w:rFonts w:ascii="Times New Roman" w:hAnsi="Times New Roman" w:eastAsia="宋体" w:cs="宋体"/>
      <w:kern w:val="2"/>
      <w:szCs w:val="20"/>
    </w:rPr>
  </w:style>
  <w:style w:type="paragraph" w:customStyle="1" w:styleId="423">
    <w:name w:val="p0"/>
    <w:basedOn w:val="1"/>
    <w:uiPriority w:val="0"/>
    <w:pPr>
      <w:widowControl/>
    </w:pPr>
    <w:rPr>
      <w:rFonts w:ascii="Times New Roman" w:hAnsi="Times New Roman" w:eastAsia="宋体" w:cs="Times New Roman"/>
      <w:kern w:val="0"/>
      <w:szCs w:val="21"/>
    </w:rPr>
  </w:style>
  <w:style w:type="paragraph" w:customStyle="1" w:styleId="424">
    <w:name w:val="编号 2"/>
    <w:basedOn w:val="256"/>
    <w:uiPriority w:val="0"/>
    <w:pPr>
      <w:tabs>
        <w:tab w:val="left" w:pos="1560"/>
        <w:tab w:val="clear" w:pos="1320"/>
      </w:tabs>
      <w:ind w:left="-80"/>
    </w:pPr>
    <w:rPr>
      <w:rFonts w:ascii="Times New Roman" w:hAnsi="Times New Roman" w:eastAsia="宋体" w:cs="Times New Roman"/>
      <w:szCs w:val="20"/>
    </w:rPr>
  </w:style>
  <w:style w:type="paragraph" w:customStyle="1" w:styleId="425">
    <w:name w:val="Char Char Char Char"/>
    <w:basedOn w:val="1"/>
    <w:uiPriority w:val="0"/>
    <w:pPr>
      <w:widowControl/>
      <w:spacing w:after="160" w:line="240" w:lineRule="exact"/>
      <w:jc w:val="left"/>
    </w:pPr>
    <w:rPr>
      <w:rFonts w:ascii="Arial" w:hAnsi="Arial" w:eastAsia="Times New Roman" w:cs="Verdana"/>
      <w:b/>
      <w:kern w:val="0"/>
      <w:sz w:val="24"/>
      <w:szCs w:val="28"/>
      <w:lang w:eastAsia="en-US"/>
    </w:rPr>
  </w:style>
  <w:style w:type="paragraph" w:customStyle="1" w:styleId="426">
    <w:name w:val="Normal_20"/>
    <w:uiPriority w:val="0"/>
    <w:pPr>
      <w:spacing w:before="120" w:after="240"/>
      <w:jc w:val="both"/>
    </w:pPr>
    <w:rPr>
      <w:rFonts w:eastAsia="Calibri"/>
      <w:sz w:val="22"/>
      <w:szCs w:val="22"/>
      <w:lang w:val="ru-RU" w:eastAsia="en-US" w:bidi="ar-SA"/>
    </w:rPr>
  </w:style>
  <w:style w:type="paragraph" w:customStyle="1" w:styleId="427">
    <w:name w:val="xl117"/>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eastAsia="宋体" w:cs="Times New Roman"/>
      <w:color w:val="FF0000"/>
      <w:kern w:val="0"/>
      <w:sz w:val="18"/>
      <w:szCs w:val="20"/>
    </w:rPr>
  </w:style>
  <w:style w:type="paragraph" w:customStyle="1" w:styleId="428">
    <w:name w:val="Char Char Char Char Char Char Char Char Char Char Char Char Char Char Char Char Char Char Char Char Char Char Char Char Char"/>
    <w:basedOn w:val="1"/>
    <w:uiPriority w:val="0"/>
    <w:rPr>
      <w:rFonts w:ascii="Tahoma" w:hAnsi="Tahoma" w:eastAsia="??" w:cs="Tahoma"/>
      <w:sz w:val="24"/>
      <w:szCs w:val="28"/>
    </w:rPr>
  </w:style>
  <w:style w:type="paragraph" w:customStyle="1" w:styleId="429">
    <w:name w:val="xl31"/>
    <w:basedOn w:val="1"/>
    <w:uiPriority w:val="0"/>
    <w:pPr>
      <w:widowControl/>
      <w:pBdr>
        <w:bottom w:val="single" w:color="auto" w:sz="4" w:space="0"/>
      </w:pBdr>
      <w:spacing w:before="100" w:beforeAutospacing="1" w:after="100" w:afterAutospacing="1"/>
      <w:jc w:val="center"/>
    </w:pPr>
    <w:rPr>
      <w:rFonts w:ascii="??" w:hAnsi="??" w:eastAsia="??" w:cs="宋体"/>
      <w:kern w:val="0"/>
      <w:sz w:val="24"/>
    </w:rPr>
  </w:style>
  <w:style w:type="paragraph" w:customStyle="1" w:styleId="430">
    <w:name w:val="word"/>
    <w:basedOn w:val="1"/>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431">
    <w:name w:val=" Char Char Char Char Char Char Char Char"/>
    <w:basedOn w:val="1"/>
    <w:uiPriority w:val="0"/>
    <w:pPr>
      <w:tabs>
        <w:tab w:val="left" w:pos="360"/>
      </w:tabs>
    </w:pPr>
    <w:rPr>
      <w:rFonts w:ascii="Times New Roman" w:hAnsi="Times New Roman" w:eastAsia="宋体" w:cs="Times New Roman"/>
      <w:sz w:val="24"/>
      <w:szCs w:val="20"/>
    </w:rPr>
  </w:style>
  <w:style w:type="paragraph" w:customStyle="1" w:styleId="432">
    <w:name w:val="样式 正文文本缩进 + 仿宋_GB2312 四号"/>
    <w:basedOn w:val="1"/>
    <w:next w:val="9"/>
    <w:uiPriority w:val="0"/>
    <w:pPr>
      <w:widowControl/>
      <w:spacing w:line="360" w:lineRule="auto"/>
      <w:jc w:val="left"/>
    </w:pPr>
    <w:rPr>
      <w:rFonts w:ascii="宋体" w:hAnsi="宋体" w:eastAsia="宋体" w:cs="宋体"/>
      <w:b/>
      <w:snapToGrid w:val="0"/>
      <w:kern w:val="0"/>
      <w:sz w:val="28"/>
      <w:szCs w:val="28"/>
    </w:rPr>
  </w:style>
  <w:style w:type="paragraph" w:customStyle="1" w:styleId="433">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Times New Roman"/>
      <w:color w:val="FF0000"/>
      <w:kern w:val="0"/>
      <w:sz w:val="18"/>
      <w:szCs w:val="20"/>
    </w:rPr>
  </w:style>
  <w:style w:type="paragraph" w:customStyle="1" w:styleId="434">
    <w:name w:val="页眉与页脚"/>
    <w:uiPriority w:val="0"/>
    <w:pPr>
      <w:tabs>
        <w:tab w:val="right" w:pos="9020"/>
      </w:tabs>
    </w:pPr>
    <w:rPr>
      <w:rFonts w:hint="eastAsia" w:ascii="Helvetica" w:hAnsi="Arial Unicode MS" w:eastAsia="Times New Roman"/>
      <w:color w:val="000000"/>
      <w:sz w:val="24"/>
      <w:szCs w:val="22"/>
      <w:lang w:val="en-US" w:eastAsia="zh-CN" w:bidi="ar-SA"/>
    </w:rPr>
  </w:style>
  <w:style w:type="paragraph" w:customStyle="1" w:styleId="435">
    <w:name w:val="中文标题 2"/>
    <w:basedOn w:val="32"/>
    <w:next w:val="32"/>
    <w:uiPriority w:val="0"/>
    <w:pPr>
      <w:spacing w:before="100" w:beforeAutospacing="1" w:after="100" w:afterAutospacing="1" w:line="360" w:lineRule="auto"/>
      <w:ind w:firstLine="482"/>
      <w:outlineLvl w:val="1"/>
    </w:pPr>
    <w:rPr>
      <w:rFonts w:ascii="Times New Roman" w:hAnsi="Times New Roman" w:eastAsia="楷体_GB2312" w:cs="Times New Roman"/>
      <w:kern w:val="28"/>
      <w:sz w:val="24"/>
      <w:szCs w:val="24"/>
    </w:rPr>
  </w:style>
  <w:style w:type="paragraph" w:customStyle="1" w:styleId="436">
    <w:name w:val="正文 首行缩进:  2 字符"/>
    <w:basedOn w:val="1"/>
    <w:uiPriority w:val="0"/>
    <w:pPr>
      <w:spacing w:line="360" w:lineRule="auto"/>
      <w:ind w:firstLine="480" w:firstLineChars="200"/>
    </w:pPr>
    <w:rPr>
      <w:rFonts w:ascii="Times New Roman" w:hAnsi="Times New Roman" w:eastAsia="楷体_GB2312" w:cs="宋体"/>
      <w:sz w:val="24"/>
      <w:szCs w:val="20"/>
    </w:rPr>
  </w:style>
  <w:style w:type="paragraph" w:customStyle="1" w:styleId="437">
    <w:name w:val="xl68"/>
    <w:basedOn w:val="1"/>
    <w:uiPriority w:val="0"/>
    <w:pPr>
      <w:widowControl/>
      <w:pBdr>
        <w:left w:val="single" w:color="auto" w:sz="4" w:space="0"/>
        <w:right w:val="single" w:color="auto" w:sz="4" w:space="0"/>
      </w:pBdr>
      <w:spacing w:before="100" w:beforeAutospacing="1" w:after="100" w:afterAutospacing="1"/>
      <w:jc w:val="left"/>
      <w:textAlignment w:val="bottom"/>
    </w:pPr>
    <w:rPr>
      <w:rFonts w:ascii="宋体" w:hAnsi="宋体" w:eastAsia="宋体" w:cs="Times New Roman"/>
      <w:kern w:val="0"/>
      <w:sz w:val="18"/>
      <w:szCs w:val="20"/>
    </w:rPr>
  </w:style>
  <w:style w:type="paragraph" w:customStyle="1" w:styleId="438">
    <w:name w:val="pa-69"/>
    <w:basedOn w:val="1"/>
    <w:uiPriority w:val="0"/>
    <w:pPr>
      <w:widowControl/>
      <w:spacing w:line="330" w:lineRule="atLeast"/>
      <w:ind w:firstLine="3840"/>
      <w:jc w:val="left"/>
    </w:pPr>
    <w:rPr>
      <w:rFonts w:ascii="宋体" w:hAnsi="宋体" w:eastAsia="宋体" w:cs="宋体"/>
      <w:kern w:val="0"/>
      <w:sz w:val="24"/>
    </w:rPr>
  </w:style>
  <w:style w:type="paragraph" w:customStyle="1" w:styleId="439">
    <w:name w:val="xl11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eastAsia="宋体" w:cs="Times New Roman"/>
      <w:kern w:val="0"/>
      <w:sz w:val="18"/>
      <w:szCs w:val="20"/>
    </w:rPr>
  </w:style>
  <w:style w:type="paragraph" w:customStyle="1" w:styleId="440">
    <w:name w:val="标题4"/>
    <w:basedOn w:val="1"/>
    <w:uiPriority w:val="0"/>
    <w:rPr>
      <w:rFonts w:ascii="Times New Roman" w:hAnsi="Times New Roman" w:eastAsia="??_GB2312" w:cs="Times New Roman"/>
      <w:sz w:val="32"/>
      <w:szCs w:val="28"/>
    </w:rPr>
  </w:style>
  <w:style w:type="paragraph" w:customStyle="1" w:styleId="441">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8"/>
      <w:szCs w:val="20"/>
    </w:rPr>
  </w:style>
  <w:style w:type="paragraph" w:customStyle="1" w:styleId="442">
    <w:name w:val=" Char Char12"/>
    <w:basedOn w:val="1"/>
    <w:uiPriority w:val="0"/>
    <w:rPr>
      <w:rFonts w:ascii="Times New Roman" w:hAnsi="Times New Roman" w:eastAsia="宋体" w:cs="Times New Roman"/>
    </w:rPr>
  </w:style>
  <w:style w:type="paragraph" w:customStyle="1" w:styleId="443">
    <w:name w:val="xl4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eastAsia="宋体" w:cs="Times New Roman"/>
      <w:kern w:val="0"/>
      <w:sz w:val="18"/>
      <w:szCs w:val="20"/>
    </w:rPr>
  </w:style>
  <w:style w:type="paragraph" w:customStyle="1" w:styleId="444">
    <w:name w:val="xl100"/>
    <w:basedOn w:val="1"/>
    <w:uiPriority w:val="0"/>
    <w:pPr>
      <w:widowControl/>
      <w:spacing w:before="100" w:beforeAutospacing="1" w:after="100" w:afterAutospacing="1"/>
      <w:jc w:val="left"/>
    </w:pPr>
    <w:rPr>
      <w:rFonts w:ascii="Arial" w:hAnsi="Arial" w:eastAsia="宋体" w:cs="Times New Roman"/>
      <w:kern w:val="0"/>
      <w:sz w:val="24"/>
      <w:szCs w:val="20"/>
    </w:rPr>
  </w:style>
  <w:style w:type="paragraph" w:customStyle="1" w:styleId="445">
    <w:name w:val="样式 正文首行缩进 + 首行缩进:  1 字符"/>
    <w:basedOn w:val="75"/>
    <w:uiPriority w:val="0"/>
    <w:pPr>
      <w:widowControl/>
      <w:autoSpaceDE/>
      <w:autoSpaceDN/>
      <w:adjustRightInd/>
      <w:spacing w:after="120" w:line="240" w:lineRule="auto"/>
      <w:ind w:firstLine="200" w:firstLineChars="200"/>
      <w:jc w:val="left"/>
    </w:pPr>
    <w:rPr>
      <w:rFonts w:ascii="Times New Roman" w:hAnsi="Times New Roman" w:eastAsia="华文细黑" w:cs="Times New Roman"/>
      <w:kern w:val="0"/>
      <w:szCs w:val="24"/>
      <w:lang w:val="en-US"/>
    </w:rPr>
  </w:style>
  <w:style w:type="paragraph" w:customStyle="1" w:styleId="446">
    <w:name w:val="xl3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eastAsia="宋体" w:cs="Times New Roman"/>
      <w:kern w:val="0"/>
      <w:sz w:val="18"/>
      <w:szCs w:val="20"/>
    </w:rPr>
  </w:style>
  <w:style w:type="paragraph" w:customStyle="1" w:styleId="447">
    <w:name w:val="正文规范1"/>
    <w:basedOn w:val="1"/>
    <w:uiPriority w:val="0"/>
    <w:pPr>
      <w:spacing w:line="360" w:lineRule="auto"/>
      <w:ind w:firstLine="480" w:firstLineChars="200"/>
    </w:pPr>
    <w:rPr>
      <w:rFonts w:ascii="Times New Roman" w:hAnsi="Times New Roman" w:eastAsia="宋体" w:cs="Times New Roman"/>
      <w:sz w:val="24"/>
    </w:rPr>
  </w:style>
  <w:style w:type="paragraph" w:customStyle="1" w:styleId="448">
    <w:name w:val="样式 样式 我的正文首行缩进 + 首行缩进:  2 字符 + 首行缩进:  2 字符 Char Char Char Char Char Char Char Char Char Char Char Char"/>
    <w:basedOn w:val="1"/>
    <w:uiPriority w:val="0"/>
    <w:pPr>
      <w:widowControl/>
      <w:spacing w:after="120"/>
      <w:ind w:firstLine="200" w:firstLineChars="200"/>
      <w:jc w:val="left"/>
    </w:pPr>
    <w:rPr>
      <w:rFonts w:ascii="Times New Roman" w:hAnsi="Times New Roman" w:eastAsia="华文细黑" w:cs="Times New Roman"/>
      <w:kern w:val="0"/>
      <w:sz w:val="24"/>
    </w:rPr>
  </w:style>
  <w:style w:type="paragraph" w:customStyle="1" w:styleId="449">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eastAsia="宋体" w:cs="Times New Roman"/>
      <w:color w:val="FF0000"/>
      <w:kern w:val="0"/>
      <w:sz w:val="18"/>
      <w:szCs w:val="20"/>
    </w:rPr>
  </w:style>
  <w:style w:type="paragraph" w:customStyle="1" w:styleId="450">
    <w:name w:val="font13"/>
    <w:basedOn w:val="1"/>
    <w:uiPriority w:val="0"/>
    <w:pPr>
      <w:widowControl/>
      <w:spacing w:before="100" w:beforeAutospacing="1" w:after="100" w:afterAutospacing="1"/>
      <w:jc w:val="left"/>
    </w:pPr>
    <w:rPr>
      <w:rFonts w:ascii="Arial" w:hAnsi="Arial" w:eastAsia="宋体" w:cs="Times New Roman"/>
      <w:kern w:val="0"/>
      <w:sz w:val="24"/>
      <w:szCs w:val="20"/>
    </w:rPr>
  </w:style>
  <w:style w:type="paragraph" w:customStyle="1" w:styleId="451">
    <w:name w:val="样式 标题 1H1标书1h1Level 1 Topic Heading1st levelSection Headl..."/>
    <w:basedOn w:val="4"/>
    <w:uiPriority w:val="0"/>
    <w:pPr>
      <w:keepNext w:val="0"/>
      <w:keepLines/>
      <w:widowControl w:val="0"/>
      <w:tabs>
        <w:tab w:val="left" w:pos="432"/>
        <w:tab w:val="left" w:pos="780"/>
      </w:tabs>
      <w:spacing w:before="340" w:beforeLines="50" w:after="330" w:afterLines="50" w:line="578" w:lineRule="auto"/>
      <w:ind w:left="420" w:leftChars="100" w:right="210" w:rightChars="100" w:firstLine="160" w:firstLineChars="50"/>
      <w:jc w:val="both"/>
    </w:pPr>
    <w:rPr>
      <w:rFonts w:ascii="Times New Roman" w:hAnsi="Times New Roman" w:eastAsia="楷体_GB2312" w:cs="Times New Roman"/>
      <w:bCs/>
      <w:kern w:val="44"/>
      <w:szCs w:val="20"/>
    </w:rPr>
  </w:style>
  <w:style w:type="paragraph" w:customStyle="1" w:styleId="452">
    <w:name w:val="封面一致性程度标识"/>
    <w:uiPriority w:val="0"/>
    <w:pPr>
      <w:spacing w:before="440" w:line="400" w:lineRule="exact"/>
      <w:jc w:val="center"/>
    </w:pPr>
    <w:rPr>
      <w:rFonts w:ascii="宋体"/>
      <w:sz w:val="28"/>
      <w:lang w:val="en-US" w:eastAsia="zh-CN" w:bidi="ar-SA"/>
    </w:rPr>
  </w:style>
  <w:style w:type="paragraph" w:customStyle="1" w:styleId="453">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kern w:val="0"/>
      <w:sz w:val="20"/>
      <w:szCs w:val="20"/>
    </w:rPr>
  </w:style>
  <w:style w:type="paragraph" w:customStyle="1" w:styleId="454">
    <w:name w:val="标题 ４"/>
    <w:basedOn w:val="6"/>
    <w:uiPriority w:val="0"/>
    <w:pPr>
      <w:widowControl w:val="0"/>
      <w:numPr>
        <w:ilvl w:val="2"/>
        <w:numId w:val="0"/>
      </w:numPr>
      <w:tabs>
        <w:tab w:val="left" w:pos="993"/>
        <w:tab w:val="left" w:pos="1980"/>
      </w:tabs>
      <w:spacing w:before="260" w:after="260" w:line="416" w:lineRule="auto"/>
      <w:ind w:left="1980" w:hanging="420"/>
      <w:jc w:val="both"/>
    </w:pPr>
    <w:rPr>
      <w:rFonts w:ascii="Times New Roman" w:hAnsi="Times New Roman" w:eastAsia="宋体" w:cs="Times New Roman"/>
      <w:bCs/>
      <w:kern w:val="2"/>
      <w:szCs w:val="32"/>
    </w:rPr>
  </w:style>
  <w:style w:type="paragraph" w:customStyle="1" w:styleId="455">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Times New Roman"/>
      <w:color w:val="FF0000"/>
      <w:kern w:val="0"/>
      <w:sz w:val="18"/>
      <w:szCs w:val="20"/>
    </w:rPr>
  </w:style>
  <w:style w:type="paragraph" w:customStyle="1" w:styleId="456">
    <w:name w:val="xl70"/>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eastAsia="宋体" w:cs="Times New Roman"/>
      <w:kern w:val="0"/>
      <w:sz w:val="20"/>
      <w:szCs w:val="20"/>
    </w:rPr>
  </w:style>
  <w:style w:type="paragraph" w:customStyle="1" w:styleId="457">
    <w:name w:val="标准小四"/>
    <w:basedOn w:val="1"/>
    <w:uiPriority w:val="0"/>
    <w:pPr>
      <w:spacing w:line="360" w:lineRule="auto"/>
      <w:ind w:firstLine="480" w:firstLineChars="200"/>
    </w:pPr>
    <w:rPr>
      <w:rFonts w:ascii="Arial" w:hAnsi="Arial" w:eastAsia="宋体" w:cs="Times New Roman"/>
      <w:sz w:val="24"/>
      <w:szCs w:val="20"/>
    </w:rPr>
  </w:style>
  <w:style w:type="paragraph" w:customStyle="1" w:styleId="458">
    <w:name w:val="列出段落1"/>
    <w:basedOn w:val="1"/>
    <w:uiPriority w:val="0"/>
    <w:pPr>
      <w:snapToGrid w:val="0"/>
      <w:spacing w:line="276" w:lineRule="auto"/>
      <w:ind w:firstLine="420" w:firstLineChars="200"/>
    </w:pPr>
    <w:rPr>
      <w:rFonts w:ascii="Calibri" w:hAnsi="Calibri" w:eastAsia="微软雅黑" w:cs="Times New Roman"/>
      <w:sz w:val="24"/>
      <w:szCs w:val="21"/>
    </w:rPr>
  </w:style>
  <w:style w:type="paragraph" w:customStyle="1" w:styleId="459">
    <w:name w:val="条1"/>
    <w:basedOn w:val="1"/>
    <w:uiPriority w:val="0"/>
    <w:pPr>
      <w:tabs>
        <w:tab w:val="left" w:pos="900"/>
      </w:tabs>
      <w:spacing w:before="156" w:line="360" w:lineRule="auto"/>
      <w:ind w:left="900" w:hanging="420"/>
    </w:pPr>
    <w:rPr>
      <w:rFonts w:ascii="Times New Roman" w:hAnsi="Times New Roman" w:eastAsia="黑体" w:cs="Times New Roman"/>
      <w:sz w:val="24"/>
      <w:szCs w:val="20"/>
    </w:rPr>
  </w:style>
  <w:style w:type="paragraph" w:customStyle="1" w:styleId="460">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461">
    <w:name w:val=" Char"/>
    <w:basedOn w:val="1"/>
    <w:uiPriority w:val="0"/>
    <w:rPr>
      <w:rFonts w:ascii="仿宋_GB2312" w:hAnsi="Times New Roman" w:eastAsia="仿宋_GB2312" w:cs="Times New Roman"/>
      <w:b/>
      <w:sz w:val="32"/>
      <w:szCs w:val="32"/>
    </w:rPr>
  </w:style>
  <w:style w:type="paragraph" w:customStyle="1" w:styleId="462">
    <w:name w:val="正文内"/>
    <w:basedOn w:val="1"/>
    <w:uiPriority w:val="0"/>
    <w:pPr>
      <w:spacing w:line="400" w:lineRule="exact"/>
      <w:ind w:firstLine="200" w:firstLineChars="200"/>
    </w:pPr>
    <w:rPr>
      <w:rFonts w:ascii="??" w:hAnsi="??" w:eastAsia="??" w:cs="宋体"/>
      <w:szCs w:val="28"/>
    </w:rPr>
  </w:style>
  <w:style w:type="paragraph" w:customStyle="1" w:styleId="463">
    <w:name w:val="af17cgridlangnp1033langf"/>
    <w:uiPriority w:val="0"/>
    <w:pPr>
      <w:widowControl w:val="0"/>
      <w:autoSpaceDE w:val="0"/>
      <w:autoSpaceDN w:val="0"/>
      <w:adjustRightInd w:val="0"/>
      <w:spacing w:before="156" w:line="360" w:lineRule="atLeast"/>
      <w:ind w:left="567" w:firstLine="510"/>
      <w:jc w:val="both"/>
    </w:pPr>
    <w:rPr>
      <w:rFonts w:eastAsia="??"/>
      <w:szCs w:val="28"/>
      <w:lang w:val="en-US" w:eastAsia="zh-CN" w:bidi="ar-SA"/>
    </w:rPr>
  </w:style>
  <w:style w:type="paragraph" w:customStyle="1" w:styleId="464">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Times New Roman"/>
      <w:kern w:val="0"/>
      <w:sz w:val="20"/>
      <w:szCs w:val="20"/>
    </w:rPr>
  </w:style>
  <w:style w:type="paragraph" w:customStyle="1" w:styleId="465">
    <w:name w:val="xl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0"/>
    </w:rPr>
  </w:style>
  <w:style w:type="paragraph" w:customStyle="1" w:styleId="466">
    <w:name w:val="font7"/>
    <w:basedOn w:val="1"/>
    <w:uiPriority w:val="0"/>
    <w:pPr>
      <w:widowControl/>
      <w:spacing w:before="100" w:beforeAutospacing="1" w:after="100" w:afterAutospacing="1"/>
      <w:jc w:val="left"/>
    </w:pPr>
    <w:rPr>
      <w:rFonts w:ascii="Arial" w:hAnsi="Arial" w:eastAsia="宋体" w:cs="Times New Roman"/>
      <w:kern w:val="0"/>
      <w:sz w:val="20"/>
      <w:szCs w:val="20"/>
    </w:rPr>
  </w:style>
  <w:style w:type="paragraph" w:customStyle="1" w:styleId="467">
    <w:name w:val="默认段落字体 Para Char"/>
    <w:basedOn w:val="1"/>
    <w:uiPriority w:val="0"/>
    <w:rPr>
      <w:rFonts w:ascii="Tahoma" w:hAnsi="Tahoma" w:eastAsia="宋体" w:cs="Times New Roman"/>
      <w:sz w:val="24"/>
      <w:szCs w:val="20"/>
    </w:rPr>
  </w:style>
  <w:style w:type="paragraph" w:customStyle="1" w:styleId="468">
    <w:name w:val="xl14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eastAsia="宋体" w:cs="Times New Roman"/>
      <w:kern w:val="0"/>
      <w:sz w:val="24"/>
      <w:szCs w:val="20"/>
    </w:rPr>
  </w:style>
  <w:style w:type="paragraph" w:customStyle="1" w:styleId="469">
    <w:name w:val="Body text|1"/>
    <w:basedOn w:val="1"/>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CN" w:eastAsia="zh-CN" w:bidi="zh-CN"/>
    </w:rPr>
  </w:style>
  <w:style w:type="paragraph" w:customStyle="1" w:styleId="470">
    <w:name w:val="正文文字表格居中"/>
    <w:basedOn w:val="1"/>
    <w:next w:val="68"/>
    <w:uiPriority w:val="0"/>
    <w:pPr>
      <w:snapToGrid w:val="0"/>
      <w:spacing w:line="360" w:lineRule="auto"/>
    </w:pPr>
    <w:rPr>
      <w:rFonts w:ascii="宋体" w:hAnsi="Times New Roman" w:eastAsia="宋体" w:cs="Times New Roman"/>
      <w:b/>
      <w:sz w:val="24"/>
      <w:szCs w:val="20"/>
    </w:rPr>
  </w:style>
  <w:style w:type="paragraph" w:customStyle="1" w:styleId="471">
    <w:name w:val="内文正文"/>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472">
    <w:name w:val=" Char2 Char Char"/>
    <w:basedOn w:val="1"/>
    <w:uiPriority w:val="0"/>
    <w:rPr>
      <w:rFonts w:ascii="Tahoma" w:hAnsi="Tahoma" w:eastAsia="宋体" w:cs="Times New Roman"/>
      <w:sz w:val="24"/>
      <w:szCs w:val="20"/>
    </w:rPr>
  </w:style>
  <w:style w:type="paragraph" w:customStyle="1" w:styleId="473">
    <w:name w:val="正文蓝"/>
    <w:basedOn w:val="1"/>
    <w:uiPriority w:val="0"/>
    <w:pPr>
      <w:spacing w:before="156" w:line="360" w:lineRule="auto"/>
      <w:ind w:firstLine="360" w:firstLineChars="200"/>
    </w:pPr>
    <w:rPr>
      <w:rFonts w:ascii="仿宋_GB2312" w:hAnsi="Times New Roman" w:eastAsia="仿宋_GB2312" w:cs="Times New Roman"/>
      <w:color w:val="000080"/>
      <w:sz w:val="24"/>
      <w:szCs w:val="20"/>
    </w:rPr>
  </w:style>
  <w:style w:type="paragraph" w:customStyle="1" w:styleId="474">
    <w:name w:val="font5"/>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475">
    <w:name w:val="模板普通正文"/>
    <w:basedOn w:val="32"/>
    <w:uiPriority w:val="0"/>
    <w:pPr>
      <w:spacing w:before="156" w:beforeLines="50" w:after="10" w:line="360" w:lineRule="auto"/>
      <w:ind w:firstLine="490" w:firstLineChars="175"/>
      <w:jc w:val="left"/>
    </w:pPr>
    <w:rPr>
      <w:rFonts w:ascii="Times New Roman" w:hAnsi="Times New Roman" w:eastAsia="楷体_GB2312" w:cs="Times New Roman"/>
      <w:sz w:val="24"/>
      <w:szCs w:val="24"/>
    </w:rPr>
  </w:style>
  <w:style w:type="paragraph" w:customStyle="1" w:styleId="476">
    <w:name w:val="列出段落3"/>
    <w:basedOn w:val="1"/>
    <w:uiPriority w:val="0"/>
    <w:pPr>
      <w:snapToGrid w:val="0"/>
      <w:spacing w:line="276" w:lineRule="auto"/>
      <w:ind w:firstLine="420" w:firstLineChars="200"/>
    </w:pPr>
    <w:rPr>
      <w:rFonts w:ascii="Calibri" w:hAnsi="Calibri" w:eastAsia="微软雅黑" w:cs="Times New Roman"/>
      <w:sz w:val="24"/>
      <w:szCs w:val="21"/>
    </w:rPr>
  </w:style>
  <w:style w:type="paragraph" w:customStyle="1" w:styleId="477">
    <w:name w:val="xl5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eastAsia="宋体" w:cs="Times New Roman"/>
      <w:kern w:val="0"/>
      <w:sz w:val="24"/>
      <w:szCs w:val="20"/>
    </w:rPr>
  </w:style>
  <w:style w:type="paragraph" w:customStyle="1" w:styleId="478">
    <w:name w:val="a1"/>
    <w:basedOn w:val="1"/>
    <w:uiPriority w:val="0"/>
    <w:pPr>
      <w:widowControl/>
      <w:spacing w:line="300" w:lineRule="atLeast"/>
      <w:jc w:val="left"/>
    </w:pPr>
    <w:rPr>
      <w:rFonts w:ascii="宋体" w:hAnsi="宋体" w:eastAsia="宋体" w:cs="Times New Roman"/>
      <w:kern w:val="0"/>
      <w:sz w:val="18"/>
      <w:szCs w:val="20"/>
    </w:rPr>
  </w:style>
  <w:style w:type="paragraph" w:customStyle="1" w:styleId="479">
    <w:name w:val="List Paragraph"/>
    <w:basedOn w:val="1"/>
    <w:uiPriority w:val="0"/>
    <w:pPr>
      <w:ind w:firstLine="420" w:firstLineChars="200"/>
    </w:pPr>
    <w:rPr>
      <w:rFonts w:ascii="Times New Roman" w:hAnsi="Times New Roman" w:eastAsia="宋体" w:cs="Times New Roman"/>
      <w:szCs w:val="20"/>
    </w:rPr>
  </w:style>
  <w:style w:type="paragraph" w:customStyle="1" w:styleId="480">
    <w:name w:val="font11"/>
    <w:basedOn w:val="1"/>
    <w:uiPriority w:val="0"/>
    <w:pPr>
      <w:widowControl/>
      <w:spacing w:before="100" w:beforeAutospacing="1" w:after="100" w:afterAutospacing="1"/>
      <w:jc w:val="left"/>
    </w:pPr>
    <w:rPr>
      <w:rFonts w:ascii="宋体" w:hAnsi="宋体" w:eastAsia="宋体" w:cs="Times New Roman"/>
      <w:color w:val="FF0000"/>
      <w:kern w:val="0"/>
      <w:sz w:val="18"/>
      <w:szCs w:val="20"/>
    </w:rPr>
  </w:style>
  <w:style w:type="paragraph" w:customStyle="1" w:styleId="481">
    <w:name w:val="中文标题 1"/>
    <w:basedOn w:val="32"/>
    <w:next w:val="32"/>
    <w:uiPriority w:val="0"/>
    <w:pPr>
      <w:keepNext/>
      <w:spacing w:before="156" w:beforeLines="50" w:after="100" w:afterAutospacing="1" w:line="360" w:lineRule="auto"/>
      <w:ind w:firstLine="482"/>
      <w:outlineLvl w:val="0"/>
    </w:pPr>
    <w:rPr>
      <w:rFonts w:ascii="Times New Roman" w:hAnsi="Times New Roman" w:eastAsia="楷体_GB2312" w:cs="Times New Roman"/>
      <w:kern w:val="28"/>
      <w:sz w:val="24"/>
      <w:szCs w:val="24"/>
    </w:rPr>
  </w:style>
  <w:style w:type="paragraph" w:customStyle="1" w:styleId="482">
    <w:name w:val="xl14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eastAsia="宋体" w:cs="宋体"/>
      <w:kern w:val="0"/>
      <w:sz w:val="20"/>
      <w:szCs w:val="20"/>
    </w:rPr>
  </w:style>
  <w:style w:type="paragraph" w:customStyle="1" w:styleId="483">
    <w:name w:val="标题1"/>
    <w:basedOn w:val="1"/>
    <w:uiPriority w:val="0"/>
    <w:pPr>
      <w:widowControl/>
      <w:tabs>
        <w:tab w:val="left" w:pos="450"/>
      </w:tabs>
      <w:autoSpaceDE w:val="0"/>
      <w:autoSpaceDN w:val="0"/>
      <w:adjustRightInd w:val="0"/>
      <w:spacing w:before="240" w:after="240"/>
      <w:jc w:val="left"/>
      <w:textAlignment w:val="center"/>
    </w:pPr>
    <w:rPr>
      <w:rFonts w:ascii="宋体" w:hAnsi="Times New Roman" w:eastAsia="楷体_GB2312" w:cs="Times New Roman"/>
      <w:b/>
      <w:kern w:val="0"/>
      <w:sz w:val="32"/>
      <w:szCs w:val="20"/>
    </w:rPr>
  </w:style>
  <w:style w:type="paragraph" w:customStyle="1" w:styleId="484">
    <w:name w:val="中等深浅网格 21"/>
    <w:uiPriority w:val="0"/>
    <w:pPr>
      <w:widowControl w:val="0"/>
      <w:jc w:val="both"/>
    </w:pPr>
    <w:rPr>
      <w:kern w:val="2"/>
      <w:sz w:val="21"/>
      <w:szCs w:val="22"/>
      <w:lang w:val="en-US" w:eastAsia="zh-CN" w:bidi="ar-SA"/>
    </w:rPr>
  </w:style>
  <w:style w:type="paragraph" w:customStyle="1" w:styleId="485">
    <w:name w:val="文档正文"/>
    <w:basedOn w:val="1"/>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486">
    <w:name w:val="_Style 47"/>
    <w:basedOn w:val="1"/>
    <w:uiPriority w:val="0"/>
    <w:rPr>
      <w:rFonts w:ascii="仿宋_GB2312" w:hAnsi="Times New Roman" w:eastAsia="仿宋_GB2312" w:cs="Times New Roman"/>
      <w:b/>
      <w:sz w:val="32"/>
      <w:szCs w:val="32"/>
    </w:rPr>
  </w:style>
  <w:style w:type="paragraph" w:customStyle="1" w:styleId="487">
    <w:name w:val="大标题"/>
    <w:basedOn w:val="1"/>
    <w:next w:val="1"/>
    <w:uiPriority w:val="0"/>
    <w:pPr>
      <w:pageBreakBefore/>
      <w:tabs>
        <w:tab w:val="left" w:pos="900"/>
      </w:tabs>
      <w:spacing w:line="360" w:lineRule="auto"/>
      <w:ind w:hanging="420" w:firstLineChars="200"/>
      <w:outlineLvl w:val="0"/>
    </w:pPr>
    <w:rPr>
      <w:rFonts w:ascii="Times New Roman" w:hAnsi="Times New Roman" w:eastAsia="宋体" w:cs="Times New Roman"/>
      <w:b/>
      <w:iCs/>
      <w:sz w:val="44"/>
    </w:rPr>
  </w:style>
  <w:style w:type="paragraph" w:customStyle="1" w:styleId="488">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宋体" w:cs="Times New Roman"/>
      <w:color w:val="FF0000"/>
      <w:kern w:val="0"/>
      <w:sz w:val="18"/>
      <w:szCs w:val="20"/>
    </w:rPr>
  </w:style>
  <w:style w:type="paragraph" w:customStyle="1" w:styleId="489">
    <w:name w:val=" Char Char1"/>
    <w:basedOn w:val="1"/>
    <w:uiPriority w:val="0"/>
    <w:pPr>
      <w:widowControl/>
      <w:spacing w:after="160" w:line="240" w:lineRule="exact"/>
      <w:jc w:val="left"/>
    </w:pPr>
    <w:rPr>
      <w:rFonts w:ascii="Times New Roman" w:hAnsi="Times New Roman" w:eastAsia="仿宋_GB2312" w:cs="Times New Roman"/>
      <w:sz w:val="28"/>
      <w:szCs w:val="20"/>
    </w:rPr>
  </w:style>
  <w:style w:type="paragraph" w:customStyle="1" w:styleId="490">
    <w:name w:val="1册标题1"/>
    <w:basedOn w:val="1"/>
    <w:next w:val="1"/>
    <w:uiPriority w:val="0"/>
    <w:pPr>
      <w:spacing w:before="156" w:beforeLines="50" w:after="156" w:afterLines="50" w:line="300" w:lineRule="auto"/>
      <w:jc w:val="center"/>
      <w:outlineLvl w:val="0"/>
    </w:pPr>
    <w:rPr>
      <w:rFonts w:ascii="Arial" w:hAnsi="Arial" w:eastAsia="黑体" w:cs="Times New Roman"/>
      <w:b/>
      <w:bCs/>
      <w:sz w:val="48"/>
      <w:szCs w:val="20"/>
    </w:rPr>
  </w:style>
  <w:style w:type="paragraph" w:customStyle="1" w:styleId="491">
    <w:name w:val="xl1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eastAsia="宋体" w:cs="Times New Roman"/>
      <w:kern w:val="0"/>
      <w:sz w:val="18"/>
      <w:szCs w:val="20"/>
    </w:rPr>
  </w:style>
  <w:style w:type="table" w:customStyle="1" w:styleId="492">
    <w:name w:val="Table Normal1"/>
    <w:uiPriority w:val="0"/>
    <w:rPr>
      <w:lang w:val="en-US" w:eastAsia="zh-CN" w:bidi="ar-SA"/>
    </w:rPr>
    <w:tblPr>
      <w:tblStyle w:val="77"/>
      <w:tblCellMar>
        <w:top w:w="0" w:type="dxa"/>
        <w:left w:w="0" w:type="dxa"/>
        <w:bottom w:w="0" w:type="dxa"/>
        <w:right w:w="0" w:type="dxa"/>
      </w:tblCellMar>
    </w:tblPr>
  </w:style>
  <w:style w:type="table" w:customStyle="1" w:styleId="493">
    <w:name w:val="TableGrid"/>
    <w:uiPriority w:val="0"/>
    <w:rPr>
      <w:rFonts w:ascii="等线" w:hAnsi="等线" w:eastAsia="等线"/>
      <w:lang w:val="en-US" w:eastAsia="zh-CN" w:bidi="ar-SA"/>
    </w:rPr>
    <w:tblPr>
      <w:tblStyle w:val="77"/>
      <w:tblCellMar>
        <w:top w:w="0" w:type="dxa"/>
        <w:left w:w="0" w:type="dxa"/>
        <w:bottom w:w="0" w:type="dxa"/>
        <w:right w:w="0" w:type="dxa"/>
      </w:tblCellMar>
    </w:tblPr>
  </w:style>
  <w:style w:type="table" w:customStyle="1" w:styleId="494">
    <w:name w:val="中等深浅网格 2 - 强调文字颜色 11"/>
    <w:basedOn w:val="77"/>
    <w:uiPriority w:val="0"/>
    <w:rPr>
      <w:rFonts w:ascii="Cambria" w:hAnsi="Cambria" w:eastAsia="宋体" w:cs="Times New Roman"/>
      <w:color w:val="000000"/>
    </w:rPr>
    <w:tblPr>
      <w:tblStyle w:val="77"/>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tblPr>
        <w:tblStyle w:val="77"/>
      </w:tblPr>
      <w:tcPr>
        <w:shd w:val="clear" w:color="auto" w:fill="EDF2F8"/>
      </w:tcPr>
    </w:tblStylePr>
    <w:tblStylePr w:type="lastRow">
      <w:tblPr>
        <w:tblStyle w:val="77"/>
      </w:tblPr>
      <w:tcPr>
        <w:tcBorders>
          <w:top w:val="single" w:color="auto" w:sz="12" w:space="0"/>
          <w:left w:val="nil"/>
          <w:bottom w:val="nil"/>
          <w:right w:val="nil"/>
          <w:insideH w:val="nil"/>
          <w:insideV w:val="nil"/>
          <w:tl2br w:val="nil"/>
          <w:tr2bl w:val="nil"/>
        </w:tcBorders>
        <w:shd w:val="clear" w:color="auto" w:fill="FFFFFF"/>
      </w:tcPr>
    </w:tblStylePr>
    <w:tblStylePr w:type="firstCol">
      <w:tblPr>
        <w:tblStyle w:val="77"/>
      </w:tblPr>
      <w:tcPr>
        <w:tcBorders>
          <w:top w:val="nil"/>
          <w:left w:val="nil"/>
          <w:bottom w:val="nil"/>
          <w:right w:val="nil"/>
          <w:insideH w:val="nil"/>
          <w:insideV w:val="nil"/>
          <w:tl2br w:val="nil"/>
          <w:tr2bl w:val="nil"/>
        </w:tcBorders>
        <w:shd w:val="clear" w:color="auto" w:fill="FFFFFF"/>
      </w:tcPr>
    </w:tblStylePr>
    <w:tblStylePr w:type="lastCol">
      <w:tblPr>
        <w:tblStyle w:val="77"/>
      </w:tblPr>
      <w:tcPr>
        <w:tcBorders>
          <w:top w:val="nil"/>
          <w:left w:val="nil"/>
          <w:bottom w:val="nil"/>
          <w:right w:val="nil"/>
          <w:insideH w:val="nil"/>
          <w:insideV w:val="nil"/>
          <w:tl2br w:val="nil"/>
          <w:tr2bl w:val="nil"/>
        </w:tcBorders>
        <w:shd w:val="clear" w:color="auto" w:fill="DBE5F1"/>
      </w:tcPr>
    </w:tblStylePr>
    <w:tblStylePr w:type="band1Vert">
      <w:tblPr>
        <w:tblStyle w:val="77"/>
      </w:tblPr>
      <w:tcPr>
        <w:shd w:val="clear" w:color="auto" w:fill="A7C0DE"/>
      </w:tcPr>
    </w:tblStylePr>
    <w:tblStylePr w:type="band1Horz">
      <w:tblPr>
        <w:tblStyle w:val="77"/>
      </w:tblPr>
      <w:tcPr>
        <w:shd w:val="clear" w:color="auto" w:fill="A7C0DE"/>
      </w:tcPr>
    </w:tblStylePr>
    <w:tblStylePr w:type="nwCell">
      <w:tblPr>
        <w:tblStyle w:val="77"/>
      </w:tblPr>
      <w:tcPr>
        <w:shd w:val="clear" w:color="auto" w:fill="FFFFFF"/>
      </w:tcPr>
    </w:tblStylePr>
  </w:style>
  <w:style w:type="table" w:customStyle="1" w:styleId="495">
    <w:name w:val="Table Normal"/>
    <w:uiPriority w:val="0"/>
    <w:rPr>
      <w:lang w:val="en-US" w:eastAsia="zh-CN" w:bidi="ar-SA"/>
    </w:rPr>
    <w:tblPr>
      <w:tblStyle w:val="77"/>
      <w:tblCellMar>
        <w:top w:w="0" w:type="dxa"/>
        <w:left w:w="0" w:type="dxa"/>
        <w:bottom w:w="0" w:type="dxa"/>
        <w:right w:w="0" w:type="dxa"/>
      </w:tblCellMar>
    </w:tblPr>
  </w:style>
  <w:style w:type="table" w:customStyle="1" w:styleId="496">
    <w:name w:val="Table Normal2"/>
    <w:uiPriority w:val="0"/>
    <w:rPr>
      <w:lang w:val="en-US" w:eastAsia="zh-CN" w:bidi="ar-SA"/>
    </w:rPr>
    <w:tblPr>
      <w:tblStyle w:val="77"/>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theme/theme1.xml" Type="http://schemas.openxmlformats.org/officeDocument/2006/relationships/theme"/><Relationship Id="rId6" Target="media/image1.png" Type="http://schemas.openxmlformats.org/officeDocument/2006/relationships/imag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5027</Words>
  <Characters>28660</Characters>
  <Lines>238</Lines>
  <Paragraphs>67</Paragraphs>
  <TotalTime>65</TotalTime>
  <ScaleCrop>false</ScaleCrop>
  <LinksUpToDate>false</LinksUpToDate>
  <CharactersWithSpaces>33620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2021-11-26T02:58:00Z</dcterms:created>
  <dc:creator>CBC</dc:creator>
  <cp:lastModifiedBy>zcy</cp:lastModifiedBy>
  <cp:lastPrinted>2020-03-30T04:33:00Z</cp:lastPrinted>
  <dcterms:modified xsi:type="dcterms:W3CDTF">2024-01-31T05:11:16Z</dcterms:modified>
  <cp:revision>3</cp:revision>
  <dc:title>余杭街道太炎小学报告厅、合班教室（兼会议室）专用设备采购项目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69504266792F427D8AAE2C1A2E26AA26_13</vt:lpwstr>
  </property>
</Properties>
</file>