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44"/>
          <w:szCs w:val="44"/>
          <w:highlight w:val="none"/>
        </w:rPr>
      </w:pPr>
    </w:p>
    <w:p>
      <w:pPr>
        <w:adjustRightInd/>
        <w:spacing w:line="360" w:lineRule="auto"/>
        <w:jc w:val="center"/>
        <w:rPr>
          <w:rFonts w:hint="eastAsia" w:ascii="宋体" w:hAnsi="宋体" w:eastAsia="宋体" w:cs="宋体"/>
          <w:b/>
          <w:color w:val="auto"/>
          <w:sz w:val="48"/>
          <w:szCs w:val="48"/>
          <w:highlight w:val="none"/>
        </w:rPr>
      </w:pPr>
    </w:p>
    <w:p>
      <w:pPr>
        <w:adjustRightInd/>
        <w:spacing w:line="360" w:lineRule="auto"/>
        <w:jc w:val="center"/>
        <w:rPr>
          <w:rFonts w:hint="eastAsia" w:ascii="宋体" w:hAnsi="宋体" w:eastAsia="宋体" w:cs="宋体"/>
          <w:color w:val="auto"/>
          <w:sz w:val="48"/>
          <w:szCs w:val="48"/>
          <w:highlight w:val="none"/>
          <w:lang w:eastAsia="zh-CN"/>
        </w:rPr>
      </w:pPr>
      <w:r>
        <w:rPr>
          <w:rFonts w:hint="eastAsia" w:ascii="宋体" w:hAnsi="宋体" w:eastAsia="宋体" w:cs="宋体"/>
          <w:color w:val="auto"/>
          <w:sz w:val="48"/>
          <w:szCs w:val="48"/>
          <w:highlight w:val="none"/>
          <w:lang w:eastAsia="zh-CN"/>
        </w:rPr>
        <w:t>塘栖镇镇区保洁翠紫河以北项目</w:t>
      </w:r>
    </w:p>
    <w:p>
      <w:pPr>
        <w:adjustRightInd/>
        <w:spacing w:line="360" w:lineRule="auto"/>
        <w:jc w:val="center"/>
        <w:rPr>
          <w:rFonts w:hint="eastAsia" w:ascii="宋体" w:hAnsi="宋体" w:eastAsia="宋体" w:cs="宋体"/>
          <w:color w:val="auto"/>
          <w:sz w:val="48"/>
          <w:szCs w:val="48"/>
          <w:highlight w:val="none"/>
        </w:rPr>
      </w:pPr>
      <w:r>
        <w:rPr>
          <w:rFonts w:hint="eastAsia" w:ascii="宋体" w:hAnsi="宋体" w:eastAsia="宋体" w:cs="宋体"/>
          <w:color w:val="auto"/>
          <w:sz w:val="48"/>
          <w:szCs w:val="48"/>
          <w:highlight w:val="none"/>
        </w:rPr>
        <w:t xml:space="preserve">招标文件 </w:t>
      </w:r>
    </w:p>
    <w:p>
      <w:pP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（电子招投标）</w:t>
      </w:r>
    </w:p>
    <w:p>
      <w:pPr>
        <w:snapToGrid w:val="0"/>
        <w:spacing w:line="360" w:lineRule="auto"/>
        <w:jc w:val="center"/>
        <w:rPr>
          <w:rFonts w:hint="eastAsia" w:ascii="宋体" w:hAnsi="宋体" w:eastAsia="宋体" w:cs="宋体"/>
          <w:color w:val="auto"/>
          <w:sz w:val="30"/>
          <w:szCs w:val="30"/>
          <w:highlight w:val="none"/>
          <w:lang w:eastAsia="zh-CN"/>
        </w:rPr>
      </w:pPr>
      <w:r>
        <w:rPr>
          <w:rFonts w:hint="eastAsia" w:ascii="宋体" w:hAnsi="宋体" w:eastAsia="宋体" w:cs="宋体"/>
          <w:color w:val="auto"/>
          <w:sz w:val="30"/>
          <w:szCs w:val="30"/>
          <w:highlight w:val="none"/>
        </w:rPr>
        <w:t>编号:</w:t>
      </w:r>
      <w:r>
        <w:rPr>
          <w:rFonts w:hint="eastAsia" w:ascii="宋体" w:hAnsi="宋体" w:eastAsia="宋体" w:cs="宋体"/>
          <w:b/>
          <w:bCs/>
          <w:color w:val="auto"/>
          <w:sz w:val="30"/>
          <w:szCs w:val="30"/>
          <w:highlight w:val="none"/>
          <w:lang w:eastAsia="zh-CN"/>
        </w:rPr>
        <w:t>ZJZFCG-YS2023-009</w:t>
      </w:r>
    </w:p>
    <w:p>
      <w:pPr>
        <w:adjustRightInd/>
        <w:spacing w:line="360" w:lineRule="auto"/>
        <w:rPr>
          <w:rFonts w:hint="eastAsia" w:ascii="宋体" w:hAnsi="宋体" w:eastAsia="宋体" w:cs="宋体"/>
          <w:color w:val="auto"/>
          <w:sz w:val="28"/>
          <w:szCs w:val="20"/>
          <w:highlight w:val="none"/>
        </w:rPr>
      </w:pPr>
    </w:p>
    <w:p>
      <w:pPr>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 xml:space="preserve"> </w:t>
      </w:r>
    </w:p>
    <w:p>
      <w:pPr>
        <w:spacing w:line="360" w:lineRule="auto"/>
        <w:jc w:val="center"/>
        <w:rPr>
          <w:rFonts w:hint="eastAsia" w:ascii="宋体" w:hAnsi="宋体" w:eastAsia="宋体" w:cs="宋体"/>
          <w:b/>
          <w:color w:val="auto"/>
          <w:sz w:val="44"/>
          <w:szCs w:val="44"/>
          <w:highlight w:val="none"/>
        </w:rPr>
      </w:pPr>
    </w:p>
    <w:p>
      <w:pPr>
        <w:spacing w:line="360" w:lineRule="auto"/>
        <w:jc w:val="center"/>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32"/>
          <w:szCs w:val="32"/>
          <w:highlight w:val="none"/>
        </w:rPr>
      </w:pPr>
    </w:p>
    <w:p>
      <w:pPr>
        <w:pStyle w:val="2"/>
        <w:rPr>
          <w:rFonts w:hint="eastAsia" w:ascii="宋体" w:hAnsi="宋体" w:eastAsia="宋体" w:cs="宋体"/>
          <w:color w:val="auto"/>
          <w:sz w:val="32"/>
          <w:szCs w:val="32"/>
          <w:highlight w:val="none"/>
        </w:rPr>
      </w:pPr>
    </w:p>
    <w:p>
      <w:pPr>
        <w:rPr>
          <w:rFonts w:hint="eastAsia"/>
        </w:rPr>
      </w:pPr>
    </w:p>
    <w:p>
      <w:pPr>
        <w:spacing w:line="360" w:lineRule="auto"/>
        <w:rPr>
          <w:rFonts w:hint="eastAsia" w:ascii="宋体" w:hAnsi="宋体" w:eastAsia="宋体" w:cs="宋体"/>
          <w:color w:val="auto"/>
          <w:sz w:val="32"/>
          <w:szCs w:val="32"/>
          <w:highlight w:val="none"/>
        </w:rPr>
      </w:pPr>
    </w:p>
    <w:p>
      <w:pPr>
        <w:snapToGrid w:val="0"/>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（采购人）：杭州市临平区塘栖镇人民政府</w:t>
      </w: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（采购代理机构）：杭州永圣工程咨询代理有限公司</w:t>
      </w:r>
    </w:p>
    <w:p>
      <w:pPr>
        <w:snapToGrid w:val="0"/>
        <w:spacing w:line="360" w:lineRule="auto"/>
        <w:jc w:val="center"/>
        <w:rPr>
          <w:rFonts w:hint="eastAsia" w:ascii="宋体" w:hAnsi="宋体" w:eastAsia="宋体" w:cs="宋体"/>
          <w:b/>
          <w:color w:val="auto"/>
          <w:sz w:val="32"/>
          <w:szCs w:val="32"/>
          <w:highlight w:val="none"/>
        </w:rPr>
      </w:pPr>
      <w:r>
        <w:rPr>
          <w:rFonts w:hint="eastAsia" w:ascii="宋体" w:hAnsi="宋体" w:cs="宋体"/>
          <w:b/>
          <w:color w:val="auto"/>
          <w:sz w:val="32"/>
          <w:szCs w:val="32"/>
          <w:highlight w:val="none"/>
          <w:lang w:val="en-US" w:eastAsia="zh-CN"/>
        </w:rPr>
        <w:t xml:space="preserve">  </w:t>
      </w:r>
      <w:r>
        <w:rPr>
          <w:rFonts w:hint="eastAsia" w:ascii="宋体" w:hAnsi="宋体" w:eastAsia="宋体" w:cs="宋体"/>
          <w:b/>
          <w:color w:val="auto"/>
          <w:sz w:val="32"/>
          <w:szCs w:val="32"/>
          <w:highlight w:val="none"/>
        </w:rPr>
        <w:t xml:space="preserve">二〇二三年 </w:t>
      </w:r>
      <w:r>
        <w:rPr>
          <w:rFonts w:hint="eastAsia" w:ascii="宋体" w:hAnsi="宋体" w:cs="宋体"/>
          <w:b/>
          <w:color w:val="auto"/>
          <w:sz w:val="32"/>
          <w:szCs w:val="32"/>
          <w:highlight w:val="none"/>
          <w:lang w:eastAsia="zh-CN"/>
        </w:rPr>
        <w:t>五</w:t>
      </w:r>
      <w:r>
        <w:rPr>
          <w:rFonts w:hint="eastAsia" w:ascii="宋体" w:hAnsi="宋体" w:eastAsia="宋体" w:cs="宋体"/>
          <w:b/>
          <w:color w:val="auto"/>
          <w:sz w:val="32"/>
          <w:szCs w:val="32"/>
          <w:highlight w:val="none"/>
        </w:rPr>
        <w:t>月</w:t>
      </w:r>
      <w:r>
        <w:rPr>
          <w:rFonts w:hint="eastAsia" w:ascii="宋体" w:hAnsi="宋体" w:cs="宋体"/>
          <w:b/>
          <w:color w:val="auto"/>
          <w:sz w:val="32"/>
          <w:szCs w:val="32"/>
          <w:highlight w:val="none"/>
          <w:lang w:eastAsia="zh-CN"/>
        </w:rPr>
        <w:t>四</w:t>
      </w:r>
      <w:r>
        <w:rPr>
          <w:rFonts w:hint="eastAsia" w:ascii="宋体" w:hAnsi="宋体" w:eastAsia="宋体" w:cs="宋体"/>
          <w:b/>
          <w:color w:val="auto"/>
          <w:sz w:val="32"/>
          <w:szCs w:val="32"/>
          <w:highlight w:val="none"/>
        </w:rPr>
        <w:t>日</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0" w:name="_Hlt67893495"/>
      <w:bookmarkEnd w:id="0"/>
    </w:p>
    <w:p>
      <w:pPr>
        <w:pStyle w:val="637"/>
        <w:rPr>
          <w:rFonts w:hint="eastAsia" w:ascii="宋体" w:hAnsi="宋体" w:eastAsia="宋体" w:cs="宋体"/>
          <w:color w:val="auto"/>
          <w:highlight w:val="none"/>
        </w:rPr>
      </w:pPr>
    </w:p>
    <w:p>
      <w:pPr>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spacing w:line="360" w:lineRule="auto"/>
        <w:rPr>
          <w:rFonts w:hint="eastAsia" w:ascii="宋体" w:hAnsi="宋体" w:eastAsia="宋体" w:cs="宋体"/>
          <w:color w:val="auto"/>
          <w:sz w:val="32"/>
          <w:szCs w:val="32"/>
          <w:highlight w:val="none"/>
        </w:rPr>
      </w:pPr>
    </w:p>
    <w:p>
      <w:pPr>
        <w:spacing w:line="360" w:lineRule="auto"/>
        <w:rPr>
          <w:rFonts w:hint="eastAsia" w:ascii="宋体" w:hAnsi="宋体" w:eastAsia="宋体" w:cs="宋体"/>
          <w:color w:val="auto"/>
          <w:sz w:val="32"/>
          <w:szCs w:val="32"/>
          <w:highlight w:val="none"/>
        </w:rPr>
      </w:pP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第一部分      招标公告</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第二部分      投标人须知</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第三部分      采购需求</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第四部分      评标办法</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第五部分      拟签订的合同文本</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第六部分      应提交的有关格式范例</w:t>
      </w:r>
    </w:p>
    <w:p>
      <w:pPr>
        <w:spacing w:line="360" w:lineRule="auto"/>
        <w:ind w:firstLine="549" w:firstLineChars="229"/>
        <w:rPr>
          <w:rFonts w:hint="eastAsia" w:ascii="宋体" w:hAnsi="宋体" w:eastAsia="宋体" w:cs="宋体"/>
          <w:color w:val="auto"/>
          <w:sz w:val="24"/>
          <w:highlight w:val="none"/>
        </w:rPr>
      </w:pPr>
      <w:bookmarkStart w:id="1" w:name="_Hlt91233176"/>
      <w:bookmarkEnd w:id="1"/>
      <w:bookmarkStart w:id="2" w:name="_Toc91899869"/>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adjustRightInd/>
        <w:spacing w:line="360" w:lineRule="auto"/>
        <w:jc w:val="center"/>
        <w:outlineLvl w:val="0"/>
        <w:rPr>
          <w:rFonts w:hint="eastAsia" w:ascii="宋体" w:hAnsi="宋体" w:eastAsia="宋体" w:cs="宋体"/>
          <w:b/>
          <w:color w:val="auto"/>
          <w:sz w:val="36"/>
          <w:szCs w:val="20"/>
          <w:highlight w:val="none"/>
        </w:rPr>
      </w:pPr>
      <w:bookmarkStart w:id="3" w:name="第一部分"/>
      <w:r>
        <w:rPr>
          <w:rFonts w:hint="eastAsia" w:ascii="宋体" w:hAnsi="宋体" w:eastAsia="宋体" w:cs="宋体"/>
          <w:b/>
          <w:color w:val="auto"/>
          <w:sz w:val="36"/>
          <w:szCs w:val="36"/>
          <w:highlight w:val="none"/>
        </w:rPr>
        <w:br w:type="page"/>
      </w:r>
      <w:bookmarkEnd w:id="2"/>
      <w:bookmarkEnd w:id="3"/>
      <w:bookmarkStart w:id="4" w:name="_Hlt74649545"/>
      <w:bookmarkEnd w:id="4"/>
      <w:bookmarkStart w:id="5" w:name="_Hlt74728647"/>
      <w:bookmarkEnd w:id="5"/>
      <w:bookmarkStart w:id="6" w:name="_Hlt74729822"/>
      <w:bookmarkEnd w:id="6"/>
      <w:bookmarkStart w:id="7" w:name="_Hlt74707423"/>
      <w:bookmarkEnd w:id="7"/>
      <w:bookmarkStart w:id="8" w:name="第二部分"/>
      <w:bookmarkStart w:id="9" w:name="_Toc91899870"/>
      <w:bookmarkStart w:id="10" w:name="_Toc91899871"/>
      <w:r>
        <w:rPr>
          <w:rFonts w:hint="eastAsia" w:ascii="宋体" w:hAnsi="宋体" w:eastAsia="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lang w:eastAsia="zh-CN"/>
        </w:rPr>
        <w:t>塘栖镇镇区保洁翠紫河以北项目</w:t>
      </w:r>
      <w:r>
        <w:rPr>
          <w:rFonts w:hint="eastAsia" w:ascii="宋体" w:hAnsi="宋体" w:eastAsia="宋体" w:cs="宋体"/>
          <w:color w:val="auto"/>
          <w:sz w:val="24"/>
          <w:highlight w:val="none"/>
        </w:rPr>
        <w:t>招标项目的潜在投标人应在政采云平台（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"https://www.zcygov.cn/）获取（下载）招标文件，并于202%20年%20月%20日%20点%20分00秒" </w:instrText>
      </w:r>
      <w:r>
        <w:rPr>
          <w:rFonts w:hint="eastAsia" w:ascii="宋体" w:hAnsi="宋体" w:eastAsia="宋体" w:cs="宋体"/>
          <w:color w:val="auto"/>
          <w:highlight w:val="none"/>
        </w:rPr>
        <w:fldChar w:fldCharType="separate"/>
      </w:r>
      <w:r>
        <w:rPr>
          <w:rStyle w:val="76"/>
          <w:rFonts w:hint="eastAsia" w:ascii="宋体" w:hAnsi="宋体" w:eastAsia="宋体" w:cs="宋体"/>
          <w:snapToGrid/>
          <w:color w:val="auto"/>
          <w:kern w:val="2"/>
          <w:sz w:val="24"/>
          <w:highlight w:val="none"/>
        </w:rPr>
        <w:t>https://www.zcygov.cn/）获取（下载）招标文件，并于</w:t>
      </w:r>
      <w:r>
        <w:rPr>
          <w:rStyle w:val="76"/>
          <w:rFonts w:hint="eastAsia" w:ascii="宋体" w:hAnsi="宋体" w:eastAsia="宋体" w:cs="宋体"/>
          <w:b/>
          <w:bCs/>
          <w:snapToGrid/>
          <w:color w:val="auto"/>
          <w:kern w:val="2"/>
          <w:sz w:val="24"/>
          <w:highlight w:val="none"/>
        </w:rPr>
        <w:t>2023 年</w:t>
      </w:r>
      <w:r>
        <w:rPr>
          <w:rStyle w:val="76"/>
          <w:rFonts w:hint="eastAsia" w:ascii="宋体" w:hAnsi="宋体" w:eastAsia="宋体" w:cs="宋体"/>
          <w:b/>
          <w:bCs/>
          <w:snapToGrid/>
          <w:color w:val="auto"/>
          <w:kern w:val="2"/>
          <w:sz w:val="24"/>
          <w:highlight w:val="none"/>
          <w:lang w:val="en-US" w:eastAsia="zh-CN"/>
        </w:rPr>
        <w:t xml:space="preserve"> 5 </w:t>
      </w:r>
      <w:r>
        <w:rPr>
          <w:rStyle w:val="76"/>
          <w:rFonts w:hint="eastAsia" w:ascii="宋体" w:hAnsi="宋体" w:eastAsia="宋体" w:cs="宋体"/>
          <w:b/>
          <w:bCs/>
          <w:snapToGrid/>
          <w:color w:val="auto"/>
          <w:kern w:val="2"/>
          <w:sz w:val="24"/>
          <w:highlight w:val="none"/>
        </w:rPr>
        <w:t>月</w:t>
      </w:r>
      <w:r>
        <w:rPr>
          <w:rStyle w:val="76"/>
          <w:rFonts w:hint="eastAsia" w:ascii="宋体" w:hAnsi="宋体" w:eastAsia="宋体" w:cs="宋体"/>
          <w:b/>
          <w:bCs/>
          <w:snapToGrid/>
          <w:color w:val="auto"/>
          <w:kern w:val="2"/>
          <w:sz w:val="24"/>
          <w:highlight w:val="none"/>
          <w:lang w:val="en-US" w:eastAsia="zh-CN"/>
        </w:rPr>
        <w:t xml:space="preserve"> </w:t>
      </w:r>
      <w:r>
        <w:rPr>
          <w:rStyle w:val="76"/>
          <w:rFonts w:hint="eastAsia" w:ascii="宋体" w:hAnsi="宋体" w:cs="宋体"/>
          <w:b/>
          <w:bCs/>
          <w:snapToGrid/>
          <w:color w:val="auto"/>
          <w:kern w:val="2"/>
          <w:sz w:val="24"/>
          <w:highlight w:val="none"/>
          <w:lang w:val="en-US" w:eastAsia="zh-CN"/>
        </w:rPr>
        <w:t>25</w:t>
      </w:r>
      <w:r>
        <w:rPr>
          <w:rStyle w:val="76"/>
          <w:rFonts w:hint="eastAsia" w:ascii="宋体" w:hAnsi="宋体" w:eastAsia="宋体" w:cs="宋体"/>
          <w:b/>
          <w:bCs/>
          <w:snapToGrid/>
          <w:color w:val="auto"/>
          <w:kern w:val="2"/>
          <w:sz w:val="24"/>
          <w:highlight w:val="none"/>
        </w:rPr>
        <w:t>日 14点 0</w:t>
      </w:r>
      <w:r>
        <w:rPr>
          <w:rStyle w:val="76"/>
          <w:rFonts w:hint="eastAsia" w:ascii="宋体" w:hAnsi="宋体" w:eastAsia="宋体" w:cs="宋体"/>
          <w:snapToGrid/>
          <w:color w:val="auto"/>
          <w:kern w:val="2"/>
          <w:sz w:val="24"/>
          <w:highlight w:val="none"/>
        </w:rPr>
        <w:t>0分</w:t>
      </w:r>
      <w:r>
        <w:rPr>
          <w:rStyle w:val="76"/>
          <w:rFonts w:hint="eastAsia" w:ascii="宋体" w:hAnsi="宋体" w:eastAsia="宋体" w:cs="宋体"/>
          <w:bCs/>
          <w:snapToGrid/>
          <w:color w:val="auto"/>
          <w:kern w:val="2"/>
          <w:sz w:val="24"/>
          <w:highlight w:val="none"/>
        </w:rPr>
        <w:t>00秒</w:t>
      </w:r>
      <w:r>
        <w:rPr>
          <w:rStyle w:val="76"/>
          <w:rFonts w:hint="eastAsia" w:ascii="宋体" w:hAnsi="宋体" w:eastAsia="宋体" w:cs="宋体"/>
          <w:bCs/>
          <w:snapToGrid/>
          <w:color w:val="auto"/>
          <w:kern w:val="2"/>
          <w:sz w:val="24"/>
          <w:highlight w:val="none"/>
        </w:rPr>
        <w:fldChar w:fldCharType="end"/>
      </w:r>
      <w:r>
        <w:rPr>
          <w:rFonts w:hint="eastAsia" w:ascii="宋体" w:hAnsi="宋体" w:eastAsia="宋体" w:cs="宋体"/>
          <w:bCs/>
          <w:color w:val="auto"/>
          <w:sz w:val="24"/>
          <w:highlight w:val="none"/>
        </w:rPr>
        <w:t>（北京时间）前</w:t>
      </w:r>
      <w:r>
        <w:rPr>
          <w:rFonts w:hint="eastAsia" w:ascii="宋体" w:hAnsi="宋体" w:eastAsia="宋体" w:cs="宋体"/>
          <w:color w:val="auto"/>
          <w:sz w:val="24"/>
          <w:highlight w:val="none"/>
        </w:rPr>
        <w:t>递交（上传）投标文件。</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一、项目基本情况                                            </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项目编号：</w:t>
      </w:r>
      <w:r>
        <w:rPr>
          <w:rFonts w:hint="eastAsia" w:ascii="宋体" w:hAnsi="宋体" w:eastAsia="宋体" w:cs="宋体"/>
          <w:color w:val="auto"/>
          <w:sz w:val="24"/>
          <w:highlight w:val="none"/>
          <w:lang w:eastAsia="zh-CN"/>
        </w:rPr>
        <w:t>ZJZFCG-YS2023-009</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 xml:space="preserve"> 项目名称：</w:t>
      </w:r>
      <w:r>
        <w:rPr>
          <w:rFonts w:hint="eastAsia" w:ascii="宋体" w:hAnsi="宋体" w:eastAsia="宋体" w:cs="宋体"/>
          <w:color w:val="auto"/>
          <w:sz w:val="24"/>
          <w:highlight w:val="none"/>
          <w:lang w:eastAsia="zh-CN"/>
        </w:rPr>
        <w:t>塘栖镇镇区保洁翠紫河以北项目</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b/>
          <w:color w:val="auto"/>
          <w:sz w:val="24"/>
          <w:highlight w:val="none"/>
        </w:rPr>
        <w:t xml:space="preserve"> 预算金额（元）：</w:t>
      </w:r>
      <w:r>
        <w:rPr>
          <w:rFonts w:hint="eastAsia" w:ascii="宋体" w:hAnsi="宋体" w:eastAsia="宋体" w:cs="宋体"/>
          <w:b/>
          <w:bCs/>
          <w:color w:val="auto"/>
          <w:sz w:val="24"/>
          <w:highlight w:val="none"/>
          <w:lang w:val="en-US" w:eastAsia="zh-CN"/>
        </w:rPr>
        <w:t>84</w:t>
      </w:r>
      <w:r>
        <w:rPr>
          <w:rFonts w:hint="eastAsia" w:ascii="宋体" w:hAnsi="宋体" w:eastAsia="宋体" w:cs="宋体"/>
          <w:b/>
          <w:bCs/>
          <w:color w:val="auto"/>
          <w:sz w:val="24"/>
          <w:highlight w:val="none"/>
        </w:rPr>
        <w:t>00000</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b/>
          <w:color w:val="auto"/>
          <w:sz w:val="24"/>
          <w:highlight w:val="none"/>
        </w:rPr>
        <w:t>最高限价（元）：</w:t>
      </w:r>
      <w:r>
        <w:rPr>
          <w:rFonts w:hint="eastAsia" w:ascii="宋体" w:hAnsi="宋体" w:eastAsia="宋体" w:cs="宋体"/>
          <w:b/>
          <w:bCs/>
          <w:color w:val="auto"/>
          <w:sz w:val="24"/>
          <w:highlight w:val="none"/>
          <w:lang w:val="en-US" w:eastAsia="zh-CN"/>
        </w:rPr>
        <w:t>84</w:t>
      </w:r>
      <w:r>
        <w:rPr>
          <w:rFonts w:hint="eastAsia" w:ascii="宋体" w:hAnsi="宋体" w:eastAsia="宋体" w:cs="宋体"/>
          <w:b/>
          <w:bCs/>
          <w:color w:val="auto"/>
          <w:sz w:val="24"/>
          <w:highlight w:val="none"/>
        </w:rPr>
        <w:t>00000</w:t>
      </w:r>
    </w:p>
    <w:p>
      <w:pPr>
        <w:pStyle w:val="6"/>
        <w:spacing w:line="360" w:lineRule="auto"/>
        <w:ind w:firstLine="480"/>
        <w:rPr>
          <w:rFonts w:hint="eastAsia" w:ascii="宋体" w:hAnsi="宋体" w:eastAsia="宋体" w:cs="宋体"/>
          <w:bCs/>
          <w:color w:val="auto"/>
          <w:kern w:val="2"/>
          <w:sz w:val="24"/>
          <w:szCs w:val="24"/>
          <w:highlight w:val="none"/>
        </w:rPr>
      </w:pPr>
      <w:r>
        <w:rPr>
          <w:rFonts w:hint="eastAsia" w:ascii="宋体" w:hAnsi="宋体" w:eastAsia="宋体" w:cs="宋体"/>
          <w:b/>
          <w:color w:val="auto"/>
          <w:sz w:val="24"/>
          <w:highlight w:val="none"/>
        </w:rPr>
        <w:t>采购需求：</w:t>
      </w:r>
      <w:r>
        <w:rPr>
          <w:rFonts w:hint="eastAsia" w:ascii="宋体" w:hAnsi="宋体" w:eastAsia="宋体" w:cs="宋体"/>
          <w:bCs/>
          <w:color w:val="auto"/>
          <w:kern w:val="2"/>
          <w:sz w:val="24"/>
          <w:szCs w:val="24"/>
          <w:highlight w:val="none"/>
          <w:lang w:eastAsia="zh-CN"/>
        </w:rPr>
        <w:t>塘栖镇镇区保洁翠紫河以北项目</w:t>
      </w:r>
      <w:r>
        <w:rPr>
          <w:rFonts w:hint="eastAsia" w:ascii="宋体" w:hAnsi="宋体" w:eastAsia="宋体" w:cs="宋体"/>
          <w:bCs/>
          <w:color w:val="auto"/>
          <w:kern w:val="2"/>
          <w:sz w:val="24"/>
          <w:szCs w:val="24"/>
          <w:highlight w:val="none"/>
        </w:rPr>
        <w:t>；</w:t>
      </w:r>
      <w:r>
        <w:rPr>
          <w:rFonts w:hint="eastAsia" w:ascii="宋体" w:hAnsi="宋体" w:eastAsia="宋体" w:cs="宋体"/>
          <w:color w:val="auto"/>
          <w:kern w:val="2"/>
          <w:sz w:val="24"/>
          <w:szCs w:val="24"/>
          <w:highlight w:val="none"/>
        </w:rPr>
        <w:t>具体以招标文件第三部分采购需求为准，供应商可点击本公告下方“浏览采购文件”查看采购需求。</w:t>
      </w:r>
    </w:p>
    <w:p>
      <w:pPr>
        <w:pStyle w:val="156"/>
        <w:ind w:firstLine="482"/>
        <w:outlineLvl w:val="2"/>
        <w:rPr>
          <w:rFonts w:hint="eastAsia" w:ascii="宋体" w:hAnsi="宋体" w:eastAsia="宋体" w:cs="宋体"/>
          <w:color w:val="auto"/>
          <w:highlight w:val="none"/>
        </w:rPr>
      </w:pPr>
      <w:r>
        <w:rPr>
          <w:rFonts w:hint="eastAsia" w:ascii="宋体" w:hAnsi="宋体" w:eastAsia="宋体" w:cs="宋体"/>
          <w:b/>
          <w:color w:val="auto"/>
          <w:highlight w:val="none"/>
        </w:rPr>
        <w:t>合同履约期限：</w:t>
      </w:r>
      <w:r>
        <w:rPr>
          <w:rFonts w:hint="eastAsia" w:ascii="宋体" w:hAnsi="宋体" w:eastAsia="宋体" w:cs="宋体"/>
          <w:b/>
          <w:color w:val="auto"/>
          <w:highlight w:val="none"/>
          <w:lang w:val="en-US" w:eastAsia="zh-CN"/>
        </w:rPr>
        <w:t>2年</w:t>
      </w:r>
      <w:r>
        <w:rPr>
          <w:rFonts w:hint="eastAsia" w:ascii="宋体" w:hAnsi="宋体" w:eastAsia="宋体" w:cs="宋体"/>
          <w:color w:val="auto"/>
          <w:highlight w:val="none"/>
        </w:rPr>
        <w:t xml:space="preserve"> </w:t>
      </w:r>
    </w:p>
    <w:p>
      <w:pPr>
        <w:pStyle w:val="6"/>
        <w:spacing w:line="360" w:lineRule="auto"/>
        <w:ind w:firstLine="480"/>
        <w:rPr>
          <w:rFonts w:hint="eastAsia" w:ascii="宋体" w:hAnsi="宋体" w:eastAsia="宋体" w:cs="宋体"/>
          <w:b/>
          <w:color w:val="auto"/>
          <w:highlight w:val="none"/>
        </w:rPr>
      </w:pPr>
      <w:r>
        <w:rPr>
          <w:rFonts w:hint="eastAsia" w:ascii="宋体" w:hAnsi="宋体" w:eastAsia="宋体" w:cs="宋体"/>
          <w:b/>
          <w:color w:val="auto"/>
          <w:sz w:val="24"/>
          <w:highlight w:val="none"/>
        </w:rPr>
        <w:t>本项目接受联合体投标：</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szCs w:val="24"/>
          <w:highlight w:val="none"/>
        </w:rPr>
        <w:sym w:font="Wingdings" w:char="00FE"/>
      </w:r>
      <w:r>
        <w:rPr>
          <w:rFonts w:hint="eastAsia" w:ascii="宋体" w:hAnsi="宋体" w:eastAsia="宋体" w:cs="宋体"/>
          <w:b/>
          <w:color w:val="auto"/>
          <w:sz w:val="24"/>
          <w:highlight w:val="none"/>
        </w:rPr>
        <w:t>是；</w:t>
      </w:r>
      <w:r>
        <w:rPr>
          <w:rFonts w:hint="eastAsia" w:ascii="宋体" w:hAnsi="宋体" w:eastAsia="宋体" w:cs="宋体"/>
          <w:color w:val="auto"/>
          <w:kern w:val="0"/>
          <w:sz w:val="24"/>
          <w:highlight w:val="none"/>
        </w:rPr>
        <w:t>☐</w:t>
      </w:r>
      <w:r>
        <w:rPr>
          <w:rFonts w:hint="eastAsia" w:ascii="宋体" w:hAnsi="宋体" w:eastAsia="宋体" w:cs="宋体"/>
          <w:b/>
          <w:color w:val="auto"/>
          <w:sz w:val="24"/>
          <w:highlight w:val="none"/>
        </w:rPr>
        <w:t>否</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二、申请人的资格要求：</w:t>
      </w:r>
    </w:p>
    <w:p>
      <w:pPr>
        <w:spacing w:line="360" w:lineRule="auto"/>
        <w:ind w:firstLine="48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 xml:space="preserve">    2.</w:t>
      </w:r>
      <w:r>
        <w:rPr>
          <w:rFonts w:hint="eastAsia" w:ascii="宋体" w:hAnsi="宋体" w:eastAsia="宋体" w:cs="宋体"/>
          <w:color w:val="auto"/>
          <w:highlight w:val="none"/>
        </w:rPr>
        <w:t xml:space="preserve"> </w:t>
      </w:r>
      <w:r>
        <w:rPr>
          <w:rFonts w:hint="eastAsia" w:ascii="宋体" w:hAnsi="宋体" w:eastAsia="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3.落实政府采购政策需满足的资格要求：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无</w:t>
      </w:r>
      <w:r>
        <w:rPr>
          <w:rFonts w:hint="eastAsia" w:ascii="宋体" w:hAnsi="宋体" w:eastAsia="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kern w:val="0"/>
          <w:sz w:val="24"/>
          <w:szCs w:val="24"/>
          <w:highlight w:val="none"/>
        </w:rPr>
        <w:sym w:font="Wingdings" w:char="00FE"/>
      </w:r>
      <w:r>
        <w:rPr>
          <w:rFonts w:hint="eastAsia" w:ascii="宋体" w:hAnsi="宋体" w:eastAsia="宋体" w:cs="宋体"/>
          <w:color w:val="auto"/>
          <w:kern w:val="0"/>
          <w:sz w:val="24"/>
          <w:highlight w:val="none"/>
        </w:rPr>
        <w:t>专</w:t>
      </w:r>
      <w:r>
        <w:rPr>
          <w:rFonts w:hint="eastAsia" w:ascii="宋体" w:hAnsi="宋体" w:eastAsia="宋体" w:cs="宋体"/>
          <w:color w:val="auto"/>
          <w:sz w:val="24"/>
          <w:highlight w:val="none"/>
        </w:rPr>
        <w:t>门面向中小企业</w:t>
      </w:r>
    </w:p>
    <w:p>
      <w:pPr>
        <w:spacing w:line="360" w:lineRule="auto"/>
        <w:ind w:firstLine="897" w:firstLineChars="374"/>
        <w:rPr>
          <w:rFonts w:hint="eastAsia" w:ascii="宋体" w:hAnsi="宋体" w:eastAsia="宋体" w:cs="宋体"/>
          <w:color w:val="auto"/>
          <w:sz w:val="24"/>
          <w:highlight w:val="none"/>
        </w:rPr>
      </w:pPr>
      <w:r>
        <w:rPr>
          <w:rFonts w:hint="eastAsia" w:ascii="宋体" w:hAnsi="宋体" w:eastAsia="宋体" w:cs="宋体"/>
          <w:color w:val="auto"/>
          <w:kern w:val="0"/>
          <w:sz w:val="24"/>
          <w:szCs w:val="24"/>
          <w:highlight w:val="none"/>
        </w:rPr>
        <w:sym w:font="Wingdings" w:char="00FE"/>
      </w:r>
      <w:r>
        <w:rPr>
          <w:rFonts w:hint="eastAsia" w:ascii="宋体" w:hAnsi="宋体" w:eastAsia="宋体" w:cs="宋体"/>
          <w:color w:val="auto"/>
          <w:sz w:val="24"/>
          <w:highlight w:val="none"/>
        </w:rPr>
        <w:t>服务全部由符合政策要求的中小企业承接，提供中小企业声明函；</w:t>
      </w:r>
    </w:p>
    <w:p>
      <w:pPr>
        <w:spacing w:line="360" w:lineRule="auto"/>
        <w:ind w:firstLine="897" w:firstLineChars="374"/>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服务全部由符合政策要求的小微企业承接，提供中小企业声明函；</w:t>
      </w:r>
    </w:p>
    <w:p>
      <w:pPr>
        <w:rPr>
          <w:rFonts w:hint="eastAsia" w:ascii="宋体" w:hAnsi="宋体" w:eastAsia="宋体" w:cs="宋体"/>
          <w:color w:val="auto"/>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要求以联合体形式参加，提供联合协议和中小企业声明函，联合协议中中小企业合同金额应当达到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%，其中小微企业合同金额应当达到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要求合同分包，提供分包意向协议和中小企业声明函，分包意向协议中中小企业合同金额应当达到达到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，其中小微企业合同金额应当达到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w:t>
      </w:r>
      <w:r>
        <w:rPr>
          <w:rFonts w:hint="eastAsia" w:ascii="宋体" w:hAnsi="宋体" w:eastAsia="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4.本项目的特定资格要求：无；</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三、获取招标文件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时间</w:t>
      </w:r>
      <w:r>
        <w:rPr>
          <w:rFonts w:hint="eastAsia" w:ascii="宋体" w:hAnsi="宋体" w:eastAsia="宋体" w:cs="宋体"/>
          <w:b/>
          <w:bCs w:val="0"/>
          <w:color w:val="auto"/>
          <w:sz w:val="24"/>
          <w:highlight w:val="none"/>
        </w:rPr>
        <w:t>：/至</w:t>
      </w:r>
      <w:r>
        <w:rPr>
          <w:rFonts w:hint="eastAsia" w:ascii="宋体" w:hAnsi="宋体" w:eastAsia="宋体" w:cs="宋体"/>
          <w:b/>
          <w:bCs w:val="0"/>
          <w:color w:val="auto"/>
          <w:sz w:val="24"/>
          <w:highlight w:val="none"/>
          <w:u w:val="single"/>
        </w:rPr>
        <w:t>2023 年</w:t>
      </w:r>
      <w:r>
        <w:rPr>
          <w:rFonts w:hint="eastAsia" w:ascii="宋体" w:hAnsi="宋体" w:eastAsia="宋体" w:cs="宋体"/>
          <w:b/>
          <w:bCs w:val="0"/>
          <w:color w:val="auto"/>
          <w:sz w:val="24"/>
          <w:highlight w:val="none"/>
          <w:u w:val="single"/>
          <w:lang w:val="en-US" w:eastAsia="zh-CN"/>
        </w:rPr>
        <w:t>5</w:t>
      </w:r>
      <w:r>
        <w:rPr>
          <w:rFonts w:hint="eastAsia" w:ascii="宋体" w:hAnsi="宋体" w:eastAsia="宋体" w:cs="宋体"/>
          <w:b/>
          <w:bCs w:val="0"/>
          <w:color w:val="auto"/>
          <w:sz w:val="24"/>
          <w:highlight w:val="none"/>
          <w:u w:val="single"/>
        </w:rPr>
        <w:t xml:space="preserve"> 月</w:t>
      </w:r>
      <w:r>
        <w:rPr>
          <w:rFonts w:hint="eastAsia" w:ascii="宋体" w:hAnsi="宋体" w:eastAsia="宋体" w:cs="宋体"/>
          <w:b/>
          <w:bCs w:val="0"/>
          <w:color w:val="auto"/>
          <w:sz w:val="24"/>
          <w:highlight w:val="none"/>
          <w:u w:val="single"/>
          <w:lang w:val="en-US" w:eastAsia="zh-CN"/>
        </w:rPr>
        <w:t xml:space="preserve"> </w:t>
      </w:r>
      <w:r>
        <w:rPr>
          <w:rFonts w:hint="eastAsia" w:ascii="宋体" w:hAnsi="宋体" w:cs="宋体"/>
          <w:b/>
          <w:bCs w:val="0"/>
          <w:color w:val="auto"/>
          <w:sz w:val="24"/>
          <w:highlight w:val="none"/>
          <w:u w:val="single"/>
          <w:lang w:val="en-US" w:eastAsia="zh-CN"/>
        </w:rPr>
        <w:t>25</w:t>
      </w:r>
      <w:r>
        <w:rPr>
          <w:rFonts w:hint="eastAsia" w:ascii="宋体" w:hAnsi="宋体" w:eastAsia="宋体" w:cs="宋体"/>
          <w:b/>
          <w:bCs w:val="0"/>
          <w:color w:val="auto"/>
          <w:sz w:val="24"/>
          <w:highlight w:val="none"/>
          <w:u w:val="single"/>
          <w:lang w:val="en-US" w:eastAsia="zh-CN"/>
        </w:rPr>
        <w:t xml:space="preserve"> </w:t>
      </w:r>
      <w:r>
        <w:rPr>
          <w:rFonts w:hint="eastAsia" w:ascii="宋体" w:hAnsi="宋体" w:eastAsia="宋体" w:cs="宋体"/>
          <w:b/>
          <w:bCs w:val="0"/>
          <w:color w:val="auto"/>
          <w:sz w:val="24"/>
          <w:highlight w:val="none"/>
          <w:u w:val="single"/>
        </w:rPr>
        <w:t>日</w:t>
      </w:r>
      <w:r>
        <w:rPr>
          <w:rFonts w:hint="eastAsia" w:ascii="宋体" w:hAnsi="宋体" w:eastAsia="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地点（网址）：</w:t>
      </w:r>
      <w:r>
        <w:rPr>
          <w:rFonts w:hint="eastAsia" w:ascii="宋体" w:hAnsi="宋体" w:eastAsia="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方式：</w:t>
      </w:r>
      <w:r>
        <w:rPr>
          <w:rFonts w:hint="eastAsia" w:ascii="宋体" w:hAnsi="宋体" w:eastAsia="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售价（元）：</w:t>
      </w:r>
      <w:r>
        <w:rPr>
          <w:rFonts w:hint="eastAsia" w:ascii="宋体" w:hAnsi="宋体" w:eastAsia="宋体" w:cs="宋体"/>
          <w:color w:val="auto"/>
          <w:sz w:val="24"/>
          <w:highlight w:val="none"/>
        </w:rPr>
        <w:t xml:space="preserve">0 </w:t>
      </w:r>
      <w:r>
        <w:rPr>
          <w:rFonts w:hint="eastAsia" w:ascii="宋体" w:hAnsi="宋体" w:eastAsia="宋体" w:cs="宋体"/>
          <w:color w:val="auto"/>
          <w:sz w:val="24"/>
          <w:highlight w:val="none"/>
        </w:rPr>
        <w:tab/>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四、提交投标文件截止时间、开标时间和地点</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提交投标文件截止时间：</w:t>
      </w:r>
      <w:r>
        <w:rPr>
          <w:rFonts w:hint="eastAsia" w:ascii="宋体" w:hAnsi="宋体" w:eastAsia="宋体" w:cs="宋体"/>
          <w:b/>
          <w:bCs/>
          <w:color w:val="auto"/>
          <w:sz w:val="24"/>
          <w:highlight w:val="none"/>
          <w:u w:val="single"/>
        </w:rPr>
        <w:t xml:space="preserve"> 2023 年</w:t>
      </w:r>
      <w:r>
        <w:rPr>
          <w:rFonts w:hint="eastAsia" w:ascii="宋体" w:hAnsi="宋体" w:eastAsia="宋体" w:cs="宋体"/>
          <w:b/>
          <w:bCs/>
          <w:color w:val="auto"/>
          <w:sz w:val="24"/>
          <w:highlight w:val="none"/>
          <w:u w:val="single"/>
          <w:lang w:val="en-US" w:eastAsia="zh-CN"/>
        </w:rPr>
        <w:t>5</w:t>
      </w:r>
      <w:r>
        <w:rPr>
          <w:rFonts w:hint="eastAsia" w:ascii="宋体" w:hAnsi="宋体" w:eastAsia="宋体" w:cs="宋体"/>
          <w:b/>
          <w:bCs/>
          <w:color w:val="auto"/>
          <w:sz w:val="24"/>
          <w:highlight w:val="none"/>
          <w:u w:val="single"/>
        </w:rPr>
        <w:t xml:space="preserve"> 月</w:t>
      </w:r>
      <w:r>
        <w:rPr>
          <w:rFonts w:hint="eastAsia" w:ascii="宋体" w:hAnsi="宋体" w:cs="宋体"/>
          <w:b/>
          <w:bCs/>
          <w:color w:val="auto"/>
          <w:sz w:val="24"/>
          <w:highlight w:val="none"/>
          <w:u w:val="single"/>
          <w:lang w:val="en-US" w:eastAsia="zh-CN"/>
        </w:rPr>
        <w:t>25</w:t>
      </w:r>
      <w:r>
        <w:rPr>
          <w:rFonts w:hint="eastAsia" w:ascii="宋体" w:hAnsi="宋体" w:eastAsia="宋体" w:cs="宋体"/>
          <w:b/>
          <w:bCs/>
          <w:color w:val="auto"/>
          <w:sz w:val="24"/>
          <w:highlight w:val="none"/>
          <w:u w:val="single"/>
          <w:lang w:val="en-US" w:eastAsia="zh-CN"/>
        </w:rPr>
        <w:t xml:space="preserve"> </w:t>
      </w:r>
      <w:r>
        <w:rPr>
          <w:rFonts w:hint="eastAsia" w:ascii="宋体" w:hAnsi="宋体" w:eastAsia="宋体" w:cs="宋体"/>
          <w:b/>
          <w:bCs/>
          <w:color w:val="auto"/>
          <w:sz w:val="24"/>
          <w:highlight w:val="none"/>
          <w:u w:val="single"/>
        </w:rPr>
        <w:t xml:space="preserve">日 14点00 分00秒 </w:t>
      </w:r>
      <w:r>
        <w:rPr>
          <w:rFonts w:hint="eastAsia" w:ascii="宋体" w:hAnsi="宋体" w:eastAsia="宋体" w:cs="宋体"/>
          <w:color w:val="auto"/>
          <w:sz w:val="24"/>
          <w:highlight w:val="none"/>
        </w:rPr>
        <w:t>（北京时间）</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投标地点（网址）：</w:t>
      </w:r>
      <w:r>
        <w:rPr>
          <w:rFonts w:hint="eastAsia" w:ascii="宋体" w:hAnsi="宋体" w:eastAsia="宋体" w:cs="宋体"/>
          <w:color w:val="auto"/>
          <w:sz w:val="24"/>
          <w:highlight w:val="none"/>
        </w:rPr>
        <w:t xml:space="preserve">政采云平台（https://www.zcygov.cn/） </w:t>
      </w:r>
    </w:p>
    <w:p>
      <w:pPr>
        <w:spacing w:line="360" w:lineRule="auto"/>
        <w:ind w:firstLine="482" w:firstLineChars="200"/>
        <w:rPr>
          <w:rFonts w:hint="eastAsia" w:ascii="宋体" w:hAnsi="宋体" w:eastAsia="宋体" w:cs="宋体"/>
          <w:bCs/>
          <w:color w:val="auto"/>
          <w:sz w:val="24"/>
          <w:highlight w:val="none"/>
          <w:u w:val="single"/>
        </w:rPr>
      </w:pPr>
      <w:r>
        <w:rPr>
          <w:rFonts w:hint="eastAsia" w:ascii="宋体" w:hAnsi="宋体" w:eastAsia="宋体" w:cs="宋体"/>
          <w:b/>
          <w:color w:val="auto"/>
          <w:sz w:val="24"/>
          <w:highlight w:val="none"/>
        </w:rPr>
        <w:t>开标时间：</w:t>
      </w:r>
      <w:r>
        <w:rPr>
          <w:rFonts w:hint="eastAsia" w:ascii="宋体" w:hAnsi="宋体" w:eastAsia="宋体" w:cs="宋体"/>
          <w:b/>
          <w:bCs/>
          <w:color w:val="auto"/>
          <w:sz w:val="24"/>
          <w:highlight w:val="none"/>
          <w:u w:val="single"/>
        </w:rPr>
        <w:t xml:space="preserve"> 2023 年</w:t>
      </w:r>
      <w:r>
        <w:rPr>
          <w:rFonts w:hint="eastAsia" w:ascii="宋体" w:hAnsi="宋体" w:eastAsia="宋体" w:cs="宋体"/>
          <w:b/>
          <w:bCs/>
          <w:color w:val="auto"/>
          <w:sz w:val="24"/>
          <w:highlight w:val="none"/>
          <w:u w:val="single"/>
          <w:lang w:val="en-US" w:eastAsia="zh-CN"/>
        </w:rPr>
        <w:t>5</w:t>
      </w:r>
      <w:r>
        <w:rPr>
          <w:rFonts w:hint="eastAsia" w:ascii="宋体" w:hAnsi="宋体" w:eastAsia="宋体" w:cs="宋体"/>
          <w:b/>
          <w:bCs/>
          <w:color w:val="auto"/>
          <w:sz w:val="24"/>
          <w:highlight w:val="none"/>
          <w:u w:val="single"/>
        </w:rPr>
        <w:t xml:space="preserve"> 月</w:t>
      </w:r>
      <w:r>
        <w:rPr>
          <w:rFonts w:hint="eastAsia" w:ascii="宋体" w:hAnsi="宋体" w:eastAsia="宋体" w:cs="宋体"/>
          <w:b/>
          <w:bCs/>
          <w:color w:val="auto"/>
          <w:sz w:val="24"/>
          <w:highlight w:val="none"/>
          <w:u w:val="single"/>
          <w:lang w:val="en-US" w:eastAsia="zh-CN"/>
        </w:rPr>
        <w:t xml:space="preserve"> </w:t>
      </w:r>
      <w:r>
        <w:rPr>
          <w:rFonts w:hint="eastAsia" w:ascii="宋体" w:hAnsi="宋体" w:cs="宋体"/>
          <w:b/>
          <w:bCs/>
          <w:color w:val="auto"/>
          <w:sz w:val="24"/>
          <w:highlight w:val="none"/>
          <w:u w:val="single"/>
          <w:lang w:val="en-US" w:eastAsia="zh-CN"/>
        </w:rPr>
        <w:t>25</w:t>
      </w:r>
      <w:r>
        <w:rPr>
          <w:rFonts w:hint="eastAsia" w:ascii="宋体" w:hAnsi="宋体" w:eastAsia="宋体" w:cs="宋体"/>
          <w:b/>
          <w:bCs/>
          <w:color w:val="auto"/>
          <w:sz w:val="24"/>
          <w:highlight w:val="none"/>
          <w:u w:val="single"/>
        </w:rPr>
        <w:t xml:space="preserve"> 日 14点00 分00秒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开标地点（网址）：</w:t>
      </w:r>
      <w:r>
        <w:rPr>
          <w:rFonts w:hint="eastAsia" w:ascii="宋体" w:hAnsi="宋体" w:eastAsia="宋体" w:cs="宋体"/>
          <w:color w:val="auto"/>
          <w:sz w:val="24"/>
          <w:highlight w:val="none"/>
        </w:rPr>
        <w:t>政采云平台（https://www.zcygov.cn/）</w:t>
      </w:r>
    </w:p>
    <w:p>
      <w:pPr>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五、公告期限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自本公告发布之日起5个工作日。</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六、其他补充事宜</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七、对本次采购提出询问、质疑、投诉，请按以下方式联系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1.采购人信息</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名    称：（采购人）杭州市临平区塘栖镇人民政府</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地    址：  杭州市临平区塘栖镇人民路300号</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项目联系人（询问）：沈强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项目联系方式（询问）：0571-86316620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质疑联系人：陈佳</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质疑联系方式：0571-89026959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2.采购代理机构信息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称：（采购代理机构）杭州永圣工程咨询代理有限公司</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    址：杭州市临平区塘栖镇运溪路113号电商大楼507室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传    真：/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项目联系人（询问）： 胡丹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项目联系方式（询问）：13805796510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质疑联系人：宋启超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质疑联系方式：13588366887</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3.同级政府采购监督管理部门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名    称：杭州市临平区财政局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地    址：杭州市临平区临平东湖中路236号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传    真：/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联系人 ：俞征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监督投诉电话：0571-89185312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CA问题联系电话（人工）：汇信CA 400-888-4636；天谷CA 400-087-8198。</w:t>
      </w:r>
    </w:p>
    <w:p>
      <w:pPr>
        <w:widowControl/>
        <w:adjustRightInd/>
        <w:jc w:val="left"/>
        <w:rPr>
          <w:rFonts w:hint="eastAsia" w:ascii="宋体" w:hAnsi="宋体" w:eastAsia="宋体" w:cs="宋体"/>
          <w:b/>
          <w:color w:val="auto"/>
          <w:sz w:val="36"/>
          <w:szCs w:val="20"/>
          <w:highlight w:val="none"/>
        </w:rPr>
      </w:pPr>
    </w:p>
    <w:p>
      <w:pPr>
        <w:pStyle w:val="26"/>
        <w:ind w:firstLine="723"/>
        <w:rPr>
          <w:rFonts w:hint="eastAsia" w:ascii="宋体" w:hAnsi="宋体" w:eastAsia="宋体" w:cs="宋体"/>
          <w:b/>
          <w:color w:val="auto"/>
          <w:sz w:val="36"/>
          <w:szCs w:val="20"/>
          <w:highlight w:val="none"/>
        </w:rPr>
      </w:pPr>
    </w:p>
    <w:p>
      <w:pPr>
        <w:pStyle w:val="27"/>
        <w:ind w:firstLine="723"/>
        <w:rPr>
          <w:rFonts w:hint="eastAsia" w:ascii="宋体" w:hAnsi="宋体" w:eastAsia="宋体" w:cs="宋体"/>
          <w:b/>
          <w:color w:val="auto"/>
          <w:sz w:val="36"/>
          <w:szCs w:val="20"/>
          <w:highlight w:val="none"/>
        </w:rPr>
      </w:pPr>
    </w:p>
    <w:p>
      <w:pPr>
        <w:rPr>
          <w:rFonts w:hint="eastAsia" w:ascii="宋体" w:hAnsi="宋体" w:eastAsia="宋体" w:cs="宋体"/>
          <w:b/>
          <w:color w:val="auto"/>
          <w:sz w:val="36"/>
          <w:szCs w:val="20"/>
          <w:highlight w:val="none"/>
        </w:rPr>
      </w:pPr>
    </w:p>
    <w:p>
      <w:pPr>
        <w:pStyle w:val="26"/>
        <w:ind w:firstLine="723"/>
        <w:rPr>
          <w:rFonts w:hint="eastAsia" w:ascii="宋体" w:hAnsi="宋体" w:eastAsia="宋体" w:cs="宋体"/>
          <w:b/>
          <w:color w:val="auto"/>
          <w:sz w:val="36"/>
          <w:szCs w:val="20"/>
          <w:highlight w:val="none"/>
        </w:rPr>
      </w:pPr>
    </w:p>
    <w:p>
      <w:pPr>
        <w:pStyle w:val="27"/>
        <w:ind w:firstLine="723"/>
        <w:rPr>
          <w:rFonts w:hint="eastAsia" w:ascii="宋体" w:hAnsi="宋体" w:eastAsia="宋体" w:cs="宋体"/>
          <w:b/>
          <w:color w:val="auto"/>
          <w:sz w:val="36"/>
          <w:szCs w:val="20"/>
          <w:highlight w:val="none"/>
        </w:rPr>
      </w:pPr>
    </w:p>
    <w:p>
      <w:pPr>
        <w:rPr>
          <w:rFonts w:hint="eastAsia" w:ascii="宋体" w:hAnsi="宋体" w:eastAsia="宋体" w:cs="宋体"/>
          <w:b/>
          <w:color w:val="auto"/>
          <w:sz w:val="36"/>
          <w:szCs w:val="20"/>
          <w:highlight w:val="none"/>
        </w:rPr>
      </w:pPr>
    </w:p>
    <w:p>
      <w:pPr>
        <w:pStyle w:val="26"/>
        <w:ind w:firstLine="723"/>
        <w:rPr>
          <w:rFonts w:hint="eastAsia" w:ascii="宋体" w:hAnsi="宋体" w:eastAsia="宋体" w:cs="宋体"/>
          <w:b/>
          <w:color w:val="auto"/>
          <w:sz w:val="36"/>
          <w:szCs w:val="20"/>
          <w:highlight w:val="none"/>
        </w:rPr>
      </w:pPr>
    </w:p>
    <w:p>
      <w:pPr>
        <w:pStyle w:val="27"/>
        <w:ind w:firstLine="723"/>
        <w:rPr>
          <w:rFonts w:hint="eastAsia" w:ascii="宋体" w:hAnsi="宋体" w:eastAsia="宋体" w:cs="宋体"/>
          <w:b/>
          <w:color w:val="auto"/>
          <w:sz w:val="36"/>
          <w:szCs w:val="20"/>
          <w:highlight w:val="none"/>
        </w:rPr>
      </w:pPr>
    </w:p>
    <w:p>
      <w:pPr>
        <w:rPr>
          <w:rFonts w:hint="eastAsia" w:ascii="宋体" w:hAnsi="宋体" w:eastAsia="宋体" w:cs="宋体"/>
          <w:b/>
          <w:color w:val="auto"/>
          <w:sz w:val="36"/>
          <w:szCs w:val="20"/>
          <w:highlight w:val="none"/>
        </w:rPr>
      </w:pPr>
    </w:p>
    <w:p>
      <w:pPr>
        <w:pStyle w:val="26"/>
        <w:ind w:firstLine="723"/>
        <w:rPr>
          <w:rFonts w:hint="eastAsia" w:ascii="宋体" w:hAnsi="宋体" w:eastAsia="宋体" w:cs="宋体"/>
          <w:b/>
          <w:color w:val="auto"/>
          <w:sz w:val="36"/>
          <w:szCs w:val="20"/>
          <w:highlight w:val="none"/>
        </w:rPr>
      </w:pPr>
    </w:p>
    <w:p>
      <w:pPr>
        <w:pStyle w:val="27"/>
        <w:ind w:firstLine="723"/>
        <w:rPr>
          <w:rFonts w:hint="eastAsia" w:ascii="宋体" w:hAnsi="宋体" w:eastAsia="宋体" w:cs="宋体"/>
          <w:b/>
          <w:color w:val="auto"/>
          <w:sz w:val="36"/>
          <w:szCs w:val="20"/>
          <w:highlight w:val="none"/>
        </w:rPr>
      </w:pPr>
    </w:p>
    <w:p>
      <w:pPr>
        <w:rPr>
          <w:rFonts w:hint="eastAsia" w:ascii="宋体" w:hAnsi="宋体" w:eastAsia="宋体" w:cs="宋体"/>
          <w:b/>
          <w:color w:val="auto"/>
          <w:sz w:val="36"/>
          <w:szCs w:val="20"/>
          <w:highlight w:val="none"/>
        </w:rPr>
      </w:pPr>
    </w:p>
    <w:p>
      <w:pPr>
        <w:pStyle w:val="26"/>
        <w:ind w:firstLine="723"/>
        <w:rPr>
          <w:rFonts w:hint="eastAsia" w:ascii="宋体" w:hAnsi="宋体" w:eastAsia="宋体" w:cs="宋体"/>
          <w:b/>
          <w:color w:val="auto"/>
          <w:sz w:val="36"/>
          <w:szCs w:val="20"/>
          <w:highlight w:val="none"/>
        </w:rPr>
      </w:pPr>
    </w:p>
    <w:p>
      <w:pPr>
        <w:pStyle w:val="27"/>
        <w:ind w:firstLine="723"/>
        <w:rPr>
          <w:rFonts w:hint="eastAsia" w:ascii="宋体" w:hAnsi="宋体" w:eastAsia="宋体" w:cs="宋体"/>
          <w:b/>
          <w:color w:val="auto"/>
          <w:sz w:val="36"/>
          <w:szCs w:val="20"/>
          <w:highlight w:val="none"/>
        </w:rPr>
      </w:pPr>
    </w:p>
    <w:p>
      <w:pPr>
        <w:rPr>
          <w:rFonts w:hint="eastAsia" w:ascii="宋体" w:hAnsi="宋体" w:eastAsia="宋体" w:cs="宋体"/>
          <w:b/>
          <w:color w:val="auto"/>
          <w:sz w:val="36"/>
          <w:szCs w:val="20"/>
          <w:highlight w:val="none"/>
        </w:rPr>
      </w:pPr>
    </w:p>
    <w:p>
      <w:pPr>
        <w:pStyle w:val="26"/>
        <w:ind w:firstLine="723"/>
        <w:rPr>
          <w:rFonts w:hint="eastAsia" w:ascii="宋体" w:hAnsi="宋体" w:eastAsia="宋体" w:cs="宋体"/>
          <w:b/>
          <w:color w:val="auto"/>
          <w:sz w:val="36"/>
          <w:szCs w:val="20"/>
          <w:highlight w:val="none"/>
        </w:rPr>
      </w:pPr>
    </w:p>
    <w:p>
      <w:pPr>
        <w:pStyle w:val="27"/>
        <w:ind w:firstLine="723"/>
        <w:rPr>
          <w:rFonts w:hint="eastAsia" w:ascii="宋体" w:hAnsi="宋体" w:eastAsia="宋体" w:cs="宋体"/>
          <w:b/>
          <w:color w:val="auto"/>
          <w:sz w:val="36"/>
          <w:szCs w:val="20"/>
          <w:highlight w:val="none"/>
        </w:rPr>
      </w:pPr>
    </w:p>
    <w:p>
      <w:pPr>
        <w:rPr>
          <w:rFonts w:hint="eastAsia" w:ascii="宋体" w:hAnsi="宋体" w:eastAsia="宋体" w:cs="宋体"/>
          <w:b/>
          <w:color w:val="auto"/>
          <w:sz w:val="36"/>
          <w:szCs w:val="20"/>
          <w:highlight w:val="none"/>
        </w:rPr>
      </w:pPr>
    </w:p>
    <w:p>
      <w:pPr>
        <w:pStyle w:val="26"/>
        <w:ind w:firstLine="723"/>
        <w:rPr>
          <w:rFonts w:hint="eastAsia" w:ascii="宋体" w:hAnsi="宋体" w:eastAsia="宋体" w:cs="宋体"/>
          <w:b/>
          <w:color w:val="auto"/>
          <w:sz w:val="36"/>
          <w:szCs w:val="20"/>
          <w:highlight w:val="none"/>
        </w:rPr>
      </w:pPr>
    </w:p>
    <w:p>
      <w:pPr>
        <w:pStyle w:val="27"/>
        <w:ind w:firstLine="723"/>
        <w:rPr>
          <w:rFonts w:hint="eastAsia" w:ascii="宋体" w:hAnsi="宋体" w:eastAsia="宋体" w:cs="宋体"/>
          <w:b/>
          <w:color w:val="auto"/>
          <w:sz w:val="36"/>
          <w:szCs w:val="20"/>
          <w:highlight w:val="none"/>
        </w:rPr>
      </w:pPr>
    </w:p>
    <w:p>
      <w:pPr>
        <w:rPr>
          <w:rFonts w:hint="eastAsia" w:ascii="宋体" w:hAnsi="宋体" w:eastAsia="宋体" w:cs="宋体"/>
          <w:b/>
          <w:color w:val="auto"/>
          <w:sz w:val="36"/>
          <w:szCs w:val="20"/>
          <w:highlight w:val="none"/>
        </w:rPr>
      </w:pPr>
    </w:p>
    <w:p>
      <w:pPr>
        <w:pStyle w:val="26"/>
        <w:ind w:firstLine="723"/>
        <w:rPr>
          <w:rFonts w:hint="eastAsia" w:ascii="宋体" w:hAnsi="宋体" w:eastAsia="宋体" w:cs="宋体"/>
          <w:b/>
          <w:color w:val="auto"/>
          <w:sz w:val="36"/>
          <w:szCs w:val="20"/>
          <w:highlight w:val="none"/>
        </w:rPr>
      </w:pPr>
    </w:p>
    <w:p>
      <w:pPr>
        <w:pStyle w:val="27"/>
        <w:ind w:firstLine="723"/>
        <w:rPr>
          <w:rFonts w:hint="eastAsia" w:ascii="宋体" w:hAnsi="宋体" w:eastAsia="宋体" w:cs="宋体"/>
          <w:b/>
          <w:color w:val="auto"/>
          <w:sz w:val="36"/>
          <w:szCs w:val="20"/>
          <w:highlight w:val="none"/>
        </w:rPr>
      </w:pPr>
    </w:p>
    <w:p>
      <w:pPr>
        <w:rPr>
          <w:rFonts w:hint="eastAsia" w:ascii="宋体" w:hAnsi="宋体" w:eastAsia="宋体" w:cs="宋体"/>
          <w:color w:val="auto"/>
          <w:highlight w:val="none"/>
        </w:rPr>
      </w:pPr>
    </w:p>
    <w:p>
      <w:pPr>
        <w:pStyle w:val="27"/>
        <w:ind w:firstLine="723"/>
        <w:rPr>
          <w:rFonts w:hint="eastAsia" w:ascii="宋体" w:hAnsi="宋体" w:eastAsia="宋体" w:cs="宋体"/>
          <w:b/>
          <w:color w:val="auto"/>
          <w:sz w:val="36"/>
          <w:szCs w:val="20"/>
          <w:highlight w:val="none"/>
        </w:rPr>
      </w:pPr>
    </w:p>
    <w:p>
      <w:pPr>
        <w:rPr>
          <w:rFonts w:hint="eastAsia" w:ascii="宋体" w:hAnsi="宋体" w:eastAsia="宋体" w:cs="宋体"/>
          <w:color w:val="auto"/>
          <w:highlight w:val="none"/>
        </w:rPr>
      </w:pPr>
    </w:p>
    <w:p>
      <w:pP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第二部分</w:t>
      </w:r>
      <w:bookmarkEnd w:id="8"/>
      <w:r>
        <w:rPr>
          <w:rFonts w:hint="eastAsia" w:ascii="宋体" w:hAnsi="宋体" w:eastAsia="宋体" w:cs="宋体"/>
          <w:b/>
          <w:color w:val="auto"/>
          <w:sz w:val="36"/>
          <w:szCs w:val="20"/>
          <w:highlight w:val="none"/>
        </w:rPr>
        <w:t xml:space="preserve"> 投标人须知</w:t>
      </w:r>
      <w:bookmarkEnd w:id="9"/>
    </w:p>
    <w:p>
      <w:pPr>
        <w:adjustRightInd/>
        <w:spacing w:line="360" w:lineRule="auto"/>
        <w:ind w:firstLine="3845" w:firstLineChars="1197"/>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0"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（1）标的：</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u w:val="single"/>
                <w:lang w:eastAsia="zh-CN"/>
              </w:rPr>
              <w:t>综合保洁服务</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，属于</w:t>
            </w:r>
            <w:r>
              <w:rPr>
                <w:rFonts w:hint="eastAsia" w:ascii="宋体" w:hAnsi="宋体" w:eastAsia="宋体" w:cs="宋体"/>
                <w:color w:val="auto"/>
                <w:kern w:val="0"/>
                <w:sz w:val="24"/>
                <w:highlight w:val="none"/>
                <w:u w:val="single"/>
              </w:rPr>
              <w:t xml:space="preserve"> 其他未列明行业 </w:t>
            </w:r>
            <w:r>
              <w:rPr>
                <w:rFonts w:hint="eastAsia" w:ascii="宋体" w:hAnsi="宋体" w:eastAsia="宋体" w:cs="宋体"/>
                <w:color w:val="auto"/>
                <w:kern w:val="0"/>
                <w:sz w:val="24"/>
                <w:highlight w:val="none"/>
              </w:rPr>
              <w:t>行业；</w:t>
            </w:r>
          </w:p>
          <w:p>
            <w:pPr>
              <w:pStyle w:val="4"/>
              <w:rPr>
                <w:rFonts w:hint="eastAsia" w:ascii="宋体" w:hAnsi="宋体" w:eastAsia="宋体" w:cs="宋体"/>
                <w:color w:val="auto"/>
                <w:highlight w:val="none"/>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color w:val="auto"/>
                <w:kern w:val="0"/>
                <w:sz w:val="24"/>
                <w:highlight w:val="none"/>
              </w:rPr>
              <w:t>本项目不允许采购进口产品。</w:t>
            </w:r>
          </w:p>
          <w:p>
            <w:pPr>
              <w:spacing w:line="360" w:lineRule="auto"/>
              <w:rPr>
                <w:rFonts w:hint="eastAsia" w:ascii="宋体" w:hAnsi="宋体" w:eastAsia="宋体" w:cs="宋体"/>
                <w:color w:val="auto"/>
                <w:highlight w:val="none"/>
              </w:rPr>
            </w:pPr>
            <w:r>
              <w:rPr>
                <w:rFonts w:hint="eastAsia" w:ascii="宋体" w:hAnsi="宋体" w:eastAsia="宋体" w:cs="宋体"/>
                <w:color w:val="auto"/>
                <w:kern w:val="0"/>
                <w:sz w:val="24"/>
                <w:highlight w:val="none"/>
              </w:rPr>
              <w:t>☐可以就</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 A</w:t>
            </w:r>
            <w:r>
              <w:rPr>
                <w:rFonts w:hint="eastAsia" w:ascii="宋体" w:hAnsi="宋体" w:eastAsia="宋体" w:cs="宋体"/>
                <w:color w:val="auto"/>
                <w:sz w:val="24"/>
                <w:highlight w:val="none"/>
              </w:rPr>
              <w:t>同意将非主体、非关键性的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工作分包。</w:t>
            </w:r>
            <w:r>
              <w:rPr>
                <w:rFonts w:hint="eastAsia" w:ascii="宋体" w:hAnsi="宋体" w:eastAsia="宋体" w:cs="宋体"/>
                <w:color w:val="auto"/>
                <w:kern w:val="0"/>
                <w:sz w:val="24"/>
                <w:szCs w:val="24"/>
                <w:highlight w:val="none"/>
              </w:rPr>
              <w:sym w:font="Wingdings" w:char="00FE"/>
            </w:r>
            <w:r>
              <w:rPr>
                <w:rFonts w:hint="eastAsia" w:ascii="宋体" w:hAnsi="宋体" w:eastAsia="宋体" w:cs="宋体"/>
                <w:color w:val="auto"/>
                <w:kern w:val="0"/>
                <w:sz w:val="24"/>
                <w:highlight w:val="none"/>
              </w:rPr>
              <w:t xml:space="preserve"> B</w:t>
            </w:r>
            <w:r>
              <w:rPr>
                <w:rFonts w:hint="eastAsia" w:ascii="宋体" w:hAnsi="宋体" w:eastAsia="宋体" w:cs="宋体"/>
                <w:color w:val="auto"/>
                <w:sz w:val="24"/>
                <w:highlight w:val="none"/>
              </w:rPr>
              <w:t>不同意分包。</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szCs w:val="24"/>
                <w:highlight w:val="none"/>
              </w:rPr>
              <w:sym w:font="Wingdings" w:char="00FE"/>
            </w:r>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spacing w:line="360" w:lineRule="auto"/>
              <w:rPr>
                <w:rFonts w:hint="eastAsia" w:ascii="宋体" w:hAnsi="宋体" w:eastAsia="宋体" w:cs="宋体"/>
                <w:color w:val="auto"/>
                <w:sz w:val="24"/>
                <w:szCs w:val="20"/>
                <w:highlight w:val="none"/>
              </w:rPr>
            </w:pPr>
            <w:r>
              <w:rPr>
                <w:rFonts w:hint="eastAsia" w:ascii="宋体" w:hAnsi="宋体" w:eastAsia="宋体" w:cs="宋体"/>
                <w:color w:val="auto"/>
                <w:kern w:val="0"/>
                <w:sz w:val="24"/>
                <w:highlight w:val="none"/>
              </w:rPr>
              <w:t>☐B组织，</w:t>
            </w:r>
            <w:r>
              <w:rPr>
                <w:rFonts w:hint="eastAsia" w:ascii="宋体" w:hAnsi="宋体" w:eastAsia="宋体" w:cs="宋体"/>
                <w:color w:val="auto"/>
                <w:sz w:val="24"/>
                <w:highlight w:val="none"/>
              </w:rPr>
              <w:t>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,地点：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，联系方式：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05"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szCs w:val="24"/>
                <w:highlight w:val="none"/>
              </w:rPr>
              <w:sym w:font="Wingdings" w:char="00FE"/>
            </w:r>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不要求提供。</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☐B要求提供，</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r>
              <w:rPr>
                <w:rFonts w:hint="eastAsia" w:ascii="宋体" w:hAnsi="宋体" w:eastAsia="宋体" w:cs="宋体"/>
                <w:snapToGrid w:val="0"/>
                <w:color w:val="auto"/>
                <w:kern w:val="28"/>
                <w:sz w:val="24"/>
                <w:highlight w:val="none"/>
              </w:rPr>
              <w:t>样品：</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r>
              <w:rPr>
                <w:rFonts w:hint="eastAsia" w:ascii="宋体" w:hAnsi="宋体" w:eastAsia="宋体" w:cs="宋体"/>
                <w:snapToGrid w:val="0"/>
                <w:color w:val="auto"/>
                <w:kern w:val="28"/>
                <w:sz w:val="24"/>
                <w:highlight w:val="none"/>
              </w:rPr>
              <w:t>样品制作的标准和要求：</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（3）样品的评审方法以及评审标准</w:t>
            </w:r>
            <w:r>
              <w:rPr>
                <w:rFonts w:hint="eastAsia" w:ascii="宋体" w:hAnsi="宋体" w:eastAsia="宋体" w:cs="宋体"/>
                <w:snapToGrid w:val="0"/>
                <w:color w:val="auto"/>
                <w:kern w:val="28"/>
                <w:sz w:val="24"/>
                <w:highlight w:val="none"/>
              </w:rPr>
              <w:t>：详见</w:t>
            </w:r>
            <w:r>
              <w:rPr>
                <w:rFonts w:hint="eastAsia" w:ascii="宋体" w:hAnsi="宋体" w:eastAsia="宋体" w:cs="宋体"/>
                <w:color w:val="auto"/>
                <w:sz w:val="24"/>
                <w:highlight w:val="none"/>
                <w:u w:val="single"/>
              </w:rPr>
              <w:t>评标办法</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（4）是否需要随样品提交检测报告：☐否；☐是，检测机构的要求</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；检测内容</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（5）提供样品的时间：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；地点：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；联系人</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28"/>
                <w:sz w:val="24"/>
                <w:highlight w:val="none"/>
              </w:rPr>
              <w:t>联系电话：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spacing w:line="360" w:lineRule="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Cs/>
                <w:color w:val="auto"/>
                <w:sz w:val="24"/>
                <w:highlight w:val="none"/>
              </w:rPr>
            </w:pPr>
            <w:r>
              <w:rPr>
                <w:rFonts w:hint="eastAsia" w:ascii="宋体" w:hAnsi="宋体" w:eastAsia="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szCs w:val="24"/>
                <w:highlight w:val="none"/>
              </w:rPr>
              <w:sym w:font="Wingdings" w:char="00FE"/>
            </w:r>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☐B组织。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（1）在评标时安排每个投标人进行方案讲解演示。每个投标人时间不超过</w:t>
            </w:r>
            <w:r>
              <w:rPr>
                <w:rFonts w:hint="eastAsia" w:ascii="宋体" w:hAnsi="宋体" w:eastAsia="宋体" w:cs="宋体"/>
                <w:color w:val="auto"/>
                <w:kern w:val="0"/>
                <w:sz w:val="24"/>
                <w:highlight w:val="none"/>
                <w:u w:val="single"/>
              </w:rPr>
              <w:t>20（编制时可根据项目情况进行调整）</w:t>
            </w:r>
            <w:r>
              <w:rPr>
                <w:rFonts w:hint="eastAsia" w:ascii="宋体" w:hAnsi="宋体" w:eastAsia="宋体" w:cs="宋体"/>
                <w:color w:val="auto"/>
                <w:kern w:val="0"/>
                <w:sz w:val="24"/>
                <w:highlight w:val="none"/>
              </w:rPr>
              <w:t>分钟，讲解次序以投标文件解密时间先后次序为准，讲解演示人员不超过</w:t>
            </w:r>
            <w:r>
              <w:rPr>
                <w:rFonts w:hint="eastAsia" w:ascii="宋体" w:hAnsi="宋体" w:eastAsia="宋体" w:cs="宋体"/>
                <w:color w:val="auto"/>
                <w:kern w:val="0"/>
                <w:sz w:val="24"/>
                <w:highlight w:val="none"/>
                <w:u w:val="single"/>
              </w:rPr>
              <w:t>3（编制时可根据项目情况进行调整）</w:t>
            </w:r>
            <w:r>
              <w:rPr>
                <w:rFonts w:hint="eastAsia" w:ascii="宋体" w:hAnsi="宋体" w:eastAsia="宋体" w:cs="宋体"/>
                <w:color w:val="auto"/>
                <w:kern w:val="0"/>
                <w:sz w:val="24"/>
                <w:highlight w:val="none"/>
              </w:rPr>
              <w:t>人。讲解演示结束后按要求解答评标委员会提问。</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（2）方案讲解演示可选择以下其中一种方式：</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方式二：交易中心现场讲解演示。现场讲解地点为</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61" w:hRule="atLeast"/>
          <w:tblHeader/>
        </w:trPr>
        <w:tc>
          <w:tcPr>
            <w:tcW w:w="629" w:type="dxa"/>
            <w:vMerge w:val="restart"/>
            <w:tcBorders>
              <w:top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（1）资格证明文件：见招标文件第二部分11.1。</w:t>
            </w:r>
          </w:p>
          <w:p>
            <w:pPr>
              <w:spacing w:line="360" w:lineRule="auto"/>
              <w:rPr>
                <w:rFonts w:hint="eastAsia" w:ascii="宋体" w:hAnsi="宋体" w:eastAsia="宋体" w:cs="宋体"/>
                <w:snapToGrid w:val="0"/>
                <w:color w:val="auto"/>
                <w:kern w:val="0"/>
                <w:szCs w:val="21"/>
                <w:highlight w:val="none"/>
              </w:rPr>
            </w:pPr>
            <w:r>
              <w:rPr>
                <w:rFonts w:hint="eastAsia" w:ascii="宋体" w:hAnsi="宋体" w:eastAsia="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31" w:hRule="atLeast"/>
          <w:tblHeader/>
        </w:trPr>
        <w:tc>
          <w:tcPr>
            <w:tcW w:w="629" w:type="dxa"/>
            <w:vMerge w:val="continue"/>
            <w:tcBorders>
              <w:bottom w:val="single" w:color="auto" w:sz="4" w:space="0"/>
              <w:right w:val="single" w:color="auto" w:sz="4" w:space="0"/>
            </w:tcBorders>
          </w:tcPr>
          <w:p>
            <w:pPr>
              <w:snapToGrid w:val="0"/>
              <w:spacing w:line="360" w:lineRule="auto"/>
              <w:jc w:val="center"/>
              <w:rPr>
                <w:rFonts w:hint="eastAsia" w:ascii="宋体" w:hAnsi="宋体" w:eastAsia="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有关本项目实施所需的所有费用（含税费）均计入报价。</w:t>
            </w:r>
            <w:r>
              <w:rPr>
                <w:rFonts w:hint="eastAsia" w:ascii="宋体" w:hAnsi="宋体" w:eastAsia="宋体" w:cs="宋体"/>
                <w:b/>
                <w:bCs/>
                <w:color w:val="auto"/>
                <w:kern w:val="0"/>
                <w:sz w:val="24"/>
                <w:highlight w:val="none"/>
                <w:lang w:val="zh-CN"/>
              </w:rPr>
              <w:t>投标文件</w:t>
            </w:r>
            <w:r>
              <w:rPr>
                <w:rFonts w:hint="eastAsia" w:ascii="宋体" w:hAnsi="宋体" w:eastAsia="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eastAsia="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eastAsia="宋体" w:cs="宋体"/>
                <w:b/>
                <w:color w:val="auto"/>
                <w:kern w:val="0"/>
                <w:sz w:val="24"/>
                <w:highlight w:val="none"/>
                <w:lang w:val="zh-CN"/>
              </w:rPr>
              <w:t>提醒：验收时检测费用由采购人承担，不包含在投标总价中。</w:t>
            </w:r>
          </w:p>
          <w:p>
            <w:pPr>
              <w:snapToGrid w:val="0"/>
              <w:spacing w:line="360" w:lineRule="auto"/>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投标报价出现下列情形的，投标无效：</w:t>
            </w:r>
          </w:p>
          <w:p>
            <w:pPr>
              <w:snapToGrid w:val="0"/>
              <w:spacing w:line="360" w:lineRule="auto"/>
              <w:ind w:firstLine="241" w:firstLineChars="100"/>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hint="eastAsia" w:ascii="宋体" w:hAnsi="宋体" w:eastAsia="宋体" w:cs="宋体"/>
                <w:color w:val="auto"/>
                <w:kern w:val="0"/>
                <w:sz w:val="24"/>
                <w:highlight w:val="none"/>
                <w:lang w:val="zh-CN"/>
              </w:rPr>
            </w:pPr>
            <w:r>
              <w:rPr>
                <w:rFonts w:hint="eastAsia" w:ascii="宋体" w:hAnsi="宋体" w:eastAsia="宋体" w:cs="宋体"/>
                <w:b/>
                <w:color w:val="auto"/>
                <w:kern w:val="0"/>
                <w:sz w:val="24"/>
                <w:highlight w:val="none"/>
                <w:lang w:val="zh-CN"/>
              </w:rPr>
              <w:t>投标报价超过招标文件中规定的预算金额或者最高限价的;</w:t>
            </w:r>
          </w:p>
          <w:p>
            <w:pP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
                <w:color w:val="auto"/>
                <w:sz w:val="24"/>
                <w:szCs w:val="21"/>
                <w:highlight w:val="none"/>
              </w:rPr>
              <w:t>;</w:t>
            </w:r>
          </w:p>
          <w:p>
            <w:pPr>
              <w:spacing w:line="360" w:lineRule="auto"/>
              <w:ind w:firstLine="241" w:firstLineChars="100"/>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rPr>
              <w:t>投标人对根据修正原则修正后的报价不确认的</w:t>
            </w:r>
            <w:r>
              <w:rPr>
                <w:rFonts w:hint="eastAsia" w:ascii="宋体" w:hAnsi="宋体" w:eastAsia="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hint="eastAsia" w:ascii="宋体" w:hAnsi="宋体" w:eastAsia="宋体" w:cs="宋体"/>
                <w:color w:val="auto"/>
                <w:kern w:val="28"/>
                <w:sz w:val="24"/>
                <w:highlight w:val="none"/>
              </w:rPr>
            </w:pPr>
            <w:r>
              <w:rPr>
                <w:rFonts w:hint="eastAsia" w:ascii="宋体" w:hAnsi="宋体" w:eastAsia="宋体" w:cs="宋体"/>
                <w:color w:val="auto"/>
                <w:kern w:val="28"/>
                <w:sz w:val="24"/>
                <w:szCs w:val="24"/>
                <w:highlight w:val="none"/>
              </w:rPr>
              <w:t>备份投标文件送达地点：杭州市临平区塘栖镇运溪路113号电商大楼507室；备份投标文件签收人员联系电话：</w:t>
            </w:r>
            <w:r>
              <w:rPr>
                <w:rFonts w:hint="eastAsia" w:ascii="宋体" w:hAnsi="宋体" w:eastAsia="宋体" w:cs="宋体"/>
                <w:color w:val="auto"/>
                <w:sz w:val="24"/>
                <w:highlight w:val="none"/>
                <w:u w:val="single"/>
              </w:rPr>
              <w:t>13588366887</w:t>
            </w: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5" w:hRule="atLeast"/>
          <w:tblHeader/>
        </w:trPr>
        <w:tc>
          <w:tcPr>
            <w:tcW w:w="629" w:type="dxa"/>
            <w:vMerge w:val="continue"/>
            <w:tcBorders>
              <w:left w:val="single" w:color="000000" w:sz="8" w:space="0"/>
              <w:bottom w:val="single" w:color="auto" w:sz="4"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p>
        </w:tc>
        <w:tc>
          <w:tcPr>
            <w:tcW w:w="1843" w:type="dxa"/>
            <w:vMerge w:val="continue"/>
            <w:tcBorders>
              <w:left w:val="single" w:color="000000" w:sz="2" w:space="0"/>
              <w:bottom w:val="single" w:color="auto" w:sz="4"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color w:val="auto"/>
                <w:kern w:val="0"/>
                <w:sz w:val="24"/>
                <w:highlight w:val="none"/>
              </w:rPr>
              <w:t>☐</w:t>
            </w:r>
            <w:r>
              <w:rPr>
                <w:rFonts w:hint="eastAsia" w:ascii="宋体" w:hAnsi="宋体" w:eastAsia="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color w:val="auto"/>
                <w:kern w:val="0"/>
                <w:sz w:val="24"/>
                <w:highlight w:val="none"/>
              </w:rPr>
              <w:sym w:font="Wingdings" w:char="F0FE"/>
            </w:r>
            <w:r>
              <w:rPr>
                <w:rFonts w:hint="eastAsia" w:ascii="宋体" w:hAnsi="宋体" w:eastAsia="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935"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14</w:t>
            </w:r>
          </w:p>
        </w:tc>
        <w:tc>
          <w:tcPr>
            <w:tcW w:w="1843" w:type="dxa"/>
            <w:tcBorders>
              <w:top w:val="single" w:color="auto" w:sz="4" w:space="0"/>
              <w:left w:val="single" w:color="000000" w:sz="2" w:space="0"/>
              <w:bottom w:val="single" w:color="auto" w:sz="4"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招标代理服务费</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招标服务费：本次代理服务费由中标人支付，代理服务费按照国家计委印发的《招标代理服务收费管理暂行办法》计价格[2002]1980号、发改办价格[2003]857号规定进行收费。各投标人应在投标报价中予以考虑。</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snapToGrid w:val="0"/>
                <w:color w:val="auto"/>
                <w:kern w:val="28"/>
                <w:sz w:val="24"/>
                <w:highlight w:val="none"/>
              </w:rPr>
              <w:t>中标服务费的交纳方式：以转帐或支票的形式支付，开户名：杭州永圣工程咨询代理有限公司；开户行名称：浙江杭州余杭农村商业银行股份有限公司塘栖支行 ； 帐号：201000256592836</w:t>
            </w:r>
          </w:p>
        </w:tc>
      </w:tr>
    </w:tbl>
    <w:p>
      <w:pPr>
        <w:snapToGrid w:val="0"/>
        <w:spacing w:line="360" w:lineRule="auto"/>
        <w:jc w:val="center"/>
        <w:rPr>
          <w:rFonts w:hint="eastAsia" w:ascii="宋体" w:hAnsi="宋体" w:eastAsia="宋体" w:cs="宋体"/>
          <w:b/>
          <w:color w:val="auto"/>
          <w:sz w:val="32"/>
          <w:szCs w:val="20"/>
          <w:highlight w:val="none"/>
        </w:rPr>
      </w:pPr>
    </w:p>
    <w:bookmarkEnd w:id="10"/>
    <w:p>
      <w:pPr>
        <w:adjustRightInd/>
        <w:spacing w:line="360" w:lineRule="auto"/>
        <w:ind w:firstLine="3845" w:firstLineChars="1197"/>
        <w:outlineLvl w:val="0"/>
        <w:rPr>
          <w:rFonts w:hint="eastAsia" w:ascii="宋体" w:hAnsi="宋体" w:eastAsia="宋体" w:cs="宋体"/>
          <w:b/>
          <w:color w:val="auto"/>
          <w:sz w:val="32"/>
          <w:szCs w:val="20"/>
          <w:highlight w:val="none"/>
        </w:rPr>
      </w:pPr>
      <w:bookmarkStart w:id="11" w:name="第三部分"/>
      <w:bookmarkStart w:id="12" w:name="_Toc164416483"/>
    </w:p>
    <w:p>
      <w:pPr>
        <w:adjustRightInd/>
        <w:spacing w:line="360" w:lineRule="auto"/>
        <w:ind w:firstLine="3845" w:firstLineChars="1197"/>
        <w:outlineLvl w:val="0"/>
        <w:rPr>
          <w:rFonts w:hint="eastAsia" w:ascii="宋体" w:hAnsi="宋体" w:eastAsia="宋体" w:cs="宋体"/>
          <w:b/>
          <w:color w:val="auto"/>
          <w:sz w:val="32"/>
          <w:szCs w:val="20"/>
          <w:highlight w:val="none"/>
        </w:rPr>
      </w:pPr>
    </w:p>
    <w:p>
      <w:pPr>
        <w:adjustRightInd/>
        <w:spacing w:line="360" w:lineRule="auto"/>
        <w:ind w:firstLine="3845" w:firstLineChars="1197"/>
        <w:outlineLvl w:val="0"/>
        <w:rPr>
          <w:rFonts w:hint="eastAsia" w:ascii="宋体" w:hAnsi="宋体" w:eastAsia="宋体" w:cs="宋体"/>
          <w:b/>
          <w:color w:val="auto"/>
          <w:sz w:val="32"/>
          <w:szCs w:val="20"/>
          <w:highlight w:val="none"/>
        </w:rPr>
      </w:pPr>
    </w:p>
    <w:p>
      <w:pPr>
        <w:adjustRightInd/>
        <w:spacing w:line="360" w:lineRule="auto"/>
        <w:ind w:firstLine="3845" w:firstLineChars="1197"/>
        <w:outlineLvl w:val="0"/>
        <w:rPr>
          <w:rFonts w:hint="eastAsia" w:ascii="宋体" w:hAnsi="宋体" w:eastAsia="宋体" w:cs="宋体"/>
          <w:b/>
          <w:color w:val="auto"/>
          <w:sz w:val="32"/>
          <w:szCs w:val="20"/>
          <w:highlight w:val="none"/>
        </w:rPr>
      </w:pPr>
    </w:p>
    <w:p>
      <w:pPr>
        <w:adjustRightInd/>
        <w:spacing w:line="360" w:lineRule="auto"/>
        <w:ind w:firstLine="3845" w:firstLineChars="1197"/>
        <w:outlineLvl w:val="0"/>
        <w:rPr>
          <w:rFonts w:hint="eastAsia" w:ascii="宋体" w:hAnsi="宋体" w:eastAsia="宋体" w:cs="宋体"/>
          <w:b/>
          <w:color w:val="auto"/>
          <w:sz w:val="32"/>
          <w:szCs w:val="20"/>
          <w:highlight w:val="none"/>
        </w:rPr>
      </w:pPr>
    </w:p>
    <w:p>
      <w:pPr>
        <w:pStyle w:val="26"/>
        <w:rPr>
          <w:rFonts w:hint="eastAsia" w:ascii="宋体" w:hAnsi="宋体" w:eastAsia="宋体" w:cs="宋体"/>
          <w:b/>
          <w:color w:val="auto"/>
          <w:sz w:val="32"/>
          <w:szCs w:val="20"/>
          <w:highlight w:val="none"/>
        </w:rPr>
      </w:pPr>
    </w:p>
    <w:p>
      <w:pPr>
        <w:pStyle w:val="27"/>
        <w:rPr>
          <w:rFonts w:hint="eastAsia" w:ascii="宋体" w:hAnsi="宋体" w:eastAsia="宋体" w:cs="宋体"/>
          <w:b/>
          <w:color w:val="auto"/>
          <w:sz w:val="32"/>
          <w:szCs w:val="20"/>
          <w:highlight w:val="none"/>
        </w:rPr>
      </w:pPr>
    </w:p>
    <w:p>
      <w:pPr>
        <w:rPr>
          <w:rFonts w:hint="eastAsia" w:ascii="宋体" w:hAnsi="宋体" w:eastAsia="宋体" w:cs="宋体"/>
          <w:b/>
          <w:color w:val="auto"/>
          <w:sz w:val="32"/>
          <w:szCs w:val="20"/>
          <w:highlight w:val="none"/>
        </w:rPr>
      </w:pPr>
    </w:p>
    <w:p>
      <w:pPr>
        <w:pStyle w:val="26"/>
        <w:rPr>
          <w:rFonts w:hint="eastAsia" w:ascii="宋体" w:hAnsi="宋体" w:eastAsia="宋体" w:cs="宋体"/>
          <w:b/>
          <w:color w:val="auto"/>
          <w:sz w:val="32"/>
          <w:szCs w:val="20"/>
          <w:highlight w:val="none"/>
        </w:rPr>
      </w:pPr>
    </w:p>
    <w:p>
      <w:pPr>
        <w:pStyle w:val="27"/>
        <w:rPr>
          <w:rFonts w:hint="eastAsia" w:ascii="宋体" w:hAnsi="宋体" w:eastAsia="宋体" w:cs="宋体"/>
          <w:color w:val="auto"/>
          <w:highlight w:val="none"/>
        </w:rPr>
      </w:pPr>
    </w:p>
    <w:p>
      <w:pPr>
        <w:adjustRightInd/>
        <w:spacing w:line="360" w:lineRule="auto"/>
        <w:ind w:firstLine="3845" w:firstLineChars="1197"/>
        <w:outlineLvl w:val="0"/>
        <w:rPr>
          <w:rFonts w:hint="eastAsia" w:ascii="宋体" w:hAnsi="宋体" w:eastAsia="宋体" w:cs="宋体"/>
          <w:b/>
          <w:color w:val="auto"/>
          <w:sz w:val="32"/>
          <w:szCs w:val="20"/>
          <w:highlight w:val="none"/>
        </w:rPr>
      </w:pPr>
    </w:p>
    <w:p>
      <w:pPr>
        <w:adjustRightInd/>
        <w:spacing w:line="360" w:lineRule="auto"/>
        <w:ind w:firstLine="3845" w:firstLineChars="1197"/>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一、总则</w:t>
      </w:r>
    </w:p>
    <w:p>
      <w:pPr>
        <w:snapToGrid w:val="0"/>
        <w:spacing w:line="360" w:lineRule="auto"/>
        <w:ind w:firstLine="361" w:firstLineChars="150"/>
        <w:jc w:val="left"/>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 适用范围</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2.定义</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 “采购人”系指招标公告中载明的本项目的采购人。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 “采购代理机构”系指招标公告中载明的本项目的采购代理机构。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 “投标人”系指是指响应招标、参加投标竞争的法人、其他组织或者自然人。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2.6“电子交易平台”系指本项目政府采购活动所依托的政府采购云平台（https://www.zcygov.cn/）。</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 “▲” 系指实质性要求条款，“</w:t>
      </w: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 系指适用本项目的要求，“</w:t>
      </w:r>
      <w:r>
        <w:rPr>
          <w:rFonts w:hint="eastAsia" w:ascii="宋体" w:hAnsi="宋体" w:eastAsia="宋体" w:cs="宋体"/>
          <w:color w:val="auto"/>
          <w:kern w:val="0"/>
          <w:sz w:val="24"/>
          <w:highlight w:val="none"/>
        </w:rPr>
        <w:t>☐</w:t>
      </w:r>
      <w:r>
        <w:rPr>
          <w:rFonts w:hint="eastAsia" w:ascii="宋体" w:hAnsi="宋体" w:eastAsia="宋体" w:cs="宋体"/>
          <w:color w:val="auto"/>
          <w:sz w:val="24"/>
          <w:highlight w:val="none"/>
        </w:rPr>
        <w:t>” 系指不适用本项目的要求。</w:t>
      </w:r>
    </w:p>
    <w:p>
      <w:pP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采购项目需要落实的政府采购政策</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eastAsia="宋体" w:cs="宋体"/>
          <w:color w:val="auto"/>
          <w:kern w:val="0"/>
          <w:sz w:val="24"/>
          <w:highlight w:val="none"/>
        </w:rPr>
        <w:t>优先采购向我国企业转让技术、与我国企业签订消化吸收再创新方案的供应商的进口产品</w:t>
      </w:r>
      <w:r>
        <w:rPr>
          <w:rFonts w:hint="eastAsia" w:ascii="宋体" w:hAnsi="宋体" w:eastAsia="宋体" w:cs="宋体"/>
          <w:color w:val="auto"/>
          <w:sz w:val="24"/>
          <w:highlight w:val="none"/>
        </w:rPr>
        <w:t>。</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3.2 支持绿色发展</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3.3支持中小企业发展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3.3.2</w:t>
      </w:r>
      <w:r>
        <w:rPr>
          <w:rFonts w:hint="eastAsia" w:ascii="宋体" w:hAnsi="宋体" w:eastAsia="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3.3.3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3.4</w:t>
      </w:r>
      <w:r>
        <w:rPr>
          <w:rFonts w:hint="eastAsia" w:ascii="宋体" w:hAnsi="宋体" w:eastAsia="宋体" w:cs="宋体"/>
          <w:bCs/>
          <w:color w:val="auto"/>
          <w:sz w:val="24"/>
          <w:highlight w:val="none"/>
        </w:rPr>
        <w:t>支持创新发展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3.4.1 采购人优先采购被认定为首台套产品和“制造精品”的自主创新产品。</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3.5平等对待内外资企业和符合条件的破产重整企业</w:t>
      </w:r>
    </w:p>
    <w:p>
      <w:pPr>
        <w:spacing w:line="360" w:lineRule="auto"/>
        <w:ind w:firstLine="240" w:firstLineChars="100"/>
        <w:rPr>
          <w:rFonts w:hint="eastAsia" w:ascii="宋体" w:hAnsi="宋体" w:eastAsia="宋体" w:cs="宋体"/>
          <w:b/>
          <w:color w:val="auto"/>
          <w:sz w:val="24"/>
          <w:highlight w:val="none"/>
        </w:rPr>
      </w:pPr>
      <w:r>
        <w:rPr>
          <w:rFonts w:hint="eastAsia" w:ascii="宋体" w:hAnsi="宋体" w:eastAsia="宋体" w:cs="宋体"/>
          <w:color w:val="auto"/>
          <w:sz w:val="24"/>
          <w:highlight w:val="none"/>
        </w:rPr>
        <w:t>平等对待内外资企业和符合条件的破产重整企业，切实保障企业公平竞争，平等维护企业的合法利益。</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4.2供应商询问</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4.3供应商质疑</w:t>
      </w:r>
    </w:p>
    <w:p>
      <w:pPr>
        <w:pStyle w:val="35"/>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4.3</w:t>
      </w:r>
      <w:r>
        <w:rPr>
          <w:rFonts w:hint="eastAsia" w:ascii="宋体" w:hAnsi="宋体" w:eastAsia="宋体" w:cs="宋体"/>
          <w:color w:val="auto"/>
          <w:sz w:val="24"/>
          <w:highlight w:val="none"/>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4.3</w:t>
      </w:r>
      <w:r>
        <w:rPr>
          <w:rFonts w:hint="eastAsia" w:ascii="宋体" w:hAnsi="宋体" w:eastAsia="宋体" w:cs="宋体"/>
          <w:color w:val="auto"/>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6"/>
        <w:spacing w:line="360" w:lineRule="auto"/>
        <w:ind w:firstLine="480" w:firstLineChars="200"/>
        <w:rPr>
          <w:rFonts w:hint="eastAsia" w:ascii="宋体" w:hAnsi="宋体" w:eastAsia="宋体" w:cs="宋体"/>
          <w:color w:val="auto"/>
          <w:kern w:val="2"/>
          <w:sz w:val="24"/>
          <w:highlight w:val="none"/>
        </w:rPr>
      </w:pPr>
      <w:r>
        <w:rPr>
          <w:rFonts w:hint="eastAsia" w:ascii="宋体" w:hAnsi="宋体" w:eastAsia="宋体" w:cs="宋体"/>
          <w:color w:val="auto"/>
          <w:kern w:val="2"/>
          <w:sz w:val="24"/>
          <w:highlight w:val="none"/>
        </w:rPr>
        <w:t>4.3.2.1对招标文件提出质疑的，质疑期限为供应商获得招标文件之日或者招标文件公告期限届满之日起计算。</w:t>
      </w:r>
    </w:p>
    <w:p>
      <w:pPr>
        <w:pStyle w:val="35"/>
        <w:spacing w:line="360" w:lineRule="auto"/>
        <w:ind w:left="479" w:leftChars="228"/>
        <w:rPr>
          <w:rFonts w:hint="eastAsia" w:ascii="宋体" w:hAnsi="宋体" w:eastAsia="宋体" w:cs="宋体"/>
          <w:color w:val="auto"/>
          <w:sz w:val="24"/>
          <w:highlight w:val="none"/>
        </w:rPr>
      </w:pPr>
      <w:r>
        <w:rPr>
          <w:rFonts w:hint="eastAsia" w:ascii="宋体" w:hAnsi="宋体" w:eastAsia="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5"/>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4.3.3</w:t>
      </w:r>
      <w:r>
        <w:rPr>
          <w:rFonts w:hint="eastAsia" w:ascii="宋体" w:hAnsi="宋体" w:eastAsia="宋体" w:cs="宋体"/>
          <w:color w:val="auto"/>
          <w:sz w:val="24"/>
          <w:highlight w:val="none"/>
        </w:rPr>
        <w:t>供应商提出质疑应当提交质疑函和必要的证明材料。质疑函应当包括下列内容：</w:t>
      </w:r>
    </w:p>
    <w:p>
      <w:pPr>
        <w:pStyle w:val="35"/>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4.3.3.1供应商的姓名或者名称、地址、邮编、联系人及联系电话；</w:t>
      </w:r>
    </w:p>
    <w:p>
      <w:pPr>
        <w:pStyle w:val="35"/>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4.3.3.2质疑项目的名称、编号；</w:t>
      </w:r>
    </w:p>
    <w:p>
      <w:pPr>
        <w:pStyle w:val="35"/>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4.3.3.3具体、明确的质疑事项和与质疑事项相关的请求；</w:t>
      </w:r>
    </w:p>
    <w:p>
      <w:pPr>
        <w:pStyle w:val="35"/>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4.3.3.4事实依据；</w:t>
      </w:r>
    </w:p>
    <w:p>
      <w:pPr>
        <w:pStyle w:val="35"/>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4.3.3.5必要的法律依据；</w:t>
      </w:r>
    </w:p>
    <w:p>
      <w:pPr>
        <w:pStyle w:val="35"/>
        <w:spacing w:line="360" w:lineRule="auto"/>
        <w:ind w:firstLine="960" w:firstLineChars="4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4.3.3.6提出质疑的日期。</w:t>
      </w:r>
    </w:p>
    <w:p>
      <w:pPr>
        <w:pStyle w:val="889"/>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质疑函范本及制作说明详见附件2。</w:t>
      </w:r>
    </w:p>
    <w:p>
      <w:pPr>
        <w:pStyle w:val="889"/>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4.3.4对同一采购程序环节的质疑，供应商须在法定质疑期内一次性提出。</w:t>
      </w:r>
    </w:p>
    <w:p>
      <w:pPr>
        <w:pStyle w:val="889"/>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4.3</w:t>
      </w:r>
      <w:r>
        <w:rPr>
          <w:rFonts w:hint="eastAsia" w:ascii="宋体" w:hAnsi="宋体" w:eastAsia="宋体" w:cs="宋体"/>
          <w:color w:val="auto"/>
          <w:highlight w:val="none"/>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pPr>
        <w:pStyle w:val="889"/>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lang w:val="zh-CN"/>
        </w:rPr>
        <w:t>4.3</w:t>
      </w:r>
      <w:r>
        <w:rPr>
          <w:rFonts w:hint="eastAsia" w:ascii="宋体" w:hAnsi="宋体" w:eastAsia="宋体" w:cs="宋体"/>
          <w:color w:val="auto"/>
          <w:highlight w:val="none"/>
        </w:rPr>
        <w:t>.6询问或者质疑事项可能影响采购结果的，采购人应当暂停签订合同，已经签订合同的，应当中止履行合同。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4.4供应商投诉</w:t>
      </w:r>
    </w:p>
    <w:p>
      <w:pPr>
        <w:pStyle w:val="889"/>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4.4.1质疑供应商对采购人、采购代理机构的答复不满意或者采购人、采购代理机构未在规定的时间内作出答复的，可以在答复期满后十五个工作日内向同级政府采购监督管理部门提出投诉。</w:t>
      </w:r>
    </w:p>
    <w:p>
      <w:pPr>
        <w:pStyle w:val="889"/>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w:t>
      </w:r>
      <w:r>
        <w:rPr>
          <w:rFonts w:hint="eastAsia" w:ascii="宋体" w:hAnsi="宋体" w:eastAsia="宋体" w:cs="宋体"/>
          <w:color w:val="auto"/>
          <w:highlight w:val="none"/>
          <w:lang w:val="zh-CN"/>
        </w:rPr>
        <w:t>2</w:t>
      </w:r>
      <w:r>
        <w:rPr>
          <w:rFonts w:hint="eastAsia" w:ascii="宋体" w:hAnsi="宋体" w:eastAsia="宋体" w:cs="宋体"/>
          <w:color w:val="auto"/>
          <w:highlight w:val="none"/>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4.4.3供应商投诉应当有明确的请求和必要的证明材料。</w:t>
      </w:r>
    </w:p>
    <w:p>
      <w:pPr>
        <w:pStyle w:val="889"/>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4.4.4以联合体形式参加政府采购活动的，其投诉应当由组成联合体的所有供应商共同提出。</w:t>
      </w:r>
    </w:p>
    <w:p>
      <w:pPr>
        <w:pStyle w:val="889"/>
        <w:shd w:val="clear" w:color="auto" w:fill="FFFFFF"/>
        <w:snapToGrid w:val="0"/>
        <w:spacing w:after="240" w:afterAutospacing="0" w:line="360" w:lineRule="auto"/>
        <w:ind w:firstLine="400"/>
        <w:contextualSpacing/>
        <w:rPr>
          <w:rFonts w:hint="eastAsia" w:ascii="宋体" w:hAnsi="宋体" w:eastAsia="宋体" w:cs="宋体"/>
          <w:color w:val="auto"/>
          <w:highlight w:val="none"/>
        </w:rPr>
      </w:pPr>
      <w:r>
        <w:rPr>
          <w:rFonts w:hint="eastAsia" w:ascii="宋体" w:hAnsi="宋体" w:eastAsia="宋体" w:cs="宋体"/>
          <w:color w:val="auto"/>
          <w:highlight w:val="none"/>
        </w:rPr>
        <w:t>投诉书范本及制作说明详见附件3。</w:t>
      </w:r>
    </w:p>
    <w:p>
      <w:pPr>
        <w:pStyle w:val="156"/>
        <w:snapToGrid w:val="0"/>
        <w:spacing w:before="0"/>
        <w:ind w:firstLine="360"/>
        <w:rPr>
          <w:rFonts w:hint="eastAsia" w:ascii="宋体" w:hAnsi="宋体" w:eastAsia="宋体" w:cs="宋体"/>
          <w:color w:val="auto"/>
          <w:sz w:val="18"/>
          <w:szCs w:val="18"/>
          <w:highlight w:val="none"/>
        </w:rPr>
      </w:pPr>
    </w:p>
    <w:p>
      <w:pP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 xml:space="preserve">      二、招标文件的构成、澄清、修改</w:t>
      </w:r>
    </w:p>
    <w:p>
      <w:pPr>
        <w:pStyle w:val="35"/>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5．招标文件的构成</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招标文件包括下列文件及附件：</w:t>
      </w:r>
    </w:p>
    <w:p>
      <w:pPr>
        <w:pStyle w:val="35"/>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5.1.1招标公告；</w:t>
      </w:r>
    </w:p>
    <w:p>
      <w:pPr>
        <w:pStyle w:val="35"/>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5.1.2投标人须知；</w:t>
      </w:r>
    </w:p>
    <w:p>
      <w:pPr>
        <w:pStyle w:val="35"/>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5.1.3采购需求；</w:t>
      </w:r>
    </w:p>
    <w:p>
      <w:pPr>
        <w:pStyle w:val="35"/>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5.1.4评标办法；</w:t>
      </w:r>
    </w:p>
    <w:p>
      <w:pPr>
        <w:pStyle w:val="35"/>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5.1.5拟签订的合同文本；</w:t>
      </w:r>
    </w:p>
    <w:p>
      <w:pPr>
        <w:pStyle w:val="35"/>
        <w:tabs>
          <w:tab w:val="left" w:pos="840"/>
        </w:tabs>
        <w:spacing w:line="360" w:lineRule="auto"/>
        <w:ind w:firstLine="960" w:firstLineChars="400"/>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5.1.6</w:t>
      </w:r>
      <w:r>
        <w:rPr>
          <w:rFonts w:hint="eastAsia" w:ascii="宋体" w:hAnsi="宋体" w:eastAsia="宋体" w:cs="宋体"/>
          <w:color w:val="auto"/>
          <w:sz w:val="24"/>
          <w:szCs w:val="24"/>
          <w:highlight w:val="none"/>
        </w:rPr>
        <w:t>应提交的有关格式范例。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5.2与本项目有关的</w:t>
      </w:r>
      <w:r>
        <w:rPr>
          <w:rFonts w:hint="eastAsia" w:ascii="宋体" w:hAnsi="宋体" w:eastAsia="宋体" w:cs="宋体"/>
          <w:bCs/>
          <w:color w:val="auto"/>
          <w:sz w:val="24"/>
          <w:highlight w:val="none"/>
        </w:rPr>
        <w:t>澄清或者修改的内容为招标文件的组成部分</w:t>
      </w:r>
      <w:r>
        <w:rPr>
          <w:rFonts w:hint="eastAsia" w:ascii="宋体" w:hAnsi="宋体" w:eastAsia="宋体" w:cs="宋体"/>
          <w:color w:val="auto"/>
          <w:sz w:val="24"/>
          <w:highlight w:val="none"/>
        </w:rPr>
        <w:t>。</w:t>
      </w:r>
    </w:p>
    <w:p>
      <w:pPr>
        <w:pStyle w:val="35"/>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 招标文件的澄清、修改</w:t>
      </w:r>
    </w:p>
    <w:p>
      <w:pPr>
        <w:pStyle w:val="156"/>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6.1已获取招标文件的潜在投标人，若有问题需要澄清，应于投标截止时间前，以书面形式向采购代理机构提出。</w:t>
      </w:r>
    </w:p>
    <w:p>
      <w:pPr>
        <w:pStyle w:val="156"/>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int="eastAsia" w:ascii="宋体" w:hAnsi="宋体" w:eastAsia="宋体" w:cs="宋体"/>
          <w:color w:val="auto"/>
          <w:sz w:val="18"/>
          <w:szCs w:val="18"/>
          <w:highlight w:val="none"/>
          <w:lang w:val="en-US"/>
        </w:rPr>
      </w:pPr>
      <w:r>
        <w:rPr>
          <w:rFonts w:hint="eastAsia" w:ascii="宋体" w:hAnsi="宋体" w:eastAsia="宋体" w:cs="宋体"/>
          <w:color w:val="auto"/>
          <w:szCs w:val="24"/>
          <w:highlight w:val="none"/>
          <w:lang w:val="en-US"/>
        </w:rPr>
        <w:t xml:space="preserve">    </w:t>
      </w:r>
    </w:p>
    <w:p>
      <w:pPr>
        <w:adjustRightInd/>
        <w:spacing w:line="360" w:lineRule="auto"/>
        <w:jc w:val="center"/>
        <w:outlineLvl w:val="0"/>
        <w:rPr>
          <w:rFonts w:hint="eastAsia" w:ascii="宋体" w:hAnsi="宋体" w:eastAsia="宋体" w:cs="宋体"/>
          <w:b/>
          <w:color w:val="auto"/>
          <w:sz w:val="30"/>
          <w:szCs w:val="20"/>
          <w:highlight w:val="none"/>
        </w:rPr>
      </w:pPr>
      <w:r>
        <w:rPr>
          <w:rFonts w:hint="eastAsia" w:ascii="宋体" w:hAnsi="宋体" w:eastAsia="宋体" w:cs="宋体"/>
          <w:b/>
          <w:color w:val="auto"/>
          <w:sz w:val="30"/>
          <w:szCs w:val="20"/>
          <w:highlight w:val="none"/>
        </w:rPr>
        <w:t>三、投标</w:t>
      </w:r>
    </w:p>
    <w:p>
      <w:pPr>
        <w:pStyle w:val="35"/>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 招标文件的获取</w:t>
      </w:r>
    </w:p>
    <w:p>
      <w:pPr>
        <w:spacing w:line="360" w:lineRule="auto"/>
        <w:ind w:firstLine="480" w:firstLineChars="200"/>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详见招标公告中获取招标文件的时间期限、地点、方式及招标文件售价。</w:t>
      </w:r>
    </w:p>
    <w:p>
      <w:pPr>
        <w:pStyle w:val="35"/>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8.开标前答疑会或现场考察</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5"/>
        <w:spacing w:line="360" w:lineRule="auto"/>
        <w:rPr>
          <w:rFonts w:hint="eastAsia" w:ascii="宋体" w:hAnsi="宋体" w:eastAsia="宋体" w:cs="宋体"/>
          <w:b/>
          <w:color w:val="auto"/>
          <w:szCs w:val="24"/>
          <w:highlight w:val="none"/>
        </w:rPr>
      </w:pPr>
      <w:r>
        <w:rPr>
          <w:rFonts w:hint="eastAsia" w:ascii="宋体" w:hAnsi="宋体" w:eastAsia="宋体" w:cs="宋体"/>
          <w:b/>
          <w:color w:val="auto"/>
          <w:kern w:val="28"/>
          <w:sz w:val="24"/>
          <w:szCs w:val="24"/>
          <w:highlight w:val="none"/>
        </w:rPr>
        <w:t>9.投标保证金</w:t>
      </w:r>
    </w:p>
    <w:p>
      <w:pPr>
        <w:pStyle w:val="6"/>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本项目不需缴纳投标保证金。</w:t>
      </w:r>
    </w:p>
    <w:p>
      <w:pPr>
        <w:pStyle w:val="35"/>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 投标文件的语言</w:t>
      </w:r>
    </w:p>
    <w:p>
      <w:pPr>
        <w:autoSpaceDE w:val="0"/>
        <w:autoSpaceDN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投标文件及投标人与采购有关的来往通知、函件和文件均应使用中文。</w:t>
      </w:r>
    </w:p>
    <w:p>
      <w:pPr>
        <w:pStyle w:val="35"/>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 投标文件的组成</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w:t>
      </w:r>
      <w:r>
        <w:rPr>
          <w:rFonts w:hint="eastAsia" w:ascii="宋体" w:hAnsi="宋体" w:eastAsia="宋体" w:cs="宋体"/>
          <w:b/>
          <w:color w:val="auto"/>
          <w:sz w:val="24"/>
          <w:highlight w:val="none"/>
        </w:rPr>
        <w:t>资格文件</w:t>
      </w:r>
      <w:r>
        <w:rPr>
          <w:rFonts w:hint="eastAsia" w:ascii="宋体" w:hAnsi="宋体" w:eastAsia="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11.1.1符合参加政府采购活动应当具备的一般条件的承诺函；</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11.1.2</w:t>
      </w:r>
      <w:r>
        <w:rPr>
          <w:rFonts w:hint="eastAsia" w:ascii="宋体" w:hAnsi="宋体" w:eastAsia="宋体" w:cs="宋体"/>
          <w:snapToGrid w:val="0"/>
          <w:color w:val="auto"/>
          <w:kern w:val="28"/>
          <w:sz w:val="24"/>
          <w:szCs w:val="20"/>
          <w:highlight w:val="none"/>
        </w:rPr>
        <w:t>联合协议（如果有)；</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11.1.3落实政府采购政策需满足的资格要求</w:t>
      </w:r>
      <w:r>
        <w:rPr>
          <w:rFonts w:hint="eastAsia" w:ascii="宋体" w:hAnsi="宋体" w:eastAsia="宋体" w:cs="宋体"/>
          <w:snapToGrid w:val="0"/>
          <w:color w:val="auto"/>
          <w:kern w:val="28"/>
          <w:sz w:val="24"/>
          <w:szCs w:val="20"/>
          <w:highlight w:val="none"/>
        </w:rPr>
        <w:t>（如果有)</w:t>
      </w:r>
      <w:r>
        <w:rPr>
          <w:rFonts w:hint="eastAsia" w:ascii="宋体" w:hAnsi="宋体" w:eastAsia="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11.1.4本项目的特定资格要求</w:t>
      </w:r>
      <w:r>
        <w:rPr>
          <w:rFonts w:hint="eastAsia" w:ascii="宋体" w:hAnsi="宋体" w:eastAsia="宋体" w:cs="宋体"/>
          <w:snapToGrid w:val="0"/>
          <w:color w:val="auto"/>
          <w:kern w:val="28"/>
          <w:sz w:val="24"/>
          <w:szCs w:val="20"/>
          <w:highlight w:val="none"/>
        </w:rPr>
        <w:t>（如果有)</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11.2.1投标函；</w:t>
      </w:r>
      <w:r>
        <w:rPr>
          <w:rFonts w:hint="eastAsia" w:ascii="宋体" w:hAnsi="宋体" w:eastAsia="宋体" w:cs="宋体"/>
          <w:color w:val="auto"/>
          <w:sz w:val="24"/>
          <w:highlight w:val="none"/>
          <w:lang w:val="zh-CN"/>
        </w:rPr>
        <w:t xml:space="preserve"> </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11.2.2授权委托书或法定代表人（单位负责人、自然人本人）身份证明；</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11.2.3分包意向协议</w:t>
      </w:r>
      <w:r>
        <w:rPr>
          <w:rFonts w:hint="eastAsia" w:ascii="宋体" w:hAnsi="宋体" w:eastAsia="宋体" w:cs="宋体"/>
          <w:snapToGrid w:val="0"/>
          <w:color w:val="auto"/>
          <w:kern w:val="28"/>
          <w:sz w:val="24"/>
          <w:szCs w:val="20"/>
          <w:highlight w:val="none"/>
        </w:rPr>
        <w:t>（如果有)</w:t>
      </w:r>
      <w:r>
        <w:rPr>
          <w:rFonts w:hint="eastAsia" w:ascii="宋体" w:hAnsi="宋体" w:eastAsia="宋体" w:cs="宋体"/>
          <w:color w:val="auto"/>
          <w:sz w:val="24"/>
          <w:highlight w:val="none"/>
        </w:rPr>
        <w:t>；</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11.2.4符合性审查资料；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11.2.5评标标准相应的商务技术资料；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11.2.6投标标的清单；</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11.2.7商务技术偏离表；</w:t>
      </w:r>
    </w:p>
    <w:p>
      <w:pPr>
        <w:snapToGrid w:val="0"/>
        <w:spacing w:line="360" w:lineRule="auto"/>
        <w:ind w:firstLine="960" w:firstLineChars="4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11.</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p>
    <w:p>
      <w:pPr>
        <w:snapToGrid w:val="0"/>
        <w:spacing w:line="360" w:lineRule="auto"/>
        <w:ind w:firstLine="480" w:firstLineChars="200"/>
        <w:rPr>
          <w:rFonts w:hint="eastAsia" w:ascii="宋体" w:hAnsi="宋体" w:eastAsia="宋体" w:cs="宋体"/>
          <w:color w:val="auto"/>
          <w:sz w:val="24"/>
          <w:highlight w:val="none"/>
          <w:u w:val="single"/>
          <w:lang w:val="zh-CN"/>
        </w:rPr>
      </w:pPr>
      <w:r>
        <w:rPr>
          <w:rFonts w:hint="eastAsia" w:ascii="宋体" w:hAnsi="宋体" w:eastAsia="宋体" w:cs="宋体"/>
          <w:color w:val="auto"/>
          <w:kern w:val="0"/>
          <w:sz w:val="24"/>
          <w:highlight w:val="none"/>
          <w:lang w:val="zh-CN"/>
        </w:rPr>
        <w:t>11.</w:t>
      </w:r>
      <w:r>
        <w:rPr>
          <w:rFonts w:hint="eastAsia" w:ascii="宋体" w:hAnsi="宋体" w:eastAsia="宋体" w:cs="宋体"/>
          <w:color w:val="auto"/>
          <w:kern w:val="0"/>
          <w:sz w:val="24"/>
          <w:highlight w:val="none"/>
        </w:rPr>
        <w:t>3</w:t>
      </w:r>
      <w:r>
        <w:rPr>
          <w:rFonts w:hint="eastAsia" w:ascii="宋体" w:hAnsi="宋体" w:eastAsia="宋体" w:cs="宋体"/>
          <w:b/>
          <w:color w:val="auto"/>
          <w:sz w:val="24"/>
          <w:highlight w:val="none"/>
        </w:rPr>
        <w:t>报价文件：</w:t>
      </w:r>
      <w:r>
        <w:rPr>
          <w:rFonts w:hint="eastAsia" w:ascii="宋体" w:hAnsi="宋体" w:eastAsia="宋体" w:cs="宋体"/>
          <w:color w:val="auto"/>
          <w:sz w:val="24"/>
          <w:highlight w:val="none"/>
        </w:rPr>
        <w:t xml:space="preserve"> </w:t>
      </w:r>
    </w:p>
    <w:p>
      <w:pPr>
        <w:snapToGrid w:val="0"/>
        <w:spacing w:line="360" w:lineRule="auto"/>
        <w:ind w:lef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11.3.1开标一览表（报价表）</w:t>
      </w:r>
    </w:p>
    <w:p>
      <w:pPr>
        <w:snapToGrid w:val="0"/>
        <w:spacing w:line="360" w:lineRule="auto"/>
        <w:ind w:firstLine="960" w:firstLineChars="400"/>
        <w:rPr>
          <w:rFonts w:hint="eastAsia" w:ascii="宋体" w:hAnsi="宋体" w:eastAsia="宋体" w:cs="宋体"/>
          <w:color w:val="auto"/>
          <w:highlight w:val="none"/>
        </w:rPr>
      </w:pPr>
      <w:r>
        <w:rPr>
          <w:rFonts w:hint="eastAsia" w:ascii="宋体" w:hAnsi="宋体" w:eastAsia="宋体" w:cs="宋体"/>
          <w:color w:val="auto"/>
          <w:sz w:val="24"/>
          <w:highlight w:val="none"/>
        </w:rPr>
        <w:t>11.3.2报价表明细清单</w:t>
      </w:r>
    </w:p>
    <w:p>
      <w:pPr>
        <w:snapToGrid w:val="0"/>
        <w:spacing w:line="360"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11.3.3中小企业声明函</w:t>
      </w:r>
    </w:p>
    <w:p>
      <w:pPr>
        <w:spacing w:line="360" w:lineRule="auto"/>
        <w:ind w:firstLine="723" w:firstLineChars="3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投标文件含有采购人不能接受的附加条件的，投标无效；</w:t>
      </w:r>
    </w:p>
    <w:p>
      <w:pPr>
        <w:spacing w:line="360" w:lineRule="auto"/>
        <w:ind w:firstLine="723" w:firstLineChars="300"/>
        <w:rPr>
          <w:rFonts w:hint="eastAsia" w:ascii="宋体" w:hAnsi="宋体" w:eastAsia="宋体" w:cs="宋体"/>
          <w:b/>
          <w:color w:val="auto"/>
          <w:sz w:val="24"/>
          <w:szCs w:val="21"/>
          <w:highlight w:val="none"/>
        </w:rPr>
      </w:pPr>
      <w:r>
        <w:rPr>
          <w:rFonts w:hint="eastAsia" w:ascii="宋体" w:hAnsi="宋体" w:eastAsia="宋体" w:cs="宋体"/>
          <w:b/>
          <w:color w:val="auto"/>
          <w:sz w:val="24"/>
          <w:highlight w:val="none"/>
        </w:rPr>
        <w:t>投标人提供虚假材料投标的，投标无效。</w:t>
      </w:r>
    </w:p>
    <w:p>
      <w:pPr>
        <w:pStyle w:val="156"/>
        <w:snapToGrid w:val="0"/>
        <w:spacing w:before="0"/>
        <w:ind w:firstLine="0" w:firstLineChars="0"/>
        <w:outlineLvl w:val="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12</w:t>
      </w:r>
      <w:r>
        <w:rPr>
          <w:rFonts w:hint="eastAsia" w:ascii="宋体" w:hAnsi="宋体" w:eastAsia="宋体" w:cs="宋体"/>
          <w:b/>
          <w:color w:val="auto"/>
          <w:kern w:val="0"/>
          <w:szCs w:val="24"/>
          <w:highlight w:val="none"/>
          <w:lang w:val="zh-CN"/>
        </w:rPr>
        <w:t xml:space="preserve">. </w:t>
      </w:r>
      <w:r>
        <w:rPr>
          <w:rFonts w:hint="eastAsia" w:ascii="宋体" w:hAnsi="宋体" w:eastAsia="宋体" w:cs="宋体"/>
          <w:b/>
          <w:color w:val="auto"/>
          <w:szCs w:val="24"/>
          <w:highlight w:val="none"/>
        </w:rPr>
        <w:t>投标文件的编制</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13.投标文件的签署、盖章</w:t>
      </w:r>
    </w:p>
    <w:p>
      <w:pPr>
        <w:pStyle w:val="156"/>
        <w:snapToGrid w:val="0"/>
        <w:spacing w:before="0"/>
        <w:ind w:firstLine="480"/>
        <w:rPr>
          <w:rFonts w:hint="eastAsia" w:ascii="宋体" w:hAnsi="宋体" w:eastAsia="宋体" w:cs="宋体"/>
          <w:b/>
          <w:color w:val="auto"/>
          <w:highlight w:val="none"/>
        </w:rPr>
      </w:pPr>
      <w:r>
        <w:rPr>
          <w:rFonts w:hint="eastAsia" w:ascii="宋体" w:hAnsi="宋体" w:eastAsia="宋体" w:cs="宋体"/>
          <w:color w:val="auto"/>
          <w:szCs w:val="24"/>
          <w:highlight w:val="none"/>
        </w:rPr>
        <w:t>13.1投标文件按照招标文件第六部分格式要</w:t>
      </w:r>
      <w:r>
        <w:rPr>
          <w:rFonts w:hint="eastAsia" w:ascii="宋体" w:hAnsi="宋体" w:eastAsia="宋体" w:cs="宋体"/>
          <w:color w:val="auto"/>
          <w:highlight w:val="none"/>
        </w:rPr>
        <w:t>求进行签署、盖章。</w:t>
      </w:r>
      <w:r>
        <w:rPr>
          <w:rFonts w:hint="eastAsia" w:ascii="宋体" w:hAnsi="宋体" w:eastAsia="宋体" w:cs="宋体"/>
          <w:b/>
          <w:color w:val="auto"/>
          <w:highlight w:val="none"/>
        </w:rPr>
        <w:t>▲投标人的投标文件未按照招标文件要求签署、盖章的，其投标无效</w:t>
      </w:r>
      <w:r>
        <w:rPr>
          <w:rFonts w:hint="eastAsia" w:ascii="宋体" w:hAnsi="宋体" w:eastAsia="宋体" w:cs="宋体"/>
          <w:color w:val="auto"/>
          <w:szCs w:val="24"/>
          <w:highlight w:val="none"/>
        </w:rPr>
        <w:t>。</w:t>
      </w:r>
    </w:p>
    <w:p>
      <w:pPr>
        <w:pStyle w:val="156"/>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56"/>
        <w:snapToGrid w:val="0"/>
        <w:spacing w:before="0"/>
        <w:ind w:firstLine="480"/>
        <w:rPr>
          <w:rFonts w:hint="eastAsia" w:ascii="宋体" w:hAnsi="宋体" w:eastAsia="宋体" w:cs="宋体"/>
          <w:color w:val="auto"/>
          <w:szCs w:val="24"/>
          <w:highlight w:val="none"/>
        </w:rPr>
      </w:pPr>
      <w:r>
        <w:rPr>
          <w:rFonts w:hint="eastAsia" w:ascii="宋体" w:hAnsi="宋体" w:eastAsia="宋体" w:cs="宋体"/>
          <w:color w:val="auto"/>
          <w:highlight w:val="none"/>
        </w:rPr>
        <w:t>13.3招标文件对投标文件签署、盖章的要求适用于电子签名。</w:t>
      </w:r>
    </w:p>
    <w:p>
      <w:pPr>
        <w:pStyle w:val="156"/>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14. 投标文件的提交、补充、修改、撤回</w:t>
      </w:r>
    </w:p>
    <w:p>
      <w:pPr>
        <w:pStyle w:val="156"/>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56"/>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56"/>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35"/>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15.备份投标文件</w:t>
      </w:r>
    </w:p>
    <w:p>
      <w:pPr>
        <w:pStyle w:val="35"/>
        <w:spacing w:line="360" w:lineRule="auto"/>
        <w:ind w:firstLine="360" w:firstLineChars="15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宋体" w:hAnsi="宋体" w:eastAsia="宋体" w:cs="宋体"/>
          <w:b/>
          <w:color w:val="auto"/>
          <w:sz w:val="24"/>
          <w:szCs w:val="24"/>
          <w:highlight w:val="none"/>
        </w:rPr>
        <w:t>但采购人、采购代理机构不强制或变相强制投标人提交备份投标文件。</w:t>
      </w:r>
    </w:p>
    <w:p>
      <w:pPr>
        <w:pStyle w:val="35"/>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15.2备份投标文件须在“政采云投标客户端”制作生成，并储存在</w:t>
      </w:r>
      <w:r>
        <w:rPr>
          <w:rFonts w:hint="eastAsia" w:ascii="宋体" w:hAnsi="宋体" w:eastAsia="宋体" w:cs="宋体"/>
          <w:color w:val="auto"/>
          <w:sz w:val="24"/>
          <w:highlight w:val="none"/>
        </w:rPr>
        <w:t>DVD光盘等存储介质</w:t>
      </w:r>
      <w:r>
        <w:rPr>
          <w:rFonts w:hint="eastAsia" w:ascii="宋体" w:hAnsi="宋体" w:eastAsia="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color w:val="auto"/>
          <w:sz w:val="24"/>
          <w:highlight w:val="none"/>
        </w:rPr>
        <w:t>不符合上述制作、</w:t>
      </w:r>
      <w:r>
        <w:rPr>
          <w:rFonts w:hint="eastAsia" w:ascii="宋体" w:hAnsi="宋体" w:eastAsia="宋体" w:cs="宋体"/>
          <w:b/>
          <w:color w:val="auto"/>
          <w:sz w:val="24"/>
          <w:szCs w:val="24"/>
          <w:highlight w:val="none"/>
        </w:rPr>
        <w:t>存储、密封规定的备份投标文件将被视为无效或者被拒绝接收。</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15.3直接提交备份投标文件的，投标人应于投标截止时间前在招标公告中载明的开标地点将备份投标文件提交给采购代理机构，采购代理机构将拒绝接受逾期送达的备份投标文件。</w:t>
      </w:r>
    </w:p>
    <w:p>
      <w:pPr>
        <w:pStyle w:val="35"/>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15.5投标人仅提交备份投标文件，未在电子交易平台传输递交投标文件的，投标无效。</w:t>
      </w:r>
    </w:p>
    <w:p>
      <w:pPr>
        <w:pStyle w:val="156"/>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16.投标文件的无效处理</w:t>
      </w:r>
    </w:p>
    <w:p>
      <w:pPr>
        <w:pStyle w:val="26"/>
        <w:spacing w:line="360" w:lineRule="auto"/>
        <w:ind w:firstLine="360" w:firstLineChars="1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有招标文件第四部分4.2规定的情形之一的，投标无效：</w:t>
      </w:r>
    </w:p>
    <w:p>
      <w:pPr>
        <w:pStyle w:val="156"/>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17.投标有效期</w:t>
      </w:r>
    </w:p>
    <w:p>
      <w:pPr>
        <w:spacing w:line="360" w:lineRule="auto"/>
        <w:ind w:firstLine="480" w:firstLineChars="200"/>
        <w:rPr>
          <w:rFonts w:hint="eastAsia" w:ascii="宋体" w:hAnsi="宋体" w:eastAsia="宋体" w:cs="宋体"/>
          <w:b/>
          <w:color w:val="auto"/>
          <w:sz w:val="24"/>
          <w:szCs w:val="21"/>
          <w:highlight w:val="none"/>
        </w:rPr>
      </w:pPr>
      <w:r>
        <w:rPr>
          <w:rFonts w:hint="eastAsia" w:ascii="宋体" w:hAnsi="宋体" w:eastAsia="宋体" w:cs="宋体"/>
          <w:color w:val="auto"/>
          <w:sz w:val="24"/>
          <w:szCs w:val="20"/>
          <w:highlight w:val="none"/>
        </w:rPr>
        <w:t>17.1投标有效期为从提交投标文件的截止之日起90天。▲</w:t>
      </w:r>
      <w:r>
        <w:rPr>
          <w:rFonts w:hint="eastAsia" w:ascii="宋体" w:hAnsi="宋体" w:eastAsia="宋体" w:cs="宋体"/>
          <w:b/>
          <w:color w:val="auto"/>
          <w:sz w:val="24"/>
          <w:szCs w:val="20"/>
          <w:highlight w:val="none"/>
        </w:rPr>
        <w:t>投标人的投标文件中承</w:t>
      </w:r>
      <w:r>
        <w:rPr>
          <w:rFonts w:hint="eastAsia" w:ascii="宋体" w:hAnsi="宋体" w:eastAsia="宋体" w:cs="宋体"/>
          <w:b/>
          <w:color w:val="auto"/>
          <w:sz w:val="24"/>
          <w:szCs w:val="21"/>
          <w:highlight w:val="none"/>
        </w:rPr>
        <w:t>诺的投标有效期少于招标文件中载明的投标有效期的，投标无效。</w:t>
      </w:r>
    </w:p>
    <w:p>
      <w:pPr>
        <w:pStyle w:val="156"/>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17.2投标文件合格投递后，自投标截止日期起，在投标有效期内有效。</w:t>
      </w:r>
    </w:p>
    <w:p>
      <w:pPr>
        <w:pStyle w:val="156"/>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56"/>
        <w:spacing w:before="0"/>
        <w:ind w:firstLine="643"/>
        <w:rPr>
          <w:rFonts w:hint="eastAsia" w:ascii="宋体" w:hAnsi="宋体" w:eastAsia="宋体" w:cs="宋体"/>
          <w:b/>
          <w:color w:val="auto"/>
          <w:sz w:val="32"/>
          <w:highlight w:val="none"/>
        </w:rPr>
      </w:pPr>
    </w:p>
    <w:p>
      <w:pPr>
        <w:pStyle w:val="156"/>
        <w:spacing w:before="0"/>
        <w:ind w:firstLine="1928" w:firstLineChars="600"/>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四、开标、资格审查与信用信息查询</w:t>
      </w:r>
    </w:p>
    <w:p>
      <w:pPr>
        <w:pStyle w:val="557"/>
        <w:spacing w:before="0" w:line="360" w:lineRule="auto"/>
        <w:ind w:left="0" w:firstLine="241" w:firstLineChars="100"/>
        <w:contextualSpacing/>
        <w:rPr>
          <w:rFonts w:hint="eastAsia" w:ascii="宋体" w:hAnsi="宋体" w:eastAsia="宋体" w:cs="宋体"/>
          <w:color w:val="auto"/>
          <w:sz w:val="24"/>
          <w:highlight w:val="none"/>
        </w:rPr>
      </w:pPr>
      <w:r>
        <w:rPr>
          <w:rFonts w:hint="eastAsia" w:ascii="宋体" w:hAnsi="宋体" w:eastAsia="宋体" w:cs="宋体"/>
          <w:b/>
          <w:color w:val="auto"/>
          <w:sz w:val="24"/>
          <w:szCs w:val="24"/>
          <w:highlight w:val="none"/>
        </w:rPr>
        <w:t>18.开标</w:t>
      </w:r>
      <w:r>
        <w:rPr>
          <w:rFonts w:hint="eastAsia" w:ascii="宋体" w:hAnsi="宋体" w:eastAsia="宋体" w:cs="宋体"/>
          <w:color w:val="auto"/>
          <w:sz w:val="24"/>
          <w:highlight w:val="none"/>
        </w:rPr>
        <w:t xml:space="preserve"> </w:t>
      </w:r>
    </w:p>
    <w:p>
      <w:pPr>
        <w:pStyle w:val="557"/>
        <w:spacing w:before="0" w:line="360" w:lineRule="auto"/>
        <w:ind w:left="0" w:firstLine="480" w:firstLineChars="2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18.1采购代理机构按照招标文件规定的时间通过电子交易平台组织开标，所有投标人均应当准时在线参加。投标人不足3家的，不得开标。</w:t>
      </w:r>
    </w:p>
    <w:p>
      <w:pPr>
        <w:pStyle w:val="557"/>
        <w:spacing w:before="0" w:line="360" w:lineRule="auto"/>
        <w:ind w:left="0" w:firstLine="240" w:firstLineChars="100"/>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　18.2开标时，电子交易平台按开标时间自动提取所有投标文件。采购代理机构依托电子交易平台发起开始解密指令，投标人按照平台提示和招标文件的规定在半小时内完成在线解密。</w:t>
      </w:r>
    </w:p>
    <w:p>
      <w:pPr>
        <w:pStyle w:val="557"/>
        <w:spacing w:before="0" w:line="360" w:lineRule="auto"/>
        <w:ind w:left="0" w:firstLine="240" w:firstLineChars="100"/>
        <w:contextualSpacing/>
        <w:rPr>
          <w:rFonts w:hint="eastAsia" w:ascii="宋体" w:hAnsi="宋体" w:eastAsia="宋体" w:cs="宋体"/>
          <w:b/>
          <w:color w:val="auto"/>
          <w:sz w:val="24"/>
          <w:highlight w:val="none"/>
        </w:rPr>
      </w:pPr>
      <w:r>
        <w:rPr>
          <w:rFonts w:hint="eastAsia" w:ascii="宋体" w:hAnsi="宋体" w:eastAsia="宋体" w:cs="宋体"/>
          <w:color w:val="auto"/>
          <w:sz w:val="24"/>
          <w:highlight w:val="none"/>
        </w:rPr>
        <w:t>　18.3</w:t>
      </w:r>
      <w:r>
        <w:rPr>
          <w:rFonts w:hint="eastAsia" w:ascii="宋体" w:hAnsi="宋体" w:eastAsia="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　19、资格审查</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19.1</w:t>
      </w:r>
      <w:r>
        <w:rPr>
          <w:rFonts w:hint="eastAsia" w:ascii="宋体" w:hAnsi="宋体" w:eastAsia="宋体" w:cs="宋体"/>
          <w:color w:val="auto"/>
          <w:sz w:val="24"/>
          <w:highlight w:val="none"/>
        </w:rPr>
        <w:t>采购人或采购代理机构依据法律法规和招标文件的规定，对投标人的资格进行审查。</w:t>
      </w:r>
    </w:p>
    <w:p>
      <w:pPr>
        <w:pStyle w:val="156"/>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19.2投标人未按照招标文件要求提供与</w:t>
      </w:r>
      <w:r>
        <w:rPr>
          <w:rFonts w:hint="eastAsia" w:ascii="宋体" w:hAnsi="宋体" w:eastAsia="宋体" w:cs="宋体"/>
          <w:color w:val="auto"/>
          <w:highlight w:val="none"/>
        </w:rPr>
        <w:t>资格条件相应的</w:t>
      </w:r>
      <w:r>
        <w:rPr>
          <w:rFonts w:hint="eastAsia" w:ascii="宋体" w:hAnsi="宋体" w:eastAsia="宋体" w:cs="宋体"/>
          <w:color w:val="auto"/>
          <w:kern w:val="0"/>
          <w:szCs w:val="24"/>
          <w:highlight w:val="none"/>
        </w:rPr>
        <w:t>有效资格证明材料的，视为</w:t>
      </w:r>
      <w:r>
        <w:rPr>
          <w:rFonts w:hint="eastAsia" w:ascii="宋体" w:hAnsi="宋体" w:eastAsia="宋体" w:cs="宋体"/>
          <w:color w:val="auto"/>
          <w:highlight w:val="none"/>
        </w:rPr>
        <w:t>投标人不具备招标文件中规定的资格要求，其投标无效。</w:t>
      </w:r>
    </w:p>
    <w:p>
      <w:pPr>
        <w:pStyle w:val="156"/>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3对未通过资格审查的投标人，采购人或采购代理机构告知其未通过的原因。</w:t>
      </w:r>
    </w:p>
    <w:p>
      <w:pPr>
        <w:pStyle w:val="156"/>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4合格投标人不足3家的，不再评标。</w:t>
      </w:r>
    </w:p>
    <w:p>
      <w:pPr>
        <w:pStyle w:val="156"/>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20、信用信息查询</w:t>
      </w:r>
    </w:p>
    <w:p>
      <w:pPr>
        <w:pStyle w:val="156"/>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20.1信用信息查询渠道及截止时间：采购代理机构将在资格审查时通过“信用中国”网站(www.creditchina.gov.cn)、中国政府采购网(www.ccgp.gov.cn)渠道查询投标人接受资格时的信用记录。</w:t>
      </w:r>
    </w:p>
    <w:p>
      <w:pPr>
        <w:pStyle w:val="156"/>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20.2信用信息查询记录和证据留存的具体方式：现场查询的投标人的信用记录、查询结果经确认后将与采购文件一起存档。</w:t>
      </w:r>
    </w:p>
    <w:p>
      <w:pPr>
        <w:pStyle w:val="156"/>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56"/>
        <w:spacing w:before="0"/>
        <w:ind w:firstLine="480"/>
        <w:rPr>
          <w:rFonts w:hint="eastAsia" w:ascii="宋体" w:hAnsi="宋体" w:eastAsia="宋体" w:cs="宋体"/>
          <w:color w:val="auto"/>
          <w:highlight w:val="none"/>
        </w:rPr>
      </w:pPr>
      <w:r>
        <w:rPr>
          <w:rFonts w:hint="eastAsia" w:ascii="宋体" w:hAnsi="宋体" w:eastAsia="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highlight w:val="none"/>
        </w:rPr>
        <w:t>。</w:t>
      </w:r>
    </w:p>
    <w:p>
      <w:pPr>
        <w:pStyle w:val="156"/>
        <w:spacing w:before="0"/>
        <w:ind w:firstLine="0" w:firstLineChars="0"/>
        <w:rPr>
          <w:rFonts w:hint="eastAsia" w:ascii="宋体" w:hAnsi="宋体" w:eastAsia="宋体" w:cs="宋体"/>
          <w:color w:val="auto"/>
          <w:kern w:val="0"/>
          <w:szCs w:val="24"/>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五、评标</w:t>
      </w:r>
    </w:p>
    <w:p>
      <w:pPr>
        <w:spacing w:line="360" w:lineRule="auto"/>
        <w:rPr>
          <w:rFonts w:hint="eastAsia" w:ascii="宋体" w:hAnsi="宋体" w:eastAsia="宋体" w:cs="宋体"/>
          <w:b/>
          <w:color w:val="auto"/>
          <w:sz w:val="24"/>
          <w:highlight w:val="none"/>
        </w:rPr>
      </w:pPr>
      <w:bookmarkStart w:id="13" w:name="_Toc91899903"/>
      <w:r>
        <w:rPr>
          <w:rFonts w:hint="eastAsia" w:ascii="宋体" w:hAnsi="宋体" w:eastAsia="宋体" w:cs="宋体"/>
          <w:b/>
          <w:color w:val="auto"/>
          <w:sz w:val="24"/>
          <w:highlight w:val="none"/>
        </w:rPr>
        <w:t>21.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color w:val="auto"/>
          <w:sz w:val="24"/>
          <w:highlight w:val="none"/>
        </w:rPr>
        <w:t>详见招标文件第四部分评标办法。</w:t>
      </w:r>
    </w:p>
    <w:p>
      <w:pPr>
        <w:spacing w:line="360" w:lineRule="auto"/>
        <w:rPr>
          <w:rFonts w:hint="eastAsia" w:ascii="宋体" w:hAnsi="宋体" w:eastAsia="宋体" w:cs="宋体"/>
          <w:b/>
          <w:color w:val="auto"/>
          <w:sz w:val="24"/>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六、定 标</w:t>
      </w:r>
    </w:p>
    <w:p>
      <w:pPr>
        <w:pStyle w:val="26"/>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22. 确定中标供应商</w:t>
      </w:r>
    </w:p>
    <w:p>
      <w:pPr>
        <w:pStyle w:val="156"/>
        <w:snapToGrid w:val="0"/>
        <w:spacing w:before="0"/>
        <w:ind w:firstLine="480"/>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56"/>
        <w:snapToGrid w:val="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23. 中标通知与中标结果公告</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23.1自中标人确定之日起2个工作日内，采购代理机构通过电子交易平台向中标人发出中标通知书，同时编制发布采购结果公告。采购代理机构也可以以纸质形式进行中标通知。</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23.2中标结果公告内容包括采购人及其委托的采购代理机构的名称、地址、联系方式，项目名称和项目编号，中标人名称、地址和中标金额，主要中标标的的名称、规格型号、数量、单价、服务要求，开标记录、</w:t>
      </w:r>
      <w:bookmarkStart w:id="14" w:name="_Hlk101184471"/>
      <w:r>
        <w:rPr>
          <w:rFonts w:hint="eastAsia" w:ascii="宋体" w:hAnsi="宋体" w:eastAsia="宋体" w:cs="宋体"/>
          <w:color w:val="auto"/>
          <w:sz w:val="24"/>
          <w:highlight w:val="none"/>
        </w:rPr>
        <w:t>资格审查情况、评审专家抽取规则、符合性审查情况、</w:t>
      </w:r>
      <w:bookmarkEnd w:id="14"/>
      <w:r>
        <w:rPr>
          <w:rFonts w:hint="eastAsia" w:ascii="宋体" w:hAnsi="宋体" w:eastAsia="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23.3公告期限为1个工作日。</w:t>
      </w:r>
    </w:p>
    <w:p>
      <w:pPr>
        <w:snapToGrid w:val="0"/>
        <w:spacing w:line="360" w:lineRule="auto"/>
        <w:ind w:left="120" w:leftChars="57" w:firstLine="482" w:firstLineChars="150"/>
        <w:jc w:val="center"/>
        <w:rPr>
          <w:rFonts w:hint="eastAsia" w:ascii="宋体" w:hAnsi="宋体" w:eastAsia="宋体" w:cs="宋体"/>
          <w:b/>
          <w:color w:val="auto"/>
          <w:sz w:val="32"/>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七、合同授予</w:t>
      </w:r>
    </w:p>
    <w:p>
      <w:pPr>
        <w:pStyle w:val="26"/>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 xml:space="preserve">24. </w:t>
      </w:r>
      <w:r>
        <w:rPr>
          <w:rFonts w:hint="eastAsia" w:ascii="宋体" w:hAnsi="宋体" w:eastAsia="宋体" w:cs="宋体"/>
          <w:color w:val="auto"/>
          <w:highlight w:val="none"/>
        </w:rPr>
        <w:t>合同主要条款详见第五部分拟签订的合同文本。</w:t>
      </w:r>
    </w:p>
    <w:p>
      <w:pPr>
        <w:pStyle w:val="26"/>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25. 合同的签订</w:t>
      </w:r>
    </w:p>
    <w:p>
      <w:pPr>
        <w:widowControl/>
        <w:shd w:val="clear" w:color="auto" w:fill="FFFFFF"/>
        <w:spacing w:line="360" w:lineRule="auto"/>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25.1</w:t>
      </w:r>
      <w:r>
        <w:rPr>
          <w:rFonts w:hint="eastAsia" w:ascii="宋体" w:hAnsi="宋体" w:eastAsia="宋体" w:cs="宋体"/>
          <w:color w:val="auto"/>
          <w:kern w:val="0"/>
          <w:sz w:val="24"/>
          <w:highlight w:val="none"/>
        </w:rPr>
        <w:t xml:space="preserve"> 采购人与中标人应当通过电子交易平台在中标通知书发出之日起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56"/>
        <w:snapToGrid w:val="0"/>
        <w:spacing w:before="0"/>
        <w:ind w:firstLine="480"/>
        <w:rPr>
          <w:rFonts w:hint="eastAsia" w:ascii="宋体" w:hAnsi="宋体" w:eastAsia="宋体" w:cs="宋体"/>
          <w:color w:val="auto"/>
          <w:kern w:val="0"/>
          <w:highlight w:val="none"/>
        </w:rPr>
      </w:pPr>
      <w:r>
        <w:rPr>
          <w:rFonts w:hint="eastAsia" w:ascii="宋体" w:hAnsi="宋体" w:eastAsia="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56"/>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25.3如签订合同并生效后，供应商无故拒绝或延期，除按照合同条款处理外，列入不良行为记录一次，并给予通报。</w:t>
      </w:r>
    </w:p>
    <w:p>
      <w:pPr>
        <w:pStyle w:val="156"/>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56"/>
        <w:snapToGrid w:val="0"/>
        <w:spacing w:before="0" w:after="120"/>
        <w:ind w:firstLine="480"/>
        <w:rPr>
          <w:rFonts w:hint="eastAsia" w:ascii="宋体" w:hAnsi="宋体" w:eastAsia="宋体" w:cs="宋体"/>
          <w:color w:val="auto"/>
          <w:highlight w:val="none"/>
        </w:rPr>
      </w:pPr>
      <w:r>
        <w:rPr>
          <w:rFonts w:hint="eastAsia" w:ascii="宋体" w:hAnsi="宋体" w:eastAsia="宋体" w:cs="宋体"/>
          <w:color w:val="auto"/>
          <w:highlight w:val="none"/>
        </w:rPr>
        <w:t>25.5采购合同由采购人与中标供应商根据招标文件、投标文件等内容通过政府采购电子交易平台在线签订，自动备案。</w:t>
      </w:r>
    </w:p>
    <w:p>
      <w:pPr>
        <w:pStyle w:val="156"/>
        <w:snapToGrid w:val="0"/>
        <w:spacing w:before="0" w:after="120"/>
        <w:ind w:firstLine="482"/>
        <w:rPr>
          <w:rFonts w:hint="eastAsia" w:ascii="宋体" w:hAnsi="宋体" w:eastAsia="宋体" w:cs="宋体"/>
          <w:b/>
          <w:color w:val="auto"/>
          <w:highlight w:val="none"/>
        </w:rPr>
      </w:pPr>
      <w:r>
        <w:rPr>
          <w:rFonts w:hint="eastAsia" w:ascii="宋体" w:hAnsi="宋体" w:eastAsia="宋体" w:cs="宋体"/>
          <w:b/>
          <w:color w:val="auto"/>
          <w:highlight w:val="none"/>
        </w:rPr>
        <w:t>25.6合同签订依据为相关法律法规文件、招标文件、乙方投标文件等，合同条款有与前者冲突的，以前者为准。</w:t>
      </w:r>
    </w:p>
    <w:p>
      <w:pPr>
        <w:pStyle w:val="26"/>
        <w:spacing w:line="360" w:lineRule="auto"/>
        <w:ind w:left="479" w:hanging="479" w:hangingChars="199"/>
        <w:rPr>
          <w:rFonts w:hint="eastAsia" w:ascii="宋体" w:hAnsi="宋体" w:eastAsia="宋体" w:cs="宋体"/>
          <w:b/>
          <w:color w:val="auto"/>
          <w:highlight w:val="none"/>
        </w:rPr>
      </w:pPr>
      <w:r>
        <w:rPr>
          <w:rFonts w:hint="eastAsia" w:ascii="宋体" w:hAnsi="宋体" w:eastAsia="宋体" w:cs="宋体"/>
          <w:b/>
          <w:color w:val="auto"/>
          <w:highlight w:val="none"/>
        </w:rPr>
        <w:t>26. 履约保证金</w:t>
      </w:r>
    </w:p>
    <w:p>
      <w:pPr>
        <w:tabs>
          <w:tab w:val="left" w:pos="0"/>
        </w:tabs>
        <w:spacing w:line="360" w:lineRule="auto"/>
        <w:ind w:firstLine="482"/>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eastAsia="宋体" w:cs="宋体"/>
          <w:color w:val="auto"/>
          <w:sz w:val="24"/>
          <w:highlight w:val="none"/>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4"/>
        <w:ind w:left="0" w:firstLine="480" w:firstLineChars="200"/>
        <w:rPr>
          <w:rFonts w:hint="eastAsia"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rFonts w:hint="eastAsia" w:ascii="宋体" w:hAnsi="宋体" w:eastAsia="宋体" w:cs="宋体"/>
          <w:color w:val="auto"/>
          <w:highlight w:val="none"/>
        </w:rPr>
      </w:pPr>
      <w:r>
        <w:rPr>
          <w:rFonts w:hint="eastAsia" w:ascii="宋体" w:hAnsi="宋体" w:eastAsia="宋体" w:cs="宋体"/>
          <w:color w:val="auto"/>
          <w:sz w:val="24"/>
          <w:highlight w:val="none"/>
          <w:lang w:val="en-US"/>
        </w:rPr>
        <w:t>27.预付款</w:t>
      </w:r>
    </w:p>
    <w:p>
      <w:pPr>
        <w:adjustRightInd/>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rPr>
          <w:rFonts w:hint="eastAsia" w:ascii="宋体" w:hAnsi="宋体" w:eastAsia="宋体" w:cs="宋体"/>
          <w:color w:val="auto"/>
          <w:highlight w:val="none"/>
        </w:rPr>
      </w:pPr>
    </w:p>
    <w:p>
      <w:pPr>
        <w:snapToGrid w:val="0"/>
        <w:spacing w:line="360" w:lineRule="auto"/>
        <w:ind w:firstLine="3357" w:firstLineChars="1045"/>
        <w:rPr>
          <w:rFonts w:hint="eastAsia" w:ascii="宋体" w:hAnsi="宋体" w:eastAsia="宋体" w:cs="宋体"/>
          <w:b/>
          <w:color w:val="auto"/>
          <w:sz w:val="32"/>
          <w:highlight w:val="none"/>
        </w:rPr>
      </w:pPr>
    </w:p>
    <w:p>
      <w:pPr>
        <w:snapToGrid w:val="0"/>
        <w:spacing w:line="360" w:lineRule="auto"/>
        <w:ind w:firstLine="3357" w:firstLineChars="1045"/>
        <w:rPr>
          <w:rFonts w:hint="eastAsia" w:ascii="宋体" w:hAnsi="宋体" w:eastAsia="宋体" w:cs="宋体"/>
          <w:b/>
          <w:color w:val="auto"/>
          <w:sz w:val="24"/>
          <w:highlight w:val="none"/>
        </w:rPr>
      </w:pPr>
      <w:r>
        <w:rPr>
          <w:rFonts w:hint="eastAsia" w:ascii="宋体" w:hAnsi="宋体" w:eastAsia="宋体" w:cs="宋体"/>
          <w:b/>
          <w:color w:val="auto"/>
          <w:sz w:val="32"/>
          <w:highlight w:val="none"/>
        </w:rPr>
        <w:t>八、电子交易活动的中止</w:t>
      </w:r>
    </w:p>
    <w:p>
      <w:pPr>
        <w:pStyle w:val="156"/>
        <w:snapToGrid w:val="0"/>
        <w:spacing w:before="0"/>
        <w:ind w:firstLine="0" w:firstLineChars="0"/>
        <w:rPr>
          <w:rFonts w:hint="eastAsia" w:ascii="宋体" w:hAnsi="宋体" w:eastAsia="宋体" w:cs="宋体"/>
          <w:color w:val="auto"/>
          <w:highlight w:val="none"/>
        </w:rPr>
      </w:pPr>
      <w:r>
        <w:rPr>
          <w:rFonts w:hint="eastAsia" w:ascii="宋体" w:hAnsi="宋体" w:eastAsia="宋体" w:cs="宋体"/>
          <w:b/>
          <w:bCs/>
          <w:color w:val="auto"/>
          <w:highlight w:val="none"/>
        </w:rPr>
        <w:t>2</w:t>
      </w:r>
      <w:r>
        <w:rPr>
          <w:rFonts w:hint="eastAsia" w:ascii="宋体" w:hAnsi="宋体" w:eastAsia="宋体" w:cs="宋体"/>
          <w:b/>
          <w:bCs/>
          <w:color w:val="auto"/>
          <w:szCs w:val="24"/>
          <w:highlight w:val="none"/>
        </w:rPr>
        <w:t>8</w:t>
      </w:r>
      <w:r>
        <w:rPr>
          <w:rFonts w:hint="eastAsia" w:ascii="宋体" w:hAnsi="宋体" w:eastAsia="宋体" w:cs="宋体"/>
          <w:b/>
          <w:color w:val="auto"/>
          <w:szCs w:val="24"/>
          <w:highlight w:val="none"/>
        </w:rPr>
        <w:t>. 电子交易活动的中止。</w:t>
      </w:r>
      <w:r>
        <w:rPr>
          <w:rFonts w:hint="eastAsia" w:ascii="宋体" w:hAnsi="宋体" w:eastAsia="宋体" w:cs="宋体"/>
          <w:color w:val="auto"/>
          <w:highlight w:val="none"/>
        </w:rPr>
        <w:t>采购过程中出现以下情形，导致电子交易平台无法正常运行，或者无法保证电子交易的公平、公正和安全时，采购代理机构可中止电子交易活动：</w:t>
      </w:r>
    </w:p>
    <w:p>
      <w:pPr>
        <w:pStyle w:val="156"/>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28.1电子交易平台发生故障而无法登录访问的； </w:t>
      </w:r>
    </w:p>
    <w:p>
      <w:pPr>
        <w:pStyle w:val="156"/>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28.2电子交易平台应用或数据库出现错误，不能进行正常操作的；</w:t>
      </w:r>
    </w:p>
    <w:p>
      <w:pPr>
        <w:pStyle w:val="156"/>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28.3电子交易平台发现严重安全漏洞，有潜在泄密危险的；</w:t>
      </w:r>
    </w:p>
    <w:p>
      <w:pPr>
        <w:pStyle w:val="156"/>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28.4病毒发作导致不能进行正常操作的； </w:t>
      </w:r>
    </w:p>
    <w:p>
      <w:pPr>
        <w:pStyle w:val="156"/>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28.5其他无法保证电子交易的公平、公正和安全的情况。</w:t>
      </w:r>
    </w:p>
    <w:p>
      <w:pPr>
        <w:pStyle w:val="156"/>
        <w:snapToGrid w:val="0"/>
        <w:spacing w:before="0"/>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color w:val="auto"/>
          <w:sz w:val="24"/>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九、验收</w:t>
      </w:r>
    </w:p>
    <w:p>
      <w:pPr>
        <w:pStyle w:val="26"/>
        <w:spacing w:line="360" w:lineRule="auto"/>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30.验收</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color w:val="auto"/>
          <w:sz w:val="18"/>
          <w:szCs w:val="18"/>
          <w:highlight w:val="none"/>
        </w:rPr>
      </w:pPr>
      <w:r>
        <w:rPr>
          <w:rFonts w:hint="eastAsia" w:ascii="宋体" w:hAnsi="宋体" w:eastAsia="宋体" w:cs="宋体"/>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hint="eastAsia" w:ascii="宋体" w:hAnsi="宋体" w:eastAsia="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072998"/>
      <w:bookmarkEnd w:id="15"/>
      <w:bookmarkStart w:id="16" w:name="_Hlt74730295"/>
      <w:bookmarkEnd w:id="16"/>
      <w:bookmarkStart w:id="17" w:name="_Hlt75236101"/>
      <w:bookmarkEnd w:id="17"/>
      <w:bookmarkStart w:id="18" w:name="_Hlt68057669"/>
      <w:bookmarkEnd w:id="18"/>
      <w:bookmarkStart w:id="19" w:name="_Hlt75236011"/>
      <w:bookmarkEnd w:id="19"/>
      <w:bookmarkStart w:id="20" w:name="_Hlt74707468"/>
      <w:bookmarkEnd w:id="20"/>
      <w:bookmarkStart w:id="21" w:name="_Hlt68403820"/>
      <w:bookmarkEnd w:id="21"/>
      <w:bookmarkStart w:id="22" w:name="_Hlt68072990"/>
      <w:bookmarkEnd w:id="22"/>
      <w:bookmarkStart w:id="23" w:name="_Hlt68073093"/>
      <w:bookmarkEnd w:id="23"/>
      <w:bookmarkStart w:id="24" w:name="_Hlt75236290"/>
      <w:bookmarkEnd w:id="24"/>
      <w:bookmarkStart w:id="25" w:name="_Hlt74729768"/>
      <w:bookmarkEnd w:id="25"/>
      <w:bookmarkStart w:id="26" w:name="_Hlt74714665"/>
      <w:bookmarkEnd w:id="26"/>
    </w:p>
    <w:bookmarkEnd w:id="11"/>
    <w:bookmarkEnd w:id="12"/>
    <w:p>
      <w:pPr>
        <w:spacing w:line="360" w:lineRule="auto"/>
        <w:jc w:val="center"/>
        <w:outlineLvl w:val="0"/>
        <w:rPr>
          <w:rFonts w:hint="eastAsia" w:ascii="宋体" w:hAnsi="宋体" w:eastAsia="宋体" w:cs="宋体"/>
          <w:b/>
          <w:color w:val="auto"/>
          <w:sz w:val="36"/>
          <w:szCs w:val="36"/>
          <w:highlight w:val="none"/>
        </w:rPr>
      </w:pPr>
      <w:bookmarkStart w:id="27" w:name="第四部分"/>
      <w:r>
        <w:rPr>
          <w:rFonts w:hint="eastAsia" w:ascii="宋体" w:hAnsi="宋体" w:eastAsia="宋体" w:cs="宋体"/>
          <w:b/>
          <w:color w:val="auto"/>
          <w:sz w:val="36"/>
          <w:szCs w:val="36"/>
          <w:highlight w:val="none"/>
        </w:rPr>
        <w:t>第三部分   采购需求</w:t>
      </w:r>
    </w:p>
    <w:p>
      <w:pPr>
        <w:adjustRightInd w:val="0"/>
        <w:snapToGrid w:val="0"/>
        <w:spacing w:line="360" w:lineRule="auto"/>
        <w:rPr>
          <w:rFonts w:hint="eastAsia" w:ascii="宋体" w:hAnsi="宋体" w:eastAsia="宋体" w:cs="宋体"/>
          <w:bCs/>
          <w:color w:val="auto"/>
          <w:sz w:val="24"/>
          <w:szCs w:val="24"/>
          <w:highlight w:val="none"/>
        </w:rPr>
      </w:pPr>
      <w:bookmarkStart w:id="28" w:name="_Toc135212472"/>
      <w:bookmarkStart w:id="29" w:name="_Toc135212467"/>
      <w:bookmarkStart w:id="30" w:name="_Toc33335637"/>
      <w:bookmarkStart w:id="31" w:name="_Toc33335632"/>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一、项目概述：</w:t>
      </w:r>
      <w:r>
        <w:rPr>
          <w:rFonts w:hint="eastAsia" w:ascii="宋体" w:hAnsi="宋体" w:eastAsia="宋体" w:cs="宋体"/>
          <w:b/>
          <w:bCs/>
          <w:color w:val="auto"/>
          <w:sz w:val="24"/>
          <w:szCs w:val="24"/>
          <w:highlight w:val="none"/>
          <w:lang w:eastAsia="zh-CN"/>
        </w:rPr>
        <w:t>塘栖城区翠紫河以北</w:t>
      </w:r>
      <w:r>
        <w:rPr>
          <w:rFonts w:hint="eastAsia" w:ascii="宋体" w:hAnsi="宋体" w:eastAsia="宋体" w:cs="宋体"/>
          <w:b/>
          <w:bCs/>
          <w:color w:val="auto"/>
          <w:sz w:val="24"/>
          <w:szCs w:val="24"/>
          <w:highlight w:val="none"/>
          <w:lang w:val="en-US" w:eastAsia="zh-CN"/>
        </w:rPr>
        <w:t>范围内</w:t>
      </w:r>
      <w:r>
        <w:rPr>
          <w:rFonts w:hint="eastAsia" w:ascii="宋体" w:hAnsi="宋体" w:eastAsia="宋体" w:cs="宋体"/>
          <w:b/>
          <w:bCs/>
          <w:color w:val="auto"/>
          <w:sz w:val="24"/>
          <w:szCs w:val="24"/>
          <w:highlight w:val="none"/>
          <w:lang w:eastAsia="zh-CN"/>
        </w:rPr>
        <w:t>保洁</w:t>
      </w:r>
    </w:p>
    <w:tbl>
      <w:tblPr>
        <w:tblStyle w:val="62"/>
        <w:tblpPr w:leftFromText="180" w:rightFromText="180" w:vertAnchor="text" w:horzAnchor="page" w:tblpX="1460" w:tblpY="450"/>
        <w:tblOverlap w:val="never"/>
        <w:tblW w:w="96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26"/>
        <w:gridCol w:w="2469"/>
        <w:gridCol w:w="2509"/>
        <w:gridCol w:w="791"/>
        <w:gridCol w:w="804"/>
        <w:gridCol w:w="1310"/>
        <w:gridCol w:w="11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26"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序号</w:t>
            </w: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道路名称</w:t>
            </w:r>
          </w:p>
        </w:tc>
        <w:tc>
          <w:tcPr>
            <w:tcW w:w="2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起止点</w:t>
            </w: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 xml:space="preserve">长度（米） </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宽度（米）</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 xml:space="preserve">保洁面积（平方） </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保洁分类等级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1</w:t>
            </w: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广济路</w:t>
            </w:r>
          </w:p>
        </w:tc>
        <w:tc>
          <w:tcPr>
            <w:tcW w:w="2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塘栖大桥以北</w:t>
            </w: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320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18</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5760</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2</w:t>
            </w: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塘栖路</w:t>
            </w:r>
          </w:p>
        </w:tc>
        <w:tc>
          <w:tcPr>
            <w:tcW w:w="2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新都大桥以北</w:t>
            </w: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680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10</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6800</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3</w:t>
            </w: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圣堂漾路</w:t>
            </w:r>
          </w:p>
        </w:tc>
        <w:tc>
          <w:tcPr>
            <w:tcW w:w="2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圣堂漾桥以北</w:t>
            </w: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420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10</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4200</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4</w:t>
            </w: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西小河路</w:t>
            </w:r>
          </w:p>
        </w:tc>
        <w:tc>
          <w:tcPr>
            <w:tcW w:w="25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highlight w:val="none"/>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890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12</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10680</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5</w:t>
            </w: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东小河路</w:t>
            </w:r>
          </w:p>
        </w:tc>
        <w:tc>
          <w:tcPr>
            <w:tcW w:w="25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highlight w:val="none"/>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330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12</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3960</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6</w:t>
            </w: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致和堂路</w:t>
            </w:r>
          </w:p>
        </w:tc>
        <w:tc>
          <w:tcPr>
            <w:tcW w:w="25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highlight w:val="none"/>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470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8</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3760</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7</w:t>
            </w: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北小河路</w:t>
            </w:r>
          </w:p>
        </w:tc>
        <w:tc>
          <w:tcPr>
            <w:tcW w:w="25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highlight w:val="none"/>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310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7</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2170</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8</w:t>
            </w: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圆满路</w:t>
            </w:r>
          </w:p>
        </w:tc>
        <w:tc>
          <w:tcPr>
            <w:tcW w:w="2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渔桥以北</w:t>
            </w: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515</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lang w:val="en-US" w:eastAsia="zh-CN"/>
              </w:rPr>
            </w:pPr>
            <w:r>
              <w:rPr>
                <w:rFonts w:hint="eastAsia" w:ascii="宋体" w:hAnsi="宋体" w:eastAsia="宋体" w:cs="宋体"/>
                <w:b/>
                <w:bCs/>
                <w:i w:val="0"/>
                <w:iCs w:val="0"/>
                <w:color w:val="auto"/>
                <w:kern w:val="0"/>
                <w:sz w:val="24"/>
                <w:szCs w:val="24"/>
                <w:highlight w:val="none"/>
                <w:u w:val="none"/>
                <w:lang w:val="en-US" w:eastAsia="zh-CN" w:bidi="ar"/>
              </w:rPr>
              <w:t>13</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6695</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9</w:t>
            </w: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里仁路</w:t>
            </w:r>
          </w:p>
        </w:tc>
        <w:tc>
          <w:tcPr>
            <w:tcW w:w="25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highlight w:val="none"/>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350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10</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3500</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10</w:t>
            </w: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景河路</w:t>
            </w:r>
          </w:p>
        </w:tc>
        <w:tc>
          <w:tcPr>
            <w:tcW w:w="25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highlight w:val="none"/>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150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14</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2100</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11</w:t>
            </w: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东仁路步行街</w:t>
            </w:r>
          </w:p>
        </w:tc>
        <w:tc>
          <w:tcPr>
            <w:tcW w:w="25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highlight w:val="none"/>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267</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8</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2136</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12</w:t>
            </w: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仓桥路</w:t>
            </w:r>
          </w:p>
        </w:tc>
        <w:tc>
          <w:tcPr>
            <w:tcW w:w="25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highlight w:val="none"/>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105</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7</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735</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8"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13</w:t>
            </w: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里仁北路</w:t>
            </w:r>
          </w:p>
        </w:tc>
        <w:tc>
          <w:tcPr>
            <w:tcW w:w="25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highlight w:val="none"/>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1200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7</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8400</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14</w:t>
            </w: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里仁支路</w:t>
            </w:r>
          </w:p>
        </w:tc>
        <w:tc>
          <w:tcPr>
            <w:tcW w:w="25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highlight w:val="none"/>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1000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8</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8000</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15</w:t>
            </w: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里仁东路</w:t>
            </w:r>
          </w:p>
        </w:tc>
        <w:tc>
          <w:tcPr>
            <w:tcW w:w="25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highlight w:val="none"/>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750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7</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5250</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16</w:t>
            </w: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中心街</w:t>
            </w:r>
          </w:p>
        </w:tc>
        <w:tc>
          <w:tcPr>
            <w:tcW w:w="25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highlight w:val="none"/>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100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10</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1000</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17</w:t>
            </w: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里仁北路延伸段</w:t>
            </w:r>
          </w:p>
        </w:tc>
        <w:tc>
          <w:tcPr>
            <w:tcW w:w="25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highlight w:val="none"/>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420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8</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3360</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18</w:t>
            </w: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里仁北路支路</w:t>
            </w:r>
          </w:p>
        </w:tc>
        <w:tc>
          <w:tcPr>
            <w:tcW w:w="2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里仁北路至福利桥桥堍</w:t>
            </w: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kern w:val="0"/>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80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kern w:val="0"/>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6</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480</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19</w:t>
            </w: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水北街东段（部分）</w:t>
            </w:r>
          </w:p>
        </w:tc>
        <w:tc>
          <w:tcPr>
            <w:tcW w:w="2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便桥以东</w:t>
            </w: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400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6</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2400</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20</w:t>
            </w: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水北街东段（部分）</w:t>
            </w:r>
          </w:p>
        </w:tc>
        <w:tc>
          <w:tcPr>
            <w:tcW w:w="2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便桥以东</w:t>
            </w: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170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3.7</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629</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21</w:t>
            </w: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市新街（市河西侧半幅）</w:t>
            </w:r>
          </w:p>
        </w:tc>
        <w:tc>
          <w:tcPr>
            <w:tcW w:w="2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市河西侧半幅</w:t>
            </w: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auto"/>
                <w:kern w:val="0"/>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300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auto"/>
                <w:kern w:val="0"/>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2.5</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750</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highlight w:val="none"/>
              </w:rPr>
            </w:pPr>
            <w:r>
              <w:rPr>
                <w:rFonts w:hint="eastAsia" w:ascii="宋体" w:hAnsi="宋体" w:eastAsia="宋体" w:cs="宋体"/>
                <w:i w:val="0"/>
                <w:iCs w:val="0"/>
                <w:color w:val="auto"/>
                <w:kern w:val="0"/>
                <w:sz w:val="24"/>
                <w:szCs w:val="24"/>
                <w:highlight w:val="none"/>
                <w:u w:val="none"/>
                <w:lang w:val="en-US" w:eastAsia="zh-CN" w:bidi="ar"/>
              </w:rPr>
              <w:t>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22</w:t>
            </w: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西横头街西段</w:t>
            </w:r>
          </w:p>
        </w:tc>
        <w:tc>
          <w:tcPr>
            <w:tcW w:w="2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圆满路以西</w:t>
            </w: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bCs/>
                <w:i w:val="0"/>
                <w:iCs w:val="0"/>
                <w:color w:val="auto"/>
                <w:kern w:val="0"/>
                <w:sz w:val="24"/>
                <w:szCs w:val="24"/>
                <w:highlight w:val="none"/>
                <w:u w:val="none"/>
                <w:lang w:val="en-US" w:eastAsia="zh-CN" w:bidi="ar"/>
              </w:rPr>
              <w:t>300</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bCs/>
                <w:i w:val="0"/>
                <w:iCs w:val="0"/>
                <w:color w:val="auto"/>
                <w:kern w:val="0"/>
                <w:sz w:val="24"/>
                <w:szCs w:val="24"/>
                <w:highlight w:val="none"/>
                <w:u w:val="none"/>
                <w:lang w:val="en-US" w:eastAsia="zh-CN" w:bidi="ar"/>
              </w:rPr>
              <w:t>8</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2400</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23</w:t>
            </w: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其他保洁面积</w:t>
            </w:r>
          </w:p>
        </w:tc>
        <w:tc>
          <w:tcPr>
            <w:tcW w:w="2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人行道、思敬广场等</w:t>
            </w: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auto"/>
                <w:kern w:val="2"/>
                <w:sz w:val="24"/>
                <w:szCs w:val="24"/>
                <w:highlight w:val="none"/>
                <w:lang w:val="en-US" w:eastAsia="zh-CN" w:bidi="ar-SA"/>
              </w:rPr>
            </w:pP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auto"/>
                <w:kern w:val="2"/>
                <w:sz w:val="24"/>
                <w:szCs w:val="24"/>
                <w:highlight w:val="none"/>
                <w:lang w:val="en-US" w:eastAsia="zh-CN" w:bidi="ar-SA"/>
              </w:rPr>
            </w:pP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89290</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一类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4"/>
                <w:highlight w:val="none"/>
              </w:rPr>
            </w:pP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highlight w:val="none"/>
                <w:lang w:eastAsia="zh-CN"/>
              </w:rPr>
            </w:pPr>
            <w:r>
              <w:rPr>
                <w:rFonts w:hint="eastAsia" w:ascii="宋体" w:hAnsi="宋体" w:eastAsia="宋体" w:cs="宋体"/>
                <w:i w:val="0"/>
                <w:iCs w:val="0"/>
                <w:color w:val="auto"/>
                <w:kern w:val="0"/>
                <w:sz w:val="24"/>
                <w:szCs w:val="24"/>
                <w:highlight w:val="none"/>
                <w:u w:val="none"/>
                <w:lang w:val="en-US" w:eastAsia="zh-CN" w:bidi="ar"/>
              </w:rPr>
              <w:t>小计</w:t>
            </w:r>
          </w:p>
        </w:tc>
        <w:tc>
          <w:tcPr>
            <w:tcW w:w="25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4"/>
                <w:highlight w:val="none"/>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auto"/>
                <w:kern w:val="2"/>
                <w:sz w:val="24"/>
                <w:szCs w:val="24"/>
                <w:highlight w:val="none"/>
                <w:lang w:val="en-US" w:eastAsia="zh-CN" w:bidi="ar-SA"/>
              </w:rPr>
            </w:pP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auto"/>
                <w:kern w:val="2"/>
                <w:sz w:val="24"/>
                <w:szCs w:val="24"/>
                <w:highlight w:val="none"/>
                <w:lang w:val="en-US" w:eastAsia="zh-CN" w:bidi="ar-SA"/>
              </w:rPr>
            </w:pP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174455</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序号</w:t>
            </w: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道路名称</w:t>
            </w:r>
          </w:p>
        </w:tc>
        <w:tc>
          <w:tcPr>
            <w:tcW w:w="25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起止点</w:t>
            </w: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kern w:val="0"/>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长度（米）</w:t>
            </w: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color w:val="auto"/>
                <w:kern w:val="0"/>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宽度（米）</w:t>
            </w: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保洁面积（平方）</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highlight w:val="none"/>
              </w:rPr>
            </w:pPr>
            <w:r>
              <w:rPr>
                <w:rFonts w:hint="eastAsia" w:ascii="宋体" w:hAnsi="宋体" w:eastAsia="宋体" w:cs="宋体"/>
                <w:b/>
                <w:bCs/>
                <w:i w:val="0"/>
                <w:iCs w:val="0"/>
                <w:color w:val="auto"/>
                <w:kern w:val="0"/>
                <w:sz w:val="24"/>
                <w:szCs w:val="24"/>
                <w:highlight w:val="none"/>
                <w:u w:val="none"/>
                <w:lang w:val="en-US" w:eastAsia="zh-CN" w:bidi="ar"/>
              </w:rPr>
              <w:t>保洁分类等级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24</w:t>
            </w: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东小河社区</w:t>
            </w:r>
          </w:p>
        </w:tc>
        <w:tc>
          <w:tcPr>
            <w:tcW w:w="250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sz w:val="24"/>
                <w:highlight w:val="none"/>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auto"/>
                <w:sz w:val="24"/>
                <w:highlight w:val="none"/>
              </w:rPr>
            </w:pP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auto"/>
                <w:sz w:val="24"/>
                <w:highlight w:val="none"/>
              </w:rPr>
            </w:pP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41333</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25</w:t>
            </w: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西小河社区</w:t>
            </w:r>
          </w:p>
        </w:tc>
        <w:tc>
          <w:tcPr>
            <w:tcW w:w="2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highlight w:val="none"/>
                <w:lang w:val="en-US" w:eastAsia="zh-CN"/>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4"/>
                <w:highlight w:val="none"/>
                <w:lang w:val="en-US" w:eastAsia="zh-CN"/>
              </w:rPr>
            </w:pP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4"/>
                <w:highlight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54299</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26</w:t>
            </w: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广济路社区</w:t>
            </w:r>
          </w:p>
        </w:tc>
        <w:tc>
          <w:tcPr>
            <w:tcW w:w="2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highlight w:val="none"/>
                <w:lang w:val="en-US" w:eastAsia="zh-CN"/>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4"/>
                <w:highlight w:val="none"/>
                <w:lang w:val="en-US" w:eastAsia="zh-CN"/>
              </w:rPr>
            </w:pP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4"/>
                <w:highlight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19707</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二类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4"/>
                <w:highlight w:val="none"/>
                <w:lang w:val="en-US" w:eastAsia="zh-CN"/>
              </w:rPr>
            </w:pP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highlight w:val="none"/>
                <w:lang w:eastAsia="zh-CN"/>
              </w:rPr>
            </w:pPr>
            <w:r>
              <w:rPr>
                <w:rFonts w:hint="eastAsia" w:ascii="宋体" w:hAnsi="宋体" w:eastAsia="宋体" w:cs="宋体"/>
                <w:i w:val="0"/>
                <w:iCs w:val="0"/>
                <w:color w:val="auto"/>
                <w:kern w:val="0"/>
                <w:sz w:val="24"/>
                <w:szCs w:val="24"/>
                <w:highlight w:val="none"/>
                <w:u w:val="none"/>
                <w:lang w:val="en-US" w:eastAsia="zh-CN" w:bidi="ar"/>
              </w:rPr>
              <w:t>小计</w:t>
            </w:r>
          </w:p>
        </w:tc>
        <w:tc>
          <w:tcPr>
            <w:tcW w:w="2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highlight w:val="none"/>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auto"/>
                <w:sz w:val="24"/>
                <w:highlight w:val="none"/>
              </w:rPr>
            </w:pP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auto"/>
                <w:sz w:val="24"/>
                <w:highlight w:val="none"/>
              </w:rPr>
            </w:pP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auto"/>
                <w:kern w:val="0"/>
                <w:sz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115339</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27</w:t>
            </w: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highlight w:val="none"/>
                <w:lang w:eastAsia="zh-CN"/>
              </w:rPr>
            </w:pPr>
            <w:r>
              <w:rPr>
                <w:rFonts w:hint="eastAsia" w:ascii="宋体" w:hAnsi="宋体" w:eastAsia="宋体" w:cs="宋体"/>
                <w:i w:val="0"/>
                <w:iCs w:val="0"/>
                <w:color w:val="auto"/>
                <w:kern w:val="0"/>
                <w:sz w:val="24"/>
                <w:szCs w:val="24"/>
                <w:highlight w:val="none"/>
                <w:u w:val="none"/>
                <w:lang w:val="en-US" w:eastAsia="zh-CN" w:bidi="ar"/>
              </w:rPr>
              <w:t>翠紫河以北1号音乐线</w:t>
            </w:r>
          </w:p>
        </w:tc>
        <w:tc>
          <w:tcPr>
            <w:tcW w:w="2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highlight w:val="none"/>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auto"/>
                <w:sz w:val="24"/>
                <w:highlight w:val="none"/>
              </w:rPr>
            </w:pP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auto"/>
                <w:sz w:val="24"/>
                <w:highlight w:val="none"/>
              </w:rPr>
            </w:pP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auto"/>
                <w:kern w:val="0"/>
                <w:sz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全域</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28</w:t>
            </w: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auto"/>
                <w:kern w:val="0"/>
                <w:sz w:val="24"/>
                <w:highlight w:val="none"/>
                <w:lang w:eastAsia="zh-CN"/>
              </w:rPr>
            </w:pPr>
            <w:r>
              <w:rPr>
                <w:rFonts w:hint="eastAsia" w:ascii="宋体" w:hAnsi="宋体" w:eastAsia="宋体" w:cs="宋体"/>
                <w:i w:val="0"/>
                <w:iCs w:val="0"/>
                <w:color w:val="auto"/>
                <w:kern w:val="0"/>
                <w:sz w:val="24"/>
                <w:szCs w:val="24"/>
                <w:highlight w:val="none"/>
                <w:u w:val="none"/>
                <w:lang w:val="en-US" w:eastAsia="zh-CN" w:bidi="ar"/>
              </w:rPr>
              <w:t>翠紫河以北2号音乐线</w:t>
            </w:r>
          </w:p>
        </w:tc>
        <w:tc>
          <w:tcPr>
            <w:tcW w:w="2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highlight w:val="none"/>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auto"/>
                <w:sz w:val="24"/>
                <w:highlight w:val="none"/>
              </w:rPr>
            </w:pP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auto"/>
                <w:sz w:val="24"/>
                <w:highlight w:val="none"/>
              </w:rPr>
            </w:pP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color w:val="auto"/>
                <w:kern w:val="0"/>
                <w:sz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全域</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auto"/>
                <w:kern w:val="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 w:hRule="atLeast"/>
        </w:trPr>
        <w:tc>
          <w:tcPr>
            <w:tcW w:w="6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highlight w:val="none"/>
              </w:rPr>
            </w:pPr>
          </w:p>
        </w:tc>
        <w:tc>
          <w:tcPr>
            <w:tcW w:w="246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总计</w:t>
            </w:r>
          </w:p>
        </w:tc>
        <w:tc>
          <w:tcPr>
            <w:tcW w:w="25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highlight w:val="none"/>
              </w:rPr>
            </w:pPr>
          </w:p>
        </w:tc>
        <w:tc>
          <w:tcPr>
            <w:tcW w:w="79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auto"/>
                <w:sz w:val="24"/>
                <w:highlight w:val="none"/>
              </w:rPr>
            </w:pPr>
          </w:p>
        </w:tc>
        <w:tc>
          <w:tcPr>
            <w:tcW w:w="8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color w:val="auto"/>
                <w:sz w:val="24"/>
                <w:highlight w:val="none"/>
              </w:rPr>
            </w:pPr>
          </w:p>
        </w:tc>
        <w:tc>
          <w:tcPr>
            <w:tcW w:w="1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289794</w:t>
            </w:r>
          </w:p>
        </w:tc>
        <w:tc>
          <w:tcPr>
            <w:tcW w:w="117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auto"/>
                <w:kern w:val="0"/>
                <w:sz w:val="24"/>
                <w:highlight w:val="none"/>
              </w:rPr>
            </w:pPr>
          </w:p>
        </w:tc>
      </w:tr>
    </w:tbl>
    <w:p>
      <w:pPr>
        <w:widowControl/>
        <w:spacing w:line="0" w:lineRule="atLeast"/>
        <w:jc w:val="left"/>
        <w:rPr>
          <w:rFonts w:hint="eastAsia" w:ascii="宋体" w:hAnsi="宋体" w:eastAsia="宋体" w:cs="宋体"/>
          <w:b/>
          <w:color w:val="auto"/>
          <w:sz w:val="24"/>
          <w:highlight w:val="none"/>
        </w:rPr>
      </w:pP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二、</w:t>
      </w:r>
      <w:r>
        <w:rPr>
          <w:rFonts w:hint="eastAsia" w:ascii="宋体" w:hAnsi="宋体" w:eastAsia="宋体" w:cs="宋体"/>
          <w:b/>
          <w:bCs/>
          <w:color w:val="auto"/>
          <w:sz w:val="24"/>
          <w:szCs w:val="24"/>
          <w:highlight w:val="none"/>
          <w:lang w:val="en-US" w:eastAsia="zh-CN"/>
        </w:rPr>
        <w:t>保洁范围</w:t>
      </w:r>
      <w:r>
        <w:rPr>
          <w:rFonts w:hint="eastAsia" w:ascii="宋体" w:hAnsi="宋体" w:eastAsia="宋体" w:cs="宋体"/>
          <w:b/>
          <w:bCs/>
          <w:color w:val="auto"/>
          <w:sz w:val="24"/>
          <w:szCs w:val="24"/>
          <w:highlight w:val="none"/>
        </w:rPr>
        <w:t>：</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备注：</w:t>
      </w:r>
      <w:r>
        <w:rPr>
          <w:rFonts w:hint="eastAsia" w:ascii="宋体" w:hAnsi="宋体" w:eastAsia="宋体" w:cs="宋体"/>
          <w:color w:val="auto"/>
          <w:sz w:val="28"/>
          <w:szCs w:val="28"/>
          <w:highlight w:val="none"/>
          <w:lang w:val="en-US" w:eastAsia="zh-CN"/>
        </w:rPr>
        <w:t>1、</w:t>
      </w:r>
      <w:r>
        <w:rPr>
          <w:rFonts w:hint="eastAsia" w:ascii="宋体" w:hAnsi="宋体" w:eastAsia="宋体" w:cs="宋体"/>
          <w:color w:val="auto"/>
          <w:sz w:val="28"/>
          <w:szCs w:val="28"/>
          <w:highlight w:val="none"/>
        </w:rPr>
        <w:t>上述保洁面积</w:t>
      </w:r>
      <w:r>
        <w:rPr>
          <w:rFonts w:hint="eastAsia" w:ascii="宋体" w:hAnsi="宋体" w:eastAsia="宋体" w:cs="宋体"/>
          <w:color w:val="auto"/>
          <w:sz w:val="28"/>
          <w:szCs w:val="28"/>
          <w:highlight w:val="none"/>
          <w:lang w:val="en-US" w:eastAsia="zh-CN"/>
        </w:rPr>
        <w:t>包含了二条音乐线，2、</w:t>
      </w:r>
      <w:r>
        <w:rPr>
          <w:rFonts w:hint="eastAsia" w:ascii="宋体" w:hAnsi="宋体" w:eastAsia="宋体" w:cs="宋体"/>
          <w:color w:val="auto"/>
          <w:sz w:val="28"/>
          <w:szCs w:val="28"/>
          <w:highlight w:val="none"/>
        </w:rPr>
        <w:t>保洁面积如有调整，相关养护经费按实调整。</w:t>
      </w:r>
    </w:p>
    <w:p>
      <w:pPr>
        <w:adjustRightInd w:val="0"/>
        <w:snapToGrid w:val="0"/>
        <w:spacing w:line="360" w:lineRule="auto"/>
        <w:rPr>
          <w:rFonts w:hint="eastAsia" w:ascii="宋体" w:hAnsi="宋体" w:eastAsia="宋体" w:cs="宋体"/>
          <w:b/>
          <w:bCs/>
          <w:color w:val="auto"/>
          <w:sz w:val="24"/>
          <w:szCs w:val="24"/>
          <w:highlight w:val="none"/>
          <w:lang w:eastAsia="zh-CN"/>
        </w:rPr>
      </w:pPr>
    </w:p>
    <w:p>
      <w:pPr>
        <w:adjustRightInd w:val="0"/>
        <w:snapToGrid w:val="0"/>
        <w:spacing w:line="360" w:lineRule="auto"/>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三、项目具体要求：</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1、道路保洁相关要求</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1.1本项目各标项</w:t>
      </w:r>
      <w:r>
        <w:rPr>
          <w:rFonts w:hint="eastAsia" w:ascii="宋体" w:hAnsi="宋体" w:eastAsia="宋体" w:cs="宋体"/>
          <w:color w:val="auto"/>
          <w:sz w:val="24"/>
          <w:highlight w:val="none"/>
          <w:lang w:val="zh-CN"/>
        </w:rPr>
        <w:t>人员要求</w:t>
      </w:r>
      <w:r>
        <w:rPr>
          <w:rFonts w:hint="eastAsia" w:ascii="宋体" w:hAnsi="宋体" w:eastAsia="宋体" w:cs="宋体"/>
          <w:color w:val="auto"/>
          <w:sz w:val="24"/>
          <w:highlight w:val="none"/>
        </w:rPr>
        <w:t>须符合</w:t>
      </w:r>
      <w:r>
        <w:rPr>
          <w:rFonts w:hint="eastAsia" w:ascii="宋体" w:hAnsi="宋体" w:eastAsia="宋体" w:cs="宋体"/>
          <w:bCs/>
          <w:color w:val="auto"/>
          <w:sz w:val="24"/>
          <w:highlight w:val="none"/>
        </w:rPr>
        <w:t>专职人员基本岗位数量要求</w:t>
      </w:r>
      <w:r>
        <w:rPr>
          <w:rFonts w:hint="eastAsia" w:ascii="宋体" w:hAnsi="宋体" w:eastAsia="宋体" w:cs="宋体"/>
          <w:color w:val="auto"/>
          <w:sz w:val="24"/>
          <w:highlight w:val="none"/>
          <w:lang w:val="zh-CN"/>
        </w:rPr>
        <w:t>。</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1.1.2除项目负责人和专职保洁人员（含车辆作业人员）、项目管理员以外，供应商应根据项目保洁的实际需要配备相应人员，所需费用应考虑在投标总价中。</w:t>
      </w:r>
    </w:p>
    <w:p>
      <w:pPr>
        <w:snapToGrid w:val="0"/>
        <w:spacing w:line="360" w:lineRule="auto"/>
        <w:ind w:firstLine="360" w:firstLineChars="150"/>
        <w:jc w:val="left"/>
        <w:rPr>
          <w:rFonts w:hint="eastAsia" w:ascii="宋体" w:hAnsi="宋体" w:eastAsia="宋体" w:cs="宋体"/>
          <w:color w:val="auto"/>
          <w:sz w:val="24"/>
          <w:highlight w:val="none"/>
        </w:rPr>
      </w:pPr>
      <w:r>
        <w:rPr>
          <w:rFonts w:hint="eastAsia" w:ascii="宋体" w:hAnsi="宋体" w:eastAsia="宋体" w:cs="宋体"/>
          <w:bCs/>
          <w:color w:val="auto"/>
          <w:sz w:val="24"/>
          <w:highlight w:val="none"/>
        </w:rPr>
        <w:t>1.1.3保洁人员在岗要求男性年龄在60周岁以下</w:t>
      </w:r>
      <w:r>
        <w:rPr>
          <w:rFonts w:hint="eastAsia" w:ascii="宋体" w:hAnsi="宋体" w:eastAsia="宋体" w:cs="宋体"/>
          <w:color w:val="auto"/>
          <w:sz w:val="24"/>
          <w:highlight w:val="none"/>
          <w:lang w:val="zh-CN"/>
        </w:rPr>
        <w:t>，女性年龄在55周岁以下，并按采购人要求完成智慧化管理措施、设施配备。大型活动、节假日、新作业方式调整或未达到管理标准等情况下</w:t>
      </w:r>
      <w:r>
        <w:rPr>
          <w:rFonts w:hint="eastAsia" w:ascii="宋体" w:hAnsi="宋体" w:eastAsia="宋体" w:cs="宋体"/>
          <w:color w:val="auto"/>
          <w:sz w:val="24"/>
          <w:highlight w:val="none"/>
        </w:rPr>
        <w:t>应根据实际情况或采购人要求增派保洁人员、保洁设备，以确保清卫保洁质量，</w:t>
      </w:r>
      <w:r>
        <w:rPr>
          <w:rFonts w:hint="eastAsia" w:ascii="宋体" w:hAnsi="宋体" w:eastAsia="宋体" w:cs="宋体"/>
          <w:color w:val="auto"/>
          <w:sz w:val="24"/>
          <w:highlight w:val="none"/>
          <w:lang w:val="zh-CN"/>
        </w:rPr>
        <w:t>增</w:t>
      </w:r>
      <w:r>
        <w:rPr>
          <w:rFonts w:hint="eastAsia" w:ascii="宋体" w:hAnsi="宋体" w:eastAsia="宋体" w:cs="宋体"/>
          <w:color w:val="auto"/>
          <w:sz w:val="24"/>
          <w:highlight w:val="none"/>
        </w:rPr>
        <w:t>派人员和设备的费用应考虑在投标总报价中。</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1.1.4鼓励供应商根据杭州市劳动和社会保障局、杭州市财政局“关于印发《市区“三类岗位”开发管理办法》的通知”及区政府等相关文件要求，鼓励中标供应商招聘失地失业人员参与本项目服务。</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1.1.5人员用工必须符合《中华人民共和国劳动民法典》等法规的相关规定，如因违法、违规并造成不良后果的，其责任由供应商自行承担。</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1.1.6 作业车辆、作业时间应符合属地交警部门要求，并按要求进行报备后实施。</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1.1.7 供应商提供的设施设备，根据采购人要求统一外观，标识。</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1.2保洁服务内容</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1.2.1本项目涵盖采购文件第三部分采购需求项目概况及要求清单中所有道路的清扫运输、垃圾收集运输、偷倒垃圾清运等服务内容。</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1.2.2</w:t>
      </w:r>
      <w:r>
        <w:rPr>
          <w:rFonts w:hint="eastAsia" w:ascii="宋体" w:hAnsi="宋体" w:eastAsia="宋体" w:cs="宋体"/>
          <w:bCs/>
          <w:color w:val="auto"/>
          <w:sz w:val="24"/>
          <w:highlight w:val="none"/>
        </w:rPr>
        <w:t>本项目</w:t>
      </w:r>
      <w:r>
        <w:rPr>
          <w:rFonts w:hint="eastAsia" w:ascii="宋体" w:hAnsi="宋体" w:eastAsia="宋体" w:cs="宋体"/>
          <w:color w:val="auto"/>
          <w:sz w:val="24"/>
          <w:highlight w:val="none"/>
        </w:rPr>
        <w:t>道路中间绿化带含在道路保洁范围内，及道路两侧人行道外建筑物基石边或无建筑物外可视范围内</w:t>
      </w:r>
      <w:r>
        <w:rPr>
          <w:rFonts w:hint="eastAsia" w:ascii="宋体" w:hAnsi="宋体" w:eastAsia="宋体" w:cs="宋体"/>
          <w:bCs/>
          <w:color w:val="auto"/>
          <w:sz w:val="24"/>
          <w:highlight w:val="none"/>
        </w:rPr>
        <w:t>（不少于</w:t>
      </w:r>
      <w:r>
        <w:rPr>
          <w:rFonts w:hint="eastAsia" w:ascii="宋体" w:hAnsi="宋体" w:eastAsia="宋体" w:cs="宋体"/>
          <w:bCs/>
          <w:color w:val="auto"/>
          <w:sz w:val="24"/>
          <w:highlight w:val="none"/>
          <w:lang w:val="en-US" w:eastAsia="zh-CN"/>
        </w:rPr>
        <w:t>5</w:t>
      </w:r>
      <w:r>
        <w:rPr>
          <w:rFonts w:hint="eastAsia" w:ascii="宋体" w:hAnsi="宋体" w:eastAsia="宋体" w:cs="宋体"/>
          <w:bCs/>
          <w:color w:val="auto"/>
          <w:sz w:val="24"/>
          <w:highlight w:val="none"/>
        </w:rPr>
        <w:t>米</w:t>
      </w:r>
      <w:r>
        <w:rPr>
          <w:rFonts w:hint="eastAsia" w:ascii="宋体" w:hAnsi="宋体" w:eastAsia="宋体" w:cs="宋体"/>
          <w:color w:val="auto"/>
          <w:sz w:val="24"/>
          <w:highlight w:val="none"/>
        </w:rPr>
        <w:t>）均包含在保洁范围内。</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1.2</w:t>
      </w:r>
      <w:r>
        <w:rPr>
          <w:rFonts w:hint="eastAsia" w:ascii="宋体" w:hAnsi="宋体" w:eastAsia="宋体" w:cs="宋体"/>
          <w:bCs/>
          <w:color w:val="auto"/>
          <w:sz w:val="24"/>
          <w:highlight w:val="none"/>
        </w:rPr>
        <w:t>.3本项目涵盖地铁站（如有）出入口台阶以下周边范围的保洁含在道路保洁范围内。</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1.2</w:t>
      </w:r>
      <w:r>
        <w:rPr>
          <w:rFonts w:hint="eastAsia" w:ascii="宋体" w:hAnsi="宋体" w:eastAsia="宋体" w:cs="宋体"/>
          <w:bCs/>
          <w:color w:val="auto"/>
          <w:sz w:val="24"/>
          <w:highlight w:val="none"/>
        </w:rPr>
        <w:t>.4本项目道路所附属的铁路下穿涵洞（如有）、果壳箱、交通隔离栏、路灯杆（2.2米以下部分）、交通信号杆（2.2米以下部分）均属于本项目保洁范围。</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bCs/>
          <w:color w:val="auto"/>
          <w:sz w:val="24"/>
          <w:highlight w:val="none"/>
        </w:rPr>
        <w:t>1.2.5</w:t>
      </w:r>
      <w:r>
        <w:rPr>
          <w:rFonts w:hint="eastAsia" w:ascii="宋体" w:hAnsi="宋体" w:eastAsia="宋体" w:cs="宋体"/>
          <w:color w:val="auto"/>
          <w:sz w:val="24"/>
          <w:highlight w:val="none"/>
        </w:rPr>
        <w:t>牛皮癣清理：标段范围内道路、围墙、道路沿线设施（含一层建筑立面）等区域的“乱涂”、“乱张贴”等牛皮癣日常清理</w:t>
      </w:r>
      <w:r>
        <w:rPr>
          <w:rFonts w:hint="eastAsia" w:ascii="宋体" w:hAnsi="宋体" w:eastAsia="宋体" w:cs="宋体"/>
          <w:bCs/>
          <w:color w:val="auto"/>
          <w:sz w:val="24"/>
          <w:highlight w:val="none"/>
        </w:rPr>
        <w:t>均属于本项目保洁范围</w:t>
      </w:r>
      <w:r>
        <w:rPr>
          <w:rFonts w:hint="eastAsia" w:ascii="宋体" w:hAnsi="宋体" w:eastAsia="宋体" w:cs="宋体"/>
          <w:color w:val="auto"/>
          <w:sz w:val="24"/>
          <w:highlight w:val="none"/>
        </w:rPr>
        <w:t>。</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1.2</w:t>
      </w:r>
      <w:r>
        <w:rPr>
          <w:rFonts w:hint="eastAsia" w:ascii="宋体" w:hAnsi="宋体" w:eastAsia="宋体" w:cs="宋体"/>
          <w:bCs/>
          <w:color w:val="auto"/>
          <w:sz w:val="24"/>
          <w:highlight w:val="none"/>
        </w:rPr>
        <w:t>.6</w:t>
      </w:r>
      <w:r>
        <w:rPr>
          <w:rFonts w:hint="eastAsia" w:ascii="宋体" w:hAnsi="宋体" w:eastAsia="宋体" w:cs="宋体"/>
          <w:color w:val="auto"/>
          <w:sz w:val="24"/>
          <w:highlight w:val="none"/>
        </w:rPr>
        <w:t xml:space="preserve">道路保洁承包期内如有道路改建、扩建、新增人行道等情况所增加的面积，原则上纳入中标单位保洁范围，保洁经费不再增加。  </w:t>
      </w:r>
    </w:p>
    <w:p>
      <w:pPr>
        <w:snapToGrid w:val="0"/>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w:t>
      </w:r>
      <w:r>
        <w:rPr>
          <w:rFonts w:hint="eastAsia" w:ascii="宋体" w:hAnsi="宋体" w:eastAsia="宋体" w:cs="宋体"/>
          <w:b/>
          <w:bCs/>
          <w:color w:val="auto"/>
          <w:sz w:val="24"/>
          <w:highlight w:val="none"/>
        </w:rPr>
        <w:t>保洁</w:t>
      </w:r>
      <w:r>
        <w:rPr>
          <w:rFonts w:hint="eastAsia" w:ascii="宋体" w:hAnsi="宋体" w:eastAsia="宋体" w:cs="宋体"/>
          <w:b/>
          <w:color w:val="auto"/>
          <w:sz w:val="24"/>
          <w:highlight w:val="none"/>
          <w:lang w:eastAsia="zh-CN"/>
        </w:rPr>
        <w:t>作业标准</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1.3.1.</w:t>
      </w:r>
      <w:r>
        <w:rPr>
          <w:rFonts w:hint="eastAsia" w:ascii="宋体" w:hAnsi="宋体" w:eastAsia="宋体" w:cs="宋体"/>
          <w:color w:val="auto"/>
          <w:sz w:val="24"/>
          <w:highlight w:val="none"/>
        </w:rPr>
        <w:t>一级标准：①保洁时长：18小时（5:00-23：00）。②快车道保洁：洒水5次/日；高压冲洗2次/日；洗扫吸三合一作业3次/日，要求单向两边侧石、隔离栏底下全部覆盖。③慢车道和人行道保洁：日常普扫吹风机搭配小型慢车道清扫车作业，3次/日；洗、扫、吸一体清洗作业1次/日。④巡回保洁：保洁员配备电动巡回保洁车巡回作业，人均保洁面积不大于8000平方米。⑤空气抑尘：配置空气抑尘设备，每天2次洒水、抑尘。⑥城市家具：全覆盖擦洗1次/日。⑦小广告清除：配备高压冲洗设备，每天清除小广告。⑧道路栏杆：配备栏杆清洗车，每周清洗一次。⑨绿化带捡拾：配置小型设备，人工配合，每天1~2次。⑩按照合同约定配足人员装备、应急物资。</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1.3.2</w:t>
      </w:r>
      <w:r>
        <w:rPr>
          <w:rFonts w:hint="eastAsia" w:ascii="宋体" w:hAnsi="宋体" w:eastAsia="宋体" w:cs="宋体"/>
          <w:color w:val="auto"/>
          <w:sz w:val="24"/>
          <w:highlight w:val="none"/>
        </w:rPr>
        <w:t>二级标准：①保洁时长：18小时（5:00-23：00）。②快车道保洁：洒水4次/日；高压冲洗2次/日；洗扫吸三合一作业2次/日，普通机扫1次/日，要求单向两边侧石、隔离栏底下全部覆盖。③慢车道和人行道保洁：日常普扫吹风机搭配小型慢车道清扫车作业2次/日；洗、扫、吸一体清洗作业2天1次。④巡回保洁：保洁员配备电动巡回保洁车巡回作业，人均保洁面积不大于8000平方米。⑤空气抑尘：配置空气抑尘设备，每天1次洒水、抑尘。⑥城市家具：全覆盖擦洗2天1次。⑦小广告清除：配备高压冲洗设备，每天清除小广告。⑧道路栏杆：配备栏杆清洗车，每周清洗一次。⑨绿化带捡拾：配置小型设备，人工配合，每天1次。⑩按照合同约定配足人员装备、应急物资。</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1.3.3</w:t>
      </w:r>
      <w:r>
        <w:rPr>
          <w:rFonts w:hint="eastAsia" w:ascii="宋体" w:hAnsi="宋体" w:eastAsia="宋体" w:cs="宋体"/>
          <w:color w:val="auto"/>
          <w:sz w:val="24"/>
          <w:highlight w:val="none"/>
        </w:rPr>
        <w:t>三级标准：①保洁时长：16小时（5:00-21：00）。②快车道保洁：洒水3次/日；高压冲洗2次/日；洗扫吸三合一作业1次/日，普通机扫2次/日，要求单向两边侧石、隔离栏底下全部覆盖。③慢车道和人行道保洁：常规人工清扫3次/日；洗、扫、吸一体作业1次/周。④巡回保洁：保洁员常规巡回作业。⑤空气抑尘：配置空气抑尘设备，每天1次洒水、抑尘。⑥城市家具：全覆盖擦洗1次/周。⑦小广告清除：配备高压冲洗设备，每天清除小广告。⑧道路栏杆：配备栏杆清洗车，每10天清洗一次。⑨绿化带捡拾：配置小型设备，人工配合，每2天1次。⑩按照合同约定配足人员装备、应急物资。</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1.3.4</w:t>
      </w:r>
      <w:r>
        <w:rPr>
          <w:rFonts w:hint="eastAsia" w:ascii="宋体" w:hAnsi="宋体" w:eastAsia="宋体" w:cs="宋体"/>
          <w:color w:val="auto"/>
          <w:sz w:val="24"/>
          <w:highlight w:val="none"/>
        </w:rPr>
        <w:t>其他标准：①保洁时长：14小时（5:00-19：00）。②快车道保洁：洒水2次/日；机扫2次/日；高压冲洗1次/周。③慢车道和人行道保洁：常规人工清扫2次/日。④巡回保洁：保洁员常规巡回作业。⑤空气抑尘：不定期洒水、抑尘。⑥城市家具：全覆盖擦洗1次/月。⑦小广告清除：配备高压冲洗车，每天清除小广告。⑧道路栏杆：配备栏杆清洗车，每10天清洗一次。⑨绿化带捡拾：配置小型设备，人工配合，每2天1次。⑩按照合同约定配足人员装备、应急物资。</w:t>
      </w:r>
    </w:p>
    <w:p>
      <w:pPr>
        <w:snapToGrid w:val="0"/>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 xml:space="preserve">1.4保洁作业规范 </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1.4.1一级道路普扫作业每日不少于3次。夏季（6月—8月）第一次普扫应在6：30前完成，春、秋、冬季（9月—次年5月）在7：00前完成；第二次普扫在13：30前完成；第三次普扫在17：00前完成。</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1.4.</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 xml:space="preserve">应根据重大活动保障、落叶旺季等因素适时增加每日普扫频次。 </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1.4.</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应做到文明、清洁、安全和有序，最大限度地减少对环境的污染和对公众生活的影响。</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lang w:val="en-US" w:eastAsia="zh-CN"/>
        </w:rPr>
        <w:t>4.4</w:t>
      </w:r>
      <w:r>
        <w:rPr>
          <w:rFonts w:hint="eastAsia" w:ascii="宋体" w:hAnsi="宋体" w:eastAsia="宋体" w:cs="宋体"/>
          <w:color w:val="auto"/>
          <w:sz w:val="24"/>
          <w:highlight w:val="none"/>
        </w:rPr>
        <w:t>合理安排作业计划</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清晨或深夜在居民住宅小区或周边道路进行环卫作业时，不得大声喧哗，并应注意控制机具噪音。组织机械化清扫、洒水、清洗作业应避开交通高峰时段（7：00—9：00，16：30—18：30）。</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4.5</w:t>
      </w:r>
      <w:r>
        <w:rPr>
          <w:rFonts w:hint="eastAsia" w:ascii="宋体" w:hAnsi="宋体" w:eastAsia="宋体" w:cs="宋体"/>
          <w:bCs/>
          <w:color w:val="auto"/>
          <w:sz w:val="24"/>
          <w:highlight w:val="none"/>
        </w:rPr>
        <w:t>下雪及雪后应根据需要，及时进行路面除雪作业 ，消除路面积雪、结冰，为道路交通畅通创造良好通行条件。清雪作业以机械化清雪为主，人工清雪为辅。清理的积雪不得堆放在雨水井口，禁止向道路路面、绿化带、绿地抛撒积雪。</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4.6</w:t>
      </w:r>
      <w:r>
        <w:rPr>
          <w:rFonts w:hint="eastAsia" w:ascii="宋体" w:hAnsi="宋体" w:eastAsia="宋体" w:cs="宋体"/>
          <w:bCs/>
          <w:color w:val="auto"/>
          <w:sz w:val="24"/>
          <w:highlight w:val="none"/>
        </w:rPr>
        <w:t>日常</w:t>
      </w:r>
      <w:r>
        <w:rPr>
          <w:rFonts w:hint="eastAsia" w:ascii="宋体" w:hAnsi="宋体" w:eastAsia="宋体" w:cs="宋体"/>
          <w:color w:val="auto"/>
          <w:sz w:val="24"/>
          <w:highlight w:val="none"/>
        </w:rPr>
        <w:t>保洁时间内</w:t>
      </w:r>
      <w:r>
        <w:rPr>
          <w:rFonts w:hint="eastAsia" w:ascii="宋体" w:hAnsi="宋体" w:eastAsia="宋体" w:cs="宋体"/>
          <w:bCs/>
          <w:color w:val="auto"/>
          <w:sz w:val="24"/>
          <w:highlight w:val="none"/>
        </w:rPr>
        <w:t>保洁单位需确保</w:t>
      </w:r>
      <w:r>
        <w:rPr>
          <w:rFonts w:hint="eastAsia" w:ascii="宋体" w:hAnsi="宋体" w:eastAsia="宋体" w:cs="宋体"/>
          <w:color w:val="auto"/>
          <w:sz w:val="24"/>
          <w:highlight w:val="none"/>
        </w:rPr>
        <w:t>保洁范围干净，如有无主垃圾或其它垃圾，应加强监管，及时劝导并清理干净。</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4.7</w:t>
      </w:r>
      <w:r>
        <w:rPr>
          <w:rFonts w:hint="eastAsia" w:ascii="宋体" w:hAnsi="宋体" w:eastAsia="宋体" w:cs="宋体"/>
          <w:bCs/>
          <w:color w:val="auto"/>
          <w:sz w:val="24"/>
          <w:highlight w:val="none"/>
        </w:rPr>
        <w:t>每辆环卫专用车辆应装有GPS装置，并按采购人要求安装摄像设备及人员的智慧管理等接入采购人指定系统，如GPS装置、摄像设备故障后应及时报修。GPS定位系统或摄像设备以及为本项目服务提供的智慧环卫等（含人员智慧管理）相关费用均由中标单位承担，同时需纳入城管智慧平台，采购人不另支付任何费用。</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4.8</w:t>
      </w:r>
      <w:r>
        <w:rPr>
          <w:rFonts w:hint="eastAsia" w:ascii="宋体" w:hAnsi="宋体" w:eastAsia="宋体" w:cs="宋体"/>
          <w:bCs/>
          <w:color w:val="auto"/>
          <w:sz w:val="24"/>
          <w:highlight w:val="none"/>
        </w:rPr>
        <w:t>人工辅助清扫、清洗机动车道、非机动车道或清洗机动车道交通隔离栏时，应在距清扫点来车方向100M处设置警示标识，使用荧光锥形筒等警示标识围护清扫保洁区域，面向来车方向清扫，注意车辆动态。</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4.9</w:t>
      </w:r>
      <w:r>
        <w:rPr>
          <w:rFonts w:hint="eastAsia" w:ascii="宋体" w:hAnsi="宋体" w:eastAsia="宋体" w:cs="宋体"/>
          <w:bCs/>
          <w:color w:val="auto"/>
          <w:sz w:val="24"/>
          <w:highlight w:val="none"/>
        </w:rPr>
        <w:t>洗扫车、扫路车、洒水车、清洗车车尾应设置荧光标宽标识（或警示灯）。夜间作业时或雨雾天气等能见度较低的天气，必须启用警示灯光。环卫电动作业车辆、保洁车等小型作业车辆车身设置荧光条，车后部或车顶设置警示灯。</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4.10</w:t>
      </w:r>
      <w:r>
        <w:rPr>
          <w:rFonts w:hint="eastAsia" w:ascii="宋体" w:hAnsi="宋体" w:eastAsia="宋体" w:cs="宋体"/>
          <w:bCs/>
          <w:color w:val="auto"/>
          <w:sz w:val="24"/>
          <w:highlight w:val="none"/>
        </w:rPr>
        <w:t>本项目环卫作业车辆须有固定场所停放，严禁停放在消防通道、公交车站、盲道等影响车辆和行人通行的公共通道。</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4.11</w:t>
      </w:r>
      <w:r>
        <w:rPr>
          <w:rFonts w:hint="eastAsia" w:ascii="宋体" w:hAnsi="宋体" w:eastAsia="宋体" w:cs="宋体"/>
          <w:bCs/>
          <w:color w:val="auto"/>
          <w:sz w:val="24"/>
          <w:highlight w:val="none"/>
        </w:rPr>
        <w:t>承诺能及时提供人力、设备、技术等支持。</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4.12</w:t>
      </w:r>
      <w:r>
        <w:rPr>
          <w:rFonts w:hint="eastAsia" w:ascii="宋体" w:hAnsi="宋体" w:eastAsia="宋体" w:cs="宋体"/>
          <w:bCs/>
          <w:color w:val="auto"/>
          <w:sz w:val="24"/>
          <w:highlight w:val="none"/>
        </w:rPr>
        <w:t>洒水时，洒水车车速不得超过25km/h；清洗时，高压清洗车车速不得超过10km/h；机械化清扫作业。</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4.13</w:t>
      </w:r>
      <w:r>
        <w:rPr>
          <w:rFonts w:hint="eastAsia" w:ascii="宋体" w:hAnsi="宋体" w:eastAsia="宋体" w:cs="宋体"/>
          <w:bCs/>
          <w:color w:val="auto"/>
          <w:sz w:val="24"/>
          <w:highlight w:val="none"/>
        </w:rPr>
        <w:t>洒水时，应调整好洒水车水压和水幅，保持车行道全路段路面湿润。途经地铁站、公交站、人行横道等人流量集中的地点应注意放慢车速，避让行人，调整启闭装置，避免将水洒到行人身上。</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4.14</w:t>
      </w:r>
      <w:r>
        <w:rPr>
          <w:rFonts w:hint="eastAsia" w:ascii="宋体" w:hAnsi="宋体" w:eastAsia="宋体" w:cs="宋体"/>
          <w:bCs/>
          <w:color w:val="auto"/>
          <w:sz w:val="24"/>
          <w:highlight w:val="none"/>
        </w:rPr>
        <w:t>晚22时以后，洒水作业时禁止播放洒水提示音乐。中、高考等重要考试期间，洒水车途经考场周边道路时应及时关闭洒水提示音乐，夏季中午时间（12时-14时）适当降低洒水提示音量。</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4.15</w:t>
      </w:r>
      <w:r>
        <w:rPr>
          <w:rFonts w:hint="eastAsia" w:ascii="宋体" w:hAnsi="宋体" w:eastAsia="宋体" w:cs="宋体"/>
          <w:bCs/>
          <w:color w:val="auto"/>
          <w:sz w:val="24"/>
          <w:highlight w:val="none"/>
        </w:rPr>
        <w:t>小雨及以下雨量时，按计划保持洒水作业；中雨及以上雨量或雷阵雨期间，暂停道路洒水和清洗作业</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rPr>
        <w:t>气温低于2摄氏度时应停止清洗和洒水。</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4.16</w:t>
      </w:r>
      <w:r>
        <w:rPr>
          <w:rFonts w:hint="eastAsia" w:ascii="宋体" w:hAnsi="宋体" w:eastAsia="宋体" w:cs="宋体"/>
          <w:bCs/>
          <w:color w:val="auto"/>
          <w:sz w:val="24"/>
          <w:highlight w:val="none"/>
        </w:rPr>
        <w:t>根据清雪作业应急保障需要，可使用洒水车、清洗车冲刷路面积雪，并使用清雪车、扫路车等专业车辆或人工辅助，及时清除路面积水、积雪。</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4.17</w:t>
      </w:r>
      <w:r>
        <w:rPr>
          <w:rFonts w:hint="eastAsia" w:ascii="宋体" w:hAnsi="宋体" w:eastAsia="宋体" w:cs="宋体"/>
          <w:bCs/>
          <w:color w:val="auto"/>
          <w:sz w:val="24"/>
          <w:highlight w:val="none"/>
        </w:rPr>
        <w:t>机械化清扫范围主要为机动车道，及便于使用机械化装备清洁机动车道的交通隔离栏。</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4.18</w:t>
      </w:r>
      <w:r>
        <w:rPr>
          <w:rFonts w:hint="eastAsia" w:ascii="宋体" w:hAnsi="宋体" w:eastAsia="宋体" w:cs="宋体"/>
          <w:bCs/>
          <w:color w:val="auto"/>
          <w:sz w:val="24"/>
          <w:highlight w:val="none"/>
        </w:rPr>
        <w:t>清扫车或洗扫车应加足水，根据路面状况调整好扫路车侧刷和吸口，喷雾洁扫无扬尘，在规定时间和路线进行机械化清扫作业。</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4.19</w:t>
      </w:r>
      <w:r>
        <w:rPr>
          <w:rFonts w:hint="eastAsia" w:ascii="宋体" w:hAnsi="宋体" w:eastAsia="宋体" w:cs="宋体"/>
          <w:bCs/>
          <w:color w:val="auto"/>
          <w:sz w:val="24"/>
          <w:highlight w:val="none"/>
        </w:rPr>
        <w:t>机械化清扫作业时，扫路车或洗扫车车速不得超过10km/h。</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4.20</w:t>
      </w:r>
      <w:r>
        <w:rPr>
          <w:rFonts w:hint="eastAsia" w:ascii="宋体" w:hAnsi="宋体" w:eastAsia="宋体" w:cs="宋体"/>
          <w:bCs/>
          <w:color w:val="auto"/>
          <w:sz w:val="24"/>
          <w:highlight w:val="none"/>
        </w:rPr>
        <w:t>清扫时应注意观察路面清扫质量和路面障碍情况，对机械化清扫不能清除的大件垃圾或硬物，在确保作业安全的前提下，及时下车清除。</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4.21</w:t>
      </w:r>
      <w:r>
        <w:rPr>
          <w:rFonts w:hint="eastAsia" w:ascii="宋体" w:hAnsi="宋体" w:eastAsia="宋体" w:cs="宋体"/>
          <w:bCs/>
          <w:color w:val="auto"/>
          <w:sz w:val="24"/>
          <w:highlight w:val="none"/>
        </w:rPr>
        <w:t>当日清扫结束后，应在指定地点卸空机械化清扫车辆中的垃圾。</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4.22</w:t>
      </w:r>
      <w:r>
        <w:rPr>
          <w:rFonts w:hint="eastAsia" w:ascii="宋体" w:hAnsi="宋体" w:eastAsia="宋体" w:cs="宋体"/>
          <w:bCs/>
          <w:color w:val="auto"/>
          <w:sz w:val="24"/>
          <w:highlight w:val="none"/>
        </w:rPr>
        <w:t>机械化清扫车辆所用的扫把丝等消耗品应根据使用状况及时更换。</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4.23</w:t>
      </w:r>
      <w:r>
        <w:rPr>
          <w:rFonts w:hint="eastAsia" w:ascii="宋体" w:hAnsi="宋体" w:eastAsia="宋体" w:cs="宋体"/>
          <w:b/>
          <w:color w:val="auto"/>
          <w:sz w:val="24"/>
          <w:highlight w:val="none"/>
        </w:rPr>
        <w:t>人工</w:t>
      </w:r>
      <w:r>
        <w:rPr>
          <w:rFonts w:hint="eastAsia" w:ascii="宋体" w:hAnsi="宋体" w:eastAsia="宋体" w:cs="宋体"/>
          <w:bCs/>
          <w:color w:val="auto"/>
          <w:sz w:val="24"/>
          <w:highlight w:val="none"/>
        </w:rPr>
        <w:t>清扫时，在距清扫点适当位置安全警示标识。</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4.24</w:t>
      </w:r>
      <w:r>
        <w:rPr>
          <w:rFonts w:hint="eastAsia" w:ascii="宋体" w:hAnsi="宋体" w:eastAsia="宋体" w:cs="宋体"/>
          <w:bCs/>
          <w:color w:val="auto"/>
          <w:sz w:val="24"/>
          <w:highlight w:val="none"/>
        </w:rPr>
        <w:t>道路两侧、路面等承包区域内乱涂写招贴，应使用铲刀或高压清洗机具予以清除，对粘附力强的要求用清洗剂刷洗，被清洗或清除后物体表面没有明显残留痕迹，不得采用涂料遮盖等方式简单处理，路面有污染或明显肮脏时要及时冲洗。</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4.25</w:t>
      </w:r>
      <w:r>
        <w:rPr>
          <w:rFonts w:hint="eastAsia" w:ascii="宋体" w:hAnsi="宋体" w:eastAsia="宋体" w:cs="宋体"/>
          <w:bCs/>
          <w:color w:val="auto"/>
          <w:sz w:val="24"/>
          <w:highlight w:val="none"/>
        </w:rPr>
        <w:t>清扫的街面垃圾、沿街果壳箱中的垃圾应密闭化运至指定地点，运输过程不得抛洒滴漏。</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4.26</w:t>
      </w:r>
      <w:r>
        <w:rPr>
          <w:rFonts w:hint="eastAsia" w:ascii="宋体" w:hAnsi="宋体" w:eastAsia="宋体" w:cs="宋体"/>
          <w:bCs/>
          <w:color w:val="auto"/>
          <w:sz w:val="24"/>
          <w:highlight w:val="none"/>
        </w:rPr>
        <w:t>普扫结束后，应按照规定的责任保洁区域、保洁时间组织巡回保洁。落实责任保洁区域边界管理，保洁时应向保洁边界以外适当延伸（不少于</w:t>
      </w:r>
      <w:r>
        <w:rPr>
          <w:rFonts w:hint="eastAsia" w:ascii="宋体" w:hAnsi="宋体" w:eastAsia="宋体" w:cs="宋体"/>
          <w:bCs/>
          <w:color w:val="auto"/>
          <w:sz w:val="24"/>
          <w:highlight w:val="none"/>
          <w:lang w:val="en-US" w:eastAsia="zh-CN"/>
        </w:rPr>
        <w:t>5</w:t>
      </w:r>
      <w:r>
        <w:rPr>
          <w:rFonts w:hint="eastAsia" w:ascii="宋体" w:hAnsi="宋体" w:eastAsia="宋体" w:cs="宋体"/>
          <w:bCs/>
          <w:color w:val="auto"/>
          <w:sz w:val="24"/>
          <w:highlight w:val="none"/>
        </w:rPr>
        <w:t>米），不留保洁盲区和空白点。</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4.27</w:t>
      </w:r>
      <w:r>
        <w:rPr>
          <w:rFonts w:hint="eastAsia" w:ascii="宋体" w:hAnsi="宋体" w:eastAsia="宋体" w:cs="宋体"/>
          <w:bCs/>
          <w:color w:val="auto"/>
          <w:sz w:val="24"/>
          <w:highlight w:val="none"/>
        </w:rPr>
        <w:t>应定时清运沿街果壳箱中的垃圾，做到垃圾不落地、不积存，日产日清。</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突发性环境卫生污染现场清理时，应严格按照应急处置方案进行保洁，及时消除污染物，恢复路面清洁。</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4.28</w:t>
      </w:r>
      <w:r>
        <w:rPr>
          <w:rFonts w:hint="eastAsia" w:ascii="宋体" w:hAnsi="宋体" w:eastAsia="宋体" w:cs="宋体"/>
          <w:bCs/>
          <w:color w:val="auto"/>
          <w:sz w:val="24"/>
          <w:highlight w:val="none"/>
        </w:rPr>
        <w:t>环卫电动专用作业车辆应在非机动车道顺向行驶，不得超载，且行驶速度不得超过20Km/h。</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w:t>
      </w:r>
      <w:r>
        <w:rPr>
          <w:rFonts w:hint="eastAsia" w:ascii="宋体" w:hAnsi="宋体" w:eastAsia="宋体" w:cs="宋体"/>
          <w:bCs/>
          <w:color w:val="auto"/>
          <w:sz w:val="24"/>
          <w:highlight w:val="none"/>
          <w:lang w:val="en-US" w:eastAsia="zh-CN"/>
        </w:rPr>
        <w:t>4.29</w:t>
      </w:r>
      <w:r>
        <w:rPr>
          <w:rFonts w:hint="eastAsia" w:ascii="宋体" w:hAnsi="宋体" w:eastAsia="宋体" w:cs="宋体"/>
          <w:bCs/>
          <w:color w:val="auto"/>
          <w:sz w:val="24"/>
          <w:highlight w:val="none"/>
        </w:rPr>
        <w:t>保洁作业结束后，作业工具应在规定地点摆放，不得在道路路面、墙角、绿化带、绿地中存放。</w:t>
      </w:r>
    </w:p>
    <w:p>
      <w:pPr>
        <w:snapToGrid w:val="0"/>
        <w:spacing w:line="360" w:lineRule="auto"/>
        <w:ind w:firstLine="482" w:firstLineChars="200"/>
        <w:jc w:val="left"/>
        <w:rPr>
          <w:rFonts w:hint="eastAsia" w:ascii="宋体" w:hAnsi="宋体" w:eastAsia="宋体" w:cs="宋体"/>
          <w:b/>
          <w:bCs/>
          <w:color w:val="auto"/>
          <w:sz w:val="24"/>
          <w:highlight w:val="none"/>
        </w:rPr>
      </w:pPr>
    </w:p>
    <w:p>
      <w:pPr>
        <w:snapToGrid w:val="0"/>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1.5保洁质量要求</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1.5.1清扫应做到“五无五净”。即无垃圾杂物；无积水积泥，无痰迹烟蒂，无果皮纸屑，无土石杂草；路面干净，绿化带和树圈干净，边角侧石干净，雨水井盖沟眼畅通干净，果壳箱等环卫设施干净、路面见本色。</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 xml:space="preserve">   1.5.2三化四分相关要求：</w:t>
      </w:r>
      <w:r>
        <w:rPr>
          <w:rFonts w:hint="eastAsia" w:ascii="宋体" w:hAnsi="宋体" w:eastAsia="宋体" w:cs="宋体"/>
          <w:color w:val="auto"/>
          <w:kern w:val="0"/>
          <w:sz w:val="24"/>
          <w:highlight w:val="none"/>
        </w:rPr>
        <w:t>本项目的供应商应按照杭州市垃圾分类工作的具体要求，确定生活垃圾分类（易腐垃圾、其他垃圾、可回收物、有害垃圾），并完成保洁范围内四类垃圾的分类、收集以及垃圾的清运工作。</w:t>
      </w:r>
    </w:p>
    <w:p>
      <w:pPr>
        <w:snapToGrid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1.5.3其他要求：   </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（1）遇有窨井盖丢失、破损等，承包方必须及时上报采购人。  </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（2）遇有重大活动或突发事件，及时组织力量做好清扫保洁保障工作。   </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（3）遇有重大活动以及抗台、抗雪等突发事件，必须及时组织力量做好清扫保洁等应急保障工作，按照城市管理保障应急机制要求，保证人员及时到位，并根据应急指令服从统一调配。</w:t>
      </w:r>
    </w:p>
    <w:p>
      <w:pPr>
        <w:snapToGrid w:val="0"/>
        <w:spacing w:line="360" w:lineRule="auto"/>
        <w:ind w:firstLine="482" w:firstLineChars="200"/>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1.6.管理要求</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1.6.1供应商在保洁作业中投入的机械设备、人员配置等必须与投标文件中所承诺的数量规格相符合。加强日常作业质量管理，相关计划及报告按采购人要求准时递交。</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1.6.2规范管理、文明作业、自觉接受采购人及其上级各部门领导的检查和社会监督，对出现的问题要及时整改。</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1.6.3作业时应严格遵守交通规则、遵守劳动纪律、遵守安全操作规程，作业人员须统一穿戴有反光标识的工作服，佩证上岗。加强日常安全生产管理，确保职工人身安全。如遇各种意外事故发生由中标单位自行负责，并依照法律法规妥善处理（事故情况应在30分钟内及时书面告知采购人）。</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1.6.4果壳箱应定期保养保持整洁完好无缺失，承包期间因操作或管理不善造成破损、缺失的，由中标单位承担费用并负责修复或更新（果壳箱更换款式应保持原样，或经采购人同意后调整款式）。</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1.6.5专用作业车辆（含人力三轮车）符合环卫标准化管理要求，外观喷漆及规格符合采购人要求，机动、人力车辆应按时冲洗保养保持外观整洁，无抛洒滴漏、无满溢、无吊挂。</w:t>
      </w:r>
    </w:p>
    <w:p>
      <w:pPr>
        <w:snapToGrid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1.6.6垃圾应倾倒在指定的垃圾堆放场地，不得焚烧垃圾、树叶，确需垃圾二次转运的应在指定地点进行，不得直接在保洁道路上进行。</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sz w:val="24"/>
          <w:highlight w:val="none"/>
        </w:rPr>
        <w:t xml:space="preserve">1.6.7如遇渣土抛洒污染路面等情况，中标单位应及时上报采购人，并做好照片资料，同时进行道路冲洗清理。   </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1.6.8无新闻媒体曝光，对“12345”市长公开电话和有关受理中心及信访处相关问题，处理、回复及时到位。</w:t>
      </w:r>
      <w:r>
        <w:rPr>
          <w:rFonts w:hint="eastAsia" w:ascii="宋体" w:hAnsi="宋体" w:eastAsia="宋体" w:cs="宋体"/>
          <w:color w:val="auto"/>
          <w:sz w:val="24"/>
          <w:highlight w:val="none"/>
        </w:rPr>
        <w:t>加强管理，确保在国家、省、市、区的各项检查中不失责任分。</w:t>
      </w:r>
    </w:p>
    <w:p>
      <w:pPr>
        <w:tabs>
          <w:tab w:val="left" w:pos="851"/>
          <w:tab w:val="left" w:pos="993"/>
        </w:tabs>
        <w:snapToGrid w:val="0"/>
        <w:spacing w:line="360" w:lineRule="auto"/>
        <w:ind w:firstLine="482" w:firstLineChars="200"/>
        <w:rPr>
          <w:rFonts w:hint="eastAsia" w:ascii="宋体" w:hAnsi="宋体" w:eastAsia="宋体" w:cs="宋体"/>
          <w:b/>
          <w:bCs/>
          <w:color w:val="auto"/>
          <w:kern w:val="44"/>
          <w:sz w:val="24"/>
          <w:highlight w:val="none"/>
        </w:rPr>
      </w:pPr>
      <w:r>
        <w:rPr>
          <w:rFonts w:hint="eastAsia" w:ascii="宋体" w:hAnsi="宋体" w:eastAsia="宋体" w:cs="宋体"/>
          <w:b/>
          <w:bCs/>
          <w:color w:val="auto"/>
          <w:kern w:val="44"/>
          <w:sz w:val="24"/>
          <w:highlight w:val="none"/>
        </w:rPr>
        <w:t>2、偷倒垃圾清运要求</w:t>
      </w:r>
    </w:p>
    <w:p>
      <w:pPr>
        <w:tabs>
          <w:tab w:val="left" w:pos="851"/>
          <w:tab w:val="left" w:pos="993"/>
        </w:tabs>
        <w:snapToGrid w:val="0"/>
        <w:spacing w:line="360" w:lineRule="auto"/>
        <w:ind w:firstLine="480" w:firstLineChars="200"/>
        <w:rPr>
          <w:rFonts w:hint="eastAsia" w:ascii="宋体" w:hAnsi="宋体" w:eastAsia="宋体" w:cs="宋体"/>
          <w:b/>
          <w:bCs/>
          <w:color w:val="auto"/>
          <w:kern w:val="44"/>
          <w:sz w:val="24"/>
          <w:highlight w:val="none"/>
        </w:rPr>
      </w:pPr>
      <w:r>
        <w:rPr>
          <w:rFonts w:hint="eastAsia" w:ascii="宋体" w:hAnsi="宋体" w:eastAsia="宋体" w:cs="宋体"/>
          <w:bCs/>
          <w:color w:val="auto"/>
          <w:kern w:val="0"/>
          <w:sz w:val="24"/>
          <w:highlight w:val="none"/>
        </w:rPr>
        <w:t>2.1服务内容：</w:t>
      </w:r>
      <w:r>
        <w:rPr>
          <w:rFonts w:hint="eastAsia" w:ascii="宋体" w:hAnsi="宋体" w:eastAsia="宋体" w:cs="宋体"/>
          <w:color w:val="auto"/>
          <w:sz w:val="24"/>
          <w:highlight w:val="none"/>
        </w:rPr>
        <w:t>主要为本项目各个标段采购人管养范围内偷倒的垃圾清运</w:t>
      </w:r>
      <w:r>
        <w:rPr>
          <w:rFonts w:hint="eastAsia" w:ascii="宋体" w:hAnsi="宋体" w:eastAsia="宋体" w:cs="宋体"/>
          <w:bCs/>
          <w:color w:val="auto"/>
          <w:sz w:val="24"/>
          <w:highlight w:val="none"/>
        </w:rPr>
        <w:t>工作，垃圾运至</w:t>
      </w:r>
      <w:r>
        <w:rPr>
          <w:rFonts w:hint="eastAsia" w:ascii="宋体" w:hAnsi="宋体" w:eastAsia="宋体" w:cs="宋体"/>
          <w:bCs/>
          <w:color w:val="auto"/>
          <w:sz w:val="24"/>
          <w:highlight w:val="none"/>
          <w:lang w:eastAsia="zh-CN"/>
        </w:rPr>
        <w:t>业主</w:t>
      </w:r>
      <w:r>
        <w:rPr>
          <w:rFonts w:hint="eastAsia" w:ascii="宋体" w:hAnsi="宋体" w:eastAsia="宋体" w:cs="宋体"/>
          <w:bCs/>
          <w:color w:val="auto"/>
          <w:sz w:val="24"/>
          <w:highlight w:val="none"/>
        </w:rPr>
        <w:t>指定的消纳处置场所，相关费包含在本次招标内容中。</w:t>
      </w:r>
    </w:p>
    <w:p>
      <w:pPr>
        <w:snapToGrid w:val="0"/>
        <w:spacing w:line="360" w:lineRule="auto"/>
        <w:ind w:firstLine="480" w:firstLine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2.2具体要求：</w:t>
      </w:r>
    </w:p>
    <w:p>
      <w:pPr>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（1）在</w:t>
      </w:r>
      <w:r>
        <w:rPr>
          <w:rFonts w:hint="eastAsia" w:ascii="宋体" w:hAnsi="宋体" w:eastAsia="宋体" w:cs="宋体"/>
          <w:color w:val="auto"/>
          <w:sz w:val="24"/>
          <w:highlight w:val="none"/>
        </w:rPr>
        <w:t>服务期内，</w:t>
      </w:r>
      <w:r>
        <w:rPr>
          <w:rFonts w:hint="eastAsia" w:ascii="宋体" w:hAnsi="宋体" w:eastAsia="宋体" w:cs="宋体"/>
          <w:color w:val="auto"/>
          <w:kern w:val="0"/>
          <w:sz w:val="24"/>
          <w:highlight w:val="none"/>
        </w:rPr>
        <w:t>供应商应加强</w:t>
      </w:r>
      <w:r>
        <w:rPr>
          <w:rFonts w:hint="eastAsia" w:ascii="宋体" w:hAnsi="宋体" w:eastAsia="宋体" w:cs="宋体"/>
          <w:color w:val="auto"/>
          <w:sz w:val="24"/>
          <w:highlight w:val="none"/>
        </w:rPr>
        <w:t>所承包范围内防止垃圾偷倒的管理工作。如在所承包范围内发生偷倒，</w:t>
      </w:r>
      <w:r>
        <w:rPr>
          <w:rFonts w:hint="eastAsia" w:ascii="宋体" w:hAnsi="宋体" w:eastAsia="宋体" w:cs="宋体"/>
          <w:color w:val="auto"/>
          <w:kern w:val="0"/>
          <w:sz w:val="24"/>
          <w:highlight w:val="none"/>
        </w:rPr>
        <w:t>需完成</w:t>
      </w:r>
      <w:r>
        <w:rPr>
          <w:rFonts w:hint="eastAsia" w:ascii="宋体" w:hAnsi="宋体" w:eastAsia="宋体" w:cs="宋体"/>
          <w:color w:val="auto"/>
          <w:sz w:val="24"/>
          <w:highlight w:val="none"/>
        </w:rPr>
        <w:t>偷倒的垃圾清运</w:t>
      </w:r>
      <w:r>
        <w:rPr>
          <w:rFonts w:hint="eastAsia" w:ascii="宋体" w:hAnsi="宋体" w:eastAsia="宋体" w:cs="宋体"/>
          <w:bCs/>
          <w:color w:val="auto"/>
          <w:sz w:val="24"/>
          <w:highlight w:val="none"/>
        </w:rPr>
        <w:t>工作，</w:t>
      </w:r>
      <w:r>
        <w:rPr>
          <w:rFonts w:hint="eastAsia" w:ascii="宋体" w:hAnsi="宋体" w:eastAsia="宋体" w:cs="宋体"/>
          <w:color w:val="auto"/>
          <w:kern w:val="0"/>
          <w:sz w:val="24"/>
          <w:highlight w:val="none"/>
        </w:rPr>
        <w:t>垃圾的装车、运输至消纳处置场，因乱倒垃圾不符合相关要求所引发的问题，由供应商承担所有责任及赔偿费用。</w:t>
      </w:r>
    </w:p>
    <w:p>
      <w:pPr>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（2）车辆要求：本项目所需的作业车辆应具有有效的道路运输经营许可证，并到采购单位备案。</w:t>
      </w:r>
    </w:p>
    <w:p>
      <w:pPr>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（3）</w:t>
      </w:r>
      <w:r>
        <w:rPr>
          <w:rFonts w:hint="eastAsia" w:ascii="宋体" w:hAnsi="宋体" w:eastAsia="宋体" w:cs="宋体"/>
          <w:color w:val="auto"/>
          <w:kern w:val="0"/>
          <w:sz w:val="24"/>
          <w:highlight w:val="none"/>
        </w:rPr>
        <w:t>装运时必须密封整洁，不得沿路抛撒、滴漏。遵守环境卫生作业标准、规范，装运后及时复位，清理作业场地，保持场地周边环境干净整洁；装运时须铺设地垫等设施，防止污染路面，做到车走地净。</w:t>
      </w:r>
    </w:p>
    <w:p>
      <w:pPr>
        <w:snapToGrid w:val="0"/>
        <w:spacing w:line="360" w:lineRule="auto"/>
        <w:ind w:firstLine="480" w:firstLineChars="200"/>
        <w:jc w:val="left"/>
        <w:rPr>
          <w:rFonts w:hint="eastAsia" w:ascii="宋体" w:hAnsi="宋体" w:eastAsia="宋体" w:cs="宋体"/>
          <w:bCs/>
          <w:color w:val="auto"/>
          <w:sz w:val="24"/>
          <w:highlight w:val="none"/>
        </w:rPr>
      </w:pPr>
      <w:r>
        <w:rPr>
          <w:rFonts w:hint="eastAsia" w:ascii="宋体" w:hAnsi="宋体" w:eastAsia="宋体" w:cs="宋体"/>
          <w:color w:val="auto"/>
          <w:kern w:val="0"/>
          <w:sz w:val="24"/>
          <w:highlight w:val="none"/>
        </w:rPr>
        <w:t>（4）清理的时间要求：</w:t>
      </w:r>
      <w:r>
        <w:rPr>
          <w:rFonts w:hint="eastAsia" w:ascii="宋体" w:hAnsi="宋体" w:eastAsia="宋体" w:cs="宋体"/>
          <w:color w:val="auto"/>
          <w:kern w:val="0"/>
          <w:sz w:val="24"/>
          <w:highlight w:val="none"/>
          <w:u w:val="single"/>
        </w:rPr>
        <w:t>2小时之内清理</w:t>
      </w:r>
      <w:r>
        <w:rPr>
          <w:rFonts w:hint="eastAsia" w:ascii="宋体" w:hAnsi="宋体" w:eastAsia="宋体" w:cs="宋体"/>
          <w:color w:val="auto"/>
          <w:kern w:val="0"/>
          <w:sz w:val="24"/>
          <w:highlight w:val="none"/>
        </w:rPr>
        <w:t>。</w:t>
      </w:r>
    </w:p>
    <w:p>
      <w:pPr>
        <w:pStyle w:val="3"/>
        <w:adjustRightInd/>
        <w:spacing w:before="0" w:after="0" w:line="360" w:lineRule="auto"/>
        <w:ind w:left="0" w:firstLine="482" w:firstLineChars="200"/>
        <w:rPr>
          <w:rFonts w:hint="eastAsia" w:ascii="宋体" w:hAnsi="宋体" w:eastAsia="宋体" w:cs="宋体"/>
          <w:color w:val="auto"/>
          <w:sz w:val="24"/>
          <w:szCs w:val="24"/>
          <w:highlight w:val="none"/>
        </w:rPr>
      </w:pPr>
      <w:bookmarkStart w:id="32" w:name="_Toc21616"/>
      <w:r>
        <w:rPr>
          <w:rFonts w:hint="eastAsia" w:ascii="宋体" w:hAnsi="宋体" w:eastAsia="宋体" w:cs="宋体"/>
          <w:color w:val="auto"/>
          <w:sz w:val="24"/>
          <w:szCs w:val="24"/>
          <w:highlight w:val="none"/>
          <w:lang w:val="en-US" w:eastAsia="zh-CN"/>
        </w:rPr>
        <w:t>3.设备保障</w:t>
      </w:r>
      <w:r>
        <w:rPr>
          <w:rFonts w:hint="eastAsia" w:ascii="宋体" w:hAnsi="宋体" w:eastAsia="宋体" w:cs="宋体"/>
          <w:color w:val="auto"/>
          <w:sz w:val="24"/>
          <w:szCs w:val="24"/>
          <w:highlight w:val="none"/>
        </w:rPr>
        <w:t>相关要求</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本项目养护涉及的设备，供应商须安排专业人员进行养护维修，所安排的专业人员须向采购人报备，采购人同意后方可实施维修养护，如在养护过程中出现设备破损无法使用的，供应商须及时更换，费用均已包含在本次投标报价内，今后不再另行调整。</w:t>
      </w:r>
    </w:p>
    <w:p>
      <w:pPr>
        <w:snapToGrid w:val="0"/>
        <w:spacing w:line="360" w:lineRule="auto"/>
        <w:ind w:right="281" w:rightChars="134" w:firstLine="480" w:firstLineChars="200"/>
        <w:jc w:val="left"/>
        <w:rPr>
          <w:rFonts w:hint="eastAsia" w:ascii="宋体" w:hAnsi="宋体" w:eastAsia="宋体" w:cs="宋体"/>
          <w:b/>
          <w:color w:val="auto"/>
          <w:highlight w:val="none"/>
        </w:rPr>
      </w:pPr>
      <w:r>
        <w:rPr>
          <w:rFonts w:hint="eastAsia" w:ascii="宋体" w:hAnsi="宋体" w:eastAsia="宋体" w:cs="宋体"/>
          <w:color w:val="auto"/>
          <w:sz w:val="24"/>
          <w:highlight w:val="none"/>
        </w:rPr>
        <w:t>2、在服务期间如遇到重大活动、节日等特殊情况的，供应商须无条件的配合采购人。</w:t>
      </w:r>
      <w:bookmarkEnd w:id="32"/>
    </w:p>
    <w:p>
      <w:pPr>
        <w:pStyle w:val="4"/>
        <w:numPr>
          <w:ilvl w:val="0"/>
          <w:numId w:val="0"/>
        </w:numPr>
        <w:tabs>
          <w:tab w:val="left" w:pos="706"/>
          <w:tab w:val="clear" w:pos="432"/>
        </w:tabs>
        <w:ind w:leftChars="0"/>
        <w:jc w:val="both"/>
        <w:rPr>
          <w:rFonts w:hint="eastAsia" w:ascii="宋体" w:hAnsi="宋体" w:eastAsia="宋体" w:cs="宋体"/>
          <w:color w:val="auto"/>
          <w:sz w:val="24"/>
          <w:highlight w:val="none"/>
          <w:lang w:val="en-US" w:eastAsia="zh-CN"/>
        </w:rPr>
      </w:pPr>
      <w:r>
        <w:rPr>
          <w:rFonts w:hint="eastAsia" w:ascii="宋体" w:hAnsi="宋体" w:eastAsia="宋体" w:cs="宋体"/>
          <w:b/>
          <w:bCs/>
          <w:color w:val="auto"/>
          <w:sz w:val="24"/>
          <w:szCs w:val="24"/>
          <w:highlight w:val="none"/>
          <w:lang w:eastAsia="zh-CN"/>
        </w:rPr>
        <w:t>四</w:t>
      </w:r>
      <w:r>
        <w:rPr>
          <w:rFonts w:hint="eastAsia" w:ascii="宋体" w:hAnsi="宋体" w:eastAsia="宋体" w:cs="宋体"/>
          <w:b/>
          <w:bCs/>
          <w:color w:val="auto"/>
          <w:sz w:val="24"/>
          <w:szCs w:val="24"/>
          <w:highlight w:val="none"/>
        </w:rPr>
        <w:t>、</w:t>
      </w:r>
      <w:r>
        <w:rPr>
          <w:rFonts w:hint="eastAsia" w:ascii="宋体" w:hAnsi="宋体" w:eastAsia="宋体" w:cs="宋体"/>
          <w:color w:val="auto"/>
          <w:sz w:val="24"/>
          <w:szCs w:val="24"/>
          <w:highlight w:val="none"/>
        </w:rPr>
        <w:t>人员配备要求：保洁（含管理人员、道路保洁人员、垃圾清运人员等）</w:t>
      </w:r>
      <w:r>
        <w:rPr>
          <w:rFonts w:hint="eastAsia" w:ascii="宋体" w:hAnsi="宋体" w:eastAsia="宋体" w:cs="宋体"/>
          <w:color w:val="auto"/>
          <w:sz w:val="24"/>
          <w:szCs w:val="24"/>
          <w:highlight w:val="none"/>
          <w:lang w:val="en-US" w:eastAsia="zh-CN"/>
        </w:rPr>
        <w:t>不少于65人</w:t>
      </w:r>
      <w:r>
        <w:rPr>
          <w:rFonts w:hint="eastAsia" w:ascii="宋体" w:hAnsi="宋体" w:eastAsia="宋体" w:cs="宋体"/>
          <w:color w:val="auto"/>
          <w:sz w:val="24"/>
          <w:szCs w:val="24"/>
          <w:highlight w:val="none"/>
        </w:rPr>
        <w:t>，其他人员自行酌情考虑。</w:t>
      </w:r>
    </w:p>
    <w:p>
      <w:pPr>
        <w:widowControl/>
        <w:spacing w:line="360" w:lineRule="auto"/>
        <w:jc w:val="lef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五、费用支付：</w:t>
      </w:r>
    </w:p>
    <w:p>
      <w:pPr>
        <w:widowControl/>
        <w:spacing w:line="360" w:lineRule="auto"/>
        <w:ind w:firstLine="720" w:firstLineChars="300"/>
        <w:jc w:val="left"/>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①</w:t>
      </w:r>
      <w:r>
        <w:rPr>
          <w:rFonts w:hint="eastAsia" w:ascii="宋体" w:hAnsi="宋体" w:eastAsia="宋体" w:cs="宋体"/>
          <w:b/>
          <w:bCs/>
          <w:color w:val="auto"/>
          <w:sz w:val="24"/>
          <w:highlight w:val="none"/>
        </w:rPr>
        <w:t>中标价的10%作为考核专用款项，合同期满后扣除奖惩一次性结清，同时考核扣款最高不得超过承包经费的10%。</w:t>
      </w:r>
    </w:p>
    <w:p>
      <w:pPr>
        <w:spacing w:line="560" w:lineRule="exact"/>
        <w:ind w:firstLine="482" w:firstLineChars="200"/>
        <w:rPr>
          <w:rFonts w:hint="eastAsia" w:ascii="宋体" w:hAnsi="宋体" w:eastAsia="宋体" w:cs="宋体"/>
          <w:color w:val="auto"/>
          <w:highlight w:val="none"/>
        </w:rPr>
      </w:pPr>
      <w:r>
        <w:rPr>
          <w:rFonts w:hint="eastAsia" w:ascii="宋体" w:hAnsi="宋体" w:eastAsia="宋体" w:cs="宋体"/>
          <w:b/>
          <w:bCs/>
          <w:color w:val="auto"/>
          <w:sz w:val="24"/>
          <w:highlight w:val="none"/>
        </w:rPr>
        <w:t xml:space="preserve"> ②费用支付方式：中标单位在签订合同前应按规定向招标人缴纳合同价的</w:t>
      </w:r>
      <w:r>
        <w:rPr>
          <w:rFonts w:hint="eastAsia" w:ascii="宋体" w:hAnsi="宋体" w:eastAsia="宋体" w:cs="宋体"/>
          <w:b/>
          <w:bCs/>
          <w:color w:val="auto"/>
          <w:sz w:val="24"/>
          <w:highlight w:val="none"/>
          <w:lang w:val="en-US" w:eastAsia="zh-CN"/>
        </w:rPr>
        <w:t>1</w:t>
      </w:r>
      <w:r>
        <w:rPr>
          <w:rFonts w:hint="eastAsia" w:ascii="宋体" w:hAnsi="宋体" w:eastAsia="宋体" w:cs="宋体"/>
          <w:b/>
          <w:bCs/>
          <w:color w:val="auto"/>
          <w:sz w:val="24"/>
          <w:highlight w:val="none"/>
        </w:rPr>
        <w:t>%的履约保证金，履约保证金在保洁期满验收合格后十天内退还（不计息）。</w:t>
      </w:r>
      <w:r>
        <w:rPr>
          <w:rFonts w:hint="eastAsia" w:ascii="宋体" w:hAnsi="宋体" w:eastAsia="宋体" w:cs="宋体"/>
          <w:b/>
          <w:bCs/>
          <w:snapToGrid w:val="0"/>
          <w:color w:val="auto"/>
          <w:sz w:val="24"/>
          <w:highlight w:val="none"/>
        </w:rPr>
        <w:t>最终支付比例，以经塘栖镇根据政府采购法等相关规定审核通过的合同相应条款为准。</w:t>
      </w:r>
    </w:p>
    <w:p>
      <w:pPr>
        <w:spacing w:line="480" w:lineRule="exact"/>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 xml:space="preserve">   </w:t>
      </w: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3 \* GB3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③</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 xml:space="preserve"> </w:t>
      </w:r>
      <w:r>
        <w:rPr>
          <w:rFonts w:hint="eastAsia" w:ascii="宋体" w:hAnsi="宋体" w:eastAsia="宋体" w:cs="宋体"/>
          <w:b/>
          <w:bCs/>
          <w:color w:val="auto"/>
          <w:sz w:val="24"/>
          <w:highlight w:val="none"/>
        </w:rPr>
        <w:t>塘栖镇城管服务中心对本项目中标单位每月开展2-3轮考核，考核中发现的问题按照最新《塘栖镇</w:t>
      </w:r>
      <w:r>
        <w:rPr>
          <w:rFonts w:hint="eastAsia" w:ascii="宋体" w:hAnsi="宋体" w:eastAsia="宋体" w:cs="宋体"/>
          <w:b/>
          <w:bCs/>
          <w:color w:val="auto"/>
          <w:sz w:val="24"/>
          <w:highlight w:val="none"/>
          <w:lang w:val="en-US" w:eastAsia="zh-CN"/>
        </w:rPr>
        <w:t>城市管理</w:t>
      </w:r>
      <w:r>
        <w:rPr>
          <w:rFonts w:hint="eastAsia" w:ascii="宋体" w:hAnsi="宋体" w:eastAsia="宋体" w:cs="宋体"/>
          <w:b/>
          <w:bCs/>
          <w:color w:val="auto"/>
          <w:sz w:val="24"/>
          <w:highlight w:val="none"/>
        </w:rPr>
        <w:t>市场化养护考核管理办法》进行扣款。项目续签和提前终止均参照最新《</w:t>
      </w:r>
      <w:r>
        <w:rPr>
          <w:rFonts w:hint="eastAsia" w:ascii="宋体" w:hAnsi="宋体" w:cs="宋体"/>
          <w:b/>
          <w:bCs/>
          <w:color w:val="auto"/>
          <w:sz w:val="24"/>
          <w:highlight w:val="none"/>
          <w:lang w:val="en-US" w:eastAsia="zh-CN"/>
        </w:rPr>
        <w:t>2023</w:t>
      </w:r>
      <w:r>
        <w:rPr>
          <w:rFonts w:hint="eastAsia" w:ascii="宋体" w:hAnsi="宋体" w:eastAsia="宋体" w:cs="宋体"/>
          <w:b/>
          <w:bCs/>
          <w:color w:val="auto"/>
          <w:sz w:val="24"/>
          <w:highlight w:val="none"/>
        </w:rPr>
        <w:t>塘栖镇</w:t>
      </w:r>
      <w:r>
        <w:rPr>
          <w:rFonts w:hint="eastAsia" w:ascii="宋体" w:hAnsi="宋体" w:eastAsia="宋体" w:cs="宋体"/>
          <w:b/>
          <w:bCs/>
          <w:color w:val="auto"/>
          <w:sz w:val="24"/>
          <w:highlight w:val="none"/>
          <w:lang w:val="en-US" w:eastAsia="zh-CN"/>
        </w:rPr>
        <w:t>城市管理</w:t>
      </w:r>
      <w:r>
        <w:rPr>
          <w:rFonts w:hint="eastAsia" w:ascii="宋体" w:hAnsi="宋体" w:eastAsia="宋体" w:cs="宋体"/>
          <w:b/>
          <w:bCs/>
          <w:color w:val="auto"/>
          <w:sz w:val="24"/>
          <w:highlight w:val="none"/>
        </w:rPr>
        <w:t>市场化养护考核管理办法》执行。</w:t>
      </w:r>
    </w:p>
    <w:p>
      <w:pPr>
        <w:spacing w:line="360" w:lineRule="auto"/>
        <w:ind w:firstLine="600" w:firstLineChars="250"/>
        <w:rPr>
          <w:rFonts w:hint="eastAsia" w:ascii="宋体" w:hAnsi="宋体" w:eastAsia="宋体" w:cs="宋体"/>
          <w:b/>
          <w:color w:val="auto"/>
          <w:sz w:val="24"/>
          <w:highlight w:val="none"/>
        </w:rPr>
      </w:pPr>
      <w:r>
        <w:rPr>
          <w:rFonts w:hint="eastAsia" w:ascii="宋体" w:hAnsi="宋体" w:eastAsia="宋体" w:cs="宋体"/>
          <w:color w:val="auto"/>
          <w:sz w:val="24"/>
          <w:highlight w:val="none"/>
        </w:rPr>
        <w:t>④ 清扫保洁质量根据《临平城组办〔2022〕7号》</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《临平城组办〔2022〕9号》等有关条例进行考核。</w:t>
      </w:r>
    </w:p>
    <w:p>
      <w:pPr>
        <w:spacing w:line="480" w:lineRule="exact"/>
        <w:ind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⑤承包到期后根据考核结果余款一次付清。剩余</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%的履约保证金款项须合同期满时，甲方对乙方承包管理项目进行总体考核并验收合格，在三十日内付清（无息）。</w:t>
      </w:r>
    </w:p>
    <w:p>
      <w:pPr>
        <w:spacing w:line="48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 甲方对乙方的承包管理项目实施日常监管及考核，考核不合格，甲方有权扣付部分承包经费。</w:t>
      </w:r>
    </w:p>
    <w:p>
      <w:pPr>
        <w:adjustRightInd w:val="0"/>
        <w:snapToGrid w:val="0"/>
        <w:spacing w:line="360" w:lineRule="auto"/>
        <w:ind w:firstLine="420" w:firstLineChars="200"/>
        <w:rPr>
          <w:rFonts w:hint="eastAsia" w:ascii="宋体" w:hAnsi="宋体" w:eastAsia="宋体" w:cs="宋体"/>
          <w:color w:val="auto"/>
          <w:highlight w:val="none"/>
        </w:rPr>
      </w:pPr>
    </w:p>
    <w:p>
      <w:pPr>
        <w:numPr>
          <w:ilvl w:val="0"/>
          <w:numId w:val="0"/>
        </w:numPr>
        <w:adjustRightInd w:val="0"/>
        <w:snapToGrid w:val="0"/>
        <w:spacing w:line="360" w:lineRule="auto"/>
        <w:ind w:left="361" w:leftChars="0"/>
        <w:rPr>
          <w:rFonts w:hint="eastAsia" w:ascii="宋体" w:hAnsi="宋体" w:eastAsia="宋体" w:cs="宋体"/>
          <w:color w:val="auto"/>
          <w:sz w:val="24"/>
          <w:highlight w:val="none"/>
          <w:lang w:val="en-US" w:eastAsia="zh-CN"/>
        </w:rPr>
      </w:pPr>
      <w:r>
        <w:rPr>
          <w:rFonts w:hint="eastAsia" w:ascii="宋体" w:hAnsi="宋体" w:cs="宋体"/>
          <w:b/>
          <w:color w:val="auto"/>
          <w:sz w:val="24"/>
          <w:highlight w:val="none"/>
          <w:lang w:val="en-US" w:eastAsia="zh-CN"/>
        </w:rPr>
        <w:t>六</w:t>
      </w:r>
      <w:r>
        <w:rPr>
          <w:rFonts w:hint="eastAsia" w:ascii="宋体" w:hAnsi="宋体" w:eastAsia="宋体" w:cs="宋体"/>
          <w:b/>
          <w:color w:val="auto"/>
          <w:sz w:val="24"/>
          <w:highlight w:val="none"/>
          <w:lang w:val="en-US" w:eastAsia="zh-CN"/>
        </w:rPr>
        <w:t>、</w:t>
      </w:r>
      <w:r>
        <w:rPr>
          <w:rFonts w:hint="eastAsia" w:ascii="宋体" w:hAnsi="宋体" w:eastAsia="宋体" w:cs="宋体"/>
          <w:b/>
          <w:color w:val="auto"/>
          <w:sz w:val="24"/>
          <w:highlight w:val="none"/>
        </w:rPr>
        <w:t>●服务期限：</w:t>
      </w:r>
      <w:r>
        <w:rPr>
          <w:rFonts w:hint="eastAsia" w:ascii="宋体" w:hAnsi="宋体" w:eastAsia="宋体" w:cs="宋体"/>
          <w:b/>
          <w:bCs/>
          <w:color w:val="auto"/>
          <w:sz w:val="24"/>
          <w:highlight w:val="none"/>
          <w:lang w:val="en-US" w:eastAsia="zh-CN"/>
        </w:rPr>
        <w:t>养护期限为2年</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合同为一年一签（1年后甲方根据日常考核决定是否续签一年），具体以合同签订日期为准。</w:t>
      </w:r>
    </w:p>
    <w:p>
      <w:pPr>
        <w:pStyle w:val="4"/>
        <w:numPr>
          <w:ilvl w:val="0"/>
          <w:numId w:val="0"/>
        </w:numPr>
        <w:ind w:left="420" w:leftChars="0"/>
        <w:rPr>
          <w:rFonts w:hint="eastAsia" w:ascii="宋体" w:hAnsi="宋体" w:eastAsia="宋体" w:cs="宋体"/>
          <w:b/>
          <w:bCs w:val="0"/>
          <w:color w:val="auto"/>
          <w:kern w:val="2"/>
          <w:sz w:val="24"/>
          <w:szCs w:val="24"/>
          <w:highlight w:val="none"/>
          <w:lang w:val="en-US" w:eastAsia="zh-CN" w:bidi="ar-SA"/>
        </w:rPr>
      </w:pPr>
      <w:r>
        <w:rPr>
          <w:rFonts w:hint="eastAsia" w:ascii="宋体" w:hAnsi="宋体" w:eastAsia="宋体" w:cs="宋体"/>
          <w:b/>
          <w:bCs w:val="0"/>
          <w:color w:val="auto"/>
          <w:kern w:val="2"/>
          <w:sz w:val="24"/>
          <w:szCs w:val="24"/>
          <w:highlight w:val="none"/>
          <w:lang w:val="en-US" w:eastAsia="zh-CN" w:bidi="ar-SA"/>
        </w:rPr>
        <w:t>七、服务要求：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1、中标供应商在履行合同义务期间，应遵守国家有关法律、法规、维护招标人的合法权益。</w:t>
      </w:r>
    </w:p>
    <w:p>
      <w:pPr>
        <w:spacing w:line="360" w:lineRule="auto"/>
        <w:ind w:firstLine="480" w:firstLineChars="200"/>
        <w:rPr>
          <w:rFonts w:hint="eastAsia" w:ascii="宋体" w:hAnsi="宋体" w:eastAsia="宋体" w:cs="宋体"/>
          <w:b/>
          <w:bCs/>
          <w:color w:val="auto"/>
          <w:sz w:val="24"/>
          <w:highlight w:val="none"/>
          <w:lang w:val="en-US" w:eastAsia="zh-CN"/>
        </w:rPr>
      </w:pPr>
      <w:r>
        <w:rPr>
          <w:rFonts w:hint="eastAsia" w:ascii="宋体" w:hAnsi="宋体" w:eastAsia="宋体" w:cs="宋体"/>
          <w:color w:val="auto"/>
          <w:sz w:val="24"/>
          <w:highlight w:val="none"/>
        </w:rPr>
        <w:t>2、中标供应商应组建能够满足本项目服务需要的项目组，按照工作范围和内容完成服务工作，并按约定向招标人汇报工作进展。</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cs="宋体"/>
          <w:b/>
          <w:bCs/>
          <w:color w:val="auto"/>
          <w:sz w:val="24"/>
          <w:highlight w:val="none"/>
          <w:lang w:eastAsia="zh-CN"/>
        </w:rPr>
        <w:t>八</w:t>
      </w:r>
      <w:r>
        <w:rPr>
          <w:rFonts w:hint="eastAsia" w:ascii="宋体" w:hAnsi="宋体" w:eastAsia="宋体" w:cs="宋体"/>
          <w:b/>
          <w:bCs/>
          <w:color w:val="auto"/>
          <w:sz w:val="24"/>
          <w:highlight w:val="none"/>
        </w:rPr>
        <w:t>、中标供应商违约责任：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中标供应商提供的技术及方案不符合招标人要求的，中标供应商应负责无偿给予调整及安排。中标供应商应对因此造成的直接损失负赔偿责任，并承担相应的法律责任（由于招标人提供的资料原因产生的责任由招标人自己负责）。</w:t>
      </w:r>
    </w:p>
    <w:p>
      <w:pPr>
        <w:adjustRightInd w:val="0"/>
        <w:snapToGrid w:val="0"/>
        <w:spacing w:line="360" w:lineRule="auto"/>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z w:val="24"/>
          <w:highlight w:val="none"/>
        </w:rPr>
        <w:t>2.对于招标人提供的信息及相关材料，中标供应商方有义务保密，未经招标人许可，不得擅自使用，不得向第三方转让，否则招标人有权对此追究责任。</w:t>
      </w:r>
    </w:p>
    <w:p>
      <w:pPr>
        <w:adjustRightInd w:val="0"/>
        <w:snapToGrid w:val="0"/>
        <w:spacing w:line="360" w:lineRule="auto"/>
        <w:ind w:firstLine="482" w:firstLineChars="200"/>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九</w:t>
      </w:r>
      <w:r>
        <w:rPr>
          <w:rFonts w:hint="eastAsia" w:ascii="宋体" w:hAnsi="宋体" w:eastAsia="宋体" w:cs="宋体"/>
          <w:b/>
          <w:bCs/>
          <w:color w:val="auto"/>
          <w:sz w:val="24"/>
          <w:szCs w:val="24"/>
          <w:highlight w:val="none"/>
        </w:rPr>
        <w:t>、履约保证金</w:t>
      </w:r>
      <w:r>
        <w:rPr>
          <w:rFonts w:hint="eastAsia" w:ascii="宋体" w:hAnsi="宋体" w:eastAsia="宋体" w:cs="宋体"/>
          <w:b/>
          <w:bCs/>
          <w:color w:val="auto"/>
          <w:sz w:val="24"/>
          <w:szCs w:val="24"/>
          <w:highlight w:val="none"/>
          <w:lang w:val="en-US" w:eastAsia="zh-CN"/>
        </w:rPr>
        <w:t>:</w:t>
      </w:r>
    </w:p>
    <w:p>
      <w:pPr>
        <w:spacing w:line="360" w:lineRule="auto"/>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highlight w:val="none"/>
        </w:rPr>
        <w:t>在合同签订以前供应商向采购人缴纳合同金额</w:t>
      </w:r>
      <w:r>
        <w:rPr>
          <w:rFonts w:hint="eastAsia" w:ascii="宋体" w:hAnsi="宋体" w:eastAsia="宋体" w:cs="宋体"/>
          <w:bCs/>
          <w:color w:val="auto"/>
          <w:sz w:val="24"/>
          <w:highlight w:val="none"/>
          <w:lang w:val="en-US" w:eastAsia="zh-CN"/>
        </w:rPr>
        <w:t>1</w:t>
      </w:r>
      <w:r>
        <w:rPr>
          <w:rFonts w:hint="eastAsia" w:ascii="宋体" w:hAnsi="宋体" w:eastAsia="宋体" w:cs="宋体"/>
          <w:bCs/>
          <w:color w:val="auto"/>
          <w:sz w:val="24"/>
          <w:highlight w:val="none"/>
        </w:rPr>
        <w:t xml:space="preserve">%的履约保证金或银行保函，项目完成后，满足招标人考核要求的， </w:t>
      </w:r>
      <w:r>
        <w:rPr>
          <w:rFonts w:hint="eastAsia" w:ascii="宋体" w:hAnsi="宋体" w:eastAsia="宋体" w:cs="宋体"/>
          <w:color w:val="auto"/>
          <w:sz w:val="24"/>
          <w:highlight w:val="none"/>
        </w:rPr>
        <w:t>7个工作日内</w:t>
      </w:r>
      <w:r>
        <w:rPr>
          <w:rFonts w:hint="eastAsia" w:ascii="宋体" w:hAnsi="宋体" w:eastAsia="宋体" w:cs="宋体"/>
          <w:bCs/>
          <w:color w:val="auto"/>
          <w:sz w:val="24"/>
          <w:highlight w:val="none"/>
        </w:rPr>
        <w:t>无息退还。</w:t>
      </w:r>
    </w:p>
    <w:p>
      <w:pPr>
        <w:spacing w:line="360" w:lineRule="auto"/>
        <w:ind w:firstLine="480" w:firstLineChars="200"/>
        <w:rPr>
          <w:rFonts w:hint="eastAsia" w:ascii="宋体" w:hAnsi="宋体" w:eastAsia="宋体" w:cs="宋体"/>
          <w:bCs/>
          <w:color w:val="auto"/>
          <w:sz w:val="24"/>
          <w:szCs w:val="24"/>
          <w:highlight w:val="none"/>
        </w:rPr>
      </w:pP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cs="宋体"/>
          <w:b/>
          <w:bCs/>
          <w:color w:val="auto"/>
          <w:sz w:val="24"/>
          <w:highlight w:val="none"/>
          <w:lang w:val="en-US" w:eastAsia="zh-CN"/>
        </w:rPr>
        <w:t>十</w:t>
      </w:r>
      <w:r>
        <w:rPr>
          <w:rFonts w:hint="eastAsia" w:ascii="宋体" w:hAnsi="宋体" w:eastAsia="宋体" w:cs="宋体"/>
          <w:b/>
          <w:bCs/>
          <w:color w:val="auto"/>
          <w:sz w:val="24"/>
          <w:highlight w:val="none"/>
        </w:rPr>
        <w:t>、保洁考核细则、处罚标准：</w:t>
      </w:r>
    </w:p>
    <w:p>
      <w:pPr>
        <w:numPr>
          <w:ilvl w:val="0"/>
          <w:numId w:val="1"/>
        </w:numPr>
        <w:rPr>
          <w:rFonts w:hint="eastAsia" w:ascii="宋体" w:hAnsi="宋体" w:eastAsia="宋体" w:cs="宋体"/>
          <w:color w:val="auto"/>
          <w:sz w:val="24"/>
          <w:highlight w:val="none"/>
        </w:rPr>
      </w:pPr>
      <w:r>
        <w:rPr>
          <w:rFonts w:hint="eastAsia" w:ascii="宋体" w:hAnsi="宋体" w:eastAsia="宋体" w:cs="宋体"/>
          <w:color w:val="auto"/>
          <w:sz w:val="24"/>
          <w:highlight w:val="none"/>
        </w:rPr>
        <w:t>考核办法</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保洁养护的考核分为区、镇两级。镇级保洁考核每周一次。镇考核所有抄告问题按《塘栖镇市容环卫工作考核细则》、《塘栖镇公共绿地管理考核细则》执行扣款，详见附件1、2，区级考核按上述《细则》50%比例执行扣款。</w:t>
      </w:r>
    </w:p>
    <w:p>
      <w:pPr>
        <w:ind w:firstLine="480" w:firstLineChars="200"/>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二、考核成绩及运用</w:t>
      </w: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养护单位考核成绩按月实施打分，基本分100分，附加分10分。评分细则如下：</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260"/>
        <w:gridCol w:w="5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368"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考核项目</w:t>
            </w:r>
          </w:p>
        </w:tc>
        <w:tc>
          <w:tcPr>
            <w:tcW w:w="5764"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基本分</w:t>
            </w:r>
          </w:p>
          <w:p>
            <w:pPr>
              <w:spacing w:before="0" w:beforeAutospacing="0" w:after="0" w:afterAutospacing="0"/>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（100分）</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组织管理（10分）</w:t>
            </w:r>
          </w:p>
        </w:tc>
        <w:tc>
          <w:tcPr>
            <w:tcW w:w="5764"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0" w:beforeAutospacing="0" w:after="0" w:afterAutospacing="0"/>
              <w:ind w:right="0"/>
              <w:rPr>
                <w:rFonts w:hint="eastAsia" w:ascii="宋体" w:hAnsi="宋体" w:eastAsia="宋体" w:cs="宋体"/>
                <w:color w:val="auto"/>
                <w:sz w:val="24"/>
                <w:highlight w:val="none"/>
              </w:rPr>
            </w:pPr>
            <w:r>
              <w:rPr>
                <w:rFonts w:hint="eastAsia" w:ascii="宋体" w:hAnsi="宋体" w:eastAsia="宋体" w:cs="宋体"/>
                <w:color w:val="auto"/>
                <w:sz w:val="24"/>
                <w:highlight w:val="none"/>
              </w:rPr>
              <w:t>人员缺岗每次扣1分；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764"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before="0" w:beforeAutospacing="0" w:after="0" w:afterAutospacing="0"/>
              <w:ind w:right="0"/>
              <w:rPr>
                <w:rFonts w:hint="eastAsia" w:ascii="宋体" w:hAnsi="宋体" w:eastAsia="宋体" w:cs="宋体"/>
                <w:color w:val="auto"/>
                <w:sz w:val="24"/>
                <w:highlight w:val="none"/>
              </w:rPr>
            </w:pPr>
            <w:r>
              <w:rPr>
                <w:rFonts w:hint="eastAsia" w:ascii="宋体" w:hAnsi="宋体" w:eastAsia="宋体" w:cs="宋体"/>
                <w:color w:val="auto"/>
                <w:sz w:val="24"/>
                <w:highlight w:val="none"/>
              </w:rPr>
              <w:t>主管部门召集的工作会议相关负责人迟到、不到每次扣1分；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764"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4"/>
                <w:highlight w:val="none"/>
              </w:rPr>
            </w:pPr>
            <w:r>
              <w:rPr>
                <w:rFonts w:hint="eastAsia" w:ascii="宋体" w:hAnsi="宋体" w:eastAsia="宋体" w:cs="宋体"/>
                <w:color w:val="auto"/>
                <w:sz w:val="24"/>
                <w:highlight w:val="none"/>
              </w:rPr>
              <w:t>3、人员、设备作业不规范每次扣1分；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764"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4"/>
                <w:highlight w:val="none"/>
              </w:rPr>
            </w:pPr>
            <w:r>
              <w:rPr>
                <w:rFonts w:hint="eastAsia" w:ascii="宋体" w:hAnsi="宋体" w:eastAsia="宋体" w:cs="宋体"/>
                <w:color w:val="auto"/>
                <w:sz w:val="24"/>
                <w:highlight w:val="none"/>
              </w:rPr>
              <w:t>4、落实整改不力，未在指定时间内完成整改的每次扣3分；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764"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4"/>
                <w:highlight w:val="none"/>
              </w:rPr>
            </w:pPr>
            <w:r>
              <w:rPr>
                <w:rFonts w:hint="eastAsia" w:ascii="宋体" w:hAnsi="宋体" w:eastAsia="宋体" w:cs="宋体"/>
                <w:color w:val="auto"/>
                <w:sz w:val="24"/>
                <w:highlight w:val="none"/>
              </w:rPr>
              <w:t>5、不服从主管科办组织调度每次扣5分。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抗灾应急（10分）</w:t>
            </w:r>
          </w:p>
        </w:tc>
        <w:tc>
          <w:tcPr>
            <w:tcW w:w="5764"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4"/>
                <w:highlight w:val="none"/>
              </w:rPr>
            </w:pPr>
            <w:r>
              <w:rPr>
                <w:rFonts w:hint="eastAsia" w:ascii="宋体" w:hAnsi="宋体" w:eastAsia="宋体" w:cs="宋体"/>
                <w:color w:val="auto"/>
                <w:sz w:val="24"/>
                <w:highlight w:val="none"/>
              </w:rPr>
              <w:t>1、应急物资准备不充分每次扣2分；24小时内仍未备足物资的加扣2分；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764"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4"/>
                <w:highlight w:val="none"/>
              </w:rPr>
            </w:pPr>
            <w:r>
              <w:rPr>
                <w:rFonts w:hint="eastAsia" w:ascii="宋体" w:hAnsi="宋体" w:eastAsia="宋体" w:cs="宋体"/>
                <w:color w:val="auto"/>
                <w:sz w:val="24"/>
                <w:highlight w:val="none"/>
              </w:rPr>
              <w:t>2、抗灾措施不及时、不到位每次扣5分；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764"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4"/>
                <w:highlight w:val="none"/>
              </w:rPr>
            </w:pPr>
            <w:r>
              <w:rPr>
                <w:rFonts w:hint="eastAsia" w:ascii="宋体" w:hAnsi="宋体" w:eastAsia="宋体" w:cs="宋体"/>
                <w:color w:val="auto"/>
                <w:sz w:val="24"/>
                <w:highlight w:val="none"/>
              </w:rPr>
              <w:t>3、抗灾应急工作不力，造成不良后果的每次扣10分。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专项迎检（20分）</w:t>
            </w:r>
          </w:p>
        </w:tc>
        <w:tc>
          <w:tcPr>
            <w:tcW w:w="5764"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4"/>
                <w:highlight w:val="none"/>
              </w:rPr>
            </w:pPr>
            <w:r>
              <w:rPr>
                <w:rFonts w:hint="eastAsia" w:ascii="宋体" w:hAnsi="宋体" w:eastAsia="宋体" w:cs="宋体"/>
                <w:color w:val="auto"/>
                <w:sz w:val="24"/>
                <w:highlight w:val="none"/>
              </w:rPr>
              <w:t>1、迎检准备工作不充分，未制定有效迎检方案的每次扣3分；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764"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4"/>
                <w:highlight w:val="none"/>
              </w:rPr>
            </w:pPr>
            <w:r>
              <w:rPr>
                <w:rFonts w:hint="eastAsia" w:ascii="宋体" w:hAnsi="宋体" w:eastAsia="宋体" w:cs="宋体"/>
                <w:color w:val="auto"/>
                <w:sz w:val="24"/>
                <w:highlight w:val="none"/>
              </w:rPr>
              <w:t>2、养护单位未合理增派作业人员、作业设备的每次扣5分；人员设备调度不及时的每次扣3分；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764"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4"/>
                <w:highlight w:val="none"/>
              </w:rPr>
            </w:pPr>
            <w:r>
              <w:rPr>
                <w:rFonts w:hint="eastAsia" w:ascii="宋体" w:hAnsi="宋体" w:eastAsia="宋体" w:cs="宋体"/>
                <w:color w:val="auto"/>
                <w:sz w:val="24"/>
                <w:highlight w:val="none"/>
              </w:rPr>
              <w:t>3、重大迎检工作管理人员未在现场指挥调度的每次扣5分；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764"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4"/>
                <w:highlight w:val="none"/>
              </w:rPr>
            </w:pPr>
            <w:r>
              <w:rPr>
                <w:rFonts w:hint="eastAsia" w:ascii="宋体" w:hAnsi="宋体" w:eastAsia="宋体" w:cs="宋体"/>
                <w:color w:val="auto"/>
                <w:sz w:val="24"/>
                <w:highlight w:val="none"/>
              </w:rPr>
              <w:t>4、迎检线路管养存在问题较多，超过5条的，每个问题扣1分，（最多扣20分）；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764"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4"/>
                <w:highlight w:val="none"/>
              </w:rPr>
            </w:pPr>
            <w:r>
              <w:rPr>
                <w:rFonts w:hint="eastAsia" w:ascii="宋体" w:hAnsi="宋体" w:eastAsia="宋体" w:cs="宋体"/>
                <w:color w:val="auto"/>
                <w:sz w:val="24"/>
                <w:highlight w:val="none"/>
              </w:rPr>
              <w:t>5、迎检工作不力，造成不良后果、影响的，每次扣20分。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日常成效</w:t>
            </w:r>
          </w:p>
          <w:p>
            <w:pPr>
              <w:spacing w:before="0" w:beforeAutospacing="0" w:after="0" w:afterAutospacing="0"/>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（60分）</w:t>
            </w:r>
          </w:p>
        </w:tc>
        <w:tc>
          <w:tcPr>
            <w:tcW w:w="5764"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4"/>
                <w:highlight w:val="none"/>
              </w:rPr>
            </w:pPr>
            <w:r>
              <w:rPr>
                <w:rFonts w:hint="eastAsia" w:ascii="宋体" w:hAnsi="宋体" w:eastAsia="宋体" w:cs="宋体"/>
                <w:color w:val="auto"/>
                <w:sz w:val="24"/>
                <w:highlight w:val="none"/>
              </w:rPr>
              <w:t>按照区、镇两级抄告单扣款进行折算，道路保洁养护每扣400元折合考核扣分1分，绿化、公厕、牛皮癣、路灯养护每扣200元折合考核扣分1分。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附加分</w:t>
            </w:r>
          </w:p>
          <w:p>
            <w:pPr>
              <w:spacing w:before="0" w:beforeAutospacing="0" w:after="0" w:afterAutospacing="0"/>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（10分）</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领导肯定</w:t>
            </w:r>
          </w:p>
        </w:tc>
        <w:tc>
          <w:tcPr>
            <w:tcW w:w="5764"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4"/>
                <w:highlight w:val="none"/>
              </w:rPr>
            </w:pPr>
            <w:r>
              <w:rPr>
                <w:rFonts w:hint="eastAsia" w:ascii="宋体" w:hAnsi="宋体" w:eastAsia="宋体" w:cs="宋体"/>
                <w:color w:val="auto"/>
                <w:sz w:val="24"/>
                <w:highlight w:val="none"/>
              </w:rPr>
              <w:t>相关工作受到领导肯定的，镇级每次加2分；区级每次加5分；市级以上每次加10分。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专项治理</w:t>
            </w:r>
          </w:p>
        </w:tc>
        <w:tc>
          <w:tcPr>
            <w:tcW w:w="5764"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4"/>
                <w:highlight w:val="none"/>
              </w:rPr>
            </w:pPr>
            <w:r>
              <w:rPr>
                <w:rFonts w:hint="eastAsia" w:ascii="宋体" w:hAnsi="宋体" w:eastAsia="宋体" w:cs="宋体"/>
                <w:color w:val="auto"/>
                <w:sz w:val="24"/>
                <w:highlight w:val="none"/>
              </w:rPr>
              <w:t>在专项城市管理难点问题治理上成效显著，并明显好于周边乡镇的，每次加2分。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亮点作法</w:t>
            </w:r>
          </w:p>
        </w:tc>
        <w:tc>
          <w:tcPr>
            <w:tcW w:w="5764"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4"/>
                <w:highlight w:val="none"/>
              </w:rPr>
            </w:pPr>
            <w:r>
              <w:rPr>
                <w:rFonts w:hint="eastAsia" w:ascii="宋体" w:hAnsi="宋体" w:eastAsia="宋体" w:cs="宋体"/>
                <w:color w:val="auto"/>
                <w:sz w:val="24"/>
                <w:highlight w:val="none"/>
              </w:rPr>
              <w:t>独创作法在城市管理工作中取得实效，每次加2分；将作法提炼总结，受到区级主管部门肯定的加5分。</w:t>
            </w:r>
          </w:p>
        </w:tc>
      </w:tr>
    </w:tbl>
    <w:p>
      <w:pPr>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养护单位考核成绩是合同续签的必要条件，全年考核平均成绩90分（含）以上的，可在政策允许的前提下续签养护合同。</w:t>
      </w:r>
    </w:p>
    <w:p>
      <w:pPr>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应急考核</w:t>
      </w:r>
    </w:p>
    <w:p>
      <w:pPr>
        <w:spacing w:line="360" w:lineRule="auto"/>
        <w:ind w:firstLine="570"/>
        <w:rPr>
          <w:rFonts w:hint="eastAsia" w:ascii="宋体" w:hAnsi="宋体" w:eastAsia="宋体" w:cs="宋体"/>
          <w:color w:val="auto"/>
          <w:sz w:val="24"/>
          <w:highlight w:val="none"/>
        </w:rPr>
      </w:pPr>
      <w:r>
        <w:rPr>
          <w:rFonts w:hint="eastAsia" w:ascii="宋体" w:hAnsi="宋体" w:eastAsia="宋体" w:cs="宋体"/>
          <w:color w:val="auto"/>
          <w:sz w:val="24"/>
          <w:highlight w:val="none"/>
        </w:rPr>
        <w:t>在抗雪防冻、抗台、抗洪等应急的防灾抗灾和重大活动中，按考核细则（附件2）进行考核，根据考核结果给予相应奖励或处罚，其中奖励费中50%的费用养护单位必须奖励至工作个人，否则予以全部没收，并处以与奖励费用等额的罚款，罚款在本季度的养护款中予以扣除。</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其他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1.本考核办法自2018年7月1日起实行，本年度未实施结算的养护经费均按本办法进行结算。</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2.一个合同周期内单项考核累计两次及以上在全区排名倒数前三的，塘栖镇政府有权提前终止养护协议。</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3.养护单位存在重大迎检活动保障不力，抗灾应急处置不力，并造成特别严重后果的，塘栖镇政府有权单方终止养护合同，同时追加扣款。</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4.如区级考核办法作出修改，本办法将作相应调整。</w:t>
      </w:r>
    </w:p>
    <w:p>
      <w:pPr>
        <w:pStyle w:val="4"/>
        <w:ind w:left="433" w:leftChars="202" w:hanging="9" w:hangingChars="4"/>
        <w:jc w:val="left"/>
        <w:rPr>
          <w:rFonts w:hint="eastAsia" w:ascii="宋体" w:hAnsi="宋体" w:eastAsia="宋体" w:cs="宋体"/>
          <w:color w:val="auto"/>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5</w:t>
      </w:r>
      <w:r>
        <w:rPr>
          <w:rFonts w:hint="eastAsia" w:ascii="宋体" w:hAnsi="宋体" w:eastAsia="宋体" w:cs="宋体"/>
          <w:color w:val="auto"/>
          <w:sz w:val="24"/>
          <w:highlight w:val="none"/>
          <w:lang w:val="en-US" w:eastAsia="zh-CN"/>
        </w:rPr>
        <w:t>.</w:t>
      </w:r>
      <w:r>
        <w:rPr>
          <w:rFonts w:hint="eastAsia" w:ascii="宋体" w:hAnsi="宋体" w:eastAsia="宋体" w:cs="宋体"/>
          <w:b w:val="0"/>
          <w:bCs w:val="0"/>
          <w:color w:val="auto"/>
          <w:kern w:val="2"/>
          <w:sz w:val="24"/>
          <w:szCs w:val="24"/>
          <w:highlight w:val="none"/>
          <w:lang w:val="en-US" w:eastAsia="zh-CN" w:bidi="ar-SA"/>
        </w:rPr>
        <w:t>认真贯彻杭政办《浙江省人民政府办公厅关于进一步改善环卫工人工作生活条件促进环卫事业持续健康发展的若干意见》(浙政办发(2009)190号)和《杭州市人民政府办公厅关于进一步解决环卫工人实际困难 保障其合法权益的意见》((2008)14号)文件精神，环卫工人工资不得低于文件规定的工资标准，落实职工劳保福利待遇。(3)环卫职工的工资、岗位津贴、加班工资等必须确保按月发放。</w:t>
      </w:r>
    </w:p>
    <w:p>
      <w:pPr>
        <w:spacing w:line="360" w:lineRule="auto"/>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附件：1.塘栖镇市容环卫工作考核细则</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2.塘栖镇公共绿地管理考核细则</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3.塘栖镇防灾抗灾及重大活动市场化养护考核细则</w:t>
      </w:r>
    </w:p>
    <w:p>
      <w:pPr>
        <w:rPr>
          <w:rFonts w:hint="eastAsia" w:ascii="宋体" w:hAnsi="宋体" w:eastAsia="宋体" w:cs="宋体"/>
          <w:color w:val="auto"/>
          <w:sz w:val="24"/>
          <w:highlight w:val="none"/>
        </w:rPr>
      </w:pPr>
    </w:p>
    <w:p>
      <w:pPr>
        <w:spacing w:line="590" w:lineRule="exact"/>
        <w:rPr>
          <w:rFonts w:hint="eastAsia" w:ascii="宋体" w:hAnsi="宋体" w:eastAsia="宋体" w:cs="宋体"/>
          <w:color w:val="auto"/>
          <w:sz w:val="32"/>
          <w:szCs w:val="32"/>
          <w:highlight w:val="none"/>
        </w:rPr>
      </w:pPr>
    </w:p>
    <w:p>
      <w:pPr>
        <w:pStyle w:val="2"/>
        <w:rPr>
          <w:rFonts w:hint="eastAsia" w:ascii="宋体" w:hAnsi="宋体" w:eastAsia="宋体" w:cs="宋体"/>
          <w:color w:val="auto"/>
          <w:sz w:val="32"/>
          <w:szCs w:val="32"/>
          <w:highlight w:val="none"/>
        </w:rPr>
      </w:pPr>
    </w:p>
    <w:p>
      <w:pPr>
        <w:rPr>
          <w:rFonts w:hint="eastAsia" w:ascii="宋体" w:hAnsi="宋体" w:eastAsia="宋体" w:cs="宋体"/>
          <w:color w:val="auto"/>
          <w:sz w:val="32"/>
          <w:szCs w:val="32"/>
          <w:highlight w:val="none"/>
        </w:rPr>
      </w:pPr>
    </w:p>
    <w:p>
      <w:pPr>
        <w:pStyle w:val="2"/>
        <w:rPr>
          <w:rFonts w:hint="eastAsia" w:ascii="宋体" w:hAnsi="宋体" w:eastAsia="宋体" w:cs="宋体"/>
          <w:color w:val="auto"/>
          <w:sz w:val="32"/>
          <w:szCs w:val="32"/>
          <w:highlight w:val="none"/>
        </w:rPr>
      </w:pPr>
    </w:p>
    <w:p>
      <w:pPr>
        <w:rPr>
          <w:rFonts w:hint="eastAsia" w:ascii="宋体" w:hAnsi="宋体" w:eastAsia="宋体" w:cs="宋体"/>
          <w:color w:val="auto"/>
          <w:sz w:val="32"/>
          <w:szCs w:val="32"/>
          <w:highlight w:val="none"/>
        </w:rPr>
      </w:pPr>
    </w:p>
    <w:p>
      <w:pPr>
        <w:pStyle w:val="2"/>
        <w:rPr>
          <w:rFonts w:hint="eastAsia"/>
        </w:rPr>
      </w:pPr>
    </w:p>
    <w:p>
      <w:pPr>
        <w:spacing w:line="590" w:lineRule="exact"/>
        <w:rPr>
          <w:rFonts w:hint="eastAsia" w:ascii="宋体" w:hAnsi="宋体" w:eastAsia="宋体" w:cs="宋体"/>
          <w:color w:val="auto"/>
          <w:sz w:val="32"/>
          <w:szCs w:val="32"/>
          <w:highlight w:val="none"/>
        </w:rPr>
      </w:pPr>
    </w:p>
    <w:p>
      <w:pPr>
        <w:spacing w:line="590" w:lineRule="exac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附件1</w:t>
      </w:r>
    </w:p>
    <w:p>
      <w:pPr>
        <w:spacing w:line="500" w:lineRule="exact"/>
        <w:jc w:val="center"/>
        <w:rPr>
          <w:rFonts w:hint="eastAsia" w:ascii="宋体" w:hAnsi="宋体" w:eastAsia="宋体" w:cs="宋体"/>
          <w:bCs/>
          <w:color w:val="auto"/>
          <w:sz w:val="44"/>
          <w:szCs w:val="44"/>
          <w:highlight w:val="none"/>
        </w:rPr>
      </w:pPr>
      <w:r>
        <w:rPr>
          <w:rFonts w:hint="eastAsia" w:ascii="宋体" w:hAnsi="宋体" w:eastAsia="宋体" w:cs="宋体"/>
          <w:bCs/>
          <w:color w:val="auto"/>
          <w:sz w:val="44"/>
          <w:szCs w:val="44"/>
          <w:highlight w:val="none"/>
        </w:rPr>
        <w:t>塘栖镇市容环卫工作考核细则</w:t>
      </w:r>
    </w:p>
    <w:p>
      <w:pPr>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考核对象：                                      考核时间：</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5220"/>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考核项目</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考核标准</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扣款金额（单位：元）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28"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道路清扫</w:t>
            </w:r>
          </w:p>
        </w:tc>
        <w:tc>
          <w:tcPr>
            <w:tcW w:w="522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将垃圾扫入绿化带、窨井</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有卫生死角、道路外成堆暴露垃圾</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exact"/>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夏秋季每日上午7：00前，秋冬季每日上午7：:30前未完成普扫</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巡回保洁落实不到位</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未按照规定进行洒水、机扫、清洗</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日常保洁及道路红线外10米可视范围内</w:t>
            </w:r>
            <w:r>
              <w:rPr>
                <w:rFonts w:hint="eastAsia" w:ascii="宋体" w:hAnsi="宋体" w:eastAsia="宋体" w:cs="宋体"/>
                <w:color w:val="auto"/>
                <w:szCs w:val="21"/>
                <w:highlight w:val="none"/>
              </w:rPr>
              <w:t>不符合环卫保洁要求</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道路绿化带、树圈等有垃圾(杂物)</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路面积泥、污渍、污水</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晴天道路明显积水、路面雨水井沟眼堵塞</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清扫保洁作业不规范导致路面扬尘</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路面、人行道杂草</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道路抛洒未及时清理</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机扫车、洒水车未按规定使用警示灯、提示音</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清扫保洁时漏扫、归堆未清除的</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城市家具不洁</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路面有零星垃圾</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垃圾桶破损、未盖、不洁</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垃圾收集清运处置</w:t>
            </w: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未经允许私自焚烧垃圾</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垃圾清运车发生抛洒滴漏、垃圾吊挂等</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环卫专用车辆维护不到位</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垃圾未倒入指定地点</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未按时清运垃圾，造成垃圾桶满溢的</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restart"/>
            <w:tcBorders>
              <w:top w:val="single" w:color="000000"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公厕管理</w:t>
            </w:r>
          </w:p>
        </w:tc>
        <w:tc>
          <w:tcPr>
            <w:tcW w:w="5220" w:type="dxa"/>
            <w:tcBorders>
              <w:top w:val="single" w:color="000000"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管理制度未上墙的，标识标牌破损、不清的</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000000"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pacing w:val="-4"/>
                <w:szCs w:val="21"/>
                <w:highlight w:val="none"/>
              </w:rPr>
            </w:pPr>
            <w:r>
              <w:rPr>
                <w:rFonts w:hint="eastAsia" w:ascii="宋体" w:hAnsi="宋体" w:eastAsia="宋体" w:cs="宋体"/>
                <w:color w:val="auto"/>
                <w:szCs w:val="21"/>
                <w:highlight w:val="none"/>
              </w:rPr>
              <w:t>卫生洁具及辅助设施破损、缺失的</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000000"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内外环境不洁、堆放、吊挂杂物、采光及通风未落实</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000000"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厕所内有明显异味</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exact"/>
        </w:trPr>
        <w:tc>
          <w:tcPr>
            <w:tcW w:w="828" w:type="dxa"/>
            <w:vMerge w:val="continue"/>
            <w:tcBorders>
              <w:top w:val="single" w:color="000000"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化粪池臭气外溢，粪便满溢。周围地面有粪迹、垃圾、污水、蝇蛆。</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000000"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电线私拉乱接、内外乱接水管等不规范行为的</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000000"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厕所内饲养宠物、家禽</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000000"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垃圾桶缺失、破损、不洁、满溢的</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000000"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厕所及厕位雨天有积水，晴天地面湿滑的</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000000"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洗手液、卫生纸等消耗品用完未及时添加</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000000"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槽内有便渍、尿渍</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000000"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粪便未及时冲洗</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牛皮癣保洁</w:t>
            </w: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牛皮癣未及时清理</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牛皮癣清理不彻底，留有痕迹</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安全监督及抄告单处置</w:t>
            </w: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媒体曝光、信访处置不力、发生有责投诉</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发生安全责任事故</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日常养护或设施设备存在安全隐患</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相关养护台帐</w:t>
            </w:r>
            <w:r>
              <w:rPr>
                <w:rFonts w:hint="eastAsia" w:ascii="宋体" w:hAnsi="宋体" w:eastAsia="宋体" w:cs="宋体"/>
                <w:color w:val="auto"/>
                <w:spacing w:val="-8"/>
                <w:szCs w:val="21"/>
                <w:highlight w:val="none"/>
              </w:rPr>
              <w:t>未及时完成、弄虚作假</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exact"/>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环卫工人作业时未穿反光背心、不遵守交通规则、环卫车辆未设置反光标识的</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其他</w:t>
            </w: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重大活动、应急、迎检保障不力</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10000——30000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828"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22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因劳资纠纷引起群体性事件</w:t>
            </w:r>
          </w:p>
        </w:tc>
        <w:tc>
          <w:tcPr>
            <w:tcW w:w="2311"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5000</w:t>
            </w:r>
          </w:p>
        </w:tc>
      </w:tr>
    </w:tbl>
    <w:p>
      <w:pPr>
        <w:widowControl/>
        <w:rPr>
          <w:rFonts w:hint="eastAsia" w:ascii="宋体" w:hAnsi="宋体" w:eastAsia="宋体" w:cs="宋体"/>
          <w:color w:val="auto"/>
          <w:szCs w:val="21"/>
          <w:highlight w:val="none"/>
        </w:rPr>
      </w:pPr>
      <w:r>
        <w:rPr>
          <w:rFonts w:hint="eastAsia" w:ascii="宋体" w:hAnsi="宋体" w:eastAsia="宋体" w:cs="宋体"/>
          <w:color w:val="auto"/>
          <w:szCs w:val="21"/>
          <w:highlight w:val="none"/>
        </w:rPr>
        <w:t>1.道路清扫保洁考核扣款比重按照一类道路100%，二类道路90%，三类道路80%，其他道路</w:t>
      </w:r>
    </w:p>
    <w:p>
      <w:pPr>
        <w:widowControl/>
        <w:rPr>
          <w:rFonts w:hint="eastAsia" w:ascii="宋体" w:hAnsi="宋体" w:eastAsia="宋体" w:cs="宋体"/>
          <w:color w:val="auto"/>
          <w:szCs w:val="21"/>
          <w:highlight w:val="none"/>
        </w:rPr>
      </w:pPr>
      <w:r>
        <w:rPr>
          <w:rFonts w:hint="eastAsia" w:ascii="宋体" w:hAnsi="宋体" w:eastAsia="宋体" w:cs="宋体"/>
          <w:color w:val="auto"/>
          <w:szCs w:val="21"/>
          <w:highlight w:val="none"/>
        </w:rPr>
        <w:t>70%，开放式小区50%予以扣款。</w:t>
      </w:r>
    </w:p>
    <w:p>
      <w:pPr>
        <w:widowControl/>
        <w:numPr>
          <w:ilvl w:val="0"/>
          <w:numId w:val="3"/>
        </w:numPr>
        <w:rPr>
          <w:rFonts w:hint="eastAsia" w:ascii="宋体" w:hAnsi="宋体" w:eastAsia="宋体" w:cs="宋体"/>
          <w:color w:val="auto"/>
          <w:szCs w:val="21"/>
          <w:highlight w:val="none"/>
        </w:rPr>
      </w:pPr>
      <w:r>
        <w:rPr>
          <w:rFonts w:hint="eastAsia" w:ascii="宋体" w:hAnsi="宋体" w:eastAsia="宋体" w:cs="宋体"/>
          <w:color w:val="auto"/>
          <w:szCs w:val="21"/>
          <w:highlight w:val="none"/>
        </w:rPr>
        <w:t>相关问题按“每处”实施扣款。</w:t>
      </w:r>
    </w:p>
    <w:p>
      <w:pPr>
        <w:widowControl/>
        <w:rPr>
          <w:rFonts w:hint="eastAsia" w:ascii="宋体" w:hAnsi="宋体" w:eastAsia="宋体" w:cs="宋体"/>
          <w:color w:val="auto"/>
          <w:szCs w:val="21"/>
          <w:highlight w:val="none"/>
        </w:rPr>
      </w:pPr>
    </w:p>
    <w:p>
      <w:pPr>
        <w:spacing w:line="590" w:lineRule="exact"/>
        <w:rPr>
          <w:rFonts w:hint="eastAsia" w:ascii="宋体" w:hAnsi="宋体" w:eastAsia="宋体" w:cs="宋体"/>
          <w:color w:val="auto"/>
          <w:sz w:val="32"/>
          <w:szCs w:val="32"/>
          <w:highlight w:val="none"/>
        </w:rPr>
      </w:pPr>
    </w:p>
    <w:p>
      <w:pPr>
        <w:spacing w:line="590" w:lineRule="exact"/>
        <w:rPr>
          <w:rFonts w:hint="eastAsia" w:ascii="宋体" w:hAnsi="宋体" w:eastAsia="宋体" w:cs="宋体"/>
          <w:color w:val="auto"/>
          <w:sz w:val="32"/>
          <w:szCs w:val="32"/>
          <w:highlight w:val="none"/>
        </w:rPr>
      </w:pPr>
    </w:p>
    <w:p>
      <w:pPr>
        <w:pStyle w:val="2"/>
        <w:rPr>
          <w:rFonts w:hint="eastAsia" w:ascii="宋体" w:hAnsi="宋体" w:eastAsia="宋体" w:cs="宋体"/>
          <w:color w:val="auto"/>
          <w:sz w:val="32"/>
          <w:szCs w:val="32"/>
          <w:highlight w:val="none"/>
        </w:rPr>
      </w:pPr>
    </w:p>
    <w:p>
      <w:pPr>
        <w:rPr>
          <w:rFonts w:hint="eastAsia"/>
        </w:rPr>
      </w:pPr>
    </w:p>
    <w:p>
      <w:pPr>
        <w:spacing w:line="590" w:lineRule="exac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附件2</w:t>
      </w:r>
    </w:p>
    <w:p>
      <w:pPr>
        <w:spacing w:line="590" w:lineRule="exact"/>
        <w:jc w:val="center"/>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塘栖镇公共绿地管理考核细则</w:t>
      </w:r>
    </w:p>
    <w:p>
      <w:pPr>
        <w:jc w:val="center"/>
        <w:rPr>
          <w:rFonts w:hint="eastAsia" w:ascii="宋体" w:hAnsi="宋体" w:eastAsia="宋体" w:cs="宋体"/>
          <w:b/>
          <w:color w:val="auto"/>
          <w:sz w:val="24"/>
          <w:highlight w:val="none"/>
        </w:rPr>
      </w:pPr>
    </w:p>
    <w:p>
      <w:pPr>
        <w:spacing w:line="440" w:lineRule="exact"/>
        <w:rPr>
          <w:rFonts w:hint="eastAsia" w:ascii="宋体" w:hAnsi="宋体" w:eastAsia="宋体" w:cs="宋体"/>
          <w:color w:val="auto"/>
          <w:szCs w:val="21"/>
          <w:highlight w:val="none"/>
        </w:rPr>
      </w:pPr>
      <w:r>
        <w:rPr>
          <w:rFonts w:hint="eastAsia" w:ascii="宋体" w:hAnsi="宋体" w:eastAsia="宋体" w:cs="宋体"/>
          <w:b/>
          <w:color w:val="auto"/>
          <w:sz w:val="24"/>
          <w:highlight w:val="none"/>
        </w:rPr>
        <w:t>考核对象：                                      考核时间：</w:t>
      </w:r>
      <w:r>
        <w:rPr>
          <w:rFonts w:hint="eastAsia" w:ascii="宋体" w:hAnsi="宋体" w:eastAsia="宋体" w:cs="宋体"/>
          <w:color w:val="auto"/>
          <w:szCs w:val="21"/>
          <w:highlight w:val="none"/>
        </w:rPr>
        <w:t xml:space="preserve"> </w:t>
      </w:r>
    </w:p>
    <w:tbl>
      <w:tblPr>
        <w:tblStyle w:val="62"/>
        <w:tblW w:w="8272" w:type="dxa"/>
        <w:tblInd w:w="93" w:type="dxa"/>
        <w:tblLayout w:type="fixed"/>
        <w:tblCellMar>
          <w:top w:w="0" w:type="dxa"/>
          <w:left w:w="108" w:type="dxa"/>
          <w:bottom w:w="0" w:type="dxa"/>
          <w:right w:w="108" w:type="dxa"/>
        </w:tblCellMar>
      </w:tblPr>
      <w:tblGrid>
        <w:gridCol w:w="900"/>
        <w:gridCol w:w="5955"/>
        <w:gridCol w:w="1417"/>
      </w:tblGrid>
      <w:tr>
        <w:tblPrEx>
          <w:tblCellMar>
            <w:top w:w="0" w:type="dxa"/>
            <w:left w:w="108" w:type="dxa"/>
            <w:bottom w:w="0" w:type="dxa"/>
            <w:right w:w="108" w:type="dxa"/>
          </w:tblCellMar>
        </w:tblPrEx>
        <w:trPr>
          <w:trHeight w:val="570"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20" w:lineRule="exact"/>
              <w:ind w:left="0" w:right="0"/>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考核</w:t>
            </w:r>
          </w:p>
          <w:p>
            <w:pPr>
              <w:spacing w:before="0" w:beforeAutospacing="0" w:after="0" w:afterAutospacing="0" w:line="320" w:lineRule="exact"/>
              <w:ind w:left="0" w:right="0"/>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项目</w:t>
            </w:r>
          </w:p>
        </w:tc>
        <w:tc>
          <w:tcPr>
            <w:tcW w:w="5955" w:type="dxa"/>
            <w:tcBorders>
              <w:top w:val="single" w:color="auto" w:sz="4" w:space="0"/>
              <w:left w:val="nil"/>
              <w:bottom w:val="single" w:color="auto" w:sz="4" w:space="0"/>
              <w:right w:val="single" w:color="auto" w:sz="4" w:space="0"/>
            </w:tcBorders>
            <w:noWrap w:val="0"/>
            <w:vAlign w:val="center"/>
          </w:tcPr>
          <w:p>
            <w:pPr>
              <w:spacing w:before="0" w:beforeAutospacing="0" w:after="0" w:afterAutospacing="0" w:line="320" w:lineRule="exact"/>
              <w:ind w:left="0" w:right="0"/>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评分细则</w:t>
            </w:r>
          </w:p>
        </w:tc>
        <w:tc>
          <w:tcPr>
            <w:tcW w:w="1417" w:type="dxa"/>
            <w:tcBorders>
              <w:top w:val="single" w:color="auto" w:sz="4" w:space="0"/>
              <w:left w:val="nil"/>
              <w:bottom w:val="single" w:color="auto" w:sz="4" w:space="0"/>
              <w:right w:val="single" w:color="auto" w:sz="4" w:space="0"/>
            </w:tcBorders>
            <w:noWrap w:val="0"/>
            <w:vAlign w:val="center"/>
          </w:tcPr>
          <w:p>
            <w:pPr>
              <w:spacing w:before="0" w:beforeAutospacing="0" w:after="0" w:afterAutospacing="0" w:line="320" w:lineRule="exact"/>
              <w:ind w:left="0" w:right="0"/>
              <w:jc w:val="center"/>
              <w:rPr>
                <w:rFonts w:hint="eastAsia" w:ascii="宋体" w:hAnsi="宋体" w:eastAsia="宋体" w:cs="宋体"/>
                <w:b/>
                <w:color w:val="auto"/>
                <w:kern w:val="0"/>
                <w:szCs w:val="21"/>
                <w:highlight w:val="none"/>
              </w:rPr>
            </w:pPr>
            <w:r>
              <w:rPr>
                <w:rFonts w:hint="eastAsia" w:ascii="宋体" w:hAnsi="宋体" w:eastAsia="宋体" w:cs="宋体"/>
                <w:b/>
                <w:color w:val="auto"/>
                <w:szCs w:val="21"/>
                <w:highlight w:val="none"/>
              </w:rPr>
              <w:t>扣款金额（单位：元）</w:t>
            </w:r>
          </w:p>
        </w:tc>
      </w:tr>
      <w:tr>
        <w:tblPrEx>
          <w:tblCellMar>
            <w:top w:w="0" w:type="dxa"/>
            <w:left w:w="108" w:type="dxa"/>
            <w:bottom w:w="0" w:type="dxa"/>
            <w:right w:w="108" w:type="dxa"/>
          </w:tblCellMar>
        </w:tblPrEx>
        <w:trPr>
          <w:trHeight w:val="540" w:hRule="atLeast"/>
        </w:trPr>
        <w:tc>
          <w:tcPr>
            <w:tcW w:w="900" w:type="dxa"/>
            <w:vMerge w:val="restart"/>
            <w:tcBorders>
              <w:top w:val="nil"/>
              <w:left w:val="single" w:color="auto" w:sz="4" w:space="0"/>
              <w:bottom w:val="single" w:color="000000" w:sz="4" w:space="0"/>
              <w:right w:val="single" w:color="auto" w:sz="4" w:space="0"/>
            </w:tcBorders>
            <w:noWrap w:val="0"/>
            <w:vAlign w:val="center"/>
          </w:tcPr>
          <w:p>
            <w:pPr>
              <w:spacing w:before="0" w:beforeAutospacing="0" w:after="0" w:afterAutospacing="0" w:line="32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植</w:t>
            </w:r>
          </w:p>
          <w:p>
            <w:pPr>
              <w:spacing w:before="0" w:beforeAutospacing="0" w:after="0" w:afterAutospacing="0" w:line="32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物</w:t>
            </w:r>
          </w:p>
          <w:p>
            <w:pPr>
              <w:spacing w:before="0" w:beforeAutospacing="0" w:after="0" w:afterAutospacing="0" w:line="32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基</w:t>
            </w:r>
          </w:p>
          <w:p>
            <w:pPr>
              <w:spacing w:before="0" w:beforeAutospacing="0" w:after="0" w:afterAutospacing="0" w:line="32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w:t>
            </w:r>
          </w:p>
          <w:p>
            <w:pPr>
              <w:spacing w:before="0" w:beforeAutospacing="0" w:after="0" w:afterAutospacing="0" w:line="32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养</w:t>
            </w:r>
          </w:p>
          <w:p>
            <w:pPr>
              <w:spacing w:before="0" w:beforeAutospacing="0" w:after="0" w:afterAutospacing="0" w:line="320" w:lineRule="exact"/>
              <w:ind w:left="0" w:right="0"/>
              <w:jc w:val="center"/>
              <w:rPr>
                <w:rFonts w:hint="eastAsia" w:ascii="宋体" w:hAnsi="宋体" w:eastAsia="宋体" w:cs="宋体"/>
                <w:strike/>
                <w:color w:val="auto"/>
                <w:kern w:val="0"/>
                <w:szCs w:val="21"/>
                <w:highlight w:val="none"/>
              </w:rPr>
            </w:pPr>
            <w:r>
              <w:rPr>
                <w:rFonts w:hint="eastAsia" w:ascii="宋体" w:hAnsi="宋体" w:eastAsia="宋体" w:cs="宋体"/>
                <w:color w:val="auto"/>
                <w:kern w:val="0"/>
                <w:szCs w:val="21"/>
                <w:highlight w:val="none"/>
              </w:rPr>
              <w:t>护</w:t>
            </w:r>
          </w:p>
          <w:p>
            <w:pPr>
              <w:spacing w:before="0" w:beforeAutospacing="0" w:after="0" w:afterAutospacing="0" w:line="320" w:lineRule="exact"/>
              <w:ind w:left="0" w:right="0"/>
              <w:jc w:val="center"/>
              <w:rPr>
                <w:rFonts w:hint="eastAsia" w:ascii="宋体" w:hAnsi="宋体" w:eastAsia="宋体" w:cs="宋体"/>
                <w:strike/>
                <w:color w:val="auto"/>
                <w:kern w:val="0"/>
                <w:szCs w:val="21"/>
                <w:highlight w:val="none"/>
              </w:rPr>
            </w:pPr>
          </w:p>
        </w:tc>
        <w:tc>
          <w:tcPr>
            <w:tcW w:w="5955"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行道树和乔木死株、缺株</w:t>
            </w:r>
          </w:p>
        </w:tc>
        <w:tc>
          <w:tcPr>
            <w:tcW w:w="1417"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955"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绿地失管</w:t>
            </w:r>
          </w:p>
        </w:tc>
        <w:tc>
          <w:tcPr>
            <w:tcW w:w="1417"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955"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公共绿地黄土露天超出0.5平方米</w:t>
            </w:r>
          </w:p>
        </w:tc>
        <w:tc>
          <w:tcPr>
            <w:tcW w:w="1417"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955"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修剪不规范造成树木严重受损</w:t>
            </w:r>
          </w:p>
        </w:tc>
        <w:tc>
          <w:tcPr>
            <w:tcW w:w="1417"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300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955"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公共绿地黄土露天0.5平方米以内</w:t>
            </w:r>
          </w:p>
        </w:tc>
        <w:tc>
          <w:tcPr>
            <w:tcW w:w="1417"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955"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监管不到位致绿化破坏</w:t>
            </w:r>
          </w:p>
        </w:tc>
        <w:tc>
          <w:tcPr>
            <w:tcW w:w="1417"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955"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行道树和乔木支撑不规范、支撑架倒塌、断桩、坏桩、树木倾斜严重</w:t>
            </w:r>
          </w:p>
        </w:tc>
        <w:tc>
          <w:tcPr>
            <w:tcW w:w="1417"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100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955"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行道树和乔木病虫枝、枯枝、伤损枝、徒长枝超过养护标准的，未疏枝、树皮开裂、孔洞未及时填补</w:t>
            </w:r>
          </w:p>
        </w:tc>
        <w:tc>
          <w:tcPr>
            <w:tcW w:w="1417"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100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955"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行道树和乔木长势不佳、偏冠严重、无冠幅</w:t>
            </w:r>
          </w:p>
        </w:tc>
        <w:tc>
          <w:tcPr>
            <w:tcW w:w="1417"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100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955"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树木长势较弱，黄叶、焦叶、落叶株数较多</w:t>
            </w:r>
          </w:p>
        </w:tc>
        <w:tc>
          <w:tcPr>
            <w:tcW w:w="1417"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100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955"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树穴土壤高于侧石、板结、填充物缺失 </w:t>
            </w:r>
          </w:p>
        </w:tc>
        <w:tc>
          <w:tcPr>
            <w:tcW w:w="1417"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100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955"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绿篱和灌木出现死株、缺株、混种、小道、杂株返祖的、绿植倒伏</w:t>
            </w:r>
          </w:p>
        </w:tc>
        <w:tc>
          <w:tcPr>
            <w:tcW w:w="1417"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100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955"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绿篱和灌木修剪不规范、不平整、窜条、高度影响交通视线的</w:t>
            </w:r>
          </w:p>
        </w:tc>
        <w:tc>
          <w:tcPr>
            <w:tcW w:w="1417"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100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955"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草坪高度超出养护标准、草坪边缘不清淅、草坪空秃、草坪覆盖率低</w:t>
            </w:r>
          </w:p>
        </w:tc>
        <w:tc>
          <w:tcPr>
            <w:tcW w:w="1417"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100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955"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绿地内杂草较多</w:t>
            </w:r>
          </w:p>
        </w:tc>
        <w:tc>
          <w:tcPr>
            <w:tcW w:w="1417"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100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000000"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955"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花坛花箱内时花缺株、倒伏、枯枝残花、杂草垃圾等</w:t>
            </w:r>
          </w:p>
        </w:tc>
        <w:tc>
          <w:tcPr>
            <w:tcW w:w="1417"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100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955"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绿化补种不规范、以及绿地养护出现其他问题</w:t>
            </w:r>
          </w:p>
        </w:tc>
        <w:tc>
          <w:tcPr>
            <w:tcW w:w="1417"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100</w:t>
            </w:r>
          </w:p>
        </w:tc>
      </w:tr>
      <w:tr>
        <w:tblPrEx>
          <w:tblCellMar>
            <w:top w:w="0" w:type="dxa"/>
            <w:left w:w="108" w:type="dxa"/>
            <w:bottom w:w="0" w:type="dxa"/>
            <w:right w:w="108" w:type="dxa"/>
          </w:tblCellMar>
        </w:tblPrEx>
        <w:trPr>
          <w:trHeight w:val="540" w:hRule="atLeast"/>
        </w:trPr>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2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病</w:t>
            </w:r>
          </w:p>
          <w:p>
            <w:pPr>
              <w:spacing w:before="0" w:beforeAutospacing="0" w:after="0" w:afterAutospacing="0" w:line="32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虫</w:t>
            </w:r>
          </w:p>
          <w:p>
            <w:pPr>
              <w:spacing w:before="0" w:beforeAutospacing="0" w:after="0" w:afterAutospacing="0" w:line="32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害</w:t>
            </w:r>
          </w:p>
          <w:p>
            <w:pPr>
              <w:spacing w:before="0" w:beforeAutospacing="0" w:after="0" w:afterAutospacing="0" w:line="32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防</w:t>
            </w:r>
          </w:p>
          <w:p>
            <w:pPr>
              <w:spacing w:before="0" w:beforeAutospacing="0" w:after="0" w:afterAutospacing="0" w:line="320" w:lineRule="exact"/>
              <w:ind w:left="0" w:right="0"/>
              <w:jc w:val="center"/>
              <w:rPr>
                <w:rFonts w:hint="eastAsia" w:ascii="宋体" w:hAnsi="宋体" w:eastAsia="宋体" w:cs="宋体"/>
                <w:strike/>
                <w:color w:val="auto"/>
                <w:kern w:val="0"/>
                <w:szCs w:val="21"/>
                <w:highlight w:val="none"/>
              </w:rPr>
            </w:pPr>
            <w:r>
              <w:rPr>
                <w:rFonts w:hint="eastAsia" w:ascii="宋体" w:hAnsi="宋体" w:eastAsia="宋体" w:cs="宋体"/>
                <w:color w:val="auto"/>
                <w:kern w:val="0"/>
                <w:szCs w:val="21"/>
                <w:highlight w:val="none"/>
              </w:rPr>
              <w:t>治</w:t>
            </w:r>
          </w:p>
          <w:p>
            <w:pPr>
              <w:spacing w:before="0" w:beforeAutospacing="0" w:after="0" w:afterAutospacing="0" w:line="320" w:lineRule="exact"/>
              <w:ind w:left="0" w:right="0"/>
              <w:jc w:val="center"/>
              <w:rPr>
                <w:rFonts w:hint="eastAsia" w:ascii="宋体" w:hAnsi="宋体" w:eastAsia="宋体" w:cs="宋体"/>
                <w:strike/>
                <w:color w:val="auto"/>
                <w:kern w:val="0"/>
                <w:szCs w:val="21"/>
                <w:highlight w:val="none"/>
              </w:rPr>
            </w:pPr>
          </w:p>
        </w:tc>
        <w:tc>
          <w:tcPr>
            <w:tcW w:w="5955"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大面积爆发绿化病虫害（连片10棵以上树木或5平米以上绿地）</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500</w:t>
            </w: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955"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小范围出现绿化病虫害</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200</w:t>
            </w: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955"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发现病虫害未及时进行防治措施，病虫害防治措施不到位</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100</w:t>
            </w: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955"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食叶性害虫危害树木</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100</w:t>
            </w: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955"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发现活蛀虫和活卵</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100</w:t>
            </w:r>
          </w:p>
        </w:tc>
      </w:tr>
      <w:tr>
        <w:tblPrEx>
          <w:tblCellMar>
            <w:top w:w="0" w:type="dxa"/>
            <w:left w:w="108" w:type="dxa"/>
            <w:bottom w:w="0" w:type="dxa"/>
            <w:right w:w="108" w:type="dxa"/>
          </w:tblCellMar>
        </w:tblPrEx>
        <w:trPr>
          <w:trHeight w:val="540" w:hRule="atLeast"/>
        </w:trPr>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line="32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绿化</w:t>
            </w:r>
          </w:p>
          <w:p>
            <w:pPr>
              <w:spacing w:before="0" w:beforeAutospacing="0" w:after="0" w:afterAutospacing="0" w:line="320" w:lineRule="exact"/>
              <w:ind w:left="0" w:right="0"/>
              <w:jc w:val="center"/>
              <w:rPr>
                <w:rFonts w:hint="eastAsia" w:ascii="宋体" w:hAnsi="宋体" w:eastAsia="宋体" w:cs="宋体"/>
                <w:strike/>
                <w:color w:val="auto"/>
                <w:kern w:val="0"/>
                <w:szCs w:val="21"/>
                <w:highlight w:val="none"/>
              </w:rPr>
            </w:pPr>
            <w:r>
              <w:rPr>
                <w:rFonts w:hint="eastAsia" w:ascii="宋体" w:hAnsi="宋体" w:eastAsia="宋体" w:cs="宋体"/>
                <w:color w:val="auto"/>
                <w:kern w:val="0"/>
                <w:szCs w:val="21"/>
                <w:highlight w:val="none"/>
              </w:rPr>
              <w:t>设施</w:t>
            </w:r>
          </w:p>
          <w:p>
            <w:pPr>
              <w:spacing w:before="0" w:beforeAutospacing="0" w:after="0" w:afterAutospacing="0" w:line="320" w:lineRule="exact"/>
              <w:ind w:left="0" w:right="0"/>
              <w:jc w:val="center"/>
              <w:rPr>
                <w:rFonts w:hint="eastAsia" w:ascii="宋体" w:hAnsi="宋体" w:eastAsia="宋体" w:cs="宋体"/>
                <w:strike/>
                <w:color w:val="auto"/>
                <w:kern w:val="0"/>
                <w:szCs w:val="21"/>
                <w:highlight w:val="none"/>
              </w:rPr>
            </w:pPr>
          </w:p>
        </w:tc>
        <w:tc>
          <w:tcPr>
            <w:tcW w:w="5955"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花箱、花坛、树穴破损、缺失，其他设施缺失</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100</w:t>
            </w:r>
          </w:p>
        </w:tc>
      </w:tr>
      <w:tr>
        <w:tblPrEx>
          <w:tblCellMar>
            <w:top w:w="0" w:type="dxa"/>
            <w:left w:w="108" w:type="dxa"/>
            <w:bottom w:w="0" w:type="dxa"/>
            <w:right w:w="108" w:type="dxa"/>
          </w:tblCellMar>
        </w:tblPrEx>
        <w:trPr>
          <w:trHeight w:val="540"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955" w:type="dxa"/>
            <w:tcBorders>
              <w:top w:val="single" w:color="auto" w:sz="4" w:space="0"/>
              <w:left w:val="nil"/>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公园及绿地内果壳箱有污迹、破损，箱内垃圾未日产日清 </w:t>
            </w:r>
          </w:p>
        </w:tc>
        <w:tc>
          <w:tcPr>
            <w:tcW w:w="1417" w:type="dxa"/>
            <w:tcBorders>
              <w:top w:val="single" w:color="auto" w:sz="4" w:space="0"/>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100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955"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设施有污迹、破损，金属构件设施有锈斑，油漆剥落等现象</w:t>
            </w:r>
          </w:p>
        </w:tc>
        <w:tc>
          <w:tcPr>
            <w:tcW w:w="1417"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100</w:t>
            </w:r>
          </w:p>
        </w:tc>
      </w:tr>
      <w:tr>
        <w:tblPrEx>
          <w:tblCellMar>
            <w:top w:w="0" w:type="dxa"/>
            <w:left w:w="108" w:type="dxa"/>
            <w:bottom w:w="0" w:type="dxa"/>
            <w:right w:w="108" w:type="dxa"/>
          </w:tblCellMar>
        </w:tblPrEx>
        <w:trPr>
          <w:trHeight w:val="540" w:hRule="atLeast"/>
        </w:trPr>
        <w:tc>
          <w:tcPr>
            <w:tcW w:w="900" w:type="dxa"/>
            <w:vMerge w:val="restart"/>
            <w:tcBorders>
              <w:top w:val="nil"/>
              <w:left w:val="single" w:color="auto" w:sz="4" w:space="0"/>
              <w:bottom w:val="nil"/>
              <w:right w:val="single" w:color="auto" w:sz="4" w:space="0"/>
            </w:tcBorders>
            <w:noWrap w:val="0"/>
            <w:vAlign w:val="center"/>
          </w:tcPr>
          <w:p>
            <w:pPr>
              <w:spacing w:before="0" w:beforeAutospacing="0" w:after="0" w:afterAutospacing="0" w:line="320" w:lineRule="exact"/>
              <w:ind w:left="0" w:right="0"/>
              <w:jc w:val="center"/>
              <w:rPr>
                <w:rFonts w:hint="eastAsia" w:ascii="宋体" w:hAnsi="宋体" w:eastAsia="宋体" w:cs="宋体"/>
                <w:color w:val="auto"/>
                <w:kern w:val="0"/>
                <w:szCs w:val="21"/>
                <w:highlight w:val="none"/>
              </w:rPr>
            </w:pPr>
          </w:p>
          <w:p>
            <w:pPr>
              <w:spacing w:before="0" w:beforeAutospacing="0" w:after="0" w:afterAutospacing="0" w:line="320" w:lineRule="exact"/>
              <w:ind w:left="0" w:right="0"/>
              <w:jc w:val="center"/>
              <w:rPr>
                <w:rFonts w:hint="eastAsia" w:ascii="宋体" w:hAnsi="宋体" w:eastAsia="宋体" w:cs="宋体"/>
                <w:color w:val="auto"/>
                <w:kern w:val="0"/>
                <w:szCs w:val="21"/>
                <w:highlight w:val="none"/>
              </w:rPr>
            </w:pPr>
          </w:p>
          <w:p>
            <w:pPr>
              <w:spacing w:before="0" w:beforeAutospacing="0" w:after="0" w:afterAutospacing="0" w:line="32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卫生及</w:t>
            </w:r>
          </w:p>
          <w:p>
            <w:pPr>
              <w:spacing w:before="0" w:beforeAutospacing="0" w:after="0" w:afterAutospacing="0" w:line="32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管理</w:t>
            </w:r>
          </w:p>
          <w:p>
            <w:pPr>
              <w:spacing w:before="0" w:beforeAutospacing="0" w:after="0" w:afterAutospacing="0" w:line="320" w:lineRule="exact"/>
              <w:ind w:left="0" w:right="0"/>
              <w:jc w:val="center"/>
              <w:rPr>
                <w:rFonts w:hint="eastAsia" w:ascii="宋体" w:hAnsi="宋体" w:eastAsia="宋体" w:cs="宋体"/>
                <w:color w:val="auto"/>
                <w:kern w:val="0"/>
                <w:szCs w:val="21"/>
                <w:highlight w:val="none"/>
              </w:rPr>
            </w:pPr>
          </w:p>
        </w:tc>
        <w:tc>
          <w:tcPr>
            <w:tcW w:w="5955"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抗雪防冻、防寒保暖、抗旱保绿、防高温等应急工作不到位</w:t>
            </w:r>
          </w:p>
        </w:tc>
        <w:tc>
          <w:tcPr>
            <w:tcW w:w="1417"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2000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nil"/>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955"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应急结束，因应急设施、设备未拆除影响道路通行安全 </w:t>
            </w:r>
          </w:p>
        </w:tc>
        <w:tc>
          <w:tcPr>
            <w:tcW w:w="1417"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300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nil"/>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955"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不文明施工，无围护，围护不到位</w:t>
            </w:r>
          </w:p>
        </w:tc>
        <w:tc>
          <w:tcPr>
            <w:tcW w:w="1417"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300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nil"/>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955"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管养人员不到位，养护人员上路作业不穿工作服，不文明作业</w:t>
            </w:r>
          </w:p>
        </w:tc>
        <w:tc>
          <w:tcPr>
            <w:tcW w:w="1417"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200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nil"/>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955"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树上及绿带内有垃圾袋、零乱草绳、钉子、扎缚铁丝、电线、挂晾晒衣物、堆物等</w:t>
            </w:r>
          </w:p>
        </w:tc>
        <w:tc>
          <w:tcPr>
            <w:tcW w:w="1417"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100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nil"/>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955"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绿地内有明显枯叶堆积、白色垃圾、石块、果壳等杂物</w:t>
            </w:r>
          </w:p>
        </w:tc>
        <w:tc>
          <w:tcPr>
            <w:tcW w:w="1417"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100</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auto" w:sz="4" w:space="0"/>
              <w:bottom w:val="nil"/>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955"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乔木及绿带积尘明显，沿线绿带色块叶面积灰严重</w:t>
            </w:r>
          </w:p>
        </w:tc>
        <w:tc>
          <w:tcPr>
            <w:tcW w:w="1417"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100</w:t>
            </w:r>
          </w:p>
        </w:tc>
      </w:tr>
      <w:tr>
        <w:tblPrEx>
          <w:tblCellMar>
            <w:top w:w="0" w:type="dxa"/>
            <w:left w:w="108" w:type="dxa"/>
            <w:bottom w:w="0" w:type="dxa"/>
            <w:right w:w="108" w:type="dxa"/>
          </w:tblCellMar>
        </w:tblPrEx>
        <w:trPr>
          <w:trHeight w:val="798" w:hRule="atLeast"/>
        </w:trPr>
        <w:tc>
          <w:tcPr>
            <w:tcW w:w="900" w:type="dxa"/>
            <w:tcBorders>
              <w:top w:val="single" w:color="000000" w:sz="4" w:space="0"/>
              <w:left w:val="single" w:color="auto" w:sz="4" w:space="0"/>
              <w:bottom w:val="single" w:color="auto" w:sz="4" w:space="0"/>
              <w:right w:val="single" w:color="auto" w:sz="4" w:space="0"/>
            </w:tcBorders>
            <w:noWrap w:val="0"/>
            <w:vAlign w:val="center"/>
          </w:tcPr>
          <w:p>
            <w:pPr>
              <w:spacing w:before="0" w:beforeAutospacing="0" w:after="0" w:afterAutospacing="0" w:line="32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整体</w:t>
            </w:r>
          </w:p>
          <w:p>
            <w:pPr>
              <w:spacing w:before="0" w:beforeAutospacing="0" w:after="0" w:afterAutospacing="0" w:line="32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景观</w:t>
            </w:r>
          </w:p>
        </w:tc>
        <w:tc>
          <w:tcPr>
            <w:tcW w:w="5955"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养护不当造成植物季相不分明，色彩不丰富，生长不茂盛，植物群落不完整、无绿带布置等影响整体景观效果</w:t>
            </w:r>
          </w:p>
        </w:tc>
        <w:tc>
          <w:tcPr>
            <w:tcW w:w="1417"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500</w:t>
            </w:r>
          </w:p>
        </w:tc>
      </w:tr>
      <w:tr>
        <w:tblPrEx>
          <w:tblCellMar>
            <w:top w:w="0" w:type="dxa"/>
            <w:left w:w="108" w:type="dxa"/>
            <w:bottom w:w="0" w:type="dxa"/>
            <w:right w:w="108" w:type="dxa"/>
          </w:tblCellMar>
        </w:tblPrEx>
        <w:trPr>
          <w:trHeight w:val="456" w:hRule="atLeast"/>
        </w:trPr>
        <w:tc>
          <w:tcPr>
            <w:tcW w:w="900" w:type="dxa"/>
            <w:vMerge w:val="restart"/>
            <w:tcBorders>
              <w:top w:val="nil"/>
              <w:left w:val="single" w:color="auto" w:sz="4" w:space="0"/>
              <w:bottom w:val="single" w:color="auto" w:sz="4" w:space="0"/>
              <w:right w:val="single" w:color="auto" w:sz="4" w:space="0"/>
            </w:tcBorders>
            <w:noWrap w:val="0"/>
            <w:vAlign w:val="center"/>
          </w:tcPr>
          <w:p>
            <w:pPr>
              <w:spacing w:before="0" w:beforeAutospacing="0" w:after="0" w:afterAutospacing="0" w:line="32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抄告</w:t>
            </w:r>
          </w:p>
          <w:p>
            <w:pPr>
              <w:spacing w:before="0" w:beforeAutospacing="0" w:after="0" w:afterAutospacing="0" w:line="320" w:lineRule="exact"/>
              <w:ind w:left="0" w:right="0"/>
              <w:jc w:val="center"/>
              <w:rPr>
                <w:rFonts w:hint="eastAsia" w:ascii="宋体" w:hAnsi="宋体" w:eastAsia="宋体" w:cs="宋体"/>
                <w:strike/>
                <w:color w:val="auto"/>
                <w:kern w:val="0"/>
                <w:szCs w:val="21"/>
                <w:highlight w:val="none"/>
              </w:rPr>
            </w:pPr>
            <w:r>
              <w:rPr>
                <w:rFonts w:hint="eastAsia" w:ascii="宋体" w:hAnsi="宋体" w:eastAsia="宋体" w:cs="宋体"/>
                <w:color w:val="auto"/>
                <w:kern w:val="0"/>
                <w:szCs w:val="21"/>
                <w:highlight w:val="none"/>
              </w:rPr>
              <w:t>单处理情况及专项台帐检查</w:t>
            </w:r>
          </w:p>
          <w:p>
            <w:pPr>
              <w:spacing w:before="0" w:beforeAutospacing="0" w:after="0" w:afterAutospacing="0" w:line="320" w:lineRule="exact"/>
              <w:ind w:left="0" w:right="0"/>
              <w:jc w:val="center"/>
              <w:rPr>
                <w:rFonts w:hint="eastAsia" w:ascii="宋体" w:hAnsi="宋体" w:eastAsia="宋体" w:cs="宋体"/>
                <w:strike/>
                <w:color w:val="auto"/>
                <w:kern w:val="0"/>
                <w:szCs w:val="21"/>
                <w:highlight w:val="none"/>
              </w:rPr>
            </w:pPr>
          </w:p>
        </w:tc>
        <w:tc>
          <w:tcPr>
            <w:tcW w:w="5955" w:type="dxa"/>
            <w:tcBorders>
              <w:top w:val="nil"/>
              <w:left w:val="nil"/>
              <w:bottom w:val="single" w:color="auto" w:sz="4" w:space="0"/>
              <w:right w:val="single" w:color="auto" w:sz="4" w:space="0"/>
            </w:tcBorders>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媒体曝光、信访处置不力、发生有责投诉</w:t>
            </w:r>
          </w:p>
        </w:tc>
        <w:tc>
          <w:tcPr>
            <w:tcW w:w="1417" w:type="dxa"/>
            <w:tcBorders>
              <w:top w:val="nil"/>
              <w:left w:val="single" w:color="auto" w:sz="4" w:space="0"/>
              <w:bottom w:val="single" w:color="000000"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2000</w:t>
            </w:r>
          </w:p>
        </w:tc>
      </w:tr>
      <w:tr>
        <w:tblPrEx>
          <w:tblCellMar>
            <w:top w:w="0" w:type="dxa"/>
            <w:left w:w="108" w:type="dxa"/>
            <w:bottom w:w="0" w:type="dxa"/>
            <w:right w:w="108" w:type="dxa"/>
          </w:tblCellMar>
        </w:tblPrEx>
        <w:trPr>
          <w:trHeight w:val="462" w:hRule="atLeast"/>
        </w:trPr>
        <w:tc>
          <w:tcPr>
            <w:tcW w:w="900" w:type="dxa"/>
            <w:vMerge w:val="continue"/>
            <w:tcBorders>
              <w:top w:val="nil"/>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955" w:type="dxa"/>
            <w:tcBorders>
              <w:top w:val="nil"/>
              <w:left w:val="nil"/>
              <w:bottom w:val="single" w:color="auto" w:sz="4" w:space="0"/>
              <w:right w:val="single" w:color="auto" w:sz="4" w:space="0"/>
            </w:tcBorders>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发生安全责任事故。</w:t>
            </w:r>
          </w:p>
        </w:tc>
        <w:tc>
          <w:tcPr>
            <w:tcW w:w="1417" w:type="dxa"/>
            <w:tcBorders>
              <w:top w:val="nil"/>
              <w:left w:val="single" w:color="auto" w:sz="4" w:space="0"/>
              <w:bottom w:val="single" w:color="000000"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2000</w:t>
            </w:r>
          </w:p>
        </w:tc>
      </w:tr>
      <w:tr>
        <w:tblPrEx>
          <w:tblCellMar>
            <w:top w:w="0" w:type="dxa"/>
            <w:left w:w="108" w:type="dxa"/>
            <w:bottom w:w="0" w:type="dxa"/>
            <w:right w:w="108" w:type="dxa"/>
          </w:tblCellMar>
        </w:tblPrEx>
        <w:trPr>
          <w:trHeight w:val="462" w:hRule="atLeast"/>
        </w:trPr>
        <w:tc>
          <w:tcPr>
            <w:tcW w:w="900" w:type="dxa"/>
            <w:vMerge w:val="continue"/>
            <w:tcBorders>
              <w:top w:val="nil"/>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955" w:type="dxa"/>
            <w:tcBorders>
              <w:top w:val="nil"/>
              <w:left w:val="nil"/>
              <w:bottom w:val="single" w:color="auto" w:sz="4" w:space="0"/>
              <w:right w:val="single" w:color="auto" w:sz="4" w:space="0"/>
            </w:tcBorders>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施工、养护、设施存在安全隐患</w:t>
            </w:r>
          </w:p>
        </w:tc>
        <w:tc>
          <w:tcPr>
            <w:tcW w:w="1417" w:type="dxa"/>
            <w:tcBorders>
              <w:top w:val="nil"/>
              <w:left w:val="single" w:color="auto" w:sz="4" w:space="0"/>
              <w:bottom w:val="single" w:color="000000"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500</w:t>
            </w:r>
          </w:p>
        </w:tc>
      </w:tr>
      <w:tr>
        <w:tblPrEx>
          <w:tblCellMar>
            <w:top w:w="0" w:type="dxa"/>
            <w:left w:w="108" w:type="dxa"/>
            <w:bottom w:w="0" w:type="dxa"/>
            <w:right w:w="108" w:type="dxa"/>
          </w:tblCellMar>
        </w:tblPrEx>
        <w:trPr>
          <w:trHeight w:val="788" w:hRule="atLeast"/>
        </w:trPr>
        <w:tc>
          <w:tcPr>
            <w:tcW w:w="900" w:type="dxa"/>
            <w:vMerge w:val="continue"/>
            <w:tcBorders>
              <w:top w:val="nil"/>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955"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绿化巡查台帐及绿化施肥、病虫害防治、植物修剪等专项养护台帐检查</w:t>
            </w:r>
            <w:r>
              <w:rPr>
                <w:rFonts w:hint="eastAsia" w:ascii="宋体" w:hAnsi="宋体" w:eastAsia="宋体" w:cs="宋体"/>
                <w:color w:val="auto"/>
                <w:spacing w:val="-8"/>
                <w:szCs w:val="21"/>
                <w:highlight w:val="none"/>
              </w:rPr>
              <w:t>未完成、弄虚作假</w:t>
            </w:r>
          </w:p>
        </w:tc>
        <w:tc>
          <w:tcPr>
            <w:tcW w:w="1417" w:type="dxa"/>
            <w:tcBorders>
              <w:top w:val="nil"/>
              <w:left w:val="single" w:color="auto" w:sz="4" w:space="0"/>
              <w:bottom w:val="single" w:color="000000"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500</w:t>
            </w:r>
          </w:p>
        </w:tc>
      </w:tr>
      <w:tr>
        <w:tblPrEx>
          <w:tblCellMar>
            <w:top w:w="0" w:type="dxa"/>
            <w:left w:w="108" w:type="dxa"/>
            <w:bottom w:w="0" w:type="dxa"/>
            <w:right w:w="108" w:type="dxa"/>
          </w:tblCellMar>
        </w:tblPrEx>
        <w:trPr>
          <w:trHeight w:val="367" w:hRule="atLeast"/>
        </w:trPr>
        <w:tc>
          <w:tcPr>
            <w:tcW w:w="900" w:type="dxa"/>
            <w:vMerge w:val="restart"/>
            <w:tcBorders>
              <w:top w:val="nil"/>
              <w:left w:val="single" w:color="auto" w:sz="4" w:space="0"/>
              <w:bottom w:val="single" w:color="auto" w:sz="4" w:space="0"/>
              <w:right w:val="single" w:color="auto" w:sz="4" w:space="0"/>
            </w:tcBorders>
            <w:noWrap w:val="0"/>
            <w:vAlign w:val="center"/>
          </w:tcPr>
          <w:p>
            <w:pPr>
              <w:spacing w:before="0" w:beforeAutospacing="0" w:after="0" w:afterAutospacing="0" w:line="32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其他</w:t>
            </w:r>
          </w:p>
        </w:tc>
        <w:tc>
          <w:tcPr>
            <w:tcW w:w="5955" w:type="dxa"/>
            <w:tcBorders>
              <w:top w:val="nil"/>
              <w:left w:val="nil"/>
              <w:bottom w:val="single" w:color="auto" w:sz="4" w:space="0"/>
              <w:right w:val="single" w:color="auto" w:sz="4" w:space="0"/>
            </w:tcBorders>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重大活动、应急、迎检保障不力</w:t>
            </w:r>
          </w:p>
        </w:tc>
        <w:tc>
          <w:tcPr>
            <w:tcW w:w="1417" w:type="dxa"/>
            <w:tcBorders>
              <w:top w:val="nil"/>
              <w:left w:val="single" w:color="auto" w:sz="4" w:space="0"/>
              <w:bottom w:val="single" w:color="000000"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10000——30000</w:t>
            </w:r>
          </w:p>
        </w:tc>
      </w:tr>
      <w:tr>
        <w:tblPrEx>
          <w:tblCellMar>
            <w:top w:w="0" w:type="dxa"/>
            <w:left w:w="108" w:type="dxa"/>
            <w:bottom w:w="0" w:type="dxa"/>
            <w:right w:w="108" w:type="dxa"/>
          </w:tblCellMar>
        </w:tblPrEx>
        <w:trPr>
          <w:trHeight w:val="301" w:hRule="atLeast"/>
        </w:trPr>
        <w:tc>
          <w:tcPr>
            <w:tcW w:w="900" w:type="dxa"/>
            <w:vMerge w:val="continue"/>
            <w:tcBorders>
              <w:top w:val="nil"/>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5955" w:type="dxa"/>
            <w:tcBorders>
              <w:top w:val="nil"/>
              <w:left w:val="nil"/>
              <w:bottom w:val="single" w:color="auto" w:sz="4" w:space="0"/>
              <w:right w:val="single" w:color="auto" w:sz="4" w:space="0"/>
            </w:tcBorders>
            <w:noWrap w:val="0"/>
            <w:vAlign w:val="center"/>
          </w:tcPr>
          <w:p>
            <w:pPr>
              <w:spacing w:before="0" w:beforeAutospacing="0" w:after="0" w:afterAutospacing="0" w:line="300" w:lineRule="exact"/>
              <w:ind w:left="0" w:right="0"/>
              <w:rPr>
                <w:rFonts w:hint="eastAsia" w:ascii="宋体" w:hAnsi="宋体" w:eastAsia="宋体" w:cs="宋体"/>
                <w:color w:val="auto"/>
                <w:szCs w:val="21"/>
                <w:highlight w:val="none"/>
              </w:rPr>
            </w:pPr>
            <w:r>
              <w:rPr>
                <w:rFonts w:hint="eastAsia" w:ascii="宋体" w:hAnsi="宋体" w:eastAsia="宋体" w:cs="宋体"/>
                <w:color w:val="auto"/>
                <w:szCs w:val="21"/>
                <w:highlight w:val="none"/>
              </w:rPr>
              <w:t>因劳资纠纷引起群体性事件</w:t>
            </w:r>
          </w:p>
        </w:tc>
        <w:tc>
          <w:tcPr>
            <w:tcW w:w="1417" w:type="dxa"/>
            <w:tcBorders>
              <w:top w:val="nil"/>
              <w:left w:val="single" w:color="auto" w:sz="4" w:space="0"/>
              <w:bottom w:val="single" w:color="000000" w:sz="4" w:space="0"/>
              <w:right w:val="single" w:color="auto" w:sz="4" w:space="0"/>
            </w:tcBorders>
            <w:noWrap w:val="0"/>
            <w:vAlign w:val="center"/>
          </w:tcPr>
          <w:p>
            <w:pPr>
              <w:spacing w:before="0" w:beforeAutospacing="0" w:after="0" w:afterAutospacing="0" w:line="3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5000</w:t>
            </w:r>
          </w:p>
        </w:tc>
      </w:tr>
    </w:tbl>
    <w:p>
      <w:pPr>
        <w:rPr>
          <w:rFonts w:hint="eastAsia"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1、公共绿地管养考核扣分比重按照一类道路100%，二类道路90%，三类道路80%，其它道路70%</w:t>
      </w:r>
      <w:r>
        <w:rPr>
          <w:rFonts w:hint="eastAsia" w:ascii="宋体" w:hAnsi="宋体" w:eastAsia="宋体" w:cs="宋体"/>
          <w:color w:val="auto"/>
          <w:szCs w:val="21"/>
          <w:highlight w:val="none"/>
        </w:rPr>
        <w:t>，开放式小区50%</w:t>
      </w:r>
      <w:r>
        <w:rPr>
          <w:rFonts w:hint="eastAsia" w:ascii="宋体" w:hAnsi="宋体" w:eastAsia="宋体" w:cs="宋体"/>
          <w:color w:val="auto"/>
          <w:spacing w:val="-8"/>
          <w:szCs w:val="21"/>
          <w:highlight w:val="none"/>
        </w:rPr>
        <w:t>予以扣款。</w:t>
      </w:r>
    </w:p>
    <w:p>
      <w:pPr>
        <w:widowControl/>
        <w:rPr>
          <w:rFonts w:hint="eastAsia" w:ascii="宋体" w:hAnsi="宋体" w:eastAsia="宋体" w:cs="宋体"/>
          <w:color w:val="auto"/>
          <w:szCs w:val="21"/>
          <w:highlight w:val="none"/>
        </w:rPr>
      </w:pPr>
      <w:r>
        <w:rPr>
          <w:rFonts w:hint="eastAsia" w:ascii="宋体" w:hAnsi="宋体" w:eastAsia="宋体" w:cs="宋体"/>
          <w:color w:val="auto"/>
          <w:szCs w:val="21"/>
          <w:highlight w:val="none"/>
        </w:rPr>
        <w:t>2、相关问题按“每处”实施扣款。</w:t>
      </w:r>
    </w:p>
    <w:p>
      <w:pPr>
        <w:widowControl/>
        <w:rPr>
          <w:rFonts w:hint="eastAsia" w:ascii="宋体" w:hAnsi="宋体" w:eastAsia="宋体" w:cs="宋体"/>
          <w:color w:val="auto"/>
          <w:szCs w:val="21"/>
          <w:highlight w:val="none"/>
        </w:rPr>
      </w:pPr>
    </w:p>
    <w:p>
      <w:pPr>
        <w:widowControl/>
        <w:rPr>
          <w:rFonts w:hint="eastAsia" w:ascii="宋体" w:hAnsi="宋体" w:eastAsia="宋体" w:cs="宋体"/>
          <w:color w:val="auto"/>
          <w:szCs w:val="21"/>
          <w:highlight w:val="none"/>
        </w:rPr>
      </w:pPr>
    </w:p>
    <w:p>
      <w:pPr>
        <w:widowControl/>
        <w:rPr>
          <w:rFonts w:hint="eastAsia" w:ascii="宋体" w:hAnsi="宋体" w:eastAsia="宋体" w:cs="宋体"/>
          <w:color w:val="auto"/>
          <w:szCs w:val="21"/>
          <w:highlight w:val="none"/>
        </w:rPr>
      </w:pPr>
    </w:p>
    <w:p>
      <w:pPr>
        <w:widowControl/>
        <w:rPr>
          <w:rFonts w:hint="eastAsia" w:ascii="宋体" w:hAnsi="宋体" w:eastAsia="宋体" w:cs="宋体"/>
          <w:color w:val="auto"/>
          <w:szCs w:val="21"/>
          <w:highlight w:val="none"/>
        </w:rPr>
      </w:pPr>
    </w:p>
    <w:p>
      <w:pPr>
        <w:pStyle w:val="26"/>
        <w:rPr>
          <w:rFonts w:hint="eastAsia" w:ascii="宋体" w:hAnsi="宋体" w:eastAsia="宋体" w:cs="宋体"/>
          <w:color w:val="auto"/>
          <w:highlight w:val="none"/>
        </w:rPr>
      </w:pPr>
    </w:p>
    <w:p>
      <w:pPr>
        <w:widowControl/>
        <w:rPr>
          <w:rFonts w:hint="eastAsia" w:ascii="宋体" w:hAnsi="宋体" w:eastAsia="宋体" w:cs="宋体"/>
          <w:color w:val="auto"/>
          <w:szCs w:val="21"/>
          <w:highlight w:val="none"/>
        </w:rPr>
      </w:pPr>
    </w:p>
    <w:p>
      <w:pPr>
        <w:pStyle w:val="26"/>
        <w:rPr>
          <w:rFonts w:hint="eastAsia"/>
          <w:color w:val="auto"/>
          <w:highlight w:val="none"/>
        </w:rPr>
      </w:pPr>
    </w:p>
    <w:p>
      <w:pPr>
        <w:widowControl/>
        <w:rPr>
          <w:rFonts w:hint="eastAsia" w:ascii="宋体" w:hAnsi="宋体" w:eastAsia="宋体" w:cs="宋体"/>
          <w:color w:val="auto"/>
          <w:szCs w:val="21"/>
          <w:highlight w:val="none"/>
        </w:rPr>
      </w:pPr>
    </w:p>
    <w:p>
      <w:pPr>
        <w:spacing w:line="590" w:lineRule="exact"/>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附件3</w:t>
      </w:r>
    </w:p>
    <w:p>
      <w:pPr>
        <w:widowControl/>
        <w:spacing w:line="570" w:lineRule="exact"/>
        <w:jc w:val="center"/>
        <w:rPr>
          <w:rFonts w:hint="eastAsia" w:ascii="宋体" w:hAnsi="宋体" w:eastAsia="宋体" w:cs="宋体"/>
          <w:bCs/>
          <w:color w:val="auto"/>
          <w:sz w:val="44"/>
          <w:szCs w:val="44"/>
          <w:highlight w:val="none"/>
        </w:rPr>
      </w:pPr>
      <w:r>
        <w:rPr>
          <w:rFonts w:hint="eastAsia" w:ascii="宋体" w:hAnsi="宋体" w:eastAsia="宋体" w:cs="宋体"/>
          <w:bCs/>
          <w:color w:val="auto"/>
          <w:sz w:val="44"/>
          <w:szCs w:val="44"/>
          <w:highlight w:val="none"/>
        </w:rPr>
        <w:t>塘栖镇防灾抗灾及重大活动</w:t>
      </w:r>
    </w:p>
    <w:p>
      <w:pPr>
        <w:widowControl/>
        <w:spacing w:line="570" w:lineRule="exact"/>
        <w:jc w:val="center"/>
        <w:rPr>
          <w:rFonts w:hint="eastAsia" w:ascii="宋体" w:hAnsi="宋体" w:eastAsia="宋体" w:cs="宋体"/>
          <w:bCs/>
          <w:color w:val="auto"/>
          <w:sz w:val="44"/>
          <w:szCs w:val="44"/>
          <w:highlight w:val="none"/>
        </w:rPr>
      </w:pPr>
      <w:r>
        <w:rPr>
          <w:rFonts w:hint="eastAsia" w:ascii="宋体" w:hAnsi="宋体" w:eastAsia="宋体" w:cs="宋体"/>
          <w:bCs/>
          <w:color w:val="auto"/>
          <w:sz w:val="44"/>
          <w:szCs w:val="44"/>
          <w:highlight w:val="none"/>
        </w:rPr>
        <w:t>市场化养护考核细则</w:t>
      </w:r>
    </w:p>
    <w:p>
      <w:pPr>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考核时间:              被考核单位:                    考核人:</w:t>
      </w:r>
    </w:p>
    <w:tbl>
      <w:tblPr>
        <w:tblStyle w:val="62"/>
        <w:tblW w:w="8592" w:type="dxa"/>
        <w:tblInd w:w="93" w:type="dxa"/>
        <w:tblLayout w:type="fixed"/>
        <w:tblCellMar>
          <w:top w:w="0" w:type="dxa"/>
          <w:left w:w="108" w:type="dxa"/>
          <w:bottom w:w="0" w:type="dxa"/>
          <w:right w:w="108" w:type="dxa"/>
        </w:tblCellMar>
      </w:tblPr>
      <w:tblGrid>
        <w:gridCol w:w="840"/>
        <w:gridCol w:w="1600"/>
        <w:gridCol w:w="4780"/>
        <w:gridCol w:w="1372"/>
      </w:tblGrid>
      <w:tr>
        <w:tblPrEx>
          <w:tblCellMar>
            <w:top w:w="0" w:type="dxa"/>
            <w:left w:w="108" w:type="dxa"/>
            <w:bottom w:w="0" w:type="dxa"/>
            <w:right w:w="108" w:type="dxa"/>
          </w:tblCellMar>
        </w:tblPrEx>
        <w:trPr>
          <w:trHeight w:val="810" w:hRule="atLeast"/>
        </w:trPr>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序号</w:t>
            </w:r>
          </w:p>
        </w:tc>
        <w:tc>
          <w:tcPr>
            <w:tcW w:w="1600" w:type="dxa"/>
            <w:tcBorders>
              <w:top w:val="single" w:color="auto" w:sz="4" w:space="0"/>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考核内容</w:t>
            </w:r>
          </w:p>
        </w:tc>
        <w:tc>
          <w:tcPr>
            <w:tcW w:w="4780" w:type="dxa"/>
            <w:tcBorders>
              <w:top w:val="single" w:color="auto" w:sz="4" w:space="0"/>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考核细则</w:t>
            </w:r>
          </w:p>
        </w:tc>
        <w:tc>
          <w:tcPr>
            <w:tcW w:w="1372" w:type="dxa"/>
            <w:tcBorders>
              <w:top w:val="single" w:color="auto" w:sz="4" w:space="0"/>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备注</w:t>
            </w:r>
          </w:p>
        </w:tc>
      </w:tr>
      <w:tr>
        <w:tblPrEx>
          <w:tblCellMar>
            <w:top w:w="0" w:type="dxa"/>
            <w:left w:w="108" w:type="dxa"/>
            <w:bottom w:w="0" w:type="dxa"/>
            <w:right w:w="108" w:type="dxa"/>
          </w:tblCellMar>
        </w:tblPrEx>
        <w:trPr>
          <w:trHeight w:val="1695" w:hRule="atLeast"/>
        </w:trPr>
        <w:tc>
          <w:tcPr>
            <w:tcW w:w="840" w:type="dxa"/>
            <w:tcBorders>
              <w:top w:val="nil"/>
              <w:left w:val="single" w:color="auto" w:sz="4" w:space="0"/>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1600" w:type="dxa"/>
            <w:vMerge w:val="restart"/>
            <w:tcBorders>
              <w:top w:val="nil"/>
              <w:left w:val="single" w:color="auto" w:sz="4" w:space="0"/>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工作重视</w:t>
            </w:r>
          </w:p>
        </w:tc>
        <w:tc>
          <w:tcPr>
            <w:tcW w:w="4780"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能按要求安排人员到中心值班，值班人员能根据中心需要被调配，表现优秀的各奖励200元；未能按要求安排人员值班的扣300元。</w:t>
            </w:r>
          </w:p>
        </w:tc>
        <w:tc>
          <w:tcPr>
            <w:tcW w:w="1372"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w:t>
            </w:r>
          </w:p>
        </w:tc>
      </w:tr>
      <w:tr>
        <w:tblPrEx>
          <w:tblCellMar>
            <w:top w:w="0" w:type="dxa"/>
            <w:left w:w="108" w:type="dxa"/>
            <w:bottom w:w="0" w:type="dxa"/>
            <w:right w:w="108" w:type="dxa"/>
          </w:tblCellMar>
        </w:tblPrEx>
        <w:trPr>
          <w:trHeight w:val="1695" w:hRule="atLeast"/>
        </w:trPr>
        <w:tc>
          <w:tcPr>
            <w:tcW w:w="840" w:type="dxa"/>
            <w:tcBorders>
              <w:top w:val="nil"/>
              <w:left w:val="single" w:color="auto" w:sz="4" w:space="0"/>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1600" w:type="dxa"/>
            <w:vMerge w:val="continue"/>
            <w:tcBorders>
              <w:top w:val="nil"/>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4780"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具体负责人亲自参加中心召集的会议，并按要求进行现场指挥的奖励具体负责人200元；未亲自参加中心召集的会议扣200元。</w:t>
            </w:r>
          </w:p>
        </w:tc>
        <w:tc>
          <w:tcPr>
            <w:tcW w:w="1372"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w:t>
            </w:r>
          </w:p>
        </w:tc>
      </w:tr>
      <w:tr>
        <w:tblPrEx>
          <w:tblCellMar>
            <w:top w:w="0" w:type="dxa"/>
            <w:left w:w="108" w:type="dxa"/>
            <w:bottom w:w="0" w:type="dxa"/>
            <w:right w:w="108" w:type="dxa"/>
          </w:tblCellMar>
        </w:tblPrEx>
        <w:trPr>
          <w:trHeight w:val="1695" w:hRule="atLeast"/>
        </w:trPr>
        <w:tc>
          <w:tcPr>
            <w:tcW w:w="840" w:type="dxa"/>
            <w:tcBorders>
              <w:top w:val="nil"/>
              <w:left w:val="single" w:color="auto" w:sz="4" w:space="0"/>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w:t>
            </w:r>
          </w:p>
        </w:tc>
        <w:tc>
          <w:tcPr>
            <w:tcW w:w="1600" w:type="dxa"/>
            <w:vMerge w:val="restart"/>
            <w:tcBorders>
              <w:top w:val="nil"/>
              <w:left w:val="single" w:color="auto" w:sz="4" w:space="0"/>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工作思路</w:t>
            </w:r>
          </w:p>
        </w:tc>
        <w:tc>
          <w:tcPr>
            <w:tcW w:w="4780"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工作思路清晰,人员安排充足、得当的酌情奖励200-500元；工作思路不清晰，人员安排不充足得当的酌情扣200-500元。</w:t>
            </w:r>
          </w:p>
        </w:tc>
        <w:tc>
          <w:tcPr>
            <w:tcW w:w="1372"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w:t>
            </w:r>
          </w:p>
        </w:tc>
      </w:tr>
      <w:tr>
        <w:tblPrEx>
          <w:tblCellMar>
            <w:top w:w="0" w:type="dxa"/>
            <w:left w:w="108" w:type="dxa"/>
            <w:bottom w:w="0" w:type="dxa"/>
            <w:right w:w="108" w:type="dxa"/>
          </w:tblCellMar>
        </w:tblPrEx>
        <w:trPr>
          <w:trHeight w:val="1695" w:hRule="atLeast"/>
        </w:trPr>
        <w:tc>
          <w:tcPr>
            <w:tcW w:w="840" w:type="dxa"/>
            <w:tcBorders>
              <w:top w:val="nil"/>
              <w:left w:val="single" w:color="auto" w:sz="4" w:space="0"/>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w:t>
            </w:r>
          </w:p>
        </w:tc>
        <w:tc>
          <w:tcPr>
            <w:tcW w:w="1600" w:type="dxa"/>
            <w:vMerge w:val="continue"/>
            <w:tcBorders>
              <w:top w:val="nil"/>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4780"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按要求充足储备物资，能随时调配并根据实际情况自觉使用的酌情奖励200-500元，反之扣200-500元。 </w:t>
            </w:r>
          </w:p>
        </w:tc>
        <w:tc>
          <w:tcPr>
            <w:tcW w:w="1372"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w:t>
            </w:r>
          </w:p>
        </w:tc>
      </w:tr>
      <w:tr>
        <w:tblPrEx>
          <w:tblCellMar>
            <w:top w:w="0" w:type="dxa"/>
            <w:left w:w="108" w:type="dxa"/>
            <w:bottom w:w="0" w:type="dxa"/>
            <w:right w:w="108" w:type="dxa"/>
          </w:tblCellMar>
        </w:tblPrEx>
        <w:trPr>
          <w:trHeight w:val="1695" w:hRule="atLeast"/>
        </w:trPr>
        <w:tc>
          <w:tcPr>
            <w:tcW w:w="840" w:type="dxa"/>
            <w:tcBorders>
              <w:top w:val="nil"/>
              <w:left w:val="single" w:color="auto" w:sz="4" w:space="0"/>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5</w:t>
            </w:r>
          </w:p>
        </w:tc>
        <w:tc>
          <w:tcPr>
            <w:tcW w:w="1600" w:type="dxa"/>
            <w:vMerge w:val="continue"/>
            <w:tcBorders>
              <w:top w:val="nil"/>
              <w:left w:val="single" w:color="auto" w:sz="4" w:space="0"/>
              <w:bottom w:val="single" w:color="auto" w:sz="4" w:space="0"/>
              <w:right w:val="single" w:color="auto" w:sz="4" w:space="0"/>
            </w:tcBorders>
            <w:noWrap w:val="0"/>
            <w:vAlign w:val="center"/>
          </w:tcPr>
          <w:p>
            <w:pPr>
              <w:spacing w:before="0" w:beforeAutospacing="0" w:after="0" w:afterAutospacing="0"/>
              <w:ind w:left="0" w:right="0"/>
              <w:rPr>
                <w:rFonts w:hint="eastAsia" w:ascii="宋体" w:hAnsi="宋体" w:eastAsia="宋体" w:cs="宋体"/>
                <w:color w:val="auto"/>
                <w:sz w:val="20"/>
                <w:szCs w:val="20"/>
                <w:highlight w:val="none"/>
              </w:rPr>
            </w:pPr>
          </w:p>
        </w:tc>
        <w:tc>
          <w:tcPr>
            <w:tcW w:w="4780"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工作重点把握及时到位的，能随时服从中心调配指挥的，酌情奖励200-500元；反之酌情扣200-500元。</w:t>
            </w:r>
          </w:p>
        </w:tc>
        <w:tc>
          <w:tcPr>
            <w:tcW w:w="1372" w:type="dxa"/>
            <w:tcBorders>
              <w:top w:val="nil"/>
              <w:left w:val="nil"/>
              <w:bottom w:val="single" w:color="auto" w:sz="4" w:space="0"/>
              <w:right w:val="single" w:color="auto" w:sz="4" w:space="0"/>
            </w:tcBorders>
            <w:noWrap w:val="0"/>
            <w:vAlign w:val="center"/>
          </w:tcPr>
          <w:p>
            <w:pPr>
              <w:widowControl/>
              <w:spacing w:before="0" w:beforeAutospacing="0" w:after="0" w:afterAutospacing="0"/>
              <w:ind w:left="0" w:right="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w:t>
            </w:r>
          </w:p>
        </w:tc>
      </w:tr>
    </w:tbl>
    <w:p>
      <w:pPr>
        <w:spacing w:line="360" w:lineRule="auto"/>
        <w:rPr>
          <w:rFonts w:hint="eastAsia" w:ascii="宋体" w:hAnsi="宋体" w:eastAsia="宋体" w:cs="宋体"/>
          <w:bCs/>
          <w:color w:val="auto"/>
          <w:sz w:val="44"/>
          <w:szCs w:val="44"/>
          <w:highlight w:val="none"/>
        </w:rPr>
      </w:pPr>
    </w:p>
    <w:p>
      <w:pPr>
        <w:spacing w:line="420" w:lineRule="exact"/>
        <w:ind w:firstLine="120" w:firstLineChars="50"/>
        <w:rPr>
          <w:rFonts w:hint="eastAsia" w:ascii="宋体" w:hAnsi="宋体" w:eastAsia="宋体" w:cs="宋体"/>
          <w:color w:val="auto"/>
          <w:sz w:val="24"/>
          <w:highlight w:val="none"/>
        </w:rPr>
      </w:pPr>
    </w:p>
    <w:p>
      <w:pPr>
        <w:spacing w:line="420" w:lineRule="exact"/>
        <w:ind w:firstLine="120" w:firstLineChars="50"/>
        <w:rPr>
          <w:rFonts w:hint="eastAsia" w:ascii="宋体" w:hAnsi="宋体" w:eastAsia="宋体" w:cs="宋体"/>
          <w:color w:val="auto"/>
          <w:sz w:val="24"/>
          <w:highlight w:val="none"/>
        </w:rPr>
      </w:pPr>
    </w:p>
    <w:p>
      <w:pPr>
        <w:spacing w:line="420" w:lineRule="exact"/>
        <w:ind w:firstLine="120" w:firstLineChars="50"/>
        <w:rPr>
          <w:rFonts w:hint="eastAsia" w:ascii="宋体" w:hAnsi="宋体" w:eastAsia="宋体" w:cs="宋体"/>
          <w:color w:val="auto"/>
          <w:sz w:val="24"/>
          <w:highlight w:val="none"/>
        </w:rPr>
      </w:pPr>
    </w:p>
    <w:p>
      <w:pPr>
        <w:pStyle w:val="4"/>
        <w:rPr>
          <w:rFonts w:hint="eastAsia" w:ascii="宋体" w:hAnsi="宋体" w:eastAsia="宋体" w:cs="宋体"/>
          <w:color w:val="auto"/>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二、奖罚标准： </w:t>
      </w:r>
    </w:p>
    <w:p>
      <w:pPr>
        <w:spacing w:line="360" w:lineRule="auto"/>
        <w:ind w:firstLine="480" w:firstLineChars="20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塘栖镇城市管理中心进行日常巡回监督管理、月度考核与季度考核相结合的办法。</w:t>
      </w:r>
    </w:p>
    <w:p>
      <w:pPr>
        <w:spacing w:line="360" w:lineRule="auto"/>
        <w:ind w:firstLine="240" w:firstLineChars="10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每月25日前，由塘栖镇城市管理中心负责进行月度考核，当季季末15日内，由塘栖镇城市管理中心负责召集考核组进行现场考核；当季二个月（含）以上月度考核不合格的，直接视为季度考核不合格；二个季度周期内存在三个月（含）以上月度考核不合格的，招标人有权直接终止合同，并按招标文件及合同有关条款执行没收履约保证金等措施。</w:t>
      </w:r>
    </w:p>
    <w:p>
      <w:pPr>
        <w:spacing w:line="360" w:lineRule="auto"/>
        <w:ind w:firstLine="240" w:firstLineChars="10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2、依据《道路清扫保洁质量标准》《环卫作业考核评分标准》等的各项条款进行考评，根据考核结果及结果运用按照年度统一计算支付最后一季度养护款。</w:t>
      </w:r>
    </w:p>
    <w:p>
      <w:pPr>
        <w:snapToGrid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3、区级季度考核中，保洁单项考核成绩累计最差两次或区级城市管理考核领导小组在示范街创建考核中，因保洁不合格导致创建不成功的，甲方有权终止合同。</w:t>
      </w:r>
    </w:p>
    <w:p>
      <w:pPr>
        <w:spacing w:line="360" w:lineRule="auto"/>
        <w:rPr>
          <w:rFonts w:hint="eastAsia" w:ascii="宋体" w:hAnsi="宋体" w:eastAsia="宋体" w:cs="宋体"/>
          <w:b/>
          <w:bCs/>
          <w:color w:val="auto"/>
          <w:sz w:val="24"/>
          <w:highlight w:val="none"/>
        </w:rPr>
      </w:pP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十</w:t>
      </w:r>
      <w:r>
        <w:rPr>
          <w:rFonts w:hint="eastAsia" w:ascii="宋体" w:hAnsi="宋体" w:cs="宋体"/>
          <w:b/>
          <w:bCs/>
          <w:color w:val="auto"/>
          <w:sz w:val="24"/>
          <w:highlight w:val="none"/>
          <w:lang w:val="en-US" w:eastAsia="zh-CN"/>
        </w:rPr>
        <w:t>一</w:t>
      </w:r>
      <w:r>
        <w:rPr>
          <w:rFonts w:hint="eastAsia" w:ascii="宋体" w:hAnsi="宋体" w:eastAsia="宋体" w:cs="宋体"/>
          <w:b/>
          <w:bCs/>
          <w:color w:val="auto"/>
          <w:sz w:val="24"/>
          <w:highlight w:val="none"/>
        </w:rPr>
        <w:t>、本工程有关的特殊条款</w:t>
      </w:r>
    </w:p>
    <w:p>
      <w:pPr>
        <w:numPr>
          <w:ilvl w:val="0"/>
          <w:numId w:val="0"/>
        </w:num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附表1</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4127"/>
        <w:gridCol w:w="1075"/>
        <w:gridCol w:w="2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85" w:type="dxa"/>
            <w:gridSpan w:val="4"/>
            <w:noWrap w:val="0"/>
            <w:vAlign w:val="top"/>
          </w:tcPr>
          <w:p>
            <w:pPr>
              <w:spacing w:before="0" w:beforeAutospacing="0" w:after="0" w:afterAutospacing="0" w:line="360" w:lineRule="auto"/>
              <w:ind w:left="0" w:right="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必须配备的机械设备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noWrap w:val="0"/>
            <w:vAlign w:val="center"/>
          </w:tcPr>
          <w:p>
            <w:pPr>
              <w:spacing w:before="0" w:beforeAutospacing="0" w:after="0" w:afterAutospacing="0" w:line="360" w:lineRule="auto"/>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4127" w:type="dxa"/>
            <w:noWrap w:val="0"/>
            <w:vAlign w:val="center"/>
          </w:tcPr>
          <w:p>
            <w:pPr>
              <w:spacing w:before="0" w:beforeAutospacing="0" w:after="0" w:afterAutospacing="0" w:line="360" w:lineRule="auto"/>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车辆名称</w:t>
            </w:r>
          </w:p>
        </w:tc>
        <w:tc>
          <w:tcPr>
            <w:tcW w:w="1075" w:type="dxa"/>
            <w:noWrap w:val="0"/>
            <w:vAlign w:val="center"/>
          </w:tcPr>
          <w:p>
            <w:pPr>
              <w:spacing w:before="0" w:beforeAutospacing="0" w:after="0" w:afterAutospacing="0" w:line="360" w:lineRule="auto"/>
              <w:ind w:left="0" w:right="0"/>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数量</w:t>
            </w:r>
          </w:p>
        </w:tc>
        <w:tc>
          <w:tcPr>
            <w:tcW w:w="2307" w:type="dxa"/>
            <w:noWrap w:val="0"/>
            <w:vAlign w:val="center"/>
          </w:tcPr>
          <w:p>
            <w:pPr>
              <w:spacing w:before="0" w:beforeAutospacing="0" w:after="0" w:afterAutospacing="0" w:line="360" w:lineRule="auto"/>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noWrap w:val="0"/>
            <w:vAlign w:val="center"/>
          </w:tcPr>
          <w:p>
            <w:pPr>
              <w:spacing w:before="0" w:beforeAutospacing="0" w:after="0" w:afterAutospacing="0" w:line="360" w:lineRule="auto"/>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127" w:type="dxa"/>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洒水车(18吨及以上）</w:t>
            </w:r>
          </w:p>
        </w:tc>
        <w:tc>
          <w:tcPr>
            <w:tcW w:w="10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c>
          <w:tcPr>
            <w:tcW w:w="2307" w:type="dxa"/>
            <w:noWrap w:val="0"/>
            <w:vAlign w:val="center"/>
          </w:tcPr>
          <w:p>
            <w:pPr>
              <w:spacing w:before="0" w:beforeAutospacing="0" w:after="0" w:afterAutospacing="0" w:line="360" w:lineRule="auto"/>
              <w:ind w:left="0" w:right="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noWrap w:val="0"/>
            <w:vAlign w:val="center"/>
          </w:tcPr>
          <w:p>
            <w:pPr>
              <w:spacing w:before="0" w:beforeAutospacing="0" w:after="0" w:afterAutospacing="0" w:line="360" w:lineRule="auto"/>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4127" w:type="dxa"/>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抑尘雾炮车（8吨）带冲洗龙头</w:t>
            </w:r>
          </w:p>
        </w:tc>
        <w:tc>
          <w:tcPr>
            <w:tcW w:w="10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c>
          <w:tcPr>
            <w:tcW w:w="2307" w:type="dxa"/>
            <w:noWrap w:val="0"/>
            <w:vAlign w:val="center"/>
          </w:tcPr>
          <w:p>
            <w:pPr>
              <w:spacing w:before="0" w:beforeAutospacing="0" w:after="0" w:afterAutospacing="0" w:line="360" w:lineRule="auto"/>
              <w:ind w:left="0" w:right="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noWrap w:val="0"/>
            <w:vAlign w:val="center"/>
          </w:tcPr>
          <w:p>
            <w:pPr>
              <w:spacing w:before="0" w:beforeAutospacing="0" w:after="0" w:afterAutospacing="0" w:line="360" w:lineRule="auto"/>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4127" w:type="dxa"/>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小吨位三位一体清扫车</w:t>
            </w:r>
          </w:p>
        </w:tc>
        <w:tc>
          <w:tcPr>
            <w:tcW w:w="10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w:t>
            </w:r>
          </w:p>
        </w:tc>
        <w:tc>
          <w:tcPr>
            <w:tcW w:w="2307" w:type="dxa"/>
            <w:noWrap w:val="0"/>
            <w:vAlign w:val="center"/>
          </w:tcPr>
          <w:p>
            <w:pPr>
              <w:spacing w:before="0" w:beforeAutospacing="0" w:after="0" w:afterAutospacing="0" w:line="360" w:lineRule="auto"/>
              <w:ind w:left="0" w:right="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noWrap w:val="0"/>
            <w:vAlign w:val="center"/>
          </w:tcPr>
          <w:p>
            <w:pPr>
              <w:spacing w:before="0" w:beforeAutospacing="0" w:after="0" w:afterAutospacing="0" w:line="360" w:lineRule="auto"/>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4127" w:type="dxa"/>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小型电动高压冲洗车</w:t>
            </w:r>
          </w:p>
        </w:tc>
        <w:tc>
          <w:tcPr>
            <w:tcW w:w="10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w:t>
            </w:r>
          </w:p>
        </w:tc>
        <w:tc>
          <w:tcPr>
            <w:tcW w:w="2307" w:type="dxa"/>
            <w:noWrap w:val="0"/>
            <w:vAlign w:val="center"/>
          </w:tcPr>
          <w:p>
            <w:pPr>
              <w:spacing w:before="0" w:beforeAutospacing="0" w:after="0" w:afterAutospacing="0" w:line="360" w:lineRule="auto"/>
              <w:ind w:left="0" w:right="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noWrap w:val="0"/>
            <w:vAlign w:val="center"/>
          </w:tcPr>
          <w:p>
            <w:pPr>
              <w:spacing w:before="0" w:beforeAutospacing="0" w:after="0" w:afterAutospacing="0" w:line="360" w:lineRule="auto"/>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4127" w:type="dxa"/>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小型电动三轮保洁车</w:t>
            </w:r>
          </w:p>
        </w:tc>
        <w:tc>
          <w:tcPr>
            <w:tcW w:w="10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w:t>
            </w:r>
          </w:p>
        </w:tc>
        <w:tc>
          <w:tcPr>
            <w:tcW w:w="2307" w:type="dxa"/>
            <w:noWrap w:val="0"/>
            <w:vAlign w:val="center"/>
          </w:tcPr>
          <w:p>
            <w:pPr>
              <w:spacing w:before="0" w:beforeAutospacing="0" w:after="0" w:afterAutospacing="0" w:line="360" w:lineRule="auto"/>
              <w:ind w:left="0" w:right="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noWrap w:val="0"/>
            <w:vAlign w:val="center"/>
          </w:tcPr>
          <w:p>
            <w:pPr>
              <w:spacing w:before="0" w:beforeAutospacing="0" w:after="0" w:afterAutospacing="0" w:line="360" w:lineRule="auto"/>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4127" w:type="dxa"/>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电动垃圾集运（储运）车（音乐线）</w:t>
            </w:r>
          </w:p>
        </w:tc>
        <w:tc>
          <w:tcPr>
            <w:tcW w:w="10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w:t>
            </w:r>
          </w:p>
        </w:tc>
        <w:tc>
          <w:tcPr>
            <w:tcW w:w="2307" w:type="dxa"/>
            <w:noWrap w:val="0"/>
            <w:vAlign w:val="center"/>
          </w:tcPr>
          <w:p>
            <w:pPr>
              <w:spacing w:before="0" w:beforeAutospacing="0" w:after="0" w:afterAutospacing="0" w:line="360" w:lineRule="auto"/>
              <w:ind w:left="0" w:right="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noWrap w:val="0"/>
            <w:vAlign w:val="center"/>
          </w:tcPr>
          <w:p>
            <w:pPr>
              <w:spacing w:before="0" w:beforeAutospacing="0" w:after="0" w:afterAutospacing="0" w:line="360" w:lineRule="auto"/>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4127" w:type="dxa"/>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封闭式垃圾转运车</w:t>
            </w:r>
          </w:p>
        </w:tc>
        <w:tc>
          <w:tcPr>
            <w:tcW w:w="10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c>
          <w:tcPr>
            <w:tcW w:w="2307" w:type="dxa"/>
            <w:noWrap w:val="0"/>
            <w:vAlign w:val="center"/>
          </w:tcPr>
          <w:p>
            <w:pPr>
              <w:spacing w:before="0" w:beforeAutospacing="0" w:after="0" w:afterAutospacing="0" w:line="360" w:lineRule="auto"/>
              <w:ind w:left="0" w:right="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noWrap w:val="0"/>
            <w:vAlign w:val="center"/>
          </w:tcPr>
          <w:p>
            <w:pPr>
              <w:spacing w:before="0" w:beforeAutospacing="0" w:after="0" w:afterAutospacing="0" w:line="360" w:lineRule="auto"/>
              <w:ind w:left="0" w:right="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8</w:t>
            </w:r>
          </w:p>
        </w:tc>
        <w:tc>
          <w:tcPr>
            <w:tcW w:w="4127" w:type="dxa"/>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人力垃圾清运三轮车</w:t>
            </w:r>
          </w:p>
        </w:tc>
        <w:tc>
          <w:tcPr>
            <w:tcW w:w="10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30</w:t>
            </w:r>
          </w:p>
        </w:tc>
        <w:tc>
          <w:tcPr>
            <w:tcW w:w="2307" w:type="dxa"/>
            <w:noWrap w:val="0"/>
            <w:vAlign w:val="center"/>
          </w:tcPr>
          <w:p>
            <w:pPr>
              <w:spacing w:before="0" w:beforeAutospacing="0" w:after="0" w:afterAutospacing="0" w:line="360" w:lineRule="auto"/>
              <w:ind w:left="0" w:right="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noWrap w:val="0"/>
            <w:vAlign w:val="center"/>
          </w:tcPr>
          <w:p>
            <w:pPr>
              <w:spacing w:before="0" w:beforeAutospacing="0" w:after="0" w:afterAutospacing="0" w:line="360" w:lineRule="auto"/>
              <w:ind w:left="0" w:leftChars="0" w:right="0" w:rightChars="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9</w:t>
            </w:r>
          </w:p>
        </w:tc>
        <w:tc>
          <w:tcPr>
            <w:tcW w:w="4127" w:type="dxa"/>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七吨以上的压缩车</w:t>
            </w:r>
          </w:p>
        </w:tc>
        <w:tc>
          <w:tcPr>
            <w:tcW w:w="10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c>
          <w:tcPr>
            <w:tcW w:w="2307" w:type="dxa"/>
            <w:noWrap w:val="0"/>
            <w:vAlign w:val="center"/>
          </w:tcPr>
          <w:p>
            <w:pPr>
              <w:spacing w:before="0" w:beforeAutospacing="0" w:after="0" w:afterAutospacing="0" w:line="360" w:lineRule="auto"/>
              <w:ind w:left="0" w:leftChars="0" w:right="0" w:rightChars="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noWrap w:val="0"/>
            <w:vAlign w:val="center"/>
          </w:tcPr>
          <w:p>
            <w:pPr>
              <w:spacing w:before="0" w:beforeAutospacing="0" w:after="0" w:afterAutospacing="0" w:line="360" w:lineRule="auto"/>
              <w:ind w:left="0" w:right="0"/>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10</w:t>
            </w:r>
          </w:p>
        </w:tc>
        <w:tc>
          <w:tcPr>
            <w:tcW w:w="4127" w:type="dxa"/>
            <w:noWrap w:val="0"/>
            <w:vAlign w:val="center"/>
          </w:tcPr>
          <w:p>
            <w:pPr>
              <w:keepNext w:val="0"/>
              <w:keepLines w:val="0"/>
              <w:widowControl/>
              <w:suppressLineNumbers w:val="0"/>
              <w:jc w:val="center"/>
              <w:textAlignment w:val="center"/>
              <w:rPr>
                <w:rFonts w:hint="eastAsia" w:ascii="宋体" w:hAnsi="宋体" w:eastAsia="宋体" w:cs="宋体"/>
                <w:color w:val="auto"/>
                <w:sz w:val="24"/>
                <w:highlight w:val="none"/>
              </w:rPr>
            </w:pPr>
            <w:r>
              <w:rPr>
                <w:rFonts w:hint="eastAsia" w:ascii="宋体" w:hAnsi="宋体" w:eastAsia="宋体" w:cs="宋体"/>
                <w:i w:val="0"/>
                <w:iCs w:val="0"/>
                <w:color w:val="auto"/>
                <w:kern w:val="0"/>
                <w:sz w:val="24"/>
                <w:szCs w:val="24"/>
                <w:highlight w:val="none"/>
                <w:u w:val="none"/>
                <w:lang w:val="en-US" w:eastAsia="zh-CN" w:bidi="ar"/>
              </w:rPr>
              <w:t>电动巡逻车</w:t>
            </w:r>
          </w:p>
        </w:tc>
        <w:tc>
          <w:tcPr>
            <w:tcW w:w="1075"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c>
          <w:tcPr>
            <w:tcW w:w="2307" w:type="dxa"/>
            <w:noWrap w:val="0"/>
            <w:vAlign w:val="center"/>
          </w:tcPr>
          <w:p>
            <w:pPr>
              <w:spacing w:before="0" w:beforeAutospacing="0" w:after="0" w:afterAutospacing="0" w:line="360" w:lineRule="auto"/>
              <w:ind w:left="0" w:right="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noWrap w:val="0"/>
            <w:vAlign w:val="center"/>
          </w:tcPr>
          <w:p>
            <w:pPr>
              <w:spacing w:before="0" w:beforeAutospacing="0" w:after="0" w:afterAutospacing="0" w:line="360" w:lineRule="auto"/>
              <w:ind w:left="0" w:right="0"/>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11</w:t>
            </w:r>
          </w:p>
        </w:tc>
        <w:tc>
          <w:tcPr>
            <w:tcW w:w="412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应急扫雪除冰设备</w:t>
            </w:r>
          </w:p>
        </w:tc>
        <w:tc>
          <w:tcPr>
            <w:tcW w:w="1075"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highlight w:val="none"/>
                <w:u w:val="none"/>
                <w:lang w:val="en-US" w:eastAsia="zh-CN" w:bidi="ar"/>
              </w:rPr>
            </w:pPr>
            <w:r>
              <w:rPr>
                <w:rFonts w:hint="eastAsia" w:ascii="宋体" w:hAnsi="宋体" w:cs="宋体"/>
                <w:i w:val="0"/>
                <w:iCs w:val="0"/>
                <w:color w:val="auto"/>
                <w:kern w:val="0"/>
                <w:sz w:val="24"/>
                <w:szCs w:val="24"/>
                <w:highlight w:val="none"/>
                <w:u w:val="none"/>
                <w:lang w:val="en-US" w:eastAsia="zh-CN" w:bidi="ar"/>
              </w:rPr>
              <w:t>1</w:t>
            </w:r>
          </w:p>
        </w:tc>
        <w:tc>
          <w:tcPr>
            <w:tcW w:w="2307" w:type="dxa"/>
            <w:noWrap w:val="0"/>
            <w:vAlign w:val="center"/>
          </w:tcPr>
          <w:p>
            <w:pPr>
              <w:spacing w:before="0" w:beforeAutospacing="0" w:after="0" w:afterAutospacing="0" w:line="360" w:lineRule="auto"/>
              <w:ind w:left="0" w:right="0"/>
              <w:jc w:val="center"/>
              <w:rPr>
                <w:rFonts w:hint="eastAsia" w:ascii="宋体" w:hAnsi="宋体" w:eastAsia="宋体" w:cs="宋体"/>
                <w:color w:val="auto"/>
                <w:sz w:val="24"/>
                <w:highlight w:val="none"/>
              </w:rPr>
            </w:pPr>
          </w:p>
        </w:tc>
      </w:tr>
    </w:tbl>
    <w:p>
      <w:pPr>
        <w:spacing w:line="40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 xml:space="preserve">备注： </w:t>
      </w:r>
    </w:p>
    <w:p>
      <w:pPr>
        <w:widowControl/>
        <w:numPr>
          <w:ilvl w:val="0"/>
          <w:numId w:val="0"/>
        </w:numPr>
        <w:spacing w:line="600" w:lineRule="exact"/>
        <w:rPr>
          <w:rFonts w:hint="eastAsia"/>
          <w:color w:val="auto"/>
          <w:highlight w:val="none"/>
        </w:rPr>
      </w:pPr>
      <w:r>
        <w:rPr>
          <w:rFonts w:hint="eastAsia" w:ascii="宋体" w:hAnsi="宋体" w:eastAsia="宋体" w:cs="宋体"/>
          <w:color w:val="auto"/>
          <w:sz w:val="24"/>
          <w:highlight w:val="none"/>
          <w:lang w:val="en-US" w:eastAsia="zh-CN"/>
        </w:rPr>
        <w:t>注：①</w:t>
      </w:r>
      <w:r>
        <w:rPr>
          <w:rFonts w:hint="eastAsia" w:ascii="宋体" w:hAnsi="宋体" w:eastAsia="宋体" w:cs="宋体"/>
          <w:b/>
          <w:bCs/>
          <w:color w:val="auto"/>
          <w:sz w:val="24"/>
          <w:highlight w:val="none"/>
          <w:lang w:val="en-US" w:eastAsia="zh-CN"/>
        </w:rPr>
        <w:t>以上设备要求中标单位须在收到中标通知书之日起10天内自行配备到位</w:t>
      </w:r>
      <w:r>
        <w:rPr>
          <w:rFonts w:hint="eastAsia" w:ascii="宋体" w:hAnsi="宋体" w:cs="宋体"/>
          <w:b/>
          <w:bCs/>
          <w:color w:val="auto"/>
          <w:sz w:val="24"/>
          <w:highlight w:val="none"/>
          <w:lang w:val="en-US" w:eastAsia="zh-CN"/>
        </w:rPr>
        <w:t>，（</w:t>
      </w:r>
      <w:r>
        <w:rPr>
          <w:rFonts w:hint="eastAsia" w:ascii="宋体" w:hAnsi="宋体" w:eastAsia="宋体" w:cs="宋体"/>
          <w:b/>
          <w:bCs/>
          <w:color w:val="auto"/>
          <w:sz w:val="24"/>
          <w:highlight w:val="none"/>
          <w:lang w:val="en-US" w:eastAsia="zh-CN"/>
        </w:rPr>
        <w:t>除</w:t>
      </w:r>
      <w:r>
        <w:rPr>
          <w:rFonts w:hint="eastAsia" w:ascii="宋体" w:hAnsi="宋体" w:cs="宋体"/>
          <w:b/>
          <w:bCs/>
          <w:i w:val="0"/>
          <w:iCs w:val="0"/>
          <w:color w:val="auto"/>
          <w:kern w:val="0"/>
          <w:sz w:val="24"/>
          <w:szCs w:val="24"/>
          <w:highlight w:val="none"/>
          <w:u w:val="none"/>
          <w:lang w:val="en-US" w:eastAsia="zh-CN" w:bidi="ar"/>
        </w:rPr>
        <w:t>应急扫雪除冰</w:t>
      </w:r>
      <w:r>
        <w:rPr>
          <w:rFonts w:hint="eastAsia" w:ascii="宋体" w:hAnsi="宋体" w:eastAsia="宋体" w:cs="宋体"/>
          <w:b/>
          <w:bCs/>
          <w:color w:val="auto"/>
          <w:sz w:val="24"/>
          <w:highlight w:val="none"/>
          <w:lang w:val="en-US" w:eastAsia="zh-CN"/>
        </w:rPr>
        <w:t>设备），并在投标文件中承诺，</w:t>
      </w:r>
      <w:r>
        <w:rPr>
          <w:rFonts w:hint="eastAsia" w:ascii="宋体" w:hAnsi="宋体" w:eastAsia="宋体" w:cs="宋体"/>
          <w:b/>
          <w:bCs/>
          <w:color w:val="auto"/>
          <w:sz w:val="24"/>
          <w:highlight w:val="none"/>
        </w:rPr>
        <w:t>否则视为不满足</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lang w:val="en-US" w:eastAsia="zh-CN"/>
        </w:rPr>
        <w:t>业主对主要机械设备安装GPS卫星定位系统，纳入系统平台管理，所产生的费用由中标单位承担，以上设备不得在塘栖镇中标区块以外与其他乡镇（街道）承包的服务区域共用。</w:t>
      </w:r>
    </w:p>
    <w:p>
      <w:pPr>
        <w:spacing w:line="400" w:lineRule="exact"/>
        <w:ind w:firstLine="241" w:firstLineChars="100"/>
        <w:rPr>
          <w:rFonts w:hint="eastAsia" w:ascii="宋体" w:hAnsi="宋体" w:eastAsia="宋体" w:cs="宋体"/>
          <w:b/>
          <w:bCs/>
          <w:color w:val="auto"/>
          <w:sz w:val="24"/>
          <w:highlight w:val="none"/>
        </w:rPr>
      </w:pPr>
      <w:r>
        <w:rPr>
          <w:rFonts w:hint="eastAsia" w:ascii="宋体" w:hAnsi="宋体" w:cs="宋体"/>
          <w:b/>
          <w:bCs/>
          <w:color w:val="auto"/>
          <w:sz w:val="24"/>
          <w:highlight w:val="none"/>
          <w:lang w:val="en-US" w:eastAsia="zh-CN"/>
        </w:rPr>
        <w:t>2</w:t>
      </w:r>
      <w:r>
        <w:rPr>
          <w:rFonts w:hint="eastAsia" w:ascii="宋体" w:hAnsi="宋体" w:eastAsia="宋体" w:cs="宋体"/>
          <w:b/>
          <w:bCs/>
          <w:color w:val="auto"/>
          <w:sz w:val="24"/>
          <w:highlight w:val="none"/>
        </w:rPr>
        <w:t>、所有环卫</w:t>
      </w:r>
      <w:r>
        <w:rPr>
          <w:rFonts w:hint="eastAsia" w:ascii="宋体" w:hAnsi="宋体" w:eastAsia="宋体" w:cs="宋体"/>
          <w:b/>
          <w:bCs/>
          <w:color w:val="auto"/>
          <w:sz w:val="24"/>
          <w:highlight w:val="none"/>
          <w:lang w:eastAsia="zh-CN"/>
        </w:rPr>
        <w:t>机动车</w:t>
      </w:r>
      <w:r>
        <w:rPr>
          <w:rFonts w:hint="eastAsia" w:ascii="宋体" w:hAnsi="宋体" w:eastAsia="宋体" w:cs="宋体"/>
          <w:b/>
          <w:bCs/>
          <w:color w:val="auto"/>
          <w:sz w:val="24"/>
          <w:highlight w:val="none"/>
        </w:rPr>
        <w:t>辆需已安装或承诺中标后安装GPS监控系统并接入区级平台，但安装GPS监控系统费用由投标人自行负责。投标人需在投标文件中作出承诺，承诺格式不限；</w:t>
      </w:r>
    </w:p>
    <w:p>
      <w:pPr>
        <w:numPr>
          <w:ilvl w:val="0"/>
          <w:numId w:val="0"/>
        </w:numPr>
        <w:spacing w:line="400" w:lineRule="exact"/>
        <w:ind w:firstLine="482" w:firstLineChars="200"/>
        <w:rPr>
          <w:rFonts w:hint="eastAsia" w:ascii="宋体" w:hAnsi="宋体" w:eastAsia="宋体" w:cs="宋体"/>
          <w:b/>
          <w:bCs/>
          <w:color w:val="auto"/>
          <w:sz w:val="24"/>
          <w:highlight w:val="none"/>
        </w:rPr>
      </w:pPr>
      <w:r>
        <w:rPr>
          <w:rFonts w:hint="eastAsia" w:ascii="宋体" w:hAnsi="宋体" w:cs="宋体"/>
          <w:b/>
          <w:bCs/>
          <w:color w:val="auto"/>
          <w:sz w:val="24"/>
          <w:highlight w:val="none"/>
          <w:lang w:val="en-US" w:eastAsia="zh-CN"/>
        </w:rPr>
        <w:t>3</w:t>
      </w:r>
      <w:r>
        <w:rPr>
          <w:rFonts w:hint="eastAsia" w:ascii="宋体" w:hAnsi="宋体" w:eastAsia="宋体" w:cs="宋体"/>
          <w:b/>
          <w:bCs/>
          <w:color w:val="auto"/>
          <w:sz w:val="24"/>
          <w:highlight w:val="none"/>
        </w:rPr>
        <w:t>主干道机械化清扫率须达到</w:t>
      </w:r>
      <w:r>
        <w:rPr>
          <w:rFonts w:hint="eastAsia" w:ascii="宋体" w:hAnsi="宋体" w:eastAsia="宋体" w:cs="宋体"/>
          <w:b/>
          <w:bCs/>
          <w:color w:val="auto"/>
          <w:sz w:val="24"/>
          <w:highlight w:val="none"/>
          <w:lang w:val="en-US" w:eastAsia="zh-CN"/>
        </w:rPr>
        <w:t>100</w:t>
      </w:r>
      <w:r>
        <w:rPr>
          <w:rFonts w:hint="eastAsia" w:ascii="宋体" w:hAnsi="宋体" w:eastAsia="宋体" w:cs="宋体"/>
          <w:b/>
          <w:bCs/>
          <w:color w:val="auto"/>
          <w:sz w:val="24"/>
          <w:highlight w:val="none"/>
        </w:rPr>
        <w:t>%，投标人需在投标文件中作出承诺，承诺格式不限；</w:t>
      </w:r>
    </w:p>
    <w:p>
      <w:pPr>
        <w:numPr>
          <w:ilvl w:val="0"/>
          <w:numId w:val="0"/>
        </w:numPr>
        <w:spacing w:line="400" w:lineRule="exact"/>
        <w:ind w:firstLine="482" w:firstLineChars="200"/>
        <w:rPr>
          <w:rFonts w:hint="eastAsia" w:ascii="宋体" w:hAnsi="宋体" w:eastAsia="宋体" w:cs="宋体"/>
          <w:color w:val="auto"/>
          <w:highlight w:val="none"/>
          <w:lang w:val="en-US" w:eastAsia="zh-CN"/>
        </w:rPr>
      </w:pPr>
      <w:r>
        <w:rPr>
          <w:rFonts w:hint="eastAsia" w:ascii="宋体" w:hAnsi="宋体" w:cs="宋体"/>
          <w:b/>
          <w:bCs/>
          <w:color w:val="auto"/>
          <w:sz w:val="24"/>
          <w:highlight w:val="none"/>
          <w:lang w:val="en-US" w:eastAsia="zh-CN"/>
        </w:rPr>
        <w:t>4、</w:t>
      </w:r>
      <w:r>
        <w:rPr>
          <w:rFonts w:hint="eastAsia" w:ascii="宋体" w:hAnsi="宋体" w:eastAsia="宋体" w:cs="宋体"/>
          <w:b/>
          <w:bCs/>
          <w:color w:val="auto"/>
          <w:sz w:val="24"/>
          <w:highlight w:val="none"/>
          <w:lang w:val="en-US" w:eastAsia="zh-CN"/>
        </w:rPr>
        <w:t>新能源环卫车或国六天然气机动车辆占总</w:t>
      </w:r>
      <w:r>
        <w:rPr>
          <w:rFonts w:hint="eastAsia" w:ascii="宋体" w:hAnsi="宋体" w:eastAsia="宋体" w:cs="宋体"/>
          <w:b/>
          <w:bCs/>
          <w:color w:val="auto"/>
          <w:sz w:val="24"/>
          <w:highlight w:val="none"/>
        </w:rPr>
        <w:t>车辆总数的30%；投标人须在机械设备表中详细标明。</w:t>
      </w:r>
    </w:p>
    <w:p>
      <w:pPr>
        <w:spacing w:line="360" w:lineRule="auto"/>
        <w:rPr>
          <w:rFonts w:hint="eastAsia" w:ascii="宋体" w:hAnsi="宋体" w:eastAsia="宋体" w:cs="宋体"/>
          <w:b/>
          <w:bCs/>
          <w:color w:val="auto"/>
          <w:sz w:val="24"/>
          <w:highlight w:val="none"/>
        </w:rPr>
      </w:pP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附表2</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3440"/>
        <w:gridCol w:w="1266"/>
        <w:gridCol w:w="2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39" w:type="dxa"/>
            <w:gridSpan w:val="4"/>
            <w:noWrap w:val="0"/>
            <w:vAlign w:val="top"/>
          </w:tcPr>
          <w:p>
            <w:pPr>
              <w:spacing w:before="0" w:beforeAutospacing="0" w:after="0" w:afterAutospacing="0" w:line="360" w:lineRule="auto"/>
              <w:ind w:left="0" w:right="0"/>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必须配备的人员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noWrap w:val="0"/>
            <w:vAlign w:val="top"/>
          </w:tcPr>
          <w:p>
            <w:pPr>
              <w:spacing w:before="0" w:beforeAutospacing="0" w:after="0" w:afterAutospacing="0" w:line="360" w:lineRule="auto"/>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3440" w:type="dxa"/>
            <w:noWrap w:val="0"/>
            <w:vAlign w:val="top"/>
          </w:tcPr>
          <w:p>
            <w:pPr>
              <w:spacing w:before="0" w:beforeAutospacing="0" w:after="0" w:afterAutospacing="0" w:line="360" w:lineRule="auto"/>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岗位</w:t>
            </w:r>
          </w:p>
        </w:tc>
        <w:tc>
          <w:tcPr>
            <w:tcW w:w="1266" w:type="dxa"/>
            <w:noWrap w:val="0"/>
            <w:vAlign w:val="top"/>
          </w:tcPr>
          <w:p>
            <w:pPr>
              <w:spacing w:before="0" w:beforeAutospacing="0" w:after="0" w:afterAutospacing="0" w:line="360" w:lineRule="auto"/>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人数</w:t>
            </w:r>
          </w:p>
        </w:tc>
        <w:tc>
          <w:tcPr>
            <w:tcW w:w="2854" w:type="dxa"/>
            <w:noWrap w:val="0"/>
            <w:vAlign w:val="top"/>
          </w:tcPr>
          <w:p>
            <w:pPr>
              <w:spacing w:before="0" w:beforeAutospacing="0" w:after="0" w:afterAutospacing="0" w:line="360" w:lineRule="auto"/>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noWrap w:val="0"/>
            <w:vAlign w:val="top"/>
          </w:tcPr>
          <w:p>
            <w:pPr>
              <w:spacing w:before="0" w:beforeAutospacing="0" w:after="0" w:afterAutospacing="0" w:line="360" w:lineRule="auto"/>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3440" w:type="dxa"/>
            <w:noWrap w:val="0"/>
            <w:vAlign w:val="top"/>
          </w:tcPr>
          <w:p>
            <w:pPr>
              <w:spacing w:before="0" w:beforeAutospacing="0" w:after="0" w:afterAutospacing="0" w:line="360" w:lineRule="auto"/>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保洁（含管理人员、道路保洁人员、垃圾清运人员等）</w:t>
            </w:r>
          </w:p>
        </w:tc>
        <w:tc>
          <w:tcPr>
            <w:tcW w:w="1266" w:type="dxa"/>
            <w:noWrap w:val="0"/>
            <w:vAlign w:val="top"/>
          </w:tcPr>
          <w:p>
            <w:pPr>
              <w:spacing w:before="0" w:beforeAutospacing="0" w:after="0" w:afterAutospacing="0" w:line="360" w:lineRule="auto"/>
              <w:ind w:left="0" w:right="0"/>
              <w:jc w:val="cente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不少于</w:t>
            </w:r>
            <w:r>
              <w:rPr>
                <w:rFonts w:hint="eastAsia" w:ascii="宋体" w:hAnsi="宋体" w:cs="宋体"/>
                <w:b/>
                <w:bCs/>
                <w:color w:val="auto"/>
                <w:sz w:val="24"/>
                <w:highlight w:val="none"/>
                <w:lang w:val="en-US" w:eastAsia="zh-CN"/>
              </w:rPr>
              <w:t>65</w:t>
            </w:r>
            <w:r>
              <w:rPr>
                <w:rFonts w:hint="eastAsia" w:ascii="宋体" w:hAnsi="宋体" w:eastAsia="宋体" w:cs="宋体"/>
                <w:b/>
                <w:bCs/>
                <w:color w:val="auto"/>
                <w:sz w:val="24"/>
                <w:highlight w:val="none"/>
              </w:rPr>
              <w:t>人</w:t>
            </w:r>
          </w:p>
        </w:tc>
        <w:tc>
          <w:tcPr>
            <w:tcW w:w="2854" w:type="dxa"/>
            <w:noWrap w:val="0"/>
            <w:vAlign w:val="top"/>
          </w:tcPr>
          <w:p>
            <w:pPr>
              <w:spacing w:before="0" w:beforeAutospacing="0" w:after="0" w:afterAutospacing="0" w:line="360" w:lineRule="auto"/>
              <w:ind w:left="0" w:right="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具体视保洁效果而定，必要时需增加人员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8339" w:type="dxa"/>
            <w:gridSpan w:val="4"/>
            <w:noWrap w:val="0"/>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宋体" w:hAnsi="宋体" w:eastAsia="宋体" w:cs="宋体"/>
                <w:b/>
                <w:bCs/>
                <w:color w:val="auto"/>
                <w:highlight w:val="none"/>
              </w:rPr>
            </w:pPr>
            <w:r>
              <w:rPr>
                <w:rFonts w:hint="eastAsia" w:ascii="宋体" w:hAnsi="宋体" w:eastAsia="宋体" w:cs="宋体"/>
                <w:color w:val="auto"/>
                <w:highlight w:val="none"/>
              </w:rPr>
              <w:t>注：</w:t>
            </w:r>
            <w:r>
              <w:rPr>
                <w:rFonts w:hint="eastAsia" w:ascii="宋体" w:hAnsi="宋体" w:eastAsia="宋体" w:cs="宋体"/>
                <w:b/>
                <w:bCs/>
                <w:color w:val="auto"/>
                <w:highlight w:val="none"/>
                <w:lang w:val="en-US" w:eastAsia="zh-CN"/>
              </w:rPr>
              <w:t>1、</w:t>
            </w:r>
            <w:r>
              <w:rPr>
                <w:rFonts w:hint="eastAsia" w:ascii="宋体" w:hAnsi="宋体" w:eastAsia="宋体" w:cs="宋体"/>
                <w:b/>
                <w:bCs/>
                <w:color w:val="auto"/>
                <w:highlight w:val="none"/>
              </w:rPr>
              <w:t>需提供人员名单，投标人需承诺中标后，所有人员需配备社保，并定期安排保洁人员进行身体体检，承诺格式不限，承诺书中须标明体检周期和体检内容。</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before="0" w:beforeLines="0" w:beforeAutospacing="0" w:after="0" w:afterLines="0" w:afterAutospacing="0"/>
              <w:ind w:left="0" w:right="0" w:firstLine="420" w:firstLineChars="200"/>
              <w:jc w:val="left"/>
              <w:rPr>
                <w:rFonts w:hint="eastAsia" w:ascii="宋体" w:hAnsi="宋体" w:eastAsia="宋体" w:cs="宋体"/>
                <w:color w:val="auto"/>
                <w:highlight w:val="none"/>
                <w:lang w:val="en-US" w:eastAsia="zh-CN"/>
              </w:rPr>
            </w:pPr>
          </w:p>
        </w:tc>
      </w:tr>
    </w:tbl>
    <w:p>
      <w:pPr>
        <w:spacing w:line="360" w:lineRule="auto"/>
        <w:ind w:firstLine="241" w:firstLineChars="100"/>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注：如中标单位在投标期间无以上设备或以上数量人员的，在投标文件中作出承诺，承诺中标后满足以上设备及人员要求的，投标文件不做无效标处理，但中标后需在中标公示期内将设备装载至业主指定地点，并在保洁设备中标注为本项目专用</w:t>
      </w:r>
      <w:r>
        <w:rPr>
          <w:rFonts w:hint="eastAsia" w:ascii="宋体" w:hAnsi="宋体" w:eastAsia="宋体" w:cs="宋体"/>
          <w:b/>
          <w:bCs/>
          <w:color w:val="auto"/>
          <w:sz w:val="24"/>
          <w:highlight w:val="none"/>
          <w:lang w:eastAsia="zh-CN"/>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（4）中标人必须在塘栖镇范围内成立保洁班组，并设立固定办公场地及项目负责人，以保证及时响应。</w:t>
      </w:r>
    </w:p>
    <w:p>
      <w:pPr>
        <w:widowControl/>
        <w:adjustRightInd w:val="0"/>
        <w:snapToGrid w:val="0"/>
        <w:spacing w:line="520" w:lineRule="exact"/>
        <w:ind w:left="315" w:leftChars="150"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（5）清运车辆应密闭运输，厢体应保持外观整洁，无抛洒、无滴漏、无吊挂。清运车辆必须统一编号、有监督电话、有责任单位。</w:t>
      </w:r>
    </w:p>
    <w:p>
      <w:pPr>
        <w:widowControl/>
        <w:adjustRightInd w:val="0"/>
        <w:snapToGrid w:val="0"/>
        <w:spacing w:line="520" w:lineRule="exact"/>
        <w:ind w:left="468" w:hanging="468" w:hangingChars="195"/>
        <w:jc w:val="left"/>
        <w:rPr>
          <w:rFonts w:hint="eastAsia" w:ascii="宋体" w:hAnsi="宋体" w:eastAsia="宋体" w:cs="宋体"/>
          <w:b/>
          <w:color w:val="auto"/>
          <w:sz w:val="24"/>
          <w:highlight w:val="none"/>
        </w:rPr>
      </w:pPr>
      <w:r>
        <w:rPr>
          <w:rFonts w:hint="eastAsia" w:ascii="宋体" w:hAnsi="宋体" w:eastAsia="宋体" w:cs="宋体"/>
          <w:color w:val="auto"/>
          <w:sz w:val="24"/>
          <w:highlight w:val="none"/>
        </w:rPr>
        <w:t xml:space="preserve">    （6）垃圾桶、护栏、城市家俱等清洗每星期不少于二次。</w:t>
      </w:r>
    </w:p>
    <w:p>
      <w:pPr>
        <w:widowControl/>
        <w:adjustRightInd w:val="0"/>
        <w:snapToGrid w:val="0"/>
        <w:spacing w:line="520" w:lineRule="exact"/>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    </w:t>
      </w:r>
      <w:r>
        <w:rPr>
          <w:rFonts w:hint="eastAsia" w:ascii="宋体" w:hAnsi="宋体" w:eastAsia="宋体" w:cs="宋体"/>
          <w:color w:val="auto"/>
          <w:sz w:val="24"/>
          <w:highlight w:val="none"/>
        </w:rPr>
        <w:t>（7）垃圾点要求日产日清，垃圾桶周边清洁无散落，严禁焚烧。</w:t>
      </w:r>
    </w:p>
    <w:p>
      <w:pPr>
        <w:widowControl/>
        <w:adjustRightInd w:val="0"/>
        <w:snapToGrid w:val="0"/>
        <w:spacing w:line="52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（8）清运队伍建设：按要求配备清运人员，作业人员须穿着环卫工作服。</w:t>
      </w:r>
    </w:p>
    <w:p>
      <w:pPr>
        <w:widowControl/>
        <w:adjustRightInd w:val="0"/>
        <w:snapToGrid w:val="0"/>
        <w:spacing w:line="520" w:lineRule="exact"/>
        <w:ind w:left="372" w:leftChars="177"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9）环卫作业单位安全生产工作落实，避免发生交通事故。新录用环卫工人应实施安全生产培训后方可上岗，自觉养成“一停二看三作业”的良好习惯，提高自我防范意识。如遇意外伤亡交通事故发生应及时上报。清运人员须穿反光背心，垃圾清运车要在车辆前部、后部、两侧设置反光标识。</w:t>
      </w:r>
    </w:p>
    <w:p>
      <w:pPr>
        <w:widowControl/>
        <w:adjustRightInd w:val="0"/>
        <w:snapToGrid w:val="0"/>
        <w:spacing w:line="520" w:lineRule="exact"/>
        <w:ind w:left="372" w:leftChars="177"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（10）垃圾清运投诉处理在规定的限期内完成，无有责投诉事件发生，重大活动保障到位，区级以上检查不失责任分。检查时发现途径的村清运问题多、质量差，相关责任单位应在规定时间内落实整改。</w:t>
      </w:r>
    </w:p>
    <w:p>
      <w:pPr>
        <w:spacing w:line="360" w:lineRule="auto"/>
        <w:ind w:firstLine="480" w:firstLineChars="200"/>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三、通用条款</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保洁期内，在迎检和各类创建活动中，中标单位应无条件服从招标人的安排，圆满完成各项任务，由于中标单位的原因失分或造成不良影响的，招标人有权进行处罚和清退中标单位，在迎检过程中，由于中标单位组织不力，由招标人组织人力、物</w:t>
      </w:r>
      <w:r>
        <w:rPr>
          <w:rFonts w:hint="eastAsia" w:ascii="宋体" w:hAnsi="宋体" w:eastAsia="宋体" w:cs="宋体"/>
          <w:b/>
          <w:bCs/>
          <w:color w:val="auto"/>
          <w:spacing w:val="-4"/>
          <w:sz w:val="24"/>
          <w:highlight w:val="none"/>
        </w:rPr>
        <w:t>力进行整治所涉及的费用，由中标单位双倍偿还招标人，招标人有权直接在保洁费中扣除。</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（2）合同签订后招标人与中标人签订安全生产责任书，保洁期内所发生的任何安全事故一律由中标单位负责，招标人不承担任何责任。</w:t>
      </w:r>
      <w:r>
        <w:rPr>
          <w:rFonts w:hint="eastAsia" w:ascii="宋体" w:hAnsi="宋体" w:eastAsia="宋体" w:cs="宋体"/>
          <w:color w:val="auto"/>
          <w:sz w:val="24"/>
          <w:highlight w:val="none"/>
        </w:rPr>
        <w:t>保洁人员工资报价不得低于杭州市最低工资标准（合同期内如遇工作人员的最低工资调整等其他因素，产生的费用由投标单位承担），否则视为无效投标。人工工资主要包括基本工资、社会保障五险、高温补助、意外伤害险等，人员配备必须附本企业最近一季度交纳的养老保险为依据。养护人员</w:t>
      </w:r>
      <w:r>
        <w:rPr>
          <w:rFonts w:hint="eastAsia" w:ascii="宋体" w:hAnsi="宋体" w:eastAsia="宋体" w:cs="宋体"/>
          <w:color w:val="auto"/>
          <w:kern w:val="0"/>
          <w:sz w:val="24"/>
          <w:highlight w:val="none"/>
        </w:rPr>
        <w:t>主要做好乡道绿地养护中各类养护工作，其中包括服从采购人派遣任务、绿化施肥、浇水、植物修剪、绿地保洁、除草、设施维修、喷洒农药、应急响应等养护工作</w:t>
      </w:r>
      <w:r>
        <w:rPr>
          <w:rFonts w:hint="eastAsia" w:ascii="宋体" w:hAnsi="宋体" w:eastAsia="宋体" w:cs="宋体"/>
          <w:color w:val="auto"/>
          <w:sz w:val="24"/>
          <w:highlight w:val="none"/>
        </w:rPr>
        <w:t>；</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（3）保洁期内，中标单位所产生的各项费用（突击整治费等），由中标单位负责列入措施项目费用表，招标人不再追加费用。</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（4）投标人中标后应向招标人交纳中标价</w:t>
      </w:r>
      <w:r>
        <w:rPr>
          <w:rFonts w:hint="eastAsia" w:ascii="宋体" w:hAnsi="宋体" w:eastAsia="宋体" w:cs="宋体"/>
          <w:b/>
          <w:bCs/>
          <w:color w:val="auto"/>
          <w:sz w:val="24"/>
          <w:highlight w:val="none"/>
          <w:lang w:val="en-US" w:eastAsia="zh-CN"/>
        </w:rPr>
        <w:t>1</w:t>
      </w:r>
      <w:r>
        <w:rPr>
          <w:rFonts w:hint="eastAsia" w:ascii="宋体" w:hAnsi="宋体" w:eastAsia="宋体" w:cs="宋体"/>
          <w:b/>
          <w:bCs/>
          <w:color w:val="auto"/>
          <w:sz w:val="24"/>
          <w:highlight w:val="none"/>
        </w:rPr>
        <w:t>％的履约保证金，招标人根据作业考核评分标准对保洁质量进行考核。</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bCs/>
          <w:color w:val="auto"/>
          <w:sz w:val="24"/>
          <w:highlight w:val="none"/>
        </w:rPr>
        <w:t>（5）</w:t>
      </w:r>
      <w:r>
        <w:rPr>
          <w:rFonts w:hint="eastAsia" w:ascii="宋体" w:hAnsi="宋体" w:eastAsia="宋体" w:cs="宋体"/>
          <w:b/>
          <w:color w:val="auto"/>
          <w:sz w:val="24"/>
          <w:highlight w:val="none"/>
        </w:rPr>
        <w:t>中标单位不得向沿街单位和个人收取任何费用，如违反此条规定招标人有权立即终止合同，并退还中标人未履行合同期内的保洁费用，同时没收中标单位缴纳的履约保证金。</w:t>
      </w:r>
    </w:p>
    <w:p>
      <w:pPr>
        <w:spacing w:line="360" w:lineRule="auto"/>
        <w:ind w:firstLine="482" w:firstLineChars="200"/>
        <w:rPr>
          <w:rFonts w:hint="eastAsia" w:ascii="宋体" w:hAnsi="宋体" w:eastAsia="宋体" w:cs="宋体"/>
          <w:color w:val="auto"/>
          <w:highlight w:val="none"/>
        </w:rPr>
      </w:pPr>
      <w:r>
        <w:rPr>
          <w:rFonts w:hint="eastAsia" w:ascii="宋体" w:hAnsi="宋体" w:eastAsia="宋体" w:cs="宋体"/>
          <w:b/>
          <w:bCs/>
          <w:color w:val="auto"/>
          <w:sz w:val="24"/>
          <w:highlight w:val="none"/>
        </w:rPr>
        <w:t>（6）中标单位不得将本项目分包或转包，否则招标人有权责令其停止作业并终止承包合同，所造成的损失由中标单位负责。</w:t>
      </w:r>
    </w:p>
    <w:p>
      <w:pPr>
        <w:pStyle w:val="27"/>
        <w:ind w:left="0" w:leftChars="0" w:firstLine="0" w:firstLineChars="0"/>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rPr>
          <w:rFonts w:hint="eastAsia"/>
        </w:rPr>
      </w:pPr>
    </w:p>
    <w:p>
      <w:pPr>
        <w:pStyle w:val="2"/>
        <w:rPr>
          <w:rFonts w:hint="eastAsia"/>
          <w:color w:val="auto"/>
          <w:highlight w:val="none"/>
        </w:rPr>
      </w:pPr>
    </w:p>
    <w:bookmarkEnd w:id="28"/>
    <w:bookmarkEnd w:id="29"/>
    <w:bookmarkEnd w:id="30"/>
    <w:bookmarkEnd w:id="31"/>
    <w:p>
      <w:pPr>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第四部分   </w:t>
      </w:r>
      <w:bookmarkStart w:id="33" w:name="_Toc184308062"/>
      <w:bookmarkEnd w:id="33"/>
      <w:bookmarkStart w:id="34" w:name="_Toc184308087"/>
      <w:bookmarkEnd w:id="34"/>
      <w:bookmarkStart w:id="35" w:name="_Toc184314467"/>
      <w:bookmarkEnd w:id="35"/>
      <w:bookmarkStart w:id="36" w:name="_Toc184313308"/>
      <w:bookmarkEnd w:id="36"/>
      <w:bookmarkStart w:id="37" w:name="_Toc184308075"/>
      <w:bookmarkEnd w:id="37"/>
      <w:bookmarkStart w:id="38" w:name="_Toc184310342"/>
      <w:bookmarkEnd w:id="38"/>
      <w:bookmarkStart w:id="39" w:name="_Toc184308089"/>
      <w:bookmarkEnd w:id="39"/>
      <w:bookmarkStart w:id="40" w:name="_Toc184310326"/>
      <w:bookmarkEnd w:id="40"/>
      <w:bookmarkStart w:id="41" w:name="_Toc184308059"/>
      <w:bookmarkEnd w:id="41"/>
      <w:bookmarkStart w:id="42" w:name="_Toc184310328"/>
      <w:bookmarkEnd w:id="42"/>
      <w:bookmarkStart w:id="43" w:name="_Toc184314432"/>
      <w:bookmarkEnd w:id="43"/>
      <w:bookmarkStart w:id="44" w:name="_Toc184308042"/>
      <w:bookmarkEnd w:id="44"/>
      <w:bookmarkStart w:id="45" w:name="_Toc184308067"/>
      <w:bookmarkEnd w:id="45"/>
      <w:bookmarkStart w:id="46" w:name="_Toc184308044"/>
      <w:bookmarkEnd w:id="46"/>
      <w:bookmarkStart w:id="47" w:name="_Toc184310274"/>
      <w:bookmarkEnd w:id="47"/>
      <w:bookmarkStart w:id="48" w:name="_Toc184313267"/>
      <w:bookmarkEnd w:id="48"/>
      <w:bookmarkStart w:id="49" w:name="_Toc184310335"/>
      <w:bookmarkEnd w:id="49"/>
      <w:bookmarkStart w:id="50" w:name="_Toc184310316"/>
      <w:bookmarkEnd w:id="50"/>
      <w:bookmarkStart w:id="51" w:name="_Toc184308041"/>
      <w:bookmarkEnd w:id="51"/>
      <w:bookmarkStart w:id="52" w:name="_Toc184314480"/>
      <w:bookmarkEnd w:id="52"/>
      <w:bookmarkStart w:id="53" w:name="_Toc184313256"/>
      <w:bookmarkEnd w:id="53"/>
      <w:bookmarkStart w:id="54" w:name="_Toc184308071"/>
      <w:bookmarkEnd w:id="54"/>
      <w:bookmarkStart w:id="55" w:name="_Toc184310333"/>
      <w:bookmarkEnd w:id="55"/>
      <w:bookmarkStart w:id="56" w:name="_Toc184308084"/>
      <w:bookmarkEnd w:id="56"/>
      <w:bookmarkStart w:id="57" w:name="_Toc184313242"/>
      <w:bookmarkEnd w:id="57"/>
      <w:bookmarkStart w:id="58" w:name="_Toc184312109"/>
      <w:bookmarkEnd w:id="58"/>
      <w:bookmarkStart w:id="59" w:name="_Toc184313281"/>
      <w:bookmarkEnd w:id="59"/>
      <w:bookmarkStart w:id="60" w:name="_Toc184312116"/>
      <w:bookmarkEnd w:id="60"/>
      <w:bookmarkStart w:id="61" w:name="_Toc184310337"/>
      <w:bookmarkEnd w:id="61"/>
      <w:bookmarkStart w:id="62" w:name="_Toc184308040"/>
      <w:bookmarkEnd w:id="62"/>
      <w:bookmarkStart w:id="63" w:name="_Toc184313248"/>
      <w:bookmarkEnd w:id="63"/>
      <w:bookmarkStart w:id="64" w:name="_Toc184310325"/>
      <w:bookmarkEnd w:id="64"/>
      <w:bookmarkStart w:id="65" w:name="_Toc184312128"/>
      <w:bookmarkEnd w:id="65"/>
      <w:bookmarkStart w:id="66" w:name="_Toc184310315"/>
      <w:bookmarkEnd w:id="66"/>
      <w:bookmarkStart w:id="67" w:name="_Toc184313285"/>
      <w:bookmarkEnd w:id="67"/>
      <w:bookmarkStart w:id="68" w:name="_Toc184313253"/>
      <w:bookmarkEnd w:id="68"/>
      <w:bookmarkStart w:id="69" w:name="_Toc184310288"/>
      <w:bookmarkEnd w:id="69"/>
      <w:bookmarkStart w:id="70" w:name="_Toc184308070"/>
      <w:bookmarkEnd w:id="70"/>
      <w:bookmarkStart w:id="71" w:name="_Toc184312139"/>
      <w:bookmarkEnd w:id="71"/>
      <w:bookmarkStart w:id="72" w:name="_Toc184313249"/>
      <w:bookmarkEnd w:id="72"/>
      <w:bookmarkStart w:id="73" w:name="_Toc184314453"/>
      <w:bookmarkEnd w:id="73"/>
      <w:bookmarkStart w:id="74" w:name="_Toc184312113"/>
      <w:bookmarkEnd w:id="74"/>
      <w:bookmarkStart w:id="75" w:name="_Toc184312137"/>
      <w:bookmarkEnd w:id="75"/>
      <w:bookmarkStart w:id="76" w:name="_Toc184310308"/>
      <w:bookmarkEnd w:id="76"/>
      <w:bookmarkStart w:id="77" w:name="_Toc184313288"/>
      <w:bookmarkEnd w:id="77"/>
      <w:bookmarkStart w:id="78" w:name="_Toc184308088"/>
      <w:bookmarkEnd w:id="78"/>
      <w:bookmarkStart w:id="79" w:name="_Toc184312123"/>
      <w:bookmarkEnd w:id="79"/>
      <w:bookmarkStart w:id="80" w:name="_Toc184312098"/>
      <w:bookmarkEnd w:id="80"/>
      <w:bookmarkStart w:id="81" w:name="_Toc184313298"/>
      <w:bookmarkEnd w:id="81"/>
      <w:bookmarkStart w:id="82" w:name="_Toc184310317"/>
      <w:bookmarkEnd w:id="82"/>
      <w:bookmarkStart w:id="83" w:name="_Toc184314449"/>
      <w:bookmarkEnd w:id="83"/>
      <w:bookmarkStart w:id="84" w:name="_Toc184310289"/>
      <w:bookmarkEnd w:id="84"/>
      <w:bookmarkStart w:id="85" w:name="_Toc184312085"/>
      <w:bookmarkEnd w:id="85"/>
      <w:bookmarkStart w:id="86" w:name="_Toc184314482"/>
      <w:bookmarkEnd w:id="86"/>
      <w:bookmarkStart w:id="87" w:name="_Toc184310297"/>
      <w:bookmarkEnd w:id="87"/>
      <w:bookmarkStart w:id="88" w:name="_Toc184312106"/>
      <w:bookmarkEnd w:id="88"/>
      <w:bookmarkStart w:id="89" w:name="_Toc184313301"/>
      <w:bookmarkEnd w:id="89"/>
      <w:bookmarkStart w:id="90" w:name="_Toc184314462"/>
      <w:bookmarkEnd w:id="90"/>
      <w:bookmarkStart w:id="91" w:name="_Toc184314417"/>
      <w:bookmarkEnd w:id="91"/>
      <w:bookmarkStart w:id="92" w:name="_Toc184308096"/>
      <w:bookmarkEnd w:id="92"/>
      <w:bookmarkStart w:id="93" w:name="_Toc184308083"/>
      <w:bookmarkEnd w:id="93"/>
      <w:bookmarkStart w:id="94" w:name="_Toc184310277"/>
      <w:bookmarkEnd w:id="94"/>
      <w:bookmarkStart w:id="95" w:name="_Toc184310344"/>
      <w:bookmarkEnd w:id="95"/>
      <w:bookmarkStart w:id="96" w:name="_Toc184313259"/>
      <w:bookmarkEnd w:id="96"/>
      <w:bookmarkStart w:id="97" w:name="_Toc184314447"/>
      <w:bookmarkEnd w:id="97"/>
      <w:bookmarkStart w:id="98" w:name="_Toc184308066"/>
      <w:bookmarkEnd w:id="98"/>
      <w:bookmarkStart w:id="99" w:name="_Toc184308091"/>
      <w:bookmarkEnd w:id="99"/>
      <w:bookmarkStart w:id="100" w:name="_Toc184310318"/>
      <w:bookmarkEnd w:id="100"/>
      <w:bookmarkStart w:id="101" w:name="_Toc184313262"/>
      <w:bookmarkEnd w:id="101"/>
      <w:bookmarkStart w:id="102" w:name="_Toc184313264"/>
      <w:bookmarkEnd w:id="102"/>
      <w:bookmarkStart w:id="103" w:name="_Toc184313294"/>
      <w:bookmarkEnd w:id="103"/>
      <w:bookmarkStart w:id="104" w:name="_Toc184308106"/>
      <w:bookmarkEnd w:id="104"/>
      <w:bookmarkStart w:id="105" w:name="_Toc184314479"/>
      <w:bookmarkEnd w:id="105"/>
      <w:bookmarkStart w:id="106" w:name="_Toc184313245"/>
      <w:bookmarkEnd w:id="106"/>
      <w:bookmarkStart w:id="107" w:name="_Toc184313260"/>
      <w:bookmarkEnd w:id="107"/>
      <w:bookmarkStart w:id="108" w:name="_Toc184314431"/>
      <w:bookmarkEnd w:id="108"/>
      <w:bookmarkStart w:id="109" w:name="_Toc184312097"/>
      <w:bookmarkEnd w:id="109"/>
      <w:bookmarkStart w:id="110" w:name="_Toc184312081"/>
      <w:bookmarkEnd w:id="110"/>
      <w:bookmarkStart w:id="111" w:name="_Toc184312079"/>
      <w:bookmarkEnd w:id="111"/>
      <w:bookmarkStart w:id="112" w:name="_Toc184313238"/>
      <w:bookmarkEnd w:id="112"/>
      <w:bookmarkStart w:id="113" w:name="_Toc184308086"/>
      <w:bookmarkEnd w:id="113"/>
      <w:bookmarkStart w:id="114" w:name="_Toc184312092"/>
      <w:bookmarkEnd w:id="114"/>
      <w:bookmarkStart w:id="115" w:name="_Toc184312102"/>
      <w:bookmarkEnd w:id="115"/>
      <w:bookmarkStart w:id="116" w:name="_Toc184313274"/>
      <w:bookmarkEnd w:id="116"/>
      <w:bookmarkStart w:id="117" w:name="_Toc184308090"/>
      <w:bookmarkEnd w:id="117"/>
      <w:bookmarkStart w:id="118" w:name="_Toc184313265"/>
      <w:bookmarkEnd w:id="118"/>
      <w:bookmarkStart w:id="119" w:name="_Toc184313254"/>
      <w:bookmarkEnd w:id="119"/>
      <w:bookmarkStart w:id="120" w:name="_Toc184314465"/>
      <w:bookmarkEnd w:id="120"/>
      <w:bookmarkStart w:id="121" w:name="_Toc184314457"/>
      <w:bookmarkEnd w:id="121"/>
      <w:bookmarkStart w:id="122" w:name="_Toc184312073"/>
      <w:bookmarkEnd w:id="122"/>
      <w:bookmarkStart w:id="123" w:name="_Toc184310299"/>
      <w:bookmarkEnd w:id="123"/>
      <w:bookmarkStart w:id="124" w:name="_Toc184312074"/>
      <w:bookmarkEnd w:id="124"/>
      <w:bookmarkStart w:id="125" w:name="_Toc184313241"/>
      <w:bookmarkEnd w:id="125"/>
      <w:bookmarkStart w:id="126" w:name="_Toc184308048"/>
      <w:bookmarkEnd w:id="126"/>
      <w:bookmarkStart w:id="127" w:name="_Toc184314439"/>
      <w:bookmarkEnd w:id="127"/>
      <w:bookmarkStart w:id="128" w:name="_Toc184314477"/>
      <w:bookmarkEnd w:id="128"/>
      <w:bookmarkStart w:id="129" w:name="_Toc184308043"/>
      <w:bookmarkEnd w:id="129"/>
      <w:bookmarkStart w:id="130" w:name="_Toc184312068"/>
      <w:bookmarkEnd w:id="130"/>
      <w:bookmarkStart w:id="131" w:name="_Toc184312087"/>
      <w:bookmarkEnd w:id="131"/>
      <w:bookmarkStart w:id="132" w:name="_Toc184312072"/>
      <w:bookmarkEnd w:id="132"/>
      <w:bookmarkStart w:id="133" w:name="_Toc184310286"/>
      <w:bookmarkEnd w:id="133"/>
      <w:bookmarkStart w:id="134" w:name="_Toc184313287"/>
      <w:bookmarkEnd w:id="134"/>
      <w:bookmarkStart w:id="135" w:name="_Toc184308055"/>
      <w:bookmarkEnd w:id="135"/>
      <w:bookmarkStart w:id="136" w:name="_Toc184313266"/>
      <w:bookmarkEnd w:id="136"/>
      <w:bookmarkStart w:id="137" w:name="_Toc184314470"/>
      <w:bookmarkEnd w:id="137"/>
      <w:bookmarkStart w:id="138" w:name="_Toc184308102"/>
      <w:bookmarkEnd w:id="138"/>
      <w:bookmarkStart w:id="139" w:name="_Toc184313303"/>
      <w:bookmarkEnd w:id="139"/>
      <w:bookmarkStart w:id="140" w:name="_Toc184312105"/>
      <w:bookmarkEnd w:id="140"/>
      <w:bookmarkStart w:id="141" w:name="_Toc184312096"/>
      <w:bookmarkEnd w:id="141"/>
      <w:bookmarkStart w:id="142" w:name="_Toc184310292"/>
      <w:bookmarkEnd w:id="142"/>
      <w:bookmarkStart w:id="143" w:name="_Toc184308054"/>
      <w:bookmarkEnd w:id="143"/>
      <w:bookmarkStart w:id="144" w:name="_Toc184314422"/>
      <w:bookmarkEnd w:id="144"/>
      <w:bookmarkStart w:id="145" w:name="_Toc184310300"/>
      <w:bookmarkEnd w:id="145"/>
      <w:bookmarkStart w:id="146" w:name="_Toc184312110"/>
      <w:bookmarkEnd w:id="146"/>
      <w:bookmarkStart w:id="147" w:name="_Toc184308097"/>
      <w:bookmarkEnd w:id="147"/>
      <w:bookmarkStart w:id="148" w:name="_Toc184310281"/>
      <w:bookmarkEnd w:id="148"/>
      <w:bookmarkStart w:id="149" w:name="_Toc184313289"/>
      <w:bookmarkEnd w:id="149"/>
      <w:bookmarkStart w:id="150" w:name="_Toc184308051"/>
      <w:bookmarkEnd w:id="150"/>
      <w:bookmarkStart w:id="151" w:name="_Toc184312101"/>
      <w:bookmarkEnd w:id="151"/>
      <w:bookmarkStart w:id="152" w:name="_Toc184312135"/>
      <w:bookmarkEnd w:id="152"/>
      <w:bookmarkStart w:id="153" w:name="_Toc184310343"/>
      <w:bookmarkEnd w:id="153"/>
      <w:bookmarkStart w:id="154" w:name="_Toc184312076"/>
      <w:bookmarkEnd w:id="154"/>
      <w:bookmarkStart w:id="155" w:name="_Toc184314448"/>
      <w:bookmarkEnd w:id="155"/>
      <w:bookmarkStart w:id="156" w:name="_Toc184308045"/>
      <w:bookmarkEnd w:id="156"/>
      <w:bookmarkStart w:id="157" w:name="_Toc184308093"/>
      <w:bookmarkEnd w:id="157"/>
      <w:bookmarkStart w:id="158" w:name="_Toc184312115"/>
      <w:bookmarkEnd w:id="158"/>
      <w:bookmarkStart w:id="159" w:name="_Toc184313276"/>
      <w:bookmarkEnd w:id="159"/>
      <w:bookmarkStart w:id="160" w:name="_Toc184312107"/>
      <w:bookmarkEnd w:id="160"/>
      <w:bookmarkStart w:id="161" w:name="_Toc184308082"/>
      <w:bookmarkEnd w:id="161"/>
      <w:bookmarkStart w:id="162" w:name="_Toc184312070"/>
      <w:bookmarkEnd w:id="162"/>
      <w:bookmarkStart w:id="163" w:name="_Toc184312083"/>
      <w:bookmarkEnd w:id="163"/>
      <w:bookmarkStart w:id="164" w:name="_Toc184313297"/>
      <w:bookmarkEnd w:id="164"/>
      <w:bookmarkStart w:id="165" w:name="_Toc184310331"/>
      <w:bookmarkEnd w:id="165"/>
      <w:bookmarkStart w:id="166" w:name="_Toc184312089"/>
      <w:bookmarkEnd w:id="166"/>
      <w:bookmarkStart w:id="167" w:name="_Toc184310278"/>
      <w:bookmarkEnd w:id="167"/>
      <w:bookmarkStart w:id="168" w:name="_Toc184310301"/>
      <w:bookmarkEnd w:id="168"/>
      <w:bookmarkStart w:id="169" w:name="_Toc184313300"/>
      <w:bookmarkEnd w:id="169"/>
      <w:bookmarkStart w:id="170" w:name="_Toc184313239"/>
      <w:bookmarkEnd w:id="170"/>
      <w:bookmarkStart w:id="171" w:name="_Toc184312100"/>
      <w:bookmarkEnd w:id="171"/>
      <w:bookmarkStart w:id="172" w:name="_Toc184310290"/>
      <w:bookmarkEnd w:id="172"/>
      <w:bookmarkStart w:id="173" w:name="_Toc184308038"/>
      <w:bookmarkEnd w:id="173"/>
      <w:bookmarkStart w:id="174" w:name="_Toc184310341"/>
      <w:bookmarkEnd w:id="174"/>
      <w:bookmarkStart w:id="175" w:name="_Toc184310276"/>
      <w:bookmarkEnd w:id="175"/>
      <w:bookmarkStart w:id="176" w:name="_Toc184310291"/>
      <w:bookmarkEnd w:id="176"/>
      <w:bookmarkStart w:id="177" w:name="_Toc184313257"/>
      <w:bookmarkEnd w:id="177"/>
      <w:bookmarkStart w:id="178" w:name="_Toc184314425"/>
      <w:bookmarkEnd w:id="178"/>
      <w:bookmarkStart w:id="179" w:name="_Toc184308105"/>
      <w:bookmarkEnd w:id="179"/>
      <w:bookmarkStart w:id="180" w:name="_Toc184308103"/>
      <w:bookmarkEnd w:id="180"/>
      <w:bookmarkStart w:id="181" w:name="_Toc184313299"/>
      <w:bookmarkEnd w:id="181"/>
      <w:bookmarkStart w:id="182" w:name="_Toc184308064"/>
      <w:bookmarkEnd w:id="182"/>
      <w:bookmarkStart w:id="183" w:name="_Toc184314463"/>
      <w:bookmarkEnd w:id="183"/>
      <w:bookmarkStart w:id="184" w:name="_Toc184314474"/>
      <w:bookmarkEnd w:id="184"/>
      <w:bookmarkStart w:id="185" w:name="_Toc184310279"/>
      <w:bookmarkEnd w:id="185"/>
      <w:bookmarkStart w:id="186" w:name="_Toc184313272"/>
      <w:bookmarkEnd w:id="186"/>
      <w:bookmarkStart w:id="187" w:name="_Toc184314458"/>
      <w:bookmarkEnd w:id="187"/>
      <w:bookmarkStart w:id="188" w:name="_Toc184312120"/>
      <w:bookmarkEnd w:id="188"/>
      <w:bookmarkStart w:id="189" w:name="_Toc184314459"/>
      <w:bookmarkEnd w:id="189"/>
      <w:bookmarkStart w:id="190" w:name="_Toc184312108"/>
      <w:bookmarkEnd w:id="190"/>
      <w:bookmarkStart w:id="191" w:name="_Toc184314473"/>
      <w:bookmarkEnd w:id="191"/>
      <w:bookmarkStart w:id="192" w:name="_Toc184308094"/>
      <w:bookmarkEnd w:id="192"/>
      <w:bookmarkStart w:id="193" w:name="_Toc184308037"/>
      <w:bookmarkEnd w:id="193"/>
      <w:bookmarkStart w:id="194" w:name="_Toc184312127"/>
      <w:bookmarkEnd w:id="194"/>
      <w:bookmarkStart w:id="195" w:name="_Toc184310311"/>
      <w:bookmarkEnd w:id="195"/>
      <w:bookmarkStart w:id="196" w:name="_Toc184313243"/>
      <w:bookmarkEnd w:id="196"/>
      <w:bookmarkStart w:id="197" w:name="_Toc184312071"/>
      <w:bookmarkEnd w:id="197"/>
      <w:bookmarkStart w:id="198" w:name="_Toc184308065"/>
      <w:bookmarkEnd w:id="198"/>
      <w:bookmarkStart w:id="199" w:name="_Toc184314442"/>
      <w:bookmarkEnd w:id="199"/>
      <w:bookmarkStart w:id="200" w:name="_Toc184313304"/>
      <w:bookmarkEnd w:id="200"/>
      <w:bookmarkStart w:id="201" w:name="_Toc184312111"/>
      <w:bookmarkEnd w:id="201"/>
      <w:bookmarkStart w:id="202" w:name="_Toc184314466"/>
      <w:bookmarkEnd w:id="202"/>
      <w:bookmarkStart w:id="203" w:name="_Toc184310275"/>
      <w:bookmarkEnd w:id="203"/>
      <w:bookmarkStart w:id="204" w:name="_Toc184313270"/>
      <w:bookmarkEnd w:id="204"/>
      <w:bookmarkStart w:id="205" w:name="_Toc184310303"/>
      <w:bookmarkEnd w:id="205"/>
      <w:bookmarkStart w:id="206" w:name="_Toc184314468"/>
      <w:bookmarkEnd w:id="206"/>
      <w:bookmarkStart w:id="207" w:name="_Toc184310322"/>
      <w:bookmarkEnd w:id="207"/>
      <w:bookmarkStart w:id="208" w:name="_Toc184308057"/>
      <w:bookmarkEnd w:id="208"/>
      <w:bookmarkStart w:id="209" w:name="_Toc184308056"/>
      <w:bookmarkEnd w:id="209"/>
      <w:bookmarkStart w:id="210" w:name="_Toc184314438"/>
      <w:bookmarkEnd w:id="210"/>
      <w:bookmarkStart w:id="211" w:name="_Toc184310339"/>
      <w:bookmarkEnd w:id="211"/>
      <w:bookmarkStart w:id="212" w:name="_Toc184308058"/>
      <w:bookmarkEnd w:id="212"/>
      <w:bookmarkStart w:id="213" w:name="_Toc184312122"/>
      <w:bookmarkEnd w:id="213"/>
      <w:bookmarkStart w:id="214" w:name="_Toc184312069"/>
      <w:bookmarkEnd w:id="214"/>
      <w:bookmarkStart w:id="215" w:name="_Toc184314443"/>
      <w:bookmarkEnd w:id="215"/>
      <w:bookmarkStart w:id="216" w:name="_Toc184314441"/>
      <w:bookmarkEnd w:id="216"/>
      <w:bookmarkStart w:id="217" w:name="_Toc184312121"/>
      <w:bookmarkEnd w:id="217"/>
      <w:bookmarkStart w:id="218" w:name="_Toc184308061"/>
      <w:bookmarkEnd w:id="218"/>
      <w:bookmarkStart w:id="219" w:name="_Toc184312125"/>
      <w:bookmarkEnd w:id="219"/>
      <w:bookmarkStart w:id="220" w:name="_Toc184312082"/>
      <w:bookmarkEnd w:id="220"/>
      <w:bookmarkStart w:id="221" w:name="_Toc184310321"/>
      <w:bookmarkEnd w:id="221"/>
      <w:bookmarkStart w:id="222" w:name="_Toc184314436"/>
      <w:bookmarkEnd w:id="222"/>
      <w:bookmarkStart w:id="223" w:name="_Toc184312133"/>
      <w:bookmarkEnd w:id="223"/>
      <w:bookmarkStart w:id="224" w:name="_Toc184310309"/>
      <w:bookmarkEnd w:id="224"/>
      <w:bookmarkStart w:id="225" w:name="_Toc184314481"/>
      <w:bookmarkEnd w:id="225"/>
      <w:bookmarkStart w:id="226" w:name="_Toc184310330"/>
      <w:bookmarkEnd w:id="226"/>
      <w:bookmarkStart w:id="227" w:name="_Toc184314412"/>
      <w:bookmarkEnd w:id="227"/>
      <w:bookmarkStart w:id="228" w:name="_Toc184313251"/>
      <w:bookmarkEnd w:id="228"/>
      <w:bookmarkStart w:id="229" w:name="_Toc184310294"/>
      <w:bookmarkEnd w:id="229"/>
      <w:bookmarkStart w:id="230" w:name="_Toc184310307"/>
      <w:bookmarkEnd w:id="230"/>
      <w:bookmarkStart w:id="231" w:name="_Toc184308107"/>
      <w:bookmarkEnd w:id="231"/>
      <w:bookmarkStart w:id="232" w:name="_Toc184308069"/>
      <w:bookmarkEnd w:id="232"/>
      <w:bookmarkStart w:id="233" w:name="_Toc184312118"/>
      <w:bookmarkEnd w:id="233"/>
      <w:bookmarkStart w:id="234" w:name="_Toc184313279"/>
      <w:bookmarkEnd w:id="234"/>
      <w:bookmarkStart w:id="235" w:name="_Toc184312095"/>
      <w:bookmarkEnd w:id="235"/>
      <w:bookmarkStart w:id="236" w:name="_Toc184314433"/>
      <w:bookmarkEnd w:id="236"/>
      <w:bookmarkStart w:id="237" w:name="_Toc184313273"/>
      <w:bookmarkEnd w:id="237"/>
      <w:bookmarkStart w:id="238" w:name="_Toc184312114"/>
      <w:bookmarkEnd w:id="238"/>
      <w:bookmarkStart w:id="239" w:name="_Toc184313261"/>
      <w:bookmarkEnd w:id="239"/>
      <w:bookmarkStart w:id="240" w:name="_Toc184314434"/>
      <w:bookmarkEnd w:id="240"/>
      <w:bookmarkStart w:id="241" w:name="_Toc184312084"/>
      <w:bookmarkEnd w:id="241"/>
      <w:bookmarkStart w:id="242" w:name="_Toc184314461"/>
      <w:bookmarkEnd w:id="242"/>
      <w:bookmarkStart w:id="243" w:name="_Toc184314440"/>
      <w:bookmarkEnd w:id="243"/>
      <w:bookmarkStart w:id="244" w:name="_Toc184314419"/>
      <w:bookmarkEnd w:id="244"/>
      <w:bookmarkStart w:id="245" w:name="_Toc184312077"/>
      <w:bookmarkEnd w:id="245"/>
      <w:bookmarkStart w:id="246" w:name="_Toc184308081"/>
      <w:bookmarkEnd w:id="246"/>
      <w:bookmarkStart w:id="247" w:name="_Toc184314416"/>
      <w:bookmarkEnd w:id="247"/>
      <w:bookmarkStart w:id="248" w:name="_Toc184314420"/>
      <w:bookmarkEnd w:id="248"/>
      <w:bookmarkStart w:id="249" w:name="_Toc184314446"/>
      <w:bookmarkEnd w:id="249"/>
      <w:bookmarkStart w:id="250" w:name="_Toc184314428"/>
      <w:bookmarkEnd w:id="250"/>
      <w:bookmarkStart w:id="251" w:name="_Toc184310287"/>
      <w:bookmarkEnd w:id="251"/>
      <w:bookmarkStart w:id="252" w:name="_Toc184308092"/>
      <w:bookmarkEnd w:id="252"/>
      <w:bookmarkStart w:id="253" w:name="_Toc184310329"/>
      <w:bookmarkEnd w:id="253"/>
      <w:bookmarkStart w:id="254" w:name="_Toc184310296"/>
      <w:bookmarkEnd w:id="254"/>
      <w:bookmarkStart w:id="255" w:name="_Toc184314454"/>
      <w:bookmarkEnd w:id="255"/>
      <w:bookmarkStart w:id="256" w:name="_Toc184314445"/>
      <w:bookmarkEnd w:id="256"/>
      <w:bookmarkStart w:id="257" w:name="_Toc184308078"/>
      <w:bookmarkEnd w:id="257"/>
      <w:bookmarkStart w:id="258" w:name="_Toc184313247"/>
      <w:bookmarkEnd w:id="258"/>
      <w:bookmarkStart w:id="259" w:name="_Toc184313290"/>
      <w:bookmarkEnd w:id="259"/>
      <w:bookmarkStart w:id="260" w:name="_Toc184312067"/>
      <w:bookmarkEnd w:id="260"/>
      <w:bookmarkStart w:id="261" w:name="_Toc184313263"/>
      <w:bookmarkEnd w:id="261"/>
      <w:bookmarkStart w:id="262" w:name="_Toc184310283"/>
      <w:bookmarkEnd w:id="262"/>
      <w:bookmarkStart w:id="263" w:name="_Toc184313280"/>
      <w:bookmarkEnd w:id="263"/>
      <w:bookmarkStart w:id="264" w:name="_Toc184308077"/>
      <w:bookmarkEnd w:id="264"/>
      <w:bookmarkStart w:id="265" w:name="_Toc184314464"/>
      <w:bookmarkEnd w:id="265"/>
      <w:bookmarkStart w:id="266" w:name="_Toc184314469"/>
      <w:bookmarkEnd w:id="266"/>
      <w:bookmarkStart w:id="267" w:name="_Toc184310336"/>
      <w:bookmarkEnd w:id="267"/>
      <w:bookmarkStart w:id="268" w:name="_Toc184314456"/>
      <w:bookmarkEnd w:id="268"/>
      <w:bookmarkStart w:id="269" w:name="_Toc184308099"/>
      <w:bookmarkEnd w:id="269"/>
      <w:bookmarkStart w:id="270" w:name="_Toc184308074"/>
      <w:bookmarkEnd w:id="270"/>
      <w:bookmarkStart w:id="271" w:name="_Toc184313293"/>
      <w:bookmarkEnd w:id="271"/>
      <w:bookmarkStart w:id="272" w:name="_Toc184308104"/>
      <w:bookmarkEnd w:id="272"/>
      <w:bookmarkStart w:id="273" w:name="_Toc184308072"/>
      <w:bookmarkEnd w:id="273"/>
      <w:bookmarkStart w:id="274" w:name="_Toc184313302"/>
      <w:bookmarkEnd w:id="274"/>
      <w:bookmarkStart w:id="275" w:name="_Toc184310338"/>
      <w:bookmarkEnd w:id="275"/>
      <w:bookmarkStart w:id="276" w:name="_Toc184312104"/>
      <w:bookmarkEnd w:id="276"/>
      <w:bookmarkStart w:id="277" w:name="_Toc184312078"/>
      <w:bookmarkEnd w:id="277"/>
      <w:bookmarkStart w:id="278" w:name="_Toc184308108"/>
      <w:bookmarkEnd w:id="278"/>
      <w:bookmarkStart w:id="279" w:name="_Toc184314476"/>
      <w:bookmarkEnd w:id="279"/>
      <w:bookmarkStart w:id="280" w:name="_Toc184314444"/>
      <w:bookmarkEnd w:id="280"/>
      <w:bookmarkStart w:id="281" w:name="_Toc184314427"/>
      <w:bookmarkEnd w:id="281"/>
      <w:bookmarkStart w:id="282" w:name="_Toc184310272"/>
      <w:bookmarkEnd w:id="282"/>
      <w:bookmarkStart w:id="283" w:name="_Toc184312099"/>
      <w:bookmarkEnd w:id="283"/>
      <w:bookmarkStart w:id="284" w:name="_Toc184314421"/>
      <w:bookmarkEnd w:id="284"/>
      <w:bookmarkStart w:id="285" w:name="_Toc184313277"/>
      <w:bookmarkEnd w:id="285"/>
      <w:bookmarkStart w:id="286" w:name="_Toc184308101"/>
      <w:bookmarkEnd w:id="286"/>
      <w:bookmarkStart w:id="287" w:name="_Toc184313250"/>
      <w:bookmarkEnd w:id="287"/>
      <w:bookmarkStart w:id="288" w:name="_Toc184313244"/>
      <w:bookmarkEnd w:id="288"/>
      <w:bookmarkStart w:id="289" w:name="_Toc184308100"/>
      <w:bookmarkEnd w:id="289"/>
      <w:bookmarkStart w:id="290" w:name="_Toc184310323"/>
      <w:bookmarkEnd w:id="290"/>
      <w:bookmarkStart w:id="291" w:name="_Toc184312124"/>
      <w:bookmarkEnd w:id="291"/>
      <w:bookmarkStart w:id="292" w:name="_Toc184312086"/>
      <w:bookmarkEnd w:id="292"/>
      <w:bookmarkStart w:id="293" w:name="_Toc184314450"/>
      <w:bookmarkEnd w:id="293"/>
      <w:bookmarkStart w:id="294" w:name="_Toc184308095"/>
      <w:bookmarkEnd w:id="294"/>
      <w:bookmarkStart w:id="295" w:name="_Toc184314460"/>
      <w:bookmarkEnd w:id="295"/>
      <w:bookmarkStart w:id="296" w:name="_Toc184310334"/>
      <w:bookmarkEnd w:id="296"/>
      <w:bookmarkStart w:id="297" w:name="_Toc184312090"/>
      <w:bookmarkEnd w:id="297"/>
      <w:bookmarkStart w:id="298" w:name="_Toc184312136"/>
      <w:bookmarkEnd w:id="298"/>
      <w:bookmarkStart w:id="299" w:name="_Toc184312112"/>
      <w:bookmarkEnd w:id="299"/>
      <w:bookmarkStart w:id="300" w:name="_Toc184310273"/>
      <w:bookmarkEnd w:id="300"/>
      <w:bookmarkStart w:id="301" w:name="_Toc184312130"/>
      <w:bookmarkEnd w:id="301"/>
      <w:bookmarkStart w:id="302" w:name="_Toc184312091"/>
      <w:bookmarkEnd w:id="302"/>
      <w:bookmarkStart w:id="303" w:name="_Toc184312094"/>
      <w:bookmarkEnd w:id="303"/>
      <w:bookmarkStart w:id="304" w:name="_Toc184308039"/>
      <w:bookmarkEnd w:id="304"/>
      <w:bookmarkStart w:id="305" w:name="_Toc184314415"/>
      <w:bookmarkEnd w:id="305"/>
      <w:bookmarkStart w:id="306" w:name="_Toc184310285"/>
      <w:bookmarkEnd w:id="306"/>
      <w:bookmarkStart w:id="307" w:name="_Toc184310304"/>
      <w:bookmarkEnd w:id="307"/>
      <w:bookmarkStart w:id="308" w:name="_Toc184310312"/>
      <w:bookmarkEnd w:id="308"/>
      <w:bookmarkStart w:id="309" w:name="_Toc184312129"/>
      <w:bookmarkEnd w:id="309"/>
      <w:bookmarkStart w:id="310" w:name="_Toc184310314"/>
      <w:bookmarkEnd w:id="310"/>
      <w:bookmarkStart w:id="311" w:name="_Toc184310284"/>
      <w:bookmarkEnd w:id="311"/>
      <w:bookmarkStart w:id="312" w:name="_Toc184314411"/>
      <w:bookmarkEnd w:id="312"/>
      <w:bookmarkStart w:id="313" w:name="_Toc184310280"/>
      <w:bookmarkEnd w:id="313"/>
      <w:bookmarkStart w:id="314" w:name="_Toc184314478"/>
      <w:bookmarkEnd w:id="314"/>
      <w:bookmarkStart w:id="315" w:name="_Toc184312075"/>
      <w:bookmarkEnd w:id="315"/>
      <w:bookmarkStart w:id="316" w:name="_Toc184313306"/>
      <w:bookmarkEnd w:id="316"/>
      <w:bookmarkStart w:id="317" w:name="_Toc184314418"/>
      <w:bookmarkEnd w:id="317"/>
      <w:bookmarkStart w:id="318" w:name="_Toc184313246"/>
      <w:bookmarkEnd w:id="318"/>
      <w:bookmarkStart w:id="319" w:name="_Toc184312131"/>
      <w:bookmarkEnd w:id="319"/>
      <w:bookmarkStart w:id="320" w:name="_Toc184314414"/>
      <w:bookmarkEnd w:id="320"/>
      <w:bookmarkStart w:id="321" w:name="_Toc184308036"/>
      <w:bookmarkEnd w:id="321"/>
      <w:bookmarkStart w:id="322" w:name="_Toc184313295"/>
      <w:bookmarkEnd w:id="322"/>
      <w:bookmarkStart w:id="323" w:name="_Toc184310340"/>
      <w:bookmarkEnd w:id="323"/>
      <w:bookmarkStart w:id="324" w:name="_Toc184308079"/>
      <w:bookmarkEnd w:id="324"/>
      <w:bookmarkStart w:id="325" w:name="_Toc184312093"/>
      <w:bookmarkEnd w:id="325"/>
      <w:bookmarkStart w:id="326" w:name="_Toc184310324"/>
      <w:bookmarkEnd w:id="326"/>
      <w:bookmarkStart w:id="327" w:name="_Toc184312126"/>
      <w:bookmarkEnd w:id="327"/>
      <w:bookmarkStart w:id="328" w:name="_Toc184314472"/>
      <w:bookmarkEnd w:id="328"/>
      <w:bookmarkStart w:id="329" w:name="_Toc184313278"/>
      <w:bookmarkEnd w:id="329"/>
      <w:bookmarkStart w:id="330" w:name="_Toc184314423"/>
      <w:bookmarkEnd w:id="330"/>
      <w:bookmarkStart w:id="331" w:name="_Toc184308047"/>
      <w:bookmarkEnd w:id="331"/>
      <w:bookmarkStart w:id="332" w:name="_Toc184314429"/>
      <w:bookmarkEnd w:id="332"/>
      <w:bookmarkStart w:id="333" w:name="_Toc184308098"/>
      <w:bookmarkEnd w:id="333"/>
      <w:bookmarkStart w:id="334" w:name="_Toc184312117"/>
      <w:bookmarkEnd w:id="334"/>
      <w:bookmarkStart w:id="335" w:name="_Toc184314452"/>
      <w:bookmarkEnd w:id="335"/>
      <w:bookmarkStart w:id="336" w:name="_Toc184314430"/>
      <w:bookmarkEnd w:id="336"/>
      <w:bookmarkStart w:id="337" w:name="_Toc184310332"/>
      <w:bookmarkEnd w:id="337"/>
      <w:bookmarkStart w:id="338" w:name="_Toc184308046"/>
      <w:bookmarkEnd w:id="338"/>
      <w:bookmarkStart w:id="339" w:name="_Toc184314424"/>
      <w:bookmarkEnd w:id="339"/>
      <w:bookmarkStart w:id="340" w:name="_Toc184308085"/>
      <w:bookmarkEnd w:id="340"/>
      <w:bookmarkStart w:id="341" w:name="_Toc184312088"/>
      <w:bookmarkEnd w:id="341"/>
      <w:bookmarkStart w:id="342" w:name="_Toc184313269"/>
      <w:bookmarkEnd w:id="342"/>
      <w:bookmarkStart w:id="343" w:name="_Toc184313291"/>
      <w:bookmarkEnd w:id="343"/>
      <w:bookmarkStart w:id="344" w:name="_Toc184310327"/>
      <w:bookmarkEnd w:id="344"/>
      <w:bookmarkStart w:id="345" w:name="_Toc184310320"/>
      <w:bookmarkEnd w:id="345"/>
      <w:bookmarkStart w:id="346" w:name="_Toc184314413"/>
      <w:bookmarkEnd w:id="346"/>
      <w:bookmarkStart w:id="347" w:name="_Toc184314475"/>
      <w:bookmarkEnd w:id="347"/>
      <w:bookmarkStart w:id="348" w:name="_Toc184314426"/>
      <w:bookmarkEnd w:id="348"/>
      <w:bookmarkStart w:id="349" w:name="_Toc184308063"/>
      <w:bookmarkEnd w:id="349"/>
      <w:bookmarkStart w:id="350" w:name="_Toc184312132"/>
      <w:bookmarkEnd w:id="350"/>
      <w:bookmarkStart w:id="351" w:name="_Toc184312119"/>
      <w:bookmarkEnd w:id="351"/>
      <w:bookmarkStart w:id="352" w:name="_Toc184313275"/>
      <w:bookmarkEnd w:id="352"/>
      <w:bookmarkStart w:id="353" w:name="_Toc184313282"/>
      <w:bookmarkEnd w:id="353"/>
      <w:bookmarkStart w:id="354" w:name="_Toc184313310"/>
      <w:bookmarkEnd w:id="354"/>
      <w:bookmarkStart w:id="355" w:name="_Toc184312134"/>
      <w:bookmarkEnd w:id="355"/>
      <w:bookmarkStart w:id="356" w:name="_Toc184310305"/>
      <w:bookmarkEnd w:id="356"/>
      <w:bookmarkStart w:id="357" w:name="_Toc184308068"/>
      <w:bookmarkEnd w:id="357"/>
      <w:bookmarkStart w:id="358" w:name="_Toc184313305"/>
      <w:bookmarkEnd w:id="358"/>
      <w:bookmarkStart w:id="359" w:name="_Toc184310302"/>
      <w:bookmarkEnd w:id="359"/>
      <w:bookmarkStart w:id="360" w:name="_Toc184308073"/>
      <w:bookmarkEnd w:id="360"/>
      <w:bookmarkStart w:id="361" w:name="_Toc184313286"/>
      <w:bookmarkEnd w:id="361"/>
      <w:bookmarkStart w:id="362" w:name="_Toc184310319"/>
      <w:bookmarkEnd w:id="362"/>
      <w:bookmarkStart w:id="363" w:name="_Toc184314435"/>
      <w:bookmarkEnd w:id="363"/>
      <w:bookmarkStart w:id="364" w:name="_Toc184313296"/>
      <w:bookmarkEnd w:id="364"/>
      <w:bookmarkStart w:id="365" w:name="_Toc184313307"/>
      <w:bookmarkEnd w:id="365"/>
      <w:bookmarkStart w:id="366" w:name="_Toc184314437"/>
      <w:bookmarkEnd w:id="366"/>
      <w:bookmarkStart w:id="367" w:name="_Toc184308076"/>
      <w:bookmarkEnd w:id="367"/>
      <w:bookmarkStart w:id="368" w:name="_Toc184308060"/>
      <w:bookmarkEnd w:id="368"/>
      <w:bookmarkStart w:id="369" w:name="_Toc184312138"/>
      <w:bookmarkEnd w:id="369"/>
      <w:bookmarkStart w:id="370" w:name="_Toc184308080"/>
      <w:bookmarkEnd w:id="370"/>
      <w:bookmarkStart w:id="371" w:name="_Toc184313284"/>
      <w:bookmarkEnd w:id="371"/>
      <w:bookmarkStart w:id="372" w:name="_Toc184313255"/>
      <w:bookmarkEnd w:id="372"/>
      <w:bookmarkStart w:id="373" w:name="_Toc184310282"/>
      <w:bookmarkEnd w:id="373"/>
      <w:bookmarkStart w:id="374" w:name="_Toc184313271"/>
      <w:bookmarkEnd w:id="374"/>
      <w:bookmarkStart w:id="375" w:name="_Toc184310293"/>
      <w:bookmarkEnd w:id="375"/>
      <w:bookmarkStart w:id="376" w:name="_Toc184310295"/>
      <w:bookmarkEnd w:id="376"/>
      <w:bookmarkStart w:id="377" w:name="_Toc184310313"/>
      <w:bookmarkEnd w:id="377"/>
      <w:bookmarkStart w:id="378" w:name="_Toc184313258"/>
      <w:bookmarkEnd w:id="378"/>
      <w:bookmarkStart w:id="379" w:name="_Toc184313252"/>
      <w:bookmarkEnd w:id="379"/>
      <w:bookmarkStart w:id="380" w:name="_Toc184310298"/>
      <w:bookmarkEnd w:id="380"/>
      <w:bookmarkStart w:id="381" w:name="_Toc184314471"/>
      <w:bookmarkEnd w:id="381"/>
      <w:bookmarkStart w:id="382" w:name="_Toc184308053"/>
      <w:bookmarkEnd w:id="382"/>
      <w:bookmarkStart w:id="383" w:name="_Toc184313309"/>
      <w:bookmarkEnd w:id="383"/>
      <w:bookmarkStart w:id="384" w:name="_Toc184313292"/>
      <w:bookmarkEnd w:id="384"/>
      <w:bookmarkStart w:id="385" w:name="_Toc184310310"/>
      <w:bookmarkEnd w:id="385"/>
      <w:bookmarkStart w:id="386" w:name="_Toc184313268"/>
      <w:bookmarkEnd w:id="386"/>
      <w:bookmarkStart w:id="387" w:name="_Toc184314451"/>
      <w:bookmarkEnd w:id="387"/>
      <w:bookmarkStart w:id="388" w:name="_Toc184314410"/>
      <w:bookmarkEnd w:id="388"/>
      <w:bookmarkStart w:id="389" w:name="_Toc184308050"/>
      <w:bookmarkEnd w:id="389"/>
      <w:bookmarkStart w:id="390" w:name="_Toc184312080"/>
      <w:bookmarkEnd w:id="390"/>
      <w:bookmarkStart w:id="391" w:name="_Toc184310306"/>
      <w:bookmarkEnd w:id="391"/>
      <w:bookmarkStart w:id="392" w:name="_Toc184313283"/>
      <w:bookmarkEnd w:id="392"/>
      <w:bookmarkStart w:id="393" w:name="_Toc184313240"/>
      <w:bookmarkEnd w:id="393"/>
      <w:bookmarkStart w:id="394" w:name="_Toc184312103"/>
      <w:bookmarkEnd w:id="394"/>
      <w:bookmarkStart w:id="395" w:name="_Toc184308049"/>
      <w:bookmarkEnd w:id="395"/>
      <w:bookmarkStart w:id="396" w:name="_Toc184308052"/>
      <w:bookmarkEnd w:id="396"/>
      <w:bookmarkStart w:id="397" w:name="_Toc184314455"/>
      <w:bookmarkEnd w:id="397"/>
      <w:r>
        <w:rPr>
          <w:rFonts w:hint="eastAsia" w:ascii="宋体" w:hAnsi="宋体" w:eastAsia="宋体" w:cs="宋体"/>
          <w:b/>
          <w:color w:val="auto"/>
          <w:sz w:val="36"/>
          <w:szCs w:val="36"/>
          <w:highlight w:val="none"/>
        </w:rPr>
        <w:t>评标办法</w:t>
      </w:r>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评标办法前附表</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5014"/>
        <w:gridCol w:w="793"/>
        <w:gridCol w:w="827"/>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5014"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评标标准</w:t>
            </w:r>
          </w:p>
        </w:tc>
        <w:tc>
          <w:tcPr>
            <w:tcW w:w="793"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权重</w:t>
            </w:r>
          </w:p>
        </w:tc>
        <w:tc>
          <w:tcPr>
            <w:tcW w:w="827" w:type="dxa"/>
            <w:vAlign w:val="center"/>
          </w:tcPr>
          <w:p>
            <w:pPr>
              <w:snapToGrid w:val="0"/>
              <w:spacing w:line="360" w:lineRule="auto"/>
              <w:jc w:val="center"/>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主观分/客观分属性</w:t>
            </w:r>
          </w:p>
        </w:tc>
        <w:tc>
          <w:tcPr>
            <w:tcW w:w="972" w:type="dxa"/>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bCs/>
                <w:color w:val="auto"/>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atLeast"/>
        </w:trPr>
        <w:tc>
          <w:tcPr>
            <w:tcW w:w="889" w:type="dxa"/>
            <w:vMerge w:val="restart"/>
            <w:vAlign w:val="center"/>
          </w:tcPr>
          <w:p>
            <w:pPr>
              <w:widowControl/>
              <w:shd w:val="clear" w:color="auto" w:fill="FFFFFF"/>
              <w:adjustRightInd/>
              <w:spacing w:after="225" w:line="315" w:lineRule="atLeas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5014" w:type="dxa"/>
            <w:vAlign w:val="center"/>
          </w:tcPr>
          <w:p>
            <w:pPr>
              <w:spacing w:before="0" w:beforeAutospacing="0" w:after="0" w:afterAutospacing="0" w:line="360" w:lineRule="exact"/>
              <w:ind w:left="0" w:right="0"/>
              <w:jc w:val="both"/>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体系认证证书：投标人具有效的环境管理体系认证、职业健康安全管理体系认证、质量管理体系认证证书，每个得2分，最高得6分。</w:t>
            </w:r>
          </w:p>
          <w:p>
            <w:pPr>
              <w:spacing w:before="0" w:beforeAutospacing="0" w:after="0" w:afterAutospacing="0" w:line="360" w:lineRule="exact"/>
              <w:ind w:left="0" w:leftChars="0" w:right="0" w:rightChars="0"/>
              <w:jc w:val="both"/>
              <w:rPr>
                <w:rFonts w:hint="eastAsia" w:ascii="宋体" w:hAnsi="宋体" w:eastAsia="宋体" w:cs="宋体"/>
                <w:color w:val="auto"/>
                <w:sz w:val="24"/>
                <w:highlight w:val="none"/>
              </w:rPr>
            </w:pPr>
            <w:r>
              <w:rPr>
                <w:rFonts w:hint="eastAsia" w:ascii="宋体" w:hAnsi="宋体" w:eastAsia="宋体" w:cs="宋体"/>
                <w:b/>
                <w:color w:val="auto"/>
                <w:sz w:val="24"/>
                <w:highlight w:val="none"/>
              </w:rPr>
              <w:t>注：投标文件中提供有效期内的证书扫描件及全国认证认可信息公共服务平台网站（http://www.cnca.gov.cn/）查询页面截图，否则不得分。</w:t>
            </w:r>
            <w:r>
              <w:rPr>
                <w:rFonts w:hint="eastAsia" w:ascii="宋体" w:hAnsi="宋体" w:eastAsia="宋体" w:cs="宋体"/>
                <w:color w:val="auto"/>
                <w:sz w:val="24"/>
                <w:highlight w:val="none"/>
                <w:lang w:val="en-US" w:eastAsia="zh-CN"/>
              </w:rPr>
              <w:t xml:space="preserve"> </w:t>
            </w:r>
          </w:p>
        </w:tc>
        <w:tc>
          <w:tcPr>
            <w:tcW w:w="793" w:type="dxa"/>
            <w:vAlign w:val="center"/>
          </w:tcPr>
          <w:p>
            <w:pPr>
              <w:widowControl/>
              <w:shd w:val="clear" w:color="auto" w:fill="FFFFFF"/>
              <w:adjustRightInd/>
              <w:spacing w:after="225" w:line="315" w:lineRule="atLeas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0-</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分</w:t>
            </w:r>
          </w:p>
        </w:tc>
        <w:tc>
          <w:tcPr>
            <w:tcW w:w="827"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客观分</w:t>
            </w:r>
          </w:p>
        </w:tc>
        <w:tc>
          <w:tcPr>
            <w:tcW w:w="97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889" w:type="dxa"/>
            <w:vMerge w:val="continue"/>
            <w:vAlign w:val="center"/>
          </w:tcPr>
          <w:p>
            <w:pPr>
              <w:widowControl/>
              <w:shd w:val="clear" w:color="auto" w:fill="FFFFFF"/>
              <w:adjustRightInd/>
              <w:spacing w:after="225" w:line="315" w:lineRule="atLeast"/>
              <w:jc w:val="center"/>
              <w:rPr>
                <w:rFonts w:hint="eastAsia" w:ascii="宋体" w:hAnsi="宋体" w:eastAsia="宋体" w:cs="宋体"/>
                <w:color w:val="auto"/>
                <w:sz w:val="24"/>
                <w:highlight w:val="none"/>
              </w:rPr>
            </w:pPr>
          </w:p>
        </w:tc>
        <w:tc>
          <w:tcPr>
            <w:tcW w:w="5014" w:type="dxa"/>
            <w:vAlign w:val="center"/>
          </w:tcPr>
          <w:p>
            <w:pPr>
              <w:spacing w:before="0" w:beforeAutospacing="0" w:after="0" w:afterAutospacing="0" w:line="360" w:lineRule="exact"/>
              <w:ind w:left="0" w:leftChars="0" w:right="0" w:rightChars="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2019年1月1日起至今（时间以合同签订时间或中标通知书发出的时间为准）， 政府投资的，类似道路保洁业绩的，每个得1分；本项目最高得 1分；</w:t>
            </w:r>
            <w:r>
              <w:rPr>
                <w:rFonts w:hint="eastAsia" w:ascii="宋体" w:hAnsi="宋体" w:eastAsia="宋体" w:cs="宋体"/>
                <w:b/>
                <w:bCs/>
                <w:color w:val="auto"/>
                <w:kern w:val="0"/>
                <w:sz w:val="24"/>
                <w:highlight w:val="none"/>
              </w:rPr>
              <w:t>（在投标文件中同时提供中标通知书和合同复印件加盖公章）</w:t>
            </w:r>
          </w:p>
        </w:tc>
        <w:tc>
          <w:tcPr>
            <w:tcW w:w="793" w:type="dxa"/>
            <w:vAlign w:val="center"/>
          </w:tcPr>
          <w:p>
            <w:pPr>
              <w:widowControl/>
              <w:shd w:val="clear" w:color="auto" w:fill="FFFFFF"/>
              <w:adjustRightInd/>
              <w:spacing w:after="225" w:line="315" w:lineRule="atLeast"/>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0-1分</w:t>
            </w:r>
          </w:p>
        </w:tc>
        <w:tc>
          <w:tcPr>
            <w:tcW w:w="827"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客观分</w:t>
            </w:r>
          </w:p>
        </w:tc>
        <w:tc>
          <w:tcPr>
            <w:tcW w:w="97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trPr>
        <w:tc>
          <w:tcPr>
            <w:tcW w:w="889" w:type="dxa"/>
            <w:vMerge w:val="continue"/>
            <w:vAlign w:val="center"/>
          </w:tcPr>
          <w:p>
            <w:pPr>
              <w:widowControl/>
              <w:shd w:val="clear" w:color="auto" w:fill="FFFFFF"/>
              <w:adjustRightInd/>
              <w:spacing w:after="225" w:line="315" w:lineRule="atLeast"/>
              <w:jc w:val="center"/>
              <w:rPr>
                <w:rFonts w:hint="eastAsia" w:ascii="宋体" w:hAnsi="宋体" w:eastAsia="宋体" w:cs="宋体"/>
                <w:color w:val="auto"/>
                <w:sz w:val="24"/>
                <w:highlight w:val="none"/>
              </w:rPr>
            </w:pPr>
          </w:p>
        </w:tc>
        <w:tc>
          <w:tcPr>
            <w:tcW w:w="5014" w:type="dxa"/>
            <w:vAlign w:val="center"/>
          </w:tcPr>
          <w:p>
            <w:pPr>
              <w:spacing w:before="0" w:beforeAutospacing="0" w:after="0" w:afterAutospacing="0" w:line="360" w:lineRule="exact"/>
              <w:ind w:left="0" w:right="0"/>
              <w:jc w:val="both"/>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2019年1月1日至今，投标人获得市级及以上行业主管部门颁发的表彰荣誉的得2分；区（县）级及以上表彰荣誉的有一个得1分；本项最高得2分。</w:t>
            </w:r>
          </w:p>
          <w:p>
            <w:pPr>
              <w:spacing w:before="0" w:beforeAutospacing="0" w:after="0" w:afterAutospacing="0" w:line="360" w:lineRule="exact"/>
              <w:ind w:left="0" w:leftChars="0" w:right="0" w:rightChars="0"/>
              <w:jc w:val="both"/>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w:t>
            </w:r>
            <w:r>
              <w:rPr>
                <w:rFonts w:hint="eastAsia" w:ascii="宋体" w:hAnsi="宋体" w:eastAsia="宋体" w:cs="宋体"/>
                <w:b/>
                <w:bCs/>
                <w:color w:val="auto"/>
                <w:sz w:val="24"/>
                <w:highlight w:val="none"/>
                <w:lang w:val="en-US" w:eastAsia="zh-CN"/>
              </w:rPr>
              <w:t>在投标文件中</w:t>
            </w:r>
            <w:r>
              <w:rPr>
                <w:rFonts w:hint="eastAsia" w:ascii="宋体" w:hAnsi="宋体" w:eastAsia="宋体" w:cs="宋体"/>
                <w:b/>
                <w:bCs/>
                <w:color w:val="auto"/>
                <w:sz w:val="24"/>
                <w:highlight w:val="none"/>
              </w:rPr>
              <w:t>需提供相关证明材料扫描件，否则不得分）</w:t>
            </w:r>
          </w:p>
        </w:tc>
        <w:tc>
          <w:tcPr>
            <w:tcW w:w="793" w:type="dxa"/>
            <w:vAlign w:val="center"/>
          </w:tcPr>
          <w:p>
            <w:pPr>
              <w:widowControl/>
              <w:shd w:val="clear" w:color="auto" w:fill="FFFFFF"/>
              <w:adjustRightInd/>
              <w:spacing w:after="225" w:line="315" w:lineRule="atLeast"/>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0-2分</w:t>
            </w:r>
          </w:p>
        </w:tc>
        <w:tc>
          <w:tcPr>
            <w:tcW w:w="827"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客观分</w:t>
            </w:r>
          </w:p>
        </w:tc>
        <w:tc>
          <w:tcPr>
            <w:tcW w:w="97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shd w:val="clear" w:color="auto" w:fill="FFFFFF"/>
              <w:adjustRightInd/>
              <w:spacing w:after="225" w:line="315" w:lineRule="atLeas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5014" w:type="dxa"/>
            <w:vAlign w:val="center"/>
          </w:tcPr>
          <w:p>
            <w:pPr>
              <w:spacing w:before="0" w:beforeAutospacing="0" w:after="0" w:afterAutospacing="0" w:line="360" w:lineRule="exact"/>
              <w:ind w:left="0" w:right="0"/>
              <w:jc w:val="both"/>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（1）投标人拟派项目负责人具有环卫项目经理证证书的得2分，没有不得分，本项最高得2分；</w:t>
            </w:r>
          </w:p>
          <w:p>
            <w:pPr>
              <w:spacing w:before="0" w:beforeAutospacing="0" w:after="0" w:afterAutospacing="0" w:line="360" w:lineRule="exact"/>
              <w:ind w:left="0" w:right="0"/>
              <w:jc w:val="both"/>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项目负责人荣誉：以项目负责人身份具有保洁或市政养护工作中获得区</w:t>
            </w:r>
            <w:r>
              <w:rPr>
                <w:rFonts w:hint="eastAsia" w:ascii="宋体" w:hAnsi="宋体" w:eastAsia="宋体" w:cs="宋体"/>
                <w:color w:val="auto"/>
                <w:sz w:val="24"/>
                <w:highlight w:val="none"/>
                <w:lang w:val="en-US" w:eastAsia="zh-CN"/>
              </w:rPr>
              <w:t>（县）</w:t>
            </w:r>
            <w:r>
              <w:rPr>
                <w:rFonts w:hint="eastAsia" w:ascii="宋体" w:hAnsi="宋体" w:eastAsia="宋体" w:cs="宋体"/>
                <w:color w:val="auto"/>
                <w:sz w:val="24"/>
                <w:highlight w:val="none"/>
              </w:rPr>
              <w:t>级及以上荣誉得1分；本项最高得</w:t>
            </w: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分；</w:t>
            </w:r>
          </w:p>
          <w:p>
            <w:pPr>
              <w:spacing w:before="0" w:beforeAutospacing="0" w:after="0" w:afterAutospacing="0" w:line="360" w:lineRule="exact"/>
              <w:ind w:left="0" w:right="0"/>
              <w:jc w:val="both"/>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val="en-US" w:eastAsia="zh-CN"/>
              </w:rPr>
              <w:t>）投标人拟派项目专职安全管理员同时具有大专及以上学历及安全员证证书的得</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en-US" w:eastAsia="zh-CN"/>
              </w:rPr>
              <w:t>分/人，没有不得分，本项最高得</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lang w:val="en-US" w:eastAsia="zh-CN"/>
              </w:rPr>
              <w:t>分。</w:t>
            </w:r>
          </w:p>
          <w:p>
            <w:pPr>
              <w:pStyle w:val="4"/>
              <w:rPr>
                <w:rFonts w:hint="eastAsia" w:ascii="宋体" w:hAnsi="宋体" w:eastAsia="宋体" w:cs="宋体"/>
                <w:color w:val="auto"/>
                <w:sz w:val="24"/>
                <w:highlight w:val="none"/>
              </w:rPr>
            </w:pPr>
            <w:r>
              <w:rPr>
                <w:rFonts w:hint="eastAsia" w:ascii="宋体" w:hAnsi="宋体" w:eastAsia="宋体" w:cs="宋体"/>
                <w:b/>
                <w:color w:val="auto"/>
                <w:sz w:val="24"/>
                <w:highlight w:val="none"/>
              </w:rPr>
              <w:t>注：投标文件中提供拟派人员证书及最近</w:t>
            </w:r>
            <w:r>
              <w:rPr>
                <w:rFonts w:hint="eastAsia" w:ascii="宋体" w:hAnsi="宋体" w:eastAsia="宋体" w:cs="宋体"/>
                <w:b/>
                <w:color w:val="auto"/>
                <w:sz w:val="24"/>
                <w:highlight w:val="none"/>
                <w:lang w:eastAsia="zh-CN"/>
              </w:rPr>
              <w:t>三个月</w:t>
            </w:r>
            <w:r>
              <w:rPr>
                <w:rFonts w:hint="eastAsia" w:ascii="宋体" w:hAnsi="宋体" w:eastAsia="宋体" w:cs="宋体"/>
                <w:b/>
                <w:color w:val="auto"/>
                <w:sz w:val="24"/>
                <w:highlight w:val="none"/>
              </w:rPr>
              <w:t>本单位社保缴纳证明扫描件，否则不得分。</w:t>
            </w:r>
          </w:p>
        </w:tc>
        <w:tc>
          <w:tcPr>
            <w:tcW w:w="793" w:type="dxa"/>
            <w:vAlign w:val="center"/>
          </w:tcPr>
          <w:p>
            <w:pPr>
              <w:widowControl/>
              <w:shd w:val="clear" w:color="auto" w:fill="FFFFFF"/>
              <w:adjustRightInd/>
              <w:spacing w:after="225" w:line="315" w:lineRule="atLeast"/>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0-</w:t>
            </w:r>
            <w:r>
              <w:rPr>
                <w:rFonts w:hint="eastAsia" w:ascii="宋体" w:hAnsi="宋体" w:eastAsia="宋体" w:cs="宋体"/>
                <w:color w:val="auto"/>
                <w:sz w:val="24"/>
                <w:highlight w:val="none"/>
                <w:lang w:val="en-US" w:eastAsia="zh-CN"/>
              </w:rPr>
              <w:t>5</w:t>
            </w:r>
          </w:p>
        </w:tc>
        <w:tc>
          <w:tcPr>
            <w:tcW w:w="827"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客观分</w:t>
            </w:r>
          </w:p>
        </w:tc>
        <w:tc>
          <w:tcPr>
            <w:tcW w:w="97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widowControl/>
              <w:shd w:val="clear" w:color="auto" w:fill="FFFFFF"/>
              <w:adjustRightInd/>
              <w:spacing w:after="225" w:line="315" w:lineRule="atLeas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5014" w:type="dxa"/>
            <w:vAlign w:val="center"/>
          </w:tcPr>
          <w:p>
            <w:pPr>
              <w:pStyle w:val="55"/>
              <w:tabs>
                <w:tab w:val="left" w:pos="1050"/>
              </w:tabs>
              <w:spacing w:before="0" w:beforeAutospacing="0" w:after="0" w:afterAutospacing="0" w:line="400" w:lineRule="exact"/>
              <w:ind w:left="0" w:leftChars="0" w:right="0" w:firstLine="240" w:firstLineChars="1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r>
              <w:rPr>
                <w:rFonts w:hint="eastAsia" w:ascii="宋体" w:hAnsi="宋体" w:cs="宋体"/>
                <w:color w:val="auto"/>
                <w:kern w:val="2"/>
                <w:sz w:val="24"/>
                <w:szCs w:val="24"/>
                <w:highlight w:val="none"/>
                <w:lang w:val="en-US" w:eastAsia="zh-CN" w:bidi="ar-SA"/>
              </w:rPr>
              <w:t>自有</w:t>
            </w:r>
            <w:r>
              <w:rPr>
                <w:rFonts w:hint="eastAsia" w:ascii="宋体" w:hAnsi="宋体" w:eastAsia="宋体" w:cs="宋体"/>
                <w:color w:val="auto"/>
                <w:kern w:val="2"/>
                <w:sz w:val="24"/>
                <w:szCs w:val="24"/>
                <w:highlight w:val="none"/>
                <w:lang w:val="en-US" w:eastAsia="zh-CN" w:bidi="ar-SA"/>
              </w:rPr>
              <w:t>三位一体清扫车（集洒、扫、吸三种功能为一体，车辆总质量</w:t>
            </w:r>
            <w:r>
              <w:rPr>
                <w:rFonts w:hint="eastAsia" w:ascii="宋体" w:hAnsi="宋体" w:cs="宋体"/>
                <w:color w:val="auto"/>
                <w:kern w:val="2"/>
                <w:sz w:val="24"/>
                <w:szCs w:val="24"/>
                <w:highlight w:val="none"/>
                <w:lang w:val="en-US" w:eastAsia="zh-CN" w:bidi="ar-SA"/>
              </w:rPr>
              <w:t>10.5</w:t>
            </w:r>
            <w:r>
              <w:rPr>
                <w:rFonts w:hint="eastAsia" w:ascii="宋体" w:hAnsi="宋体" w:eastAsia="宋体" w:cs="宋体"/>
                <w:color w:val="auto"/>
                <w:kern w:val="2"/>
                <w:sz w:val="24"/>
                <w:szCs w:val="24"/>
                <w:highlight w:val="none"/>
                <w:lang w:val="en-US" w:eastAsia="zh-CN" w:bidi="ar-SA"/>
              </w:rPr>
              <w:t>吨及以</w:t>
            </w:r>
            <w:r>
              <w:rPr>
                <w:rFonts w:hint="eastAsia" w:ascii="宋体" w:hAnsi="宋体" w:cs="宋体"/>
                <w:color w:val="auto"/>
                <w:kern w:val="2"/>
                <w:sz w:val="24"/>
                <w:szCs w:val="24"/>
                <w:highlight w:val="none"/>
                <w:lang w:val="en-US" w:eastAsia="zh-CN" w:bidi="ar-SA"/>
              </w:rPr>
              <w:t>下</w:t>
            </w:r>
            <w:r>
              <w:rPr>
                <w:rFonts w:hint="eastAsia" w:ascii="宋体" w:hAnsi="宋体" w:eastAsia="宋体" w:cs="宋体"/>
                <w:color w:val="auto"/>
                <w:kern w:val="2"/>
                <w:sz w:val="24"/>
                <w:szCs w:val="24"/>
                <w:highlight w:val="none"/>
                <w:lang w:val="en-US" w:eastAsia="zh-CN" w:bidi="ar-SA"/>
              </w:rPr>
              <w:t>）的1辆得2分，本项最高得4分；</w:t>
            </w:r>
          </w:p>
          <w:p>
            <w:pPr>
              <w:pStyle w:val="55"/>
              <w:tabs>
                <w:tab w:val="left" w:pos="1050"/>
              </w:tabs>
              <w:spacing w:before="0" w:beforeAutospacing="0" w:after="0" w:afterAutospacing="0" w:line="400" w:lineRule="exact"/>
              <w:ind w:left="0" w:leftChars="0" w:right="0" w:firstLine="240" w:firstLineChars="1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w:t>
            </w:r>
            <w:r>
              <w:rPr>
                <w:rFonts w:hint="eastAsia" w:ascii="宋体" w:hAnsi="宋体" w:cs="宋体"/>
                <w:color w:val="auto"/>
                <w:kern w:val="2"/>
                <w:sz w:val="24"/>
                <w:szCs w:val="24"/>
                <w:highlight w:val="none"/>
                <w:lang w:val="en-US" w:eastAsia="zh-CN" w:bidi="ar-SA"/>
              </w:rPr>
              <w:t>自有</w:t>
            </w:r>
            <w:r>
              <w:rPr>
                <w:rFonts w:hint="eastAsia" w:ascii="宋体" w:hAnsi="宋体" w:eastAsia="宋体" w:cs="宋体"/>
                <w:color w:val="auto"/>
                <w:kern w:val="2"/>
                <w:sz w:val="24"/>
                <w:szCs w:val="24"/>
                <w:highlight w:val="none"/>
                <w:lang w:val="en-US" w:eastAsia="zh-CN" w:bidi="ar-SA"/>
              </w:rPr>
              <w:t>清洗车（洒水车）（单车总质量</w:t>
            </w:r>
            <w:r>
              <w:rPr>
                <w:rFonts w:hint="eastAsia" w:ascii="宋体" w:hAnsi="宋体" w:cs="宋体"/>
                <w:color w:val="auto"/>
                <w:kern w:val="2"/>
                <w:sz w:val="24"/>
                <w:szCs w:val="24"/>
                <w:highlight w:val="none"/>
                <w:lang w:val="en-US" w:eastAsia="zh-CN" w:bidi="ar-SA"/>
              </w:rPr>
              <w:t>18</w:t>
            </w:r>
            <w:r>
              <w:rPr>
                <w:rFonts w:hint="eastAsia" w:ascii="宋体" w:hAnsi="宋体" w:eastAsia="宋体" w:cs="宋体"/>
                <w:color w:val="auto"/>
                <w:kern w:val="2"/>
                <w:sz w:val="24"/>
                <w:szCs w:val="24"/>
                <w:highlight w:val="none"/>
                <w:lang w:val="en-US" w:eastAsia="zh-CN" w:bidi="ar-SA"/>
              </w:rPr>
              <w:t>吨及以上）1辆的得</w:t>
            </w: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分；本项最高得2分；</w:t>
            </w:r>
          </w:p>
          <w:p>
            <w:pPr>
              <w:pStyle w:val="55"/>
              <w:tabs>
                <w:tab w:val="left" w:pos="1050"/>
              </w:tabs>
              <w:spacing w:before="0" w:beforeAutospacing="0" w:after="0" w:afterAutospacing="0" w:line="400" w:lineRule="exact"/>
              <w:ind w:left="0" w:leftChars="0" w:right="0" w:firstLine="240" w:firstLineChars="1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w:t>
            </w:r>
            <w:r>
              <w:rPr>
                <w:rFonts w:hint="eastAsia" w:ascii="宋体" w:hAnsi="宋体" w:cs="宋体"/>
                <w:color w:val="auto"/>
                <w:kern w:val="2"/>
                <w:sz w:val="24"/>
                <w:szCs w:val="24"/>
                <w:highlight w:val="none"/>
                <w:lang w:val="en-US" w:eastAsia="zh-CN" w:bidi="ar-SA"/>
              </w:rPr>
              <w:t>自有小型电动三轮保洁车（保洁翻桶车）</w:t>
            </w:r>
            <w:r>
              <w:rPr>
                <w:rFonts w:hint="eastAsia" w:ascii="宋体" w:hAnsi="宋体" w:eastAsia="宋体" w:cs="宋体"/>
                <w:color w:val="auto"/>
                <w:kern w:val="2"/>
                <w:sz w:val="24"/>
                <w:szCs w:val="24"/>
                <w:highlight w:val="none"/>
                <w:lang w:val="en-US" w:eastAsia="zh-CN" w:bidi="ar-SA"/>
              </w:rPr>
              <w:t>1辆的得</w:t>
            </w:r>
            <w:r>
              <w:rPr>
                <w:rFonts w:hint="eastAsia" w:ascii="宋体" w:hAnsi="宋体" w:cs="宋体"/>
                <w:color w:val="auto"/>
                <w:kern w:val="2"/>
                <w:sz w:val="24"/>
                <w:szCs w:val="24"/>
                <w:highlight w:val="none"/>
                <w:lang w:val="en-US" w:eastAsia="zh-CN" w:bidi="ar-SA"/>
              </w:rPr>
              <w:t>0.5</w:t>
            </w:r>
            <w:r>
              <w:rPr>
                <w:rFonts w:hint="eastAsia" w:ascii="宋体" w:hAnsi="宋体" w:eastAsia="宋体" w:cs="宋体"/>
                <w:color w:val="auto"/>
                <w:kern w:val="2"/>
                <w:sz w:val="24"/>
                <w:szCs w:val="24"/>
                <w:highlight w:val="none"/>
                <w:lang w:val="en-US" w:eastAsia="zh-CN" w:bidi="ar-SA"/>
              </w:rPr>
              <w:t>分；本项最高得</w:t>
            </w:r>
            <w:r>
              <w:rPr>
                <w:rFonts w:hint="eastAsia" w:ascii="宋体" w:hAnsi="宋体" w:cs="宋体"/>
                <w:color w:val="auto"/>
                <w:kern w:val="2"/>
                <w:sz w:val="24"/>
                <w:szCs w:val="24"/>
                <w:highlight w:val="none"/>
                <w:lang w:val="en-US" w:eastAsia="zh-CN" w:bidi="ar-SA"/>
              </w:rPr>
              <w:t>3</w:t>
            </w:r>
            <w:r>
              <w:rPr>
                <w:rFonts w:hint="eastAsia" w:ascii="宋体" w:hAnsi="宋体" w:eastAsia="宋体" w:cs="宋体"/>
                <w:color w:val="auto"/>
                <w:kern w:val="2"/>
                <w:sz w:val="24"/>
                <w:szCs w:val="24"/>
                <w:highlight w:val="none"/>
                <w:lang w:val="en-US" w:eastAsia="zh-CN" w:bidi="ar-SA"/>
              </w:rPr>
              <w:t>分；</w:t>
            </w:r>
          </w:p>
          <w:p>
            <w:pPr>
              <w:pStyle w:val="55"/>
              <w:tabs>
                <w:tab w:val="left" w:pos="1050"/>
              </w:tabs>
              <w:spacing w:before="0" w:beforeAutospacing="0" w:after="0" w:afterAutospacing="0" w:line="400" w:lineRule="exact"/>
              <w:ind w:left="0" w:leftChars="0" w:right="0" w:firstLine="240" w:firstLineChars="1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w:t>
            </w:r>
            <w:r>
              <w:rPr>
                <w:rFonts w:hint="eastAsia" w:ascii="宋体" w:hAnsi="宋体" w:cs="宋体"/>
                <w:color w:val="auto"/>
                <w:kern w:val="2"/>
                <w:sz w:val="24"/>
                <w:szCs w:val="24"/>
                <w:highlight w:val="none"/>
                <w:lang w:val="en-US" w:eastAsia="zh-CN" w:bidi="ar-SA"/>
              </w:rPr>
              <w:t>自有</w:t>
            </w:r>
            <w:r>
              <w:rPr>
                <w:rFonts w:hint="eastAsia" w:ascii="宋体" w:hAnsi="宋体" w:eastAsia="宋体" w:cs="宋体"/>
                <w:color w:val="auto"/>
                <w:kern w:val="2"/>
                <w:sz w:val="24"/>
                <w:szCs w:val="24"/>
                <w:highlight w:val="none"/>
                <w:lang w:val="en-US" w:eastAsia="zh-CN" w:bidi="ar-SA"/>
              </w:rPr>
              <w:t>压缩式垃圾车（单车总质量</w:t>
            </w:r>
            <w:r>
              <w:rPr>
                <w:rFonts w:hint="eastAsia" w:ascii="宋体" w:hAnsi="宋体" w:cs="宋体"/>
                <w:color w:val="auto"/>
                <w:kern w:val="2"/>
                <w:sz w:val="24"/>
                <w:szCs w:val="24"/>
                <w:highlight w:val="none"/>
                <w:lang w:val="en-US" w:eastAsia="zh-CN" w:bidi="ar-SA"/>
              </w:rPr>
              <w:t>7</w:t>
            </w:r>
            <w:r>
              <w:rPr>
                <w:rFonts w:hint="eastAsia" w:ascii="宋体" w:hAnsi="宋体" w:eastAsia="宋体" w:cs="宋体"/>
                <w:color w:val="auto"/>
                <w:kern w:val="2"/>
                <w:sz w:val="24"/>
                <w:szCs w:val="24"/>
                <w:highlight w:val="none"/>
                <w:lang w:val="en-US" w:eastAsia="zh-CN" w:bidi="ar-SA"/>
              </w:rPr>
              <w:t>吨及以上）1辆及以上的得2分；本项最高得2分；</w:t>
            </w:r>
          </w:p>
          <w:p>
            <w:pPr>
              <w:pStyle w:val="55"/>
              <w:tabs>
                <w:tab w:val="left" w:pos="1050"/>
              </w:tabs>
              <w:spacing w:before="0" w:beforeAutospacing="0" w:after="0" w:afterAutospacing="0" w:line="400" w:lineRule="exact"/>
              <w:ind w:left="0" w:leftChars="0" w:right="0" w:firstLine="240" w:firstLineChars="1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w:t>
            </w:r>
            <w:r>
              <w:rPr>
                <w:rFonts w:hint="eastAsia" w:ascii="宋体" w:hAnsi="宋体" w:cs="宋体"/>
                <w:color w:val="auto"/>
                <w:kern w:val="2"/>
                <w:sz w:val="24"/>
                <w:szCs w:val="24"/>
                <w:highlight w:val="none"/>
                <w:lang w:val="en-US" w:eastAsia="zh-CN" w:bidi="ar-SA"/>
              </w:rPr>
              <w:t>自有</w:t>
            </w:r>
            <w:r>
              <w:rPr>
                <w:rFonts w:hint="eastAsia" w:ascii="宋体" w:hAnsi="宋体" w:eastAsia="宋体" w:cs="宋体"/>
                <w:color w:val="auto"/>
                <w:kern w:val="2"/>
                <w:sz w:val="24"/>
                <w:szCs w:val="24"/>
                <w:highlight w:val="none"/>
                <w:lang w:val="en-US" w:eastAsia="zh-CN" w:bidi="ar-SA"/>
              </w:rPr>
              <w:t xml:space="preserve">抑尘车带冲洗龙头或雾炮车带冲洗龙头(车辆总质量 </w:t>
            </w:r>
            <w:r>
              <w:rPr>
                <w:rFonts w:hint="eastAsia" w:ascii="宋体" w:hAnsi="宋体" w:cs="宋体"/>
                <w:color w:val="auto"/>
                <w:kern w:val="2"/>
                <w:sz w:val="24"/>
                <w:szCs w:val="24"/>
                <w:highlight w:val="none"/>
                <w:lang w:val="en-US" w:eastAsia="zh-CN" w:bidi="ar-SA"/>
              </w:rPr>
              <w:t>8</w:t>
            </w:r>
            <w:r>
              <w:rPr>
                <w:rFonts w:hint="eastAsia" w:ascii="宋体" w:hAnsi="宋体" w:eastAsia="宋体" w:cs="宋体"/>
                <w:color w:val="auto"/>
                <w:kern w:val="2"/>
                <w:sz w:val="24"/>
                <w:szCs w:val="24"/>
                <w:highlight w:val="none"/>
                <w:lang w:val="en-US" w:eastAsia="zh-CN" w:bidi="ar-SA"/>
              </w:rPr>
              <w:t>吨及以上）1辆的得</w:t>
            </w: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分，本项最高得</w:t>
            </w: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分；</w:t>
            </w:r>
          </w:p>
          <w:p>
            <w:pPr>
              <w:pStyle w:val="55"/>
              <w:tabs>
                <w:tab w:val="left" w:pos="1050"/>
              </w:tabs>
              <w:spacing w:before="0" w:beforeAutospacing="0" w:after="0" w:afterAutospacing="0" w:line="400" w:lineRule="exact"/>
              <w:ind w:left="0" w:leftChars="0" w:right="0" w:firstLine="240" w:firstLineChars="1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6、</w:t>
            </w:r>
            <w:r>
              <w:rPr>
                <w:rFonts w:hint="eastAsia" w:ascii="宋体" w:hAnsi="宋体" w:cs="宋体"/>
                <w:color w:val="auto"/>
                <w:kern w:val="2"/>
                <w:sz w:val="24"/>
                <w:szCs w:val="24"/>
                <w:highlight w:val="none"/>
                <w:lang w:val="en-US" w:eastAsia="zh-CN" w:bidi="ar-SA"/>
              </w:rPr>
              <w:t>自有封闭式垃圾转运车</w:t>
            </w:r>
            <w:r>
              <w:rPr>
                <w:rFonts w:hint="eastAsia" w:ascii="宋体" w:hAnsi="宋体" w:eastAsia="宋体" w:cs="宋体"/>
                <w:color w:val="auto"/>
                <w:kern w:val="2"/>
                <w:sz w:val="24"/>
                <w:szCs w:val="24"/>
                <w:highlight w:val="none"/>
                <w:lang w:val="en-US" w:eastAsia="zh-CN" w:bidi="ar-SA"/>
              </w:rPr>
              <w:t>1辆及以上的得</w:t>
            </w: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分，本项最高得</w:t>
            </w: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分；</w:t>
            </w:r>
          </w:p>
          <w:p>
            <w:pPr>
              <w:pStyle w:val="55"/>
              <w:tabs>
                <w:tab w:val="left" w:pos="1050"/>
              </w:tabs>
              <w:spacing w:before="0" w:beforeAutospacing="0" w:after="0" w:afterAutospacing="0" w:line="400" w:lineRule="exact"/>
              <w:ind w:left="0" w:leftChars="0" w:right="0" w:firstLine="240" w:firstLineChars="1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w:t>
            </w:r>
            <w:r>
              <w:rPr>
                <w:rFonts w:hint="eastAsia" w:ascii="宋体" w:hAnsi="宋体" w:cs="宋体"/>
                <w:color w:val="auto"/>
                <w:kern w:val="2"/>
                <w:sz w:val="24"/>
                <w:szCs w:val="24"/>
                <w:highlight w:val="none"/>
                <w:lang w:val="en-US" w:eastAsia="zh-CN" w:bidi="ar-SA"/>
              </w:rPr>
              <w:t>自有小型</w:t>
            </w:r>
            <w:r>
              <w:rPr>
                <w:rFonts w:hint="eastAsia" w:ascii="宋体" w:hAnsi="宋体" w:eastAsia="宋体" w:cs="宋体"/>
                <w:color w:val="auto"/>
                <w:kern w:val="2"/>
                <w:sz w:val="24"/>
                <w:szCs w:val="24"/>
                <w:highlight w:val="none"/>
                <w:lang w:val="en-US" w:eastAsia="zh-CN" w:bidi="ar-SA"/>
              </w:rPr>
              <w:t>电动高压冲洗车每辆得</w:t>
            </w: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分，本项最高得</w:t>
            </w:r>
            <w:r>
              <w:rPr>
                <w:rFonts w:hint="eastAsia" w:ascii="宋体" w:hAnsi="宋体" w:cs="宋体"/>
                <w:color w:val="auto"/>
                <w:kern w:val="2"/>
                <w:sz w:val="24"/>
                <w:szCs w:val="24"/>
                <w:highlight w:val="none"/>
                <w:lang w:val="en-US" w:eastAsia="zh-CN" w:bidi="ar-SA"/>
              </w:rPr>
              <w:t>3</w:t>
            </w:r>
            <w:r>
              <w:rPr>
                <w:rFonts w:hint="eastAsia" w:ascii="宋体" w:hAnsi="宋体" w:eastAsia="宋体" w:cs="宋体"/>
                <w:color w:val="auto"/>
                <w:kern w:val="2"/>
                <w:sz w:val="24"/>
                <w:szCs w:val="24"/>
                <w:highlight w:val="none"/>
                <w:lang w:val="en-US" w:eastAsia="zh-CN" w:bidi="ar-SA"/>
              </w:rPr>
              <w:t>分；</w:t>
            </w:r>
          </w:p>
          <w:p>
            <w:pPr>
              <w:pStyle w:val="55"/>
              <w:tabs>
                <w:tab w:val="left" w:pos="1050"/>
              </w:tabs>
              <w:spacing w:before="0" w:beforeAutospacing="0" w:after="0" w:afterAutospacing="0" w:line="400" w:lineRule="exact"/>
              <w:ind w:left="0" w:leftChars="0" w:right="0" w:firstLine="240" w:firstLineChars="1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8、</w:t>
            </w:r>
            <w:r>
              <w:rPr>
                <w:rFonts w:hint="eastAsia" w:ascii="宋体" w:hAnsi="宋体" w:cs="宋体"/>
                <w:color w:val="auto"/>
                <w:kern w:val="2"/>
                <w:sz w:val="24"/>
                <w:szCs w:val="24"/>
                <w:highlight w:val="none"/>
                <w:lang w:val="en-US" w:eastAsia="zh-CN" w:bidi="ar-SA"/>
              </w:rPr>
              <w:t>自有</w:t>
            </w:r>
            <w:r>
              <w:rPr>
                <w:rFonts w:hint="eastAsia" w:ascii="宋体" w:hAnsi="宋体" w:eastAsia="宋体" w:cs="宋体"/>
                <w:color w:val="auto"/>
                <w:kern w:val="2"/>
                <w:sz w:val="24"/>
                <w:szCs w:val="24"/>
                <w:highlight w:val="none"/>
                <w:lang w:val="en-US" w:eastAsia="zh-CN" w:bidi="ar-SA"/>
              </w:rPr>
              <w:t>电动巡逻车每辆得</w:t>
            </w: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分，本项最高得1分；</w:t>
            </w:r>
          </w:p>
          <w:p>
            <w:pPr>
              <w:pStyle w:val="55"/>
              <w:tabs>
                <w:tab w:val="left" w:pos="1050"/>
              </w:tabs>
              <w:spacing w:before="0" w:beforeAutospacing="0" w:after="0" w:afterAutospacing="0" w:line="400" w:lineRule="exact"/>
              <w:ind w:left="0" w:leftChars="0" w:right="0" w:firstLine="240" w:firstLineChars="1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9、</w:t>
            </w:r>
            <w:r>
              <w:rPr>
                <w:rFonts w:hint="eastAsia" w:ascii="宋体" w:hAnsi="宋体" w:cs="宋体"/>
                <w:color w:val="auto"/>
                <w:kern w:val="2"/>
                <w:sz w:val="24"/>
                <w:szCs w:val="24"/>
                <w:highlight w:val="none"/>
                <w:lang w:val="en-US" w:eastAsia="zh-CN" w:bidi="ar-SA"/>
              </w:rPr>
              <w:t>自有电动垃圾集运（储运）车（音乐线）</w:t>
            </w:r>
            <w:r>
              <w:rPr>
                <w:rFonts w:hint="eastAsia" w:ascii="宋体" w:hAnsi="宋体" w:eastAsia="宋体" w:cs="宋体"/>
                <w:color w:val="auto"/>
                <w:kern w:val="2"/>
                <w:sz w:val="24"/>
                <w:szCs w:val="24"/>
                <w:highlight w:val="none"/>
                <w:lang w:val="en-US" w:eastAsia="zh-CN" w:bidi="ar-SA"/>
              </w:rPr>
              <w:t>1辆及以上的得1分；本项最高得</w:t>
            </w: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分；</w:t>
            </w:r>
          </w:p>
          <w:p>
            <w:pPr>
              <w:pStyle w:val="55"/>
              <w:tabs>
                <w:tab w:val="left" w:pos="1050"/>
              </w:tabs>
              <w:spacing w:before="0" w:beforeAutospacing="0" w:after="0" w:afterAutospacing="0" w:line="400" w:lineRule="exact"/>
              <w:ind w:left="0" w:leftChars="0" w:right="0" w:firstLine="240" w:firstLineChars="1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10、</w:t>
            </w:r>
            <w:r>
              <w:rPr>
                <w:rFonts w:hint="eastAsia" w:ascii="宋体" w:hAnsi="宋体" w:cs="宋体"/>
                <w:color w:val="auto"/>
                <w:kern w:val="2"/>
                <w:sz w:val="24"/>
                <w:szCs w:val="24"/>
                <w:highlight w:val="none"/>
                <w:lang w:val="en-US" w:eastAsia="zh-CN" w:bidi="ar-SA"/>
              </w:rPr>
              <w:t>自有</w:t>
            </w:r>
            <w:r>
              <w:rPr>
                <w:rFonts w:hint="eastAsia" w:ascii="宋体" w:hAnsi="宋体" w:eastAsia="宋体" w:cs="宋体"/>
                <w:color w:val="auto"/>
                <w:kern w:val="2"/>
                <w:sz w:val="24"/>
                <w:szCs w:val="24"/>
                <w:highlight w:val="none"/>
                <w:lang w:val="en-US" w:eastAsia="zh-CN" w:bidi="ar-SA"/>
              </w:rPr>
              <w:t>不锈钢三轮保洁车30辆（含30辆）及以上得</w:t>
            </w: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分，不足30辆不得分，本项最高得</w:t>
            </w: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分；</w:t>
            </w:r>
          </w:p>
          <w:p>
            <w:pPr>
              <w:pStyle w:val="55"/>
              <w:tabs>
                <w:tab w:val="left" w:pos="1050"/>
              </w:tabs>
              <w:spacing w:before="0" w:beforeAutospacing="0" w:after="0" w:afterAutospacing="0" w:line="400" w:lineRule="exact"/>
              <w:ind w:left="0" w:leftChars="0" w:right="0" w:firstLine="240" w:firstLineChars="100"/>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11、</w:t>
            </w:r>
            <w:r>
              <w:rPr>
                <w:rFonts w:hint="eastAsia" w:ascii="宋体" w:hAnsi="宋体" w:cs="宋体"/>
                <w:color w:val="auto"/>
                <w:sz w:val="24"/>
                <w:highlight w:val="none"/>
              </w:rPr>
              <w:t>自有应急扫雪</w:t>
            </w:r>
            <w:r>
              <w:rPr>
                <w:rFonts w:hint="eastAsia" w:ascii="宋体" w:hAnsi="宋体" w:cs="宋体"/>
                <w:color w:val="auto"/>
                <w:sz w:val="24"/>
                <w:highlight w:val="none"/>
                <w:lang w:eastAsia="zh-CN"/>
              </w:rPr>
              <w:t>除冰</w:t>
            </w:r>
            <w:r>
              <w:rPr>
                <w:rFonts w:hint="eastAsia" w:ascii="宋体" w:hAnsi="宋体" w:cs="宋体"/>
                <w:color w:val="auto"/>
                <w:sz w:val="24"/>
                <w:highlight w:val="none"/>
              </w:rPr>
              <w:t>设备</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套及以上得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分，否则不得分，最高得</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分；（除雪车可以采用其他动力车辆前加装除雪滚筒</w:t>
            </w:r>
            <w:r>
              <w:rPr>
                <w:rFonts w:hint="eastAsia" w:ascii="宋体" w:hAnsi="宋体" w:cs="宋体"/>
                <w:color w:val="auto"/>
                <w:sz w:val="24"/>
                <w:highlight w:val="none"/>
                <w:lang w:eastAsia="zh-CN"/>
              </w:rPr>
              <w:t>或除冰设备</w:t>
            </w:r>
            <w:r>
              <w:rPr>
                <w:rFonts w:hint="eastAsia" w:ascii="宋体" w:hAnsi="宋体" w:cs="宋体"/>
                <w:color w:val="auto"/>
                <w:sz w:val="24"/>
                <w:highlight w:val="none"/>
              </w:rPr>
              <w:t>，但加装车辆不能占用投标需求中的车辆）</w:t>
            </w:r>
          </w:p>
          <w:p>
            <w:pPr>
              <w:pStyle w:val="55"/>
              <w:tabs>
                <w:tab w:val="left" w:pos="1050"/>
              </w:tabs>
              <w:spacing w:before="0" w:beforeAutospacing="0" w:after="0" w:afterAutospacing="0" w:line="400" w:lineRule="exact"/>
              <w:ind w:left="0" w:leftChars="0" w:right="0" w:firstLine="240" w:firstLineChars="1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w:t>
            </w: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、管理用车：多用途货车（皮卡）1辆及以上的得1分，轻型载货汽车（单车总质量4吨以上）1辆及以上的得1分；本项最高得2分；</w:t>
            </w:r>
          </w:p>
          <w:p>
            <w:pPr>
              <w:widowControl/>
              <w:shd w:val="clear" w:color="auto" w:fill="FFFFFF"/>
              <w:adjustRightInd/>
              <w:spacing w:after="225" w:line="315" w:lineRule="atLeast"/>
              <w:ind w:firstLine="240" w:firstLineChars="100"/>
              <w:jc w:val="left"/>
              <w:rPr>
                <w:rFonts w:hint="eastAsia" w:ascii="宋体" w:hAnsi="宋体" w:eastAsia="宋体" w:cs="宋体"/>
                <w:color w:val="auto"/>
                <w:sz w:val="24"/>
                <w:highlight w:val="none"/>
              </w:rPr>
            </w:pPr>
            <w:r>
              <w:rPr>
                <w:rFonts w:hint="eastAsia" w:ascii="宋体" w:hAnsi="宋体" w:eastAsia="宋体" w:cs="宋体"/>
                <w:color w:val="auto"/>
                <w:kern w:val="2"/>
                <w:sz w:val="24"/>
                <w:szCs w:val="24"/>
                <w:highlight w:val="none"/>
                <w:lang w:val="en-US" w:eastAsia="zh-CN" w:bidi="ar-SA"/>
              </w:rPr>
              <w:t>1</w:t>
            </w:r>
            <w:r>
              <w:rPr>
                <w:rFonts w:hint="eastAsia" w:ascii="宋体" w:hAnsi="宋体" w:cs="宋体"/>
                <w:color w:val="auto"/>
                <w:kern w:val="2"/>
                <w:sz w:val="24"/>
                <w:szCs w:val="24"/>
                <w:highlight w:val="none"/>
                <w:lang w:val="en-US" w:eastAsia="zh-CN" w:bidi="ar-SA"/>
              </w:rPr>
              <w:t>3</w:t>
            </w:r>
            <w:r>
              <w:rPr>
                <w:rFonts w:hint="eastAsia" w:ascii="宋体" w:hAnsi="宋体" w:eastAsia="宋体" w:cs="宋体"/>
                <w:color w:val="auto"/>
                <w:kern w:val="2"/>
                <w:sz w:val="24"/>
                <w:szCs w:val="24"/>
                <w:highlight w:val="none"/>
                <w:lang w:val="en-US" w:eastAsia="zh-CN" w:bidi="ar-SA"/>
              </w:rPr>
              <w:t>、</w:t>
            </w:r>
            <w:r>
              <w:rPr>
                <w:rFonts w:hint="eastAsia" w:ascii="宋体" w:hAnsi="宋体" w:cs="宋体"/>
                <w:color w:val="auto"/>
                <w:sz w:val="24"/>
                <w:highlight w:val="none"/>
                <w:lang w:val="en-US" w:eastAsia="zh-CN"/>
              </w:rPr>
              <w:t>以上设备中，</w:t>
            </w:r>
            <w:r>
              <w:rPr>
                <w:rFonts w:hint="eastAsia" w:ascii="宋体" w:hAnsi="宋体" w:cs="宋体"/>
                <w:color w:val="auto"/>
                <w:sz w:val="24"/>
                <w:highlight w:val="none"/>
              </w:rPr>
              <w:t>投标人自有新</w:t>
            </w:r>
            <w:r>
              <w:rPr>
                <w:rFonts w:hint="eastAsia" w:ascii="宋体" w:hAnsi="宋体" w:cs="宋体"/>
                <w:color w:val="auto"/>
                <w:sz w:val="24"/>
                <w:highlight w:val="none"/>
                <w:lang w:val="en-US" w:eastAsia="zh-CN"/>
              </w:rPr>
              <w:t>能源</w:t>
            </w:r>
            <w:r>
              <w:rPr>
                <w:rFonts w:hint="eastAsia" w:ascii="宋体" w:hAnsi="宋体" w:cs="宋体"/>
                <w:color w:val="auto"/>
                <w:sz w:val="24"/>
                <w:highlight w:val="none"/>
              </w:rPr>
              <w:t>车的</w:t>
            </w:r>
            <w:r>
              <w:rPr>
                <w:rFonts w:hint="eastAsia" w:ascii="宋体" w:hAnsi="宋体" w:cs="宋体"/>
                <w:color w:val="auto"/>
                <w:sz w:val="24"/>
                <w:highlight w:val="none"/>
                <w:lang w:eastAsia="zh-CN"/>
              </w:rPr>
              <w:t>，</w:t>
            </w:r>
            <w:r>
              <w:rPr>
                <w:rFonts w:hint="eastAsia" w:ascii="宋体" w:hAnsi="宋体" w:cs="宋体"/>
                <w:color w:val="auto"/>
                <w:sz w:val="24"/>
                <w:highlight w:val="none"/>
              </w:rPr>
              <w:t>含纯电动汽车(BEV，包括太阳能汽车)、燃料电池电动汽车(FCEV)、</w:t>
            </w:r>
            <w:r>
              <w:rPr>
                <w:rFonts w:hint="eastAsia" w:ascii="宋体" w:hAnsi="宋体" w:cs="宋体"/>
                <w:color w:val="auto"/>
                <w:sz w:val="24"/>
                <w:highlight w:val="none"/>
                <w:lang w:eastAsia="zh-CN"/>
              </w:rPr>
              <w:t>天然气汽车、</w:t>
            </w:r>
            <w:r>
              <w:rPr>
                <w:rFonts w:hint="eastAsia" w:ascii="宋体" w:hAnsi="宋体" w:cs="宋体"/>
                <w:color w:val="auto"/>
                <w:sz w:val="24"/>
                <w:highlight w:val="none"/>
              </w:rPr>
              <w:t>其他新能源(如超级电容器、飞轮等高效储能器)汽车等新能源车的每有一辆</w:t>
            </w:r>
            <w:r>
              <w:rPr>
                <w:rFonts w:hint="eastAsia" w:ascii="宋体" w:hAnsi="宋体" w:cs="宋体"/>
                <w:color w:val="auto"/>
                <w:sz w:val="24"/>
                <w:highlight w:val="none"/>
                <w:lang w:val="en-US" w:eastAsia="zh-CN"/>
              </w:rPr>
              <w:t>增加1</w:t>
            </w:r>
            <w:r>
              <w:rPr>
                <w:rFonts w:hint="eastAsia" w:ascii="宋体" w:hAnsi="宋体" w:cs="宋体"/>
                <w:color w:val="auto"/>
                <w:sz w:val="24"/>
                <w:highlight w:val="none"/>
              </w:rPr>
              <w:t>分，最高得</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w:t>
            </w:r>
            <w:r>
              <w:rPr>
                <w:rFonts w:hint="eastAsia" w:ascii="宋体" w:hAnsi="宋体" w:eastAsia="宋体" w:cs="宋体"/>
                <w:b/>
                <w:bCs/>
                <w:color w:val="auto"/>
                <w:sz w:val="24"/>
                <w:szCs w:val="24"/>
                <w:highlight w:val="none"/>
              </w:rPr>
              <w:t>（需提供投标单位自有车辆行驶证、车辆登记证、购车发票扫描件以及车辆实物照片，无行驶证的设备需提供发票扫描件和车辆实物照片</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以上车辆</w:t>
            </w:r>
            <w:r>
              <w:rPr>
                <w:rFonts w:hint="eastAsia" w:ascii="宋体" w:hAnsi="宋体" w:eastAsia="宋体" w:cs="宋体"/>
                <w:b/>
                <w:color w:val="auto"/>
                <w:sz w:val="24"/>
                <w:szCs w:val="24"/>
                <w:highlight w:val="none"/>
              </w:rPr>
              <w:t>仅用于本保洁项目的书面承诺书（格式自拟）</w:t>
            </w:r>
            <w:r>
              <w:rPr>
                <w:rFonts w:hint="eastAsia" w:ascii="宋体" w:hAnsi="宋体" w:eastAsia="宋体" w:cs="宋体"/>
                <w:b/>
                <w:bCs/>
                <w:color w:val="auto"/>
                <w:sz w:val="24"/>
                <w:szCs w:val="24"/>
                <w:highlight w:val="none"/>
              </w:rPr>
              <w:t>不提供的，该项不得分。）</w:t>
            </w:r>
          </w:p>
        </w:tc>
        <w:tc>
          <w:tcPr>
            <w:tcW w:w="793" w:type="dxa"/>
            <w:vAlign w:val="center"/>
          </w:tcPr>
          <w:p>
            <w:pPr>
              <w:widowControl/>
              <w:shd w:val="clear" w:color="auto" w:fill="FFFFFF"/>
              <w:adjustRightInd/>
              <w:spacing w:after="225" w:line="315" w:lineRule="atLeast"/>
              <w:ind w:firstLine="420"/>
              <w:jc w:val="left"/>
              <w:rPr>
                <w:rFonts w:hint="eastAsia" w:ascii="宋体" w:hAnsi="宋体" w:eastAsia="宋体" w:cs="宋体"/>
                <w:color w:val="auto"/>
                <w:sz w:val="24"/>
                <w:highlight w:val="none"/>
              </w:rPr>
            </w:pPr>
          </w:p>
          <w:p>
            <w:pPr>
              <w:widowControl/>
              <w:shd w:val="clear" w:color="auto" w:fill="FFFFFF"/>
              <w:adjustRightInd/>
              <w:spacing w:after="225" w:line="315" w:lineRule="atLeast"/>
              <w:jc w:val="left"/>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0-</w:t>
            </w:r>
            <w:r>
              <w:rPr>
                <w:rFonts w:hint="eastAsia" w:ascii="宋体" w:hAnsi="宋体" w:eastAsia="宋体" w:cs="宋体"/>
                <w:color w:val="auto"/>
                <w:sz w:val="24"/>
                <w:highlight w:val="none"/>
                <w:lang w:val="en-US" w:eastAsia="zh-CN"/>
              </w:rPr>
              <w:t>32</w:t>
            </w:r>
          </w:p>
        </w:tc>
        <w:tc>
          <w:tcPr>
            <w:tcW w:w="827"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客观分</w:t>
            </w:r>
          </w:p>
        </w:tc>
        <w:tc>
          <w:tcPr>
            <w:tcW w:w="97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restart"/>
            <w:vAlign w:val="center"/>
          </w:tcPr>
          <w:p>
            <w:pPr>
              <w:widowControl/>
              <w:shd w:val="clear" w:color="auto" w:fill="FFFFFF"/>
              <w:adjustRightInd/>
              <w:spacing w:after="225" w:line="315" w:lineRule="atLeast"/>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4</w:t>
            </w:r>
          </w:p>
        </w:tc>
        <w:tc>
          <w:tcPr>
            <w:tcW w:w="5014" w:type="dxa"/>
            <w:vAlign w:val="center"/>
          </w:tcPr>
          <w:p>
            <w:pPr>
              <w:numPr>
                <w:ilvl w:val="0"/>
                <w:numId w:val="0"/>
              </w:numPr>
              <w:spacing w:before="0" w:beforeAutospacing="0" w:after="0" w:afterAutospacing="0" w:line="360" w:lineRule="exact"/>
              <w:ind w:left="0" w:leftChars="0" w:right="0" w:right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偷倒垃圾日常巡查管理及清理清运方案具有针对性，配备专职巡查人员，建立完善的考核机制等。</w:t>
            </w:r>
            <w:r>
              <w:rPr>
                <w:rFonts w:hint="eastAsia" w:ascii="宋体" w:hAnsi="宋体" w:cs="宋体"/>
                <w:color w:val="auto"/>
                <w:sz w:val="24"/>
                <w:szCs w:val="24"/>
                <w:highlight w:val="none"/>
                <w:lang w:eastAsia="zh-CN"/>
              </w:rPr>
              <w:t>一般得</w:t>
            </w:r>
            <w:r>
              <w:rPr>
                <w:rFonts w:hint="eastAsia" w:ascii="宋体" w:hAnsi="宋体" w:cs="宋体"/>
                <w:color w:val="auto"/>
                <w:sz w:val="24"/>
                <w:szCs w:val="24"/>
                <w:highlight w:val="none"/>
                <w:lang w:val="en-US" w:eastAsia="zh-CN"/>
              </w:rPr>
              <w:t>0-2分，较好得2-4分，好得4-6分</w:t>
            </w:r>
            <w:r>
              <w:rPr>
                <w:rFonts w:hint="eastAsia" w:ascii="宋体" w:hAnsi="宋体" w:cs="宋体"/>
                <w:color w:val="auto"/>
                <w:sz w:val="24"/>
                <w:szCs w:val="24"/>
                <w:highlight w:val="none"/>
                <w:lang w:eastAsia="zh-CN"/>
              </w:rPr>
              <w:t>；</w:t>
            </w:r>
          </w:p>
        </w:tc>
        <w:tc>
          <w:tcPr>
            <w:tcW w:w="793" w:type="dxa"/>
            <w:vAlign w:val="center"/>
          </w:tcPr>
          <w:p>
            <w:pPr>
              <w:widowControl/>
              <w:shd w:val="clear" w:color="auto" w:fill="FFFFFF"/>
              <w:adjustRightInd/>
              <w:spacing w:after="225" w:line="315" w:lineRule="atLeast"/>
              <w:jc w:val="left"/>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0-</w:t>
            </w:r>
            <w:r>
              <w:rPr>
                <w:rFonts w:hint="eastAsia" w:ascii="宋体" w:hAnsi="宋体" w:eastAsia="宋体" w:cs="宋体"/>
                <w:color w:val="auto"/>
                <w:sz w:val="24"/>
                <w:highlight w:val="none"/>
                <w:lang w:val="en-US" w:eastAsia="zh-CN"/>
              </w:rPr>
              <w:t>6分</w:t>
            </w:r>
          </w:p>
        </w:tc>
        <w:tc>
          <w:tcPr>
            <w:tcW w:w="827"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主观分</w:t>
            </w:r>
          </w:p>
        </w:tc>
        <w:tc>
          <w:tcPr>
            <w:tcW w:w="97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widowControl/>
              <w:shd w:val="clear" w:color="auto" w:fill="FFFFFF"/>
              <w:adjustRightInd/>
              <w:spacing w:after="225" w:line="315" w:lineRule="atLeast"/>
              <w:jc w:val="center"/>
              <w:rPr>
                <w:rFonts w:hint="eastAsia" w:ascii="宋体" w:hAnsi="宋体" w:eastAsia="宋体" w:cs="宋体"/>
                <w:color w:val="auto"/>
                <w:sz w:val="24"/>
                <w:highlight w:val="none"/>
              </w:rPr>
            </w:pPr>
          </w:p>
        </w:tc>
        <w:tc>
          <w:tcPr>
            <w:tcW w:w="5014" w:type="dxa"/>
            <w:vAlign w:val="center"/>
          </w:tcPr>
          <w:p>
            <w:pPr>
              <w:numPr>
                <w:ilvl w:val="0"/>
                <w:numId w:val="0"/>
              </w:numPr>
              <w:spacing w:before="0" w:beforeAutospacing="0" w:after="0" w:afterAutospacing="0" w:line="360" w:lineRule="exact"/>
              <w:ind w:leftChars="0" w:right="0" w:right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绿化带清扫保洁方案是否针对本项目，清扫保洁人员组织，时间安排、特殊路段的解决方案等。</w:t>
            </w:r>
            <w:r>
              <w:rPr>
                <w:rFonts w:hint="eastAsia" w:ascii="宋体" w:hAnsi="宋体" w:cs="宋体"/>
                <w:color w:val="auto"/>
                <w:sz w:val="24"/>
                <w:szCs w:val="24"/>
                <w:highlight w:val="none"/>
                <w:lang w:eastAsia="zh-CN"/>
              </w:rPr>
              <w:t>一般得</w:t>
            </w:r>
            <w:r>
              <w:rPr>
                <w:rFonts w:hint="eastAsia" w:ascii="宋体" w:hAnsi="宋体" w:cs="宋体"/>
                <w:color w:val="auto"/>
                <w:sz w:val="24"/>
                <w:szCs w:val="24"/>
                <w:highlight w:val="none"/>
                <w:lang w:val="en-US" w:eastAsia="zh-CN"/>
              </w:rPr>
              <w:t>0-2分，较好得2-4分，好得4-6分</w:t>
            </w:r>
            <w:r>
              <w:rPr>
                <w:rFonts w:hint="eastAsia" w:ascii="宋体" w:hAnsi="宋体" w:cs="宋体"/>
                <w:color w:val="auto"/>
                <w:sz w:val="24"/>
                <w:szCs w:val="24"/>
                <w:highlight w:val="none"/>
                <w:lang w:eastAsia="zh-CN"/>
              </w:rPr>
              <w:t>；</w:t>
            </w:r>
          </w:p>
        </w:tc>
        <w:tc>
          <w:tcPr>
            <w:tcW w:w="793" w:type="dxa"/>
            <w:vAlign w:val="center"/>
          </w:tcPr>
          <w:p>
            <w:pPr>
              <w:widowControl/>
              <w:shd w:val="clear" w:color="auto" w:fill="FFFFFF"/>
              <w:adjustRightInd/>
              <w:spacing w:after="225" w:line="315" w:lineRule="atLeas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0-</w:t>
            </w:r>
            <w:r>
              <w:rPr>
                <w:rFonts w:hint="eastAsia" w:ascii="宋体" w:hAnsi="宋体" w:eastAsia="宋体" w:cs="宋体"/>
                <w:color w:val="auto"/>
                <w:sz w:val="24"/>
                <w:highlight w:val="none"/>
                <w:lang w:val="en-US" w:eastAsia="zh-CN"/>
              </w:rPr>
              <w:t>6分</w:t>
            </w:r>
          </w:p>
        </w:tc>
        <w:tc>
          <w:tcPr>
            <w:tcW w:w="827"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主观分</w:t>
            </w:r>
          </w:p>
        </w:tc>
        <w:tc>
          <w:tcPr>
            <w:tcW w:w="97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widowControl/>
              <w:shd w:val="clear" w:color="auto" w:fill="FFFFFF"/>
              <w:adjustRightInd/>
              <w:spacing w:after="225" w:line="315" w:lineRule="atLeast"/>
              <w:jc w:val="center"/>
              <w:rPr>
                <w:rFonts w:hint="eastAsia" w:ascii="宋体" w:hAnsi="宋体" w:eastAsia="宋体" w:cs="宋体"/>
                <w:color w:val="auto"/>
                <w:sz w:val="24"/>
                <w:highlight w:val="none"/>
              </w:rPr>
            </w:pPr>
          </w:p>
        </w:tc>
        <w:tc>
          <w:tcPr>
            <w:tcW w:w="5014" w:type="dxa"/>
          </w:tcPr>
          <w:p>
            <w:pPr>
              <w:numPr>
                <w:ilvl w:val="0"/>
                <w:numId w:val="0"/>
              </w:numPr>
              <w:spacing w:before="0" w:beforeAutospacing="0" w:after="0" w:afterAutospacing="0" w:line="360" w:lineRule="exact"/>
              <w:ind w:leftChars="0" w:right="0" w:right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提供垃圾清理、清运工作方案，配备垃圾分类巡查员，协助开展垃圾分类相关工作并建立完善的考核机制情况等。</w:t>
            </w:r>
            <w:r>
              <w:rPr>
                <w:rFonts w:hint="eastAsia" w:ascii="宋体" w:hAnsi="宋体" w:cs="宋体"/>
                <w:color w:val="auto"/>
                <w:sz w:val="24"/>
                <w:szCs w:val="24"/>
                <w:highlight w:val="none"/>
                <w:lang w:eastAsia="zh-CN"/>
              </w:rPr>
              <w:t>一般得</w:t>
            </w:r>
            <w:r>
              <w:rPr>
                <w:rFonts w:hint="eastAsia" w:ascii="宋体" w:hAnsi="宋体" w:cs="宋体"/>
                <w:color w:val="auto"/>
                <w:sz w:val="24"/>
                <w:szCs w:val="24"/>
                <w:highlight w:val="none"/>
                <w:lang w:val="en-US" w:eastAsia="zh-CN"/>
              </w:rPr>
              <w:t>0-2分，较好得2-4分，好得4-6分</w:t>
            </w:r>
            <w:r>
              <w:rPr>
                <w:rFonts w:hint="eastAsia" w:ascii="宋体" w:hAnsi="宋体" w:cs="宋体"/>
                <w:color w:val="auto"/>
                <w:sz w:val="24"/>
                <w:szCs w:val="24"/>
                <w:highlight w:val="none"/>
                <w:lang w:eastAsia="zh-CN"/>
              </w:rPr>
              <w:t>；</w:t>
            </w:r>
          </w:p>
        </w:tc>
        <w:tc>
          <w:tcPr>
            <w:tcW w:w="793" w:type="dxa"/>
            <w:vAlign w:val="center"/>
          </w:tcPr>
          <w:p>
            <w:pPr>
              <w:widowControl/>
              <w:shd w:val="clear" w:color="auto" w:fill="FFFFFF"/>
              <w:adjustRightInd/>
              <w:spacing w:after="225" w:line="315" w:lineRule="atLeas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0-</w:t>
            </w:r>
            <w:r>
              <w:rPr>
                <w:rFonts w:hint="eastAsia" w:ascii="宋体" w:hAnsi="宋体" w:eastAsia="宋体" w:cs="宋体"/>
                <w:color w:val="auto"/>
                <w:sz w:val="24"/>
                <w:highlight w:val="none"/>
                <w:lang w:val="en-US" w:eastAsia="zh-CN"/>
              </w:rPr>
              <w:t>6分</w:t>
            </w:r>
          </w:p>
        </w:tc>
        <w:tc>
          <w:tcPr>
            <w:tcW w:w="827"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主观分</w:t>
            </w:r>
          </w:p>
        </w:tc>
        <w:tc>
          <w:tcPr>
            <w:tcW w:w="97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widowControl/>
              <w:shd w:val="clear" w:color="auto" w:fill="FFFFFF"/>
              <w:adjustRightInd/>
              <w:spacing w:after="225" w:line="315" w:lineRule="atLeast"/>
              <w:jc w:val="center"/>
              <w:rPr>
                <w:rFonts w:hint="eastAsia" w:ascii="宋体" w:hAnsi="宋体" w:eastAsia="宋体" w:cs="宋体"/>
                <w:color w:val="auto"/>
                <w:sz w:val="24"/>
                <w:highlight w:val="none"/>
              </w:rPr>
            </w:pPr>
          </w:p>
        </w:tc>
        <w:tc>
          <w:tcPr>
            <w:tcW w:w="5014" w:type="dxa"/>
          </w:tcPr>
          <w:p>
            <w:pPr>
              <w:numPr>
                <w:ilvl w:val="0"/>
                <w:numId w:val="0"/>
              </w:numPr>
              <w:spacing w:before="0" w:beforeAutospacing="0" w:after="0" w:afterAutospacing="0" w:line="360" w:lineRule="exact"/>
              <w:ind w:leftChars="0" w:right="0" w:right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组织管理体，制订内部考核管理制度，有专门的队伍对本项目的人员和质量进行监督，配备保洁班组长、监管人员，并提供针对本项目制订具体质量管理考核细则情况。</w:t>
            </w:r>
            <w:r>
              <w:rPr>
                <w:rFonts w:hint="eastAsia" w:ascii="宋体" w:hAnsi="宋体" w:cs="宋体"/>
                <w:color w:val="auto"/>
                <w:sz w:val="24"/>
                <w:szCs w:val="24"/>
                <w:highlight w:val="none"/>
                <w:lang w:eastAsia="zh-CN"/>
              </w:rPr>
              <w:t>一般得</w:t>
            </w:r>
            <w:r>
              <w:rPr>
                <w:rFonts w:hint="eastAsia" w:ascii="宋体" w:hAnsi="宋体" w:cs="宋体"/>
                <w:color w:val="auto"/>
                <w:sz w:val="24"/>
                <w:szCs w:val="24"/>
                <w:highlight w:val="none"/>
                <w:lang w:val="en-US" w:eastAsia="zh-CN"/>
              </w:rPr>
              <w:t>0-2分，较好得2-4分，好得4-7分</w:t>
            </w:r>
            <w:r>
              <w:rPr>
                <w:rFonts w:hint="eastAsia" w:ascii="宋体" w:hAnsi="宋体" w:cs="宋体"/>
                <w:color w:val="auto"/>
                <w:sz w:val="24"/>
                <w:szCs w:val="24"/>
                <w:highlight w:val="none"/>
                <w:lang w:eastAsia="zh-CN"/>
              </w:rPr>
              <w:t>；</w:t>
            </w:r>
          </w:p>
        </w:tc>
        <w:tc>
          <w:tcPr>
            <w:tcW w:w="793" w:type="dxa"/>
            <w:vAlign w:val="center"/>
          </w:tcPr>
          <w:p>
            <w:pPr>
              <w:widowControl/>
              <w:shd w:val="clear" w:color="auto" w:fill="FFFFFF"/>
              <w:adjustRightInd/>
              <w:spacing w:after="225" w:line="315" w:lineRule="atLeas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0-</w:t>
            </w:r>
            <w:r>
              <w:rPr>
                <w:rFonts w:hint="eastAsia" w:ascii="宋体" w:hAnsi="宋体" w:eastAsia="宋体" w:cs="宋体"/>
                <w:color w:val="auto"/>
                <w:sz w:val="24"/>
                <w:highlight w:val="none"/>
                <w:lang w:val="en-US" w:eastAsia="zh-CN"/>
              </w:rPr>
              <w:t>7分</w:t>
            </w:r>
          </w:p>
        </w:tc>
        <w:tc>
          <w:tcPr>
            <w:tcW w:w="827"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主观分</w:t>
            </w:r>
          </w:p>
        </w:tc>
        <w:tc>
          <w:tcPr>
            <w:tcW w:w="97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widowControl/>
              <w:shd w:val="clear" w:color="auto" w:fill="FFFFFF"/>
              <w:adjustRightInd/>
              <w:spacing w:after="225" w:line="315" w:lineRule="atLeast"/>
              <w:jc w:val="center"/>
              <w:rPr>
                <w:rFonts w:hint="eastAsia" w:ascii="宋体" w:hAnsi="宋体" w:eastAsia="宋体" w:cs="宋体"/>
                <w:color w:val="auto"/>
                <w:sz w:val="24"/>
                <w:highlight w:val="none"/>
              </w:rPr>
            </w:pPr>
          </w:p>
        </w:tc>
        <w:tc>
          <w:tcPr>
            <w:tcW w:w="5014" w:type="dxa"/>
            <w:vAlign w:val="center"/>
          </w:tcPr>
          <w:p>
            <w:pPr>
              <w:numPr>
                <w:ilvl w:val="0"/>
                <w:numId w:val="0"/>
              </w:numPr>
              <w:spacing w:before="0" w:beforeAutospacing="0" w:after="0" w:afterAutospacing="0" w:line="360" w:lineRule="exact"/>
              <w:ind w:leftChars="0" w:right="0" w:right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有完善的应急管理方案，能及时响应城市应急（气象灾害、防汛抗台、抗雪防冻）和项目实施过程中各类应急保障任务，有固定应急物资仓储及应急设施设备存放场地，具有丰富的应急管理经验情况。</w:t>
            </w:r>
            <w:r>
              <w:rPr>
                <w:rFonts w:hint="eastAsia" w:ascii="宋体" w:hAnsi="宋体" w:cs="宋体"/>
                <w:color w:val="auto"/>
                <w:sz w:val="24"/>
                <w:szCs w:val="24"/>
                <w:highlight w:val="none"/>
                <w:lang w:eastAsia="zh-CN"/>
              </w:rPr>
              <w:t>一般得</w:t>
            </w:r>
            <w:r>
              <w:rPr>
                <w:rFonts w:hint="eastAsia" w:ascii="宋体" w:hAnsi="宋体" w:cs="宋体"/>
                <w:color w:val="auto"/>
                <w:sz w:val="24"/>
                <w:szCs w:val="24"/>
                <w:highlight w:val="none"/>
                <w:lang w:val="en-US" w:eastAsia="zh-CN"/>
              </w:rPr>
              <w:t>0-2分，较好得2-4分，好得4-7分</w:t>
            </w:r>
            <w:r>
              <w:rPr>
                <w:rFonts w:hint="eastAsia" w:ascii="宋体" w:hAnsi="宋体" w:cs="宋体"/>
                <w:color w:val="auto"/>
                <w:sz w:val="24"/>
                <w:szCs w:val="24"/>
                <w:highlight w:val="none"/>
                <w:lang w:eastAsia="zh-CN"/>
              </w:rPr>
              <w:t>；</w:t>
            </w:r>
          </w:p>
        </w:tc>
        <w:tc>
          <w:tcPr>
            <w:tcW w:w="793" w:type="dxa"/>
            <w:vAlign w:val="center"/>
          </w:tcPr>
          <w:p>
            <w:pPr>
              <w:widowControl/>
              <w:shd w:val="clear" w:color="auto" w:fill="FFFFFF"/>
              <w:adjustRightInd/>
              <w:spacing w:after="225" w:line="315" w:lineRule="atLeas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0-</w:t>
            </w:r>
            <w:r>
              <w:rPr>
                <w:rFonts w:hint="eastAsia" w:ascii="宋体" w:hAnsi="宋体" w:eastAsia="宋体" w:cs="宋体"/>
                <w:color w:val="auto"/>
                <w:sz w:val="24"/>
                <w:highlight w:val="none"/>
                <w:lang w:val="en-US" w:eastAsia="zh-CN"/>
              </w:rPr>
              <w:t>7分</w:t>
            </w:r>
          </w:p>
        </w:tc>
        <w:tc>
          <w:tcPr>
            <w:tcW w:w="827"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主观分</w:t>
            </w:r>
          </w:p>
        </w:tc>
        <w:tc>
          <w:tcPr>
            <w:tcW w:w="97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widowControl/>
              <w:shd w:val="clear" w:color="auto" w:fill="FFFFFF"/>
              <w:adjustRightInd/>
              <w:spacing w:after="225" w:line="315" w:lineRule="atLeast"/>
              <w:jc w:val="center"/>
              <w:rPr>
                <w:rFonts w:hint="eastAsia" w:ascii="宋体" w:hAnsi="宋体" w:eastAsia="宋体" w:cs="宋体"/>
                <w:color w:val="auto"/>
                <w:sz w:val="24"/>
                <w:highlight w:val="none"/>
              </w:rPr>
            </w:pPr>
          </w:p>
        </w:tc>
        <w:tc>
          <w:tcPr>
            <w:tcW w:w="5014" w:type="dxa"/>
            <w:vAlign w:val="center"/>
          </w:tcPr>
          <w:p>
            <w:pPr>
              <w:numPr>
                <w:ilvl w:val="0"/>
                <w:numId w:val="0"/>
              </w:numPr>
              <w:spacing w:before="0" w:beforeAutospacing="0" w:after="0" w:afterAutospacing="0" w:line="360" w:lineRule="exact"/>
              <w:ind w:leftChars="0" w:right="0" w:rightChars="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有完善的的重大活动保障方案，方案科学合理，具有针对性及可操作性，能圆满完成大型活动、节庆假日、创优评优等重大活动保障任务情况。</w:t>
            </w:r>
            <w:r>
              <w:rPr>
                <w:rFonts w:hint="eastAsia" w:ascii="宋体" w:hAnsi="宋体" w:cs="宋体"/>
                <w:color w:val="auto"/>
                <w:sz w:val="24"/>
                <w:szCs w:val="24"/>
                <w:highlight w:val="none"/>
                <w:lang w:eastAsia="zh-CN"/>
              </w:rPr>
              <w:t>一般得</w:t>
            </w:r>
            <w:r>
              <w:rPr>
                <w:rFonts w:hint="eastAsia" w:ascii="宋体" w:hAnsi="宋体" w:cs="宋体"/>
                <w:color w:val="auto"/>
                <w:sz w:val="24"/>
                <w:szCs w:val="24"/>
                <w:highlight w:val="none"/>
                <w:lang w:val="en-US" w:eastAsia="zh-CN"/>
              </w:rPr>
              <w:t>0-2分，较好得2-4分，好得4-6分</w:t>
            </w:r>
            <w:r>
              <w:rPr>
                <w:rFonts w:hint="eastAsia" w:ascii="宋体" w:hAnsi="宋体" w:cs="宋体"/>
                <w:color w:val="auto"/>
                <w:sz w:val="24"/>
                <w:szCs w:val="24"/>
                <w:highlight w:val="none"/>
                <w:lang w:eastAsia="zh-CN"/>
              </w:rPr>
              <w:t>；</w:t>
            </w:r>
          </w:p>
        </w:tc>
        <w:tc>
          <w:tcPr>
            <w:tcW w:w="793" w:type="dxa"/>
            <w:vAlign w:val="center"/>
          </w:tcPr>
          <w:p>
            <w:pPr>
              <w:widowControl/>
              <w:shd w:val="clear" w:color="auto" w:fill="FFFFFF"/>
              <w:adjustRightInd/>
              <w:spacing w:after="225" w:line="315" w:lineRule="atLeas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0-</w:t>
            </w:r>
            <w:r>
              <w:rPr>
                <w:rFonts w:hint="eastAsia" w:ascii="宋体" w:hAnsi="宋体" w:eastAsia="宋体" w:cs="宋体"/>
                <w:color w:val="auto"/>
                <w:sz w:val="24"/>
                <w:highlight w:val="none"/>
                <w:lang w:val="en-US" w:eastAsia="zh-CN"/>
              </w:rPr>
              <w:t>6分</w:t>
            </w:r>
          </w:p>
        </w:tc>
        <w:tc>
          <w:tcPr>
            <w:tcW w:w="827"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主观分</w:t>
            </w:r>
          </w:p>
        </w:tc>
        <w:tc>
          <w:tcPr>
            <w:tcW w:w="97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widowControl/>
              <w:shd w:val="clear" w:color="auto" w:fill="FFFFFF"/>
              <w:adjustRightInd/>
              <w:spacing w:after="225" w:line="315" w:lineRule="atLeast"/>
              <w:jc w:val="center"/>
              <w:rPr>
                <w:rFonts w:hint="eastAsia" w:ascii="宋体" w:hAnsi="宋体" w:eastAsia="宋体" w:cs="宋体"/>
                <w:color w:val="auto"/>
                <w:sz w:val="24"/>
                <w:highlight w:val="none"/>
              </w:rPr>
            </w:pPr>
          </w:p>
        </w:tc>
        <w:tc>
          <w:tcPr>
            <w:tcW w:w="5014" w:type="dxa"/>
            <w:vAlign w:val="center"/>
          </w:tcPr>
          <w:p>
            <w:pPr>
              <w:widowControl/>
              <w:shd w:val="clear" w:color="auto" w:fill="FFFFFF"/>
              <w:adjustRightInd/>
              <w:spacing w:after="225" w:line="315" w:lineRule="atLeast"/>
              <w:jc w:val="left"/>
              <w:rPr>
                <w:rFonts w:hint="eastAsia" w:ascii="宋体" w:hAnsi="宋体" w:eastAsia="宋体" w:cs="宋体"/>
                <w:color w:val="auto"/>
                <w:sz w:val="24"/>
                <w:szCs w:val="24"/>
                <w:highlight w:val="none"/>
              </w:rPr>
            </w:pPr>
            <w:bookmarkStart w:id="525" w:name="_GoBack"/>
            <w:r>
              <w:rPr>
                <w:rFonts w:hint="eastAsia" w:ascii="宋体" w:hAnsi="宋体" w:eastAsia="宋体" w:cs="宋体"/>
                <w:color w:val="auto"/>
                <w:sz w:val="24"/>
                <w:szCs w:val="24"/>
                <w:highlight w:val="none"/>
                <w:lang w:eastAsia="zh-CN"/>
              </w:rPr>
              <w:t>根据投标人针对本项目的</w:t>
            </w:r>
            <w:r>
              <w:rPr>
                <w:rFonts w:hint="eastAsia" w:ascii="宋体" w:hAnsi="宋体" w:cs="宋体"/>
                <w:color w:val="auto"/>
                <w:sz w:val="24"/>
                <w:szCs w:val="24"/>
                <w:highlight w:val="none"/>
                <w:lang w:eastAsia="zh-CN"/>
              </w:rPr>
              <w:t>合理化建议及项目</w:t>
            </w:r>
            <w:r>
              <w:rPr>
                <w:rFonts w:hint="eastAsia" w:ascii="宋体" w:hAnsi="宋体" w:eastAsia="宋体" w:cs="宋体"/>
                <w:color w:val="auto"/>
                <w:sz w:val="24"/>
                <w:szCs w:val="24"/>
                <w:highlight w:val="none"/>
                <w:lang w:eastAsia="zh-CN"/>
              </w:rPr>
              <w:t>服务能力、服务及时性响应方案。</w:t>
            </w:r>
            <w:r>
              <w:rPr>
                <w:rFonts w:hint="eastAsia" w:ascii="宋体" w:hAnsi="宋体" w:cs="宋体"/>
                <w:color w:val="auto"/>
                <w:sz w:val="24"/>
                <w:szCs w:val="24"/>
                <w:highlight w:val="none"/>
                <w:lang w:eastAsia="zh-CN"/>
              </w:rPr>
              <w:t>一般得</w:t>
            </w:r>
            <w:r>
              <w:rPr>
                <w:rFonts w:hint="eastAsia" w:ascii="宋体" w:hAnsi="宋体" w:cs="宋体"/>
                <w:color w:val="auto"/>
                <w:sz w:val="24"/>
                <w:szCs w:val="24"/>
                <w:highlight w:val="none"/>
                <w:lang w:val="en-US" w:eastAsia="zh-CN"/>
              </w:rPr>
              <w:t>0-2分，较好得2-4分，好得4-6分</w:t>
            </w:r>
            <w:r>
              <w:rPr>
                <w:rFonts w:hint="eastAsia" w:ascii="宋体" w:hAnsi="宋体" w:cs="宋体"/>
                <w:color w:val="auto"/>
                <w:sz w:val="24"/>
                <w:szCs w:val="24"/>
                <w:highlight w:val="none"/>
                <w:lang w:eastAsia="zh-CN"/>
              </w:rPr>
              <w:t>；</w:t>
            </w:r>
            <w:bookmarkEnd w:id="525"/>
          </w:p>
        </w:tc>
        <w:tc>
          <w:tcPr>
            <w:tcW w:w="793" w:type="dxa"/>
            <w:vAlign w:val="center"/>
          </w:tcPr>
          <w:p>
            <w:pPr>
              <w:widowControl/>
              <w:shd w:val="clear" w:color="auto" w:fill="FFFFFF"/>
              <w:adjustRightInd/>
              <w:spacing w:after="225" w:line="315" w:lineRule="atLeas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0-</w:t>
            </w:r>
            <w:r>
              <w:rPr>
                <w:rFonts w:hint="eastAsia" w:ascii="宋体" w:hAnsi="宋体" w:eastAsia="宋体" w:cs="宋体"/>
                <w:color w:val="auto"/>
                <w:sz w:val="24"/>
                <w:highlight w:val="none"/>
                <w:lang w:val="en-US" w:eastAsia="zh-CN"/>
              </w:rPr>
              <w:t>6分</w:t>
            </w:r>
          </w:p>
        </w:tc>
        <w:tc>
          <w:tcPr>
            <w:tcW w:w="827"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主观分</w:t>
            </w:r>
          </w:p>
        </w:tc>
        <w:tc>
          <w:tcPr>
            <w:tcW w:w="972" w:type="dxa"/>
          </w:tcPr>
          <w:p>
            <w:pPr>
              <w:snapToGrid w:val="0"/>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val="en-US" w:eastAsia="zh-CN"/>
              </w:rPr>
              <w:t>5</w:t>
            </w:r>
          </w:p>
        </w:tc>
        <w:tc>
          <w:tcPr>
            <w:tcW w:w="5014" w:type="dxa"/>
          </w:tcPr>
          <w:p>
            <w:pPr>
              <w:spacing w:line="360" w:lineRule="auto"/>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有效投标报价的最低价作为评标基准价，其最低报价为满分；按［投标报价得分=（评标基准价/投标报价）*权重］的计算公式计算。</w:t>
            </w:r>
          </w:p>
          <w:p>
            <w:pPr>
              <w:widowControl/>
              <w:shd w:val="clear" w:color="auto" w:fill="FFFFFF"/>
              <w:adjustRightInd/>
              <w:spacing w:after="225" w:line="315" w:lineRule="atLeast"/>
              <w:ind w:firstLine="42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评标过程中，不得去掉报价中的最高报价和最低报价。</w:t>
            </w:r>
          </w:p>
          <w:p>
            <w:pPr>
              <w:widowControl/>
              <w:shd w:val="clear" w:color="auto" w:fill="FFFFFF"/>
              <w:adjustRightInd/>
              <w:spacing w:after="225" w:line="315" w:lineRule="atLeast"/>
              <w:ind w:firstLine="42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对于未预留份额专门面向中小企业的政府采购服务项目，以及预留份额政府采购服务项目中的非预留部分标项，对小型和微型企业的投标报价给予X%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X%的扣除，用扣除后的价格参加评审。</w:t>
            </w:r>
          </w:p>
        </w:tc>
        <w:tc>
          <w:tcPr>
            <w:tcW w:w="793" w:type="dxa"/>
            <w:vAlign w:val="center"/>
          </w:tcPr>
          <w:p>
            <w:pPr>
              <w:spacing w:line="360" w:lineRule="auto"/>
              <w:jc w:val="center"/>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10分</w:t>
            </w:r>
          </w:p>
        </w:tc>
        <w:tc>
          <w:tcPr>
            <w:tcW w:w="827" w:type="dxa"/>
            <w:vAlign w:val="center"/>
          </w:tcPr>
          <w:p>
            <w:pPr>
              <w:spacing w:line="360" w:lineRule="auto"/>
              <w:jc w:val="center"/>
              <w:outlineLvl w:val="0"/>
              <w:rPr>
                <w:rFonts w:hint="eastAsia" w:ascii="宋体" w:hAnsi="宋体" w:eastAsia="宋体" w:cs="宋体"/>
                <w:color w:val="auto"/>
                <w:sz w:val="24"/>
                <w:highlight w:val="none"/>
              </w:rPr>
            </w:pPr>
          </w:p>
        </w:tc>
        <w:tc>
          <w:tcPr>
            <w:tcW w:w="972" w:type="dxa"/>
            <w:vAlign w:val="center"/>
          </w:tcPr>
          <w:p>
            <w:pPr>
              <w:spacing w:line="360" w:lineRule="auto"/>
              <w:jc w:val="center"/>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r>
    </w:tbl>
    <w:p>
      <w:pPr>
        <w:rPr>
          <w:rFonts w:hint="eastAsia" w:ascii="宋体" w:hAnsi="宋体" w:eastAsia="宋体" w:cs="宋体"/>
          <w:color w:val="auto"/>
          <w:highlight w:val="none"/>
        </w:rPr>
      </w:pP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color w:val="auto"/>
          <w:sz w:val="20"/>
          <w:szCs w:val="20"/>
          <w:highlight w:val="none"/>
          <w:shd w:val="clear" w:color="auto" w:fill="FFFFFF"/>
        </w:rPr>
        <w:t> *</w:t>
      </w:r>
      <w:r>
        <w:rPr>
          <w:rFonts w:hint="eastAsia" w:ascii="宋体" w:hAnsi="宋体" w:eastAsia="宋体" w:cs="宋体"/>
          <w:b/>
          <w:color w:val="auto"/>
          <w:sz w:val="24"/>
          <w:highlight w:val="none"/>
        </w:rPr>
        <w:t>备注：</w:t>
      </w:r>
      <w:r>
        <w:rPr>
          <w:rFonts w:hint="eastAsia" w:ascii="宋体" w:hAnsi="宋体" w:eastAsia="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32"/>
          <w:highlight w:val="none"/>
        </w:rPr>
        <w:t>一、评标方法</w:t>
      </w:r>
    </w:p>
    <w:p>
      <w:pPr>
        <w:adjustRightInd/>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1.本项目采用综合评分法。</w:t>
      </w:r>
      <w:r>
        <w:rPr>
          <w:rFonts w:hint="eastAsia" w:ascii="宋体" w:hAnsi="宋体" w:eastAsia="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color w:val="auto"/>
          <w:kern w:val="0"/>
          <w:sz w:val="24"/>
          <w:highlight w:val="none"/>
        </w:rPr>
      </w:pPr>
      <w:r>
        <w:rPr>
          <w:rFonts w:hint="eastAsia" w:ascii="宋体" w:hAnsi="宋体" w:eastAsia="宋体" w:cs="宋体"/>
          <w:b/>
          <w:color w:val="auto"/>
          <w:sz w:val="32"/>
          <w:highlight w:val="none"/>
        </w:rPr>
        <w:t>二、评标标准</w:t>
      </w:r>
    </w:p>
    <w:p>
      <w:pPr>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评标标准：</w:t>
      </w:r>
      <w:r>
        <w:rPr>
          <w:rFonts w:hint="eastAsia" w:ascii="宋体" w:hAnsi="宋体" w:eastAsia="宋体" w:cs="宋体"/>
          <w:color w:val="auto"/>
          <w:kern w:val="0"/>
          <w:sz w:val="24"/>
          <w:highlight w:val="none"/>
        </w:rPr>
        <w:t>见评标办法前附表。</w:t>
      </w:r>
    </w:p>
    <w:p>
      <w:pPr>
        <w:spacing w:line="360" w:lineRule="auto"/>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三、评标程序</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3.1符合性审查。</w:t>
      </w:r>
      <w:r>
        <w:rPr>
          <w:rFonts w:hint="eastAsia" w:ascii="宋体" w:hAnsi="宋体" w:eastAsia="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3.2 比较与评价。</w:t>
      </w:r>
      <w:r>
        <w:rPr>
          <w:rFonts w:hint="eastAsia" w:ascii="宋体" w:hAnsi="宋体" w:eastAsia="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3.3汇总商务技术得分。</w:t>
      </w:r>
      <w:r>
        <w:rPr>
          <w:rFonts w:hint="eastAsia" w:ascii="宋体" w:hAnsi="宋体" w:eastAsia="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3.4报价评审。</w:t>
      </w:r>
    </w:p>
    <w:p>
      <w:pPr>
        <w:pStyle w:val="156"/>
        <w:spacing w:before="0"/>
        <w:ind w:firstLine="508" w:firstLineChars="212"/>
        <w:rPr>
          <w:rFonts w:hint="eastAsia" w:ascii="宋体" w:hAnsi="宋体" w:eastAsia="宋体" w:cs="宋体"/>
          <w:color w:val="auto"/>
          <w:kern w:val="0"/>
          <w:highlight w:val="none"/>
        </w:rPr>
      </w:pPr>
      <w:r>
        <w:rPr>
          <w:rFonts w:hint="eastAsia" w:ascii="宋体" w:hAnsi="宋体" w:eastAsia="宋体" w:cs="宋体"/>
          <w:color w:val="auto"/>
          <w:kern w:val="0"/>
          <w:highlight w:val="none"/>
        </w:rPr>
        <w:t>3.4.1投标文件报价出现前后不一致的，按照下列规定修正：</w:t>
      </w:r>
    </w:p>
    <w:p>
      <w:pPr>
        <w:pStyle w:val="156"/>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3.4.1.1投标文件中开标一览表(报价表)内容与投标文件中相应内容不一致的，以开标一览表(报价表)为准;</w:t>
      </w:r>
    </w:p>
    <w:p>
      <w:pPr>
        <w:pStyle w:val="156"/>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3.4.1.2大写金额和小写金额不一致的，以大写金额为准;</w:t>
      </w:r>
    </w:p>
    <w:p>
      <w:pPr>
        <w:pStyle w:val="156"/>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3.4.1.3单价金额小数点或者百分比有明显错位的，以开标一览表的总价为准，并修改单价;</w:t>
      </w:r>
    </w:p>
    <w:p>
      <w:pPr>
        <w:pStyle w:val="156"/>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3.4.1.4总价金额与按单价汇总金额不一致的，以单价金额计算结果为准。</w:t>
      </w:r>
    </w:p>
    <w:p>
      <w:pPr>
        <w:pStyle w:val="156"/>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3.4.3投标报价超过招标文件中规定的预算金额或者最高限价的，投标无效。</w:t>
      </w:r>
    </w:p>
    <w:p>
      <w:pPr>
        <w:pStyle w:val="156"/>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56"/>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3.5排序与推荐。</w:t>
      </w:r>
      <w:r>
        <w:rPr>
          <w:rFonts w:hint="eastAsia" w:ascii="宋体" w:hAnsi="宋体" w:eastAsia="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3.6编写评标报告。</w:t>
      </w:r>
      <w:r>
        <w:rPr>
          <w:rFonts w:hint="eastAsia" w:ascii="宋体" w:hAnsi="宋体" w:eastAsia="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四、评标中的其他事项</w:t>
      </w:r>
    </w:p>
    <w:p>
      <w:pPr>
        <w:pStyle w:val="156"/>
        <w:spacing w:before="0"/>
        <w:ind w:firstLine="472" w:firstLineChars="196"/>
        <w:rPr>
          <w:rFonts w:hint="eastAsia" w:ascii="宋体" w:hAnsi="宋体" w:eastAsia="宋体" w:cs="宋体"/>
          <w:color w:val="auto"/>
          <w:kern w:val="0"/>
          <w:szCs w:val="24"/>
          <w:highlight w:val="none"/>
        </w:rPr>
      </w:pPr>
      <w:r>
        <w:rPr>
          <w:rFonts w:hint="eastAsia" w:ascii="宋体" w:hAnsi="宋体" w:eastAsia="宋体" w:cs="宋体"/>
          <w:b/>
          <w:color w:val="auto"/>
          <w:kern w:val="0"/>
          <w:szCs w:val="24"/>
          <w:highlight w:val="none"/>
        </w:rPr>
        <w:t>4.1投标人澄清、说明或者补正。</w:t>
      </w:r>
      <w:r>
        <w:rPr>
          <w:rFonts w:hint="eastAsia" w:ascii="宋体" w:hAnsi="宋体" w:eastAsia="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hint="eastAsia" w:ascii="宋体" w:hAnsi="宋体" w:eastAsia="宋体" w:cs="宋体"/>
          <w:color w:val="auto"/>
          <w:szCs w:val="21"/>
          <w:highlight w:val="none"/>
        </w:rPr>
      </w:pPr>
      <w:r>
        <w:rPr>
          <w:rFonts w:hint="eastAsia" w:ascii="宋体" w:hAnsi="宋体" w:eastAsia="宋体" w:cs="宋体"/>
          <w:b/>
          <w:color w:val="auto"/>
          <w:kern w:val="0"/>
          <w:highlight w:val="none"/>
        </w:rPr>
        <w:t>4.2投标无效。</w:t>
      </w:r>
      <w:r>
        <w:rPr>
          <w:rFonts w:hint="eastAsia" w:ascii="宋体" w:hAnsi="宋体" w:eastAsia="宋体" w:cs="宋体"/>
          <w:color w:val="auto"/>
          <w:szCs w:val="21"/>
          <w:highlight w:val="none"/>
        </w:rPr>
        <w:t>有下列情形之一的，投标无效：</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4.2.2投标文件未按照招标文件要求签署、盖章的；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4.2.4投标文件含有采购人不能接受的附加条件的；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4.2.6投标文件出现不是唯一的、有选择性投标报价的;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4.2.7投标报价超过招标文件中规定的预算金额或者最高限价的;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4.2.9投标人对根据修正原则修正后的报价不确认的；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4.2.10投标人提供虚假材料投标的；</w:t>
      </w:r>
    </w:p>
    <w:p>
      <w:pPr>
        <w:spacing w:line="360" w:lineRule="auto"/>
        <w:ind w:firstLine="240" w:firstLineChars="1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4.2.12投标人仅提交备份投标文件，未在电子交易平台传输递交投标文件的，投标无效；</w:t>
      </w:r>
    </w:p>
    <w:p>
      <w:pPr>
        <w:pStyle w:val="4"/>
        <w:ind w:left="862" w:leftChars="205"/>
        <w:rPr>
          <w:rFonts w:hint="eastAsia"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4.2.14法律、法规、规章（适用本市的）及省级以上规范性文件（适用本市的）规定的其他无效情形。</w:t>
      </w:r>
    </w:p>
    <w:p>
      <w:pPr>
        <w:pStyle w:val="26"/>
        <w:snapToGrid w:val="0"/>
        <w:spacing w:line="360" w:lineRule="auto"/>
        <w:ind w:firstLine="472" w:firstLineChars="196"/>
        <w:rPr>
          <w:rFonts w:hint="eastAsia" w:ascii="宋体" w:hAnsi="宋体" w:eastAsia="宋体" w:cs="宋体"/>
          <w:color w:val="auto"/>
          <w:highlight w:val="none"/>
        </w:rPr>
      </w:pPr>
      <w:r>
        <w:rPr>
          <w:rFonts w:hint="eastAsia" w:ascii="宋体" w:hAnsi="宋体" w:eastAsia="宋体" w:cs="宋体"/>
          <w:b/>
          <w:color w:val="auto"/>
          <w:highlight w:val="none"/>
        </w:rPr>
        <w:t>5.废标。</w:t>
      </w:r>
      <w:r>
        <w:rPr>
          <w:rFonts w:hint="eastAsia" w:ascii="宋体" w:hAnsi="宋体" w:eastAsia="宋体" w:cs="宋体"/>
          <w:color w:val="auto"/>
          <w:highlight w:val="none"/>
        </w:rPr>
        <w:t>根据《中华人民共和国政府采购法》第三十六条之规定，在采购中，出现下列情形之一的，应予废标：</w:t>
      </w:r>
    </w:p>
    <w:p>
      <w:pPr>
        <w:pStyle w:val="26"/>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5.1符合专业条件的供应商或者对招标文件作实质响应的供应商不足3家的；</w:t>
      </w:r>
    </w:p>
    <w:p>
      <w:pPr>
        <w:pStyle w:val="26"/>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5.2出现影响采购公正的违法、违规行为的；</w:t>
      </w:r>
    </w:p>
    <w:p>
      <w:pPr>
        <w:pStyle w:val="26"/>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5.3投标人的报价均超过了采购预算，采购人不能支付的；</w:t>
      </w:r>
    </w:p>
    <w:p>
      <w:pPr>
        <w:pStyle w:val="26"/>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5.4因重大变故，采购任务取消的。</w:t>
      </w:r>
    </w:p>
    <w:p>
      <w:pPr>
        <w:pStyle w:val="26"/>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废标后，采购代理机构应当将废标理由通知所有投标人。</w:t>
      </w:r>
    </w:p>
    <w:p>
      <w:pPr>
        <w:pStyle w:val="26"/>
        <w:snapToGrid w:val="0"/>
        <w:spacing w:line="360" w:lineRule="auto"/>
        <w:ind w:firstLine="590" w:firstLineChars="245"/>
        <w:rPr>
          <w:rFonts w:hint="eastAsia" w:ascii="宋体" w:hAnsi="宋体" w:eastAsia="宋体" w:cs="宋体"/>
          <w:color w:val="auto"/>
          <w:highlight w:val="none"/>
        </w:rPr>
      </w:pPr>
      <w:r>
        <w:rPr>
          <w:rFonts w:hint="eastAsia" w:ascii="宋体" w:hAnsi="宋体" w:eastAsia="宋体" w:cs="宋体"/>
          <w:b/>
          <w:color w:val="auto"/>
          <w:highlight w:val="none"/>
        </w:rPr>
        <w:t>6.修改招标文件，重新组织采购活动。</w:t>
      </w:r>
      <w:r>
        <w:rPr>
          <w:rFonts w:hint="eastAsia" w:ascii="宋体" w:hAnsi="宋体" w:eastAsia="宋体" w:cs="宋体"/>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6"/>
        <w:snapToGrid w:val="0"/>
        <w:spacing w:line="360" w:lineRule="auto"/>
        <w:ind w:firstLine="482"/>
        <w:rPr>
          <w:rFonts w:hint="eastAsia" w:ascii="宋体" w:hAnsi="宋体" w:eastAsia="宋体" w:cs="宋体"/>
          <w:color w:val="auto"/>
          <w:highlight w:val="none"/>
        </w:rPr>
      </w:pPr>
      <w:r>
        <w:rPr>
          <w:rFonts w:hint="eastAsia" w:ascii="宋体" w:hAnsi="宋体" w:eastAsia="宋体" w:cs="宋体"/>
          <w:b/>
          <w:color w:val="auto"/>
          <w:kern w:val="0"/>
          <w:highlight w:val="none"/>
        </w:rPr>
        <w:t>7.重新开展采购。</w:t>
      </w:r>
      <w:r>
        <w:rPr>
          <w:rFonts w:hint="eastAsia" w:ascii="宋体" w:hAnsi="宋体" w:eastAsia="宋体" w:cs="宋体"/>
          <w:color w:val="auto"/>
          <w:highlight w:val="none"/>
        </w:rPr>
        <w:t>有政府采购法第七十一条、第七十二条规定的违法行为之一，影响或者可能影响中标结果的，依照下列规定处理：</w:t>
      </w:r>
    </w:p>
    <w:p>
      <w:pPr>
        <w:pStyle w:val="26"/>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7.1未确定中标供应商的，终止本次政府采购活动，重新开展政府采购活动。</w:t>
      </w:r>
    </w:p>
    <w:p>
      <w:pPr>
        <w:pStyle w:val="26"/>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7.4政府采购合同已经履行，给采购人、供应商造成损失的，由责任人承担赔偿责任。</w:t>
      </w:r>
    </w:p>
    <w:p>
      <w:pPr>
        <w:pStyle w:val="26"/>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6"/>
        <w:snapToGrid w:val="0"/>
        <w:spacing w:line="360" w:lineRule="auto"/>
        <w:ind w:firstLine="0" w:firstLineChars="0"/>
        <w:rPr>
          <w:rFonts w:hint="eastAsia" w:ascii="宋体" w:hAnsi="宋体" w:eastAsia="宋体" w:cs="宋体"/>
          <w:color w:val="auto"/>
          <w:highlight w:val="none"/>
        </w:rPr>
      </w:pPr>
    </w:p>
    <w:bookmarkEnd w:id="27"/>
    <w:p>
      <w:pPr>
        <w:spacing w:line="360" w:lineRule="auto"/>
        <w:ind w:left="720" w:leftChars="343" w:firstLine="1084" w:firstLineChars="300"/>
        <w:outlineLvl w:val="0"/>
        <w:rPr>
          <w:rFonts w:hint="eastAsia" w:ascii="宋体" w:hAnsi="宋体" w:eastAsia="宋体" w:cs="宋体"/>
          <w:b/>
          <w:color w:val="auto"/>
          <w:sz w:val="36"/>
          <w:szCs w:val="36"/>
          <w:highlight w:val="none"/>
        </w:rPr>
      </w:pPr>
      <w:bookmarkStart w:id="398" w:name="第五部分"/>
      <w:bookmarkStart w:id="399" w:name="_Toc86217003"/>
    </w:p>
    <w:p>
      <w:pPr>
        <w:spacing w:line="360" w:lineRule="auto"/>
        <w:ind w:left="720" w:leftChars="343" w:firstLine="1084" w:firstLineChars="300"/>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    </w:t>
      </w: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widowControl/>
        <w:adjustRightInd/>
        <w:jc w:val="left"/>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spacing w:line="360" w:lineRule="auto"/>
        <w:ind w:left="720" w:leftChars="343" w:firstLine="1084" w:firstLineChars="300"/>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第五部分 拟签订的合同文本</w:t>
      </w:r>
    </w:p>
    <w:p>
      <w:pP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合同编号：</w:t>
      </w:r>
      <w:r>
        <w:rPr>
          <w:rFonts w:hint="eastAsia" w:ascii="宋体" w:hAnsi="宋体" w:eastAsia="宋体" w:cs="宋体"/>
          <w:color w:val="auto"/>
          <w:sz w:val="24"/>
          <w:highlight w:val="none"/>
          <w:u w:val="single"/>
        </w:rPr>
        <w:t xml:space="preserve">           </w:t>
      </w:r>
    </w:p>
    <w:p>
      <w:pPr>
        <w:spacing w:line="480" w:lineRule="auto"/>
        <w:jc w:val="center"/>
        <w:rPr>
          <w:rFonts w:hint="eastAsia" w:ascii="宋体" w:hAnsi="宋体" w:eastAsia="宋体" w:cs="宋体"/>
          <w:b/>
          <w:color w:val="auto"/>
          <w:sz w:val="28"/>
          <w:szCs w:val="28"/>
          <w:highlight w:val="none"/>
        </w:rPr>
      </w:pPr>
    </w:p>
    <w:p>
      <w:pPr>
        <w:spacing w:line="480"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政府采购合同参考范本</w:t>
      </w: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（服务类）</w:t>
      </w:r>
    </w:p>
    <w:p>
      <w:pPr>
        <w:pStyle w:val="702"/>
        <w:ind w:firstLine="2843" w:firstLineChars="118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第一部分 合同书</w:t>
      </w:r>
    </w:p>
    <w:p>
      <w:pPr>
        <w:spacing w:before="120" w:line="22" w:lineRule="atLeast"/>
        <w:rPr>
          <w:rFonts w:hint="eastAsia" w:ascii="宋体" w:hAnsi="宋体" w:eastAsia="宋体" w:cs="宋体"/>
          <w:color w:val="auto"/>
          <w:sz w:val="24"/>
          <w:highlight w:val="none"/>
        </w:rPr>
      </w:pPr>
    </w:p>
    <w:p>
      <w:pPr>
        <w:pStyle w:val="4"/>
        <w:rPr>
          <w:rFonts w:hint="eastAsia" w:ascii="宋体" w:hAnsi="宋体" w:eastAsia="宋体" w:cs="宋体"/>
          <w:color w:val="auto"/>
          <w:highlight w:val="none"/>
        </w:rPr>
      </w:pPr>
    </w:p>
    <w:p>
      <w:pPr>
        <w:spacing w:before="120" w:line="22" w:lineRule="atLeast"/>
        <w:ind w:left="96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u w:val="single"/>
        </w:rPr>
        <w:t xml:space="preserve">                                   </w:t>
      </w:r>
    </w:p>
    <w:p>
      <w:pPr>
        <w:pStyle w:val="599"/>
        <w:spacing w:before="120" w:line="22" w:lineRule="atLeast"/>
        <w:rPr>
          <w:rFonts w:hint="eastAsia" w:ascii="宋体" w:hAnsi="宋体" w:eastAsia="宋体" w:cs="宋体"/>
          <w:color w:val="auto"/>
          <w:szCs w:val="24"/>
          <w:highlight w:val="none"/>
        </w:rPr>
      </w:pPr>
    </w:p>
    <w:p>
      <w:pPr>
        <w:pStyle w:val="599"/>
        <w:spacing w:before="120" w:line="22" w:lineRule="atLeast"/>
        <w:rPr>
          <w:rFonts w:hint="eastAsia" w:ascii="宋体" w:hAnsi="宋体" w:eastAsia="宋体" w:cs="宋体"/>
          <w:color w:val="auto"/>
          <w:szCs w:val="24"/>
          <w:highlight w:val="none"/>
        </w:rPr>
      </w:pPr>
    </w:p>
    <w:p>
      <w:pPr>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甲方：</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乙方：</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签订地：</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widowControl/>
        <w:jc w:val="left"/>
        <w:rPr>
          <w:rFonts w:hint="eastAsia" w:ascii="宋体" w:hAnsi="宋体" w:eastAsia="宋体" w:cs="宋体"/>
          <w:color w:val="auto"/>
          <w:kern w:val="0"/>
          <w:sz w:val="24"/>
          <w:highlight w:val="none"/>
        </w:rPr>
        <w:sectPr>
          <w:pgSz w:w="11907" w:h="16840"/>
          <w:pgMar w:top="1474" w:right="1814" w:bottom="1474" w:left="1814" w:header="851" w:footer="851" w:gutter="0"/>
          <w:cols w:space="720" w:num="1"/>
        </w:sectPr>
      </w:pPr>
    </w:p>
    <w:p>
      <w:pPr>
        <w:rPr>
          <w:rFonts w:hint="eastAsia" w:ascii="宋体" w:hAnsi="宋体" w:eastAsia="宋体" w:cs="宋体"/>
          <w:b/>
          <w:color w:val="auto"/>
          <w:sz w:val="24"/>
          <w:highlight w:val="none"/>
        </w:rPr>
      </w:pP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年</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月</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日</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（采购人）   </w:t>
      </w:r>
      <w:r>
        <w:rPr>
          <w:rFonts w:hint="eastAsia" w:ascii="宋体" w:hAnsi="宋体" w:eastAsia="宋体" w:cs="宋体"/>
          <w:color w:val="auto"/>
          <w:sz w:val="24"/>
          <w:highlight w:val="none"/>
        </w:rPr>
        <w:t>以</w:t>
      </w:r>
      <w:r>
        <w:rPr>
          <w:rFonts w:hint="eastAsia" w:ascii="宋体" w:hAnsi="宋体" w:eastAsia="宋体" w:cs="宋体"/>
          <w:color w:val="auto"/>
          <w:sz w:val="24"/>
          <w:highlight w:val="none"/>
          <w:u w:val="single"/>
        </w:rPr>
        <w:t xml:space="preserve">   （政府采购方式）  </w:t>
      </w:r>
      <w:r>
        <w:rPr>
          <w:rFonts w:hint="eastAsia" w:ascii="宋体" w:hAnsi="宋体" w:eastAsia="宋体" w:cs="宋体"/>
          <w:color w:val="auto"/>
          <w:sz w:val="24"/>
          <w:highlight w:val="none"/>
        </w:rPr>
        <w:t>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塘栖镇镇区保洁翠紫河以北项目</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项目进行了采购。经</w:t>
      </w:r>
      <w:r>
        <w:rPr>
          <w:rFonts w:hint="eastAsia" w:ascii="宋体" w:hAnsi="宋体" w:eastAsia="宋体" w:cs="宋体"/>
          <w:color w:val="auto"/>
          <w:sz w:val="24"/>
          <w:highlight w:val="none"/>
          <w:u w:val="single"/>
        </w:rPr>
        <w:t xml:space="preserve">   （相关评定主体名称）   </w:t>
      </w:r>
      <w:r>
        <w:rPr>
          <w:rFonts w:hint="eastAsia" w:ascii="宋体" w:hAnsi="宋体" w:eastAsia="宋体" w:cs="宋体"/>
          <w:color w:val="auto"/>
          <w:sz w:val="24"/>
          <w:highlight w:val="none"/>
        </w:rPr>
        <w:t>评定，</w:t>
      </w:r>
      <w:r>
        <w:rPr>
          <w:rFonts w:hint="eastAsia" w:ascii="宋体" w:hAnsi="宋体" w:eastAsia="宋体" w:cs="宋体"/>
          <w:color w:val="auto"/>
          <w:sz w:val="24"/>
          <w:highlight w:val="none"/>
          <w:u w:val="single"/>
        </w:rPr>
        <w:t xml:space="preserve">   （中标或者成交供应商名称） </w:t>
      </w:r>
      <w:r>
        <w:rPr>
          <w:rFonts w:hint="eastAsia" w:ascii="宋体" w:hAnsi="宋体" w:eastAsia="宋体" w:cs="宋体"/>
          <w:color w:val="auto"/>
          <w:sz w:val="24"/>
          <w:highlight w:val="none"/>
        </w:rPr>
        <w:t>为该项目中标或者成交供应商。现于中标或者成交通知书发出之日起10个工作日内，按照采购文件确定的事项签订本合同。</w:t>
      </w:r>
      <w:r>
        <w:rPr>
          <w:rFonts w:hint="eastAsia" w:ascii="宋体" w:hAnsi="宋体" w:eastAsia="宋体" w:cs="宋体"/>
          <w:b/>
          <w:color w:val="auto"/>
          <w:sz w:val="24"/>
          <w:highlight w:val="none"/>
        </w:rPr>
        <w:t>合同签订依据为相关法律法规文件、招标文件、乙方投标文件等，合同条款有与前者冲突的，以前者为准。</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根据《中华人民共和国民法典》《中华人民共和国政府采购法》等相关法律法规之规定，按照平等、自愿、公平和诚实信用的原则，经</w:t>
      </w:r>
      <w:r>
        <w:rPr>
          <w:rFonts w:hint="eastAsia" w:ascii="宋体" w:hAnsi="宋体" w:eastAsia="宋体" w:cs="宋体"/>
          <w:color w:val="auto"/>
          <w:sz w:val="24"/>
          <w:highlight w:val="none"/>
          <w:u w:val="single"/>
        </w:rPr>
        <w:t xml:space="preserve">   （采购人）   </w:t>
      </w:r>
      <w:r>
        <w:rPr>
          <w:rFonts w:hint="eastAsia" w:ascii="宋体" w:hAnsi="宋体" w:eastAsia="宋体" w:cs="宋体"/>
          <w:color w:val="auto"/>
          <w:sz w:val="24"/>
          <w:highlight w:val="none"/>
          <w:lang w:val="zh-CN"/>
        </w:rPr>
        <w:t>(以下简称：甲方)和</w:t>
      </w:r>
      <w:r>
        <w:rPr>
          <w:rFonts w:hint="eastAsia" w:ascii="宋体" w:hAnsi="宋体" w:eastAsia="宋体" w:cs="宋体"/>
          <w:color w:val="auto"/>
          <w:sz w:val="24"/>
          <w:highlight w:val="none"/>
          <w:u w:val="single"/>
        </w:rPr>
        <w:t xml:space="preserve">   （中或者成交标供应商名称）   </w:t>
      </w:r>
      <w:r>
        <w:rPr>
          <w:rFonts w:hint="eastAsia" w:ascii="宋体" w:hAnsi="宋体" w:eastAsia="宋体" w:cs="宋体"/>
          <w:color w:val="auto"/>
          <w:sz w:val="24"/>
          <w:highlight w:val="none"/>
          <w:lang w:val="zh-CN"/>
        </w:rPr>
        <w:t>(以下简称：乙方)协商一致，约定以下合同</w:t>
      </w:r>
      <w:r>
        <w:rPr>
          <w:rFonts w:hint="eastAsia" w:ascii="宋体" w:hAnsi="宋体" w:eastAsia="宋体" w:cs="宋体"/>
          <w:color w:val="auto"/>
          <w:sz w:val="24"/>
          <w:highlight w:val="none"/>
        </w:rPr>
        <w:t>条款，以兹共同遵守、全面履行。</w:t>
      </w:r>
    </w:p>
    <w:p>
      <w:pPr>
        <w:spacing w:line="560" w:lineRule="exact"/>
        <w:ind w:firstLine="482" w:firstLineChars="200"/>
        <w:outlineLvl w:val="0"/>
        <w:rPr>
          <w:rFonts w:hint="eastAsia" w:ascii="宋体" w:hAnsi="宋体" w:eastAsia="宋体" w:cs="宋体"/>
          <w:color w:val="auto"/>
          <w:sz w:val="24"/>
          <w:highlight w:val="none"/>
        </w:rPr>
      </w:pPr>
      <w:bookmarkStart w:id="400" w:name="_Toc19273"/>
      <w:bookmarkStart w:id="401" w:name="_Toc15367"/>
      <w:bookmarkStart w:id="402" w:name="_Toc22967"/>
      <w:bookmarkStart w:id="403" w:name="_Toc28855"/>
      <w:bookmarkStart w:id="404" w:name="_Toc20421"/>
      <w:r>
        <w:rPr>
          <w:rFonts w:hint="eastAsia" w:ascii="宋体" w:hAnsi="宋体" w:eastAsia="宋体" w:cs="宋体"/>
          <w:b/>
          <w:color w:val="auto"/>
          <w:sz w:val="24"/>
          <w:highlight w:val="none"/>
        </w:rPr>
        <w:t>1.1 合同组成部分</w:t>
      </w:r>
      <w:bookmarkEnd w:id="400"/>
      <w:bookmarkEnd w:id="401"/>
      <w:bookmarkEnd w:id="402"/>
      <w:bookmarkEnd w:id="403"/>
      <w:bookmarkEnd w:id="404"/>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 本合同及其补充合同、变更协议；</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 中标或者成交通知书；</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1.1.3 投标或者响应文件（含澄清或者说明文件）；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1.1.4 采购文件（含澄清或者修改文件）；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1.1.5 其他相关采购文件。</w:t>
      </w:r>
    </w:p>
    <w:p>
      <w:pPr>
        <w:spacing w:line="560" w:lineRule="exact"/>
        <w:ind w:firstLine="482" w:firstLineChars="200"/>
        <w:outlineLvl w:val="0"/>
        <w:rPr>
          <w:rFonts w:hint="eastAsia" w:ascii="宋体" w:hAnsi="宋体" w:eastAsia="宋体" w:cs="宋体"/>
          <w:b/>
          <w:color w:val="auto"/>
          <w:sz w:val="24"/>
          <w:highlight w:val="none"/>
        </w:rPr>
      </w:pPr>
      <w:bookmarkStart w:id="405" w:name="_Toc2918"/>
      <w:bookmarkStart w:id="406" w:name="_Toc18585"/>
      <w:bookmarkStart w:id="407" w:name="_Toc22185"/>
      <w:bookmarkStart w:id="408" w:name="_Toc6773"/>
      <w:bookmarkStart w:id="409" w:name="_Toc6311"/>
      <w:r>
        <w:rPr>
          <w:rFonts w:hint="eastAsia" w:ascii="宋体" w:hAnsi="宋体" w:eastAsia="宋体" w:cs="宋体"/>
          <w:b/>
          <w:color w:val="auto"/>
          <w:sz w:val="24"/>
          <w:highlight w:val="none"/>
        </w:rPr>
        <w:t>1.2 标的</w:t>
      </w:r>
      <w:bookmarkEnd w:id="405"/>
      <w:bookmarkEnd w:id="406"/>
      <w:bookmarkEnd w:id="407"/>
      <w:bookmarkEnd w:id="408"/>
      <w:bookmarkEnd w:id="409"/>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1.2.1 服务内容：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1.2.2 服务标准：</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1.2.3 技术保障：</w:t>
      </w:r>
      <w:r>
        <w:rPr>
          <w:rFonts w:hint="eastAsia" w:ascii="宋体" w:hAnsi="宋体" w:eastAsia="宋体" w:cs="宋体"/>
          <w:color w:val="auto"/>
          <w:sz w:val="24"/>
          <w:highlight w:val="none"/>
          <w:u w:val="single"/>
        </w:rPr>
        <w:t>　　　　　　　　　                      　      ；</w:t>
      </w:r>
    </w:p>
    <w:p>
      <w:pPr>
        <w:spacing w:line="5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1.2.4 服务人员组成：</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pStyle w:val="959"/>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1.2.5合同</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（是/否）涉及货物。若涉及货物的的，则：</w:t>
      </w:r>
    </w:p>
    <w:p>
      <w:pPr>
        <w:spacing w:line="560" w:lineRule="exact"/>
        <w:ind w:firstLine="480" w:firstLineChars="200"/>
        <w:rPr>
          <w:rFonts w:hint="eastAsia" w:ascii="宋体" w:hAnsi="宋体" w:eastAsia="宋体" w:cs="宋体"/>
          <w:color w:val="auto"/>
          <w:sz w:val="24"/>
          <w:highlight w:val="none"/>
          <w:u w:val="single"/>
        </w:rPr>
      </w:pPr>
      <w:bookmarkStart w:id="410" w:name="_Toc1386"/>
      <w:bookmarkStart w:id="411" w:name="_Toc4929"/>
      <w:bookmarkStart w:id="412" w:name="_Toc13918"/>
      <w:bookmarkStart w:id="413" w:name="_Toc21124"/>
      <w:bookmarkStart w:id="414" w:name="_Toc5635"/>
      <w:r>
        <w:rPr>
          <w:rFonts w:hint="eastAsia" w:ascii="宋体" w:hAnsi="宋体" w:eastAsia="宋体" w:cs="宋体"/>
          <w:color w:val="auto"/>
          <w:sz w:val="24"/>
          <w:highlight w:val="none"/>
        </w:rPr>
        <w:t>1.2.5.1 货物名称、品牌、规格型号、花色：</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1.2.5.2 货物数量：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1.2.5.3 货物质量：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 价款</w:t>
      </w:r>
      <w:bookmarkEnd w:id="410"/>
      <w:bookmarkEnd w:id="411"/>
      <w:bookmarkEnd w:id="412"/>
      <w:bookmarkEnd w:id="413"/>
      <w:bookmarkEnd w:id="414"/>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本项目采用以下第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条款规定的计价方式计价。</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1.3.1总价合同，本合同总价（含税）为：￥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元（大写：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元人民币）。</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7"/>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402" w:type="dxa"/>
            <w:vAlign w:val="center"/>
          </w:tcPr>
          <w:p>
            <w:pPr>
              <w:pStyle w:val="327"/>
              <w:spacing w:line="560" w:lineRule="exact"/>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分项名称</w:t>
            </w:r>
          </w:p>
        </w:tc>
        <w:tc>
          <w:tcPr>
            <w:tcW w:w="2552" w:type="dxa"/>
            <w:vAlign w:val="center"/>
          </w:tcPr>
          <w:p>
            <w:pPr>
              <w:pStyle w:val="327"/>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7"/>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327"/>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327"/>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7"/>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327"/>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327"/>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7"/>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327"/>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327"/>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7"/>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327"/>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327"/>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7"/>
              <w:spacing w:line="560" w:lineRule="exact"/>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w:t>
            </w:r>
          </w:p>
        </w:tc>
        <w:tc>
          <w:tcPr>
            <w:tcW w:w="2552" w:type="dxa"/>
            <w:vAlign w:val="center"/>
          </w:tcPr>
          <w:p>
            <w:pPr>
              <w:pStyle w:val="327"/>
              <w:spacing w:line="560" w:lineRule="exact"/>
              <w:ind w:firstLine="200"/>
              <w:jc w:val="center"/>
              <w:rPr>
                <w:rFonts w:hint="eastAsia" w:ascii="宋体" w:hAnsi="宋体" w:eastAsia="宋体" w:cs="宋体"/>
                <w:color w:val="auto"/>
                <w:sz w:val="24"/>
                <w:szCs w:val="24"/>
                <w:highlight w:val="none"/>
              </w:rPr>
            </w:pPr>
          </w:p>
        </w:tc>
      </w:tr>
    </w:tbl>
    <w:p>
      <w:pPr>
        <w:spacing w:line="560" w:lineRule="exact"/>
        <w:ind w:firstLine="480" w:firstLineChars="200"/>
        <w:rPr>
          <w:rFonts w:hint="eastAsia" w:ascii="宋体" w:hAnsi="宋体" w:eastAsia="宋体" w:cs="宋体"/>
          <w:color w:val="auto"/>
          <w:sz w:val="24"/>
          <w:highlight w:val="none"/>
        </w:rPr>
      </w:pPr>
      <w:bookmarkStart w:id="415" w:name="_Toc14993"/>
      <w:bookmarkStart w:id="416" w:name="_Toc30506"/>
      <w:bookmarkStart w:id="417" w:name="_Toc30158"/>
      <w:bookmarkStart w:id="418" w:name="_Toc3654"/>
      <w:bookmarkStart w:id="419" w:name="_Toc26916"/>
      <w:r>
        <w:rPr>
          <w:rFonts w:hint="eastAsia" w:ascii="宋体" w:hAnsi="宋体" w:eastAsia="宋体" w:cs="宋体"/>
          <w:bCs/>
          <w:color w:val="auto"/>
          <w:sz w:val="24"/>
          <w:highlight w:val="none"/>
        </w:rPr>
        <w:t>1.3.2单价合同，本合同单价（含税）标准为：</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highlight w:val="none"/>
        </w:rPr>
        <w:t>。服务工作量的计量方式为：</w:t>
      </w:r>
      <w:r>
        <w:rPr>
          <w:rFonts w:hint="eastAsia" w:ascii="宋体" w:hAnsi="宋体" w:eastAsia="宋体" w:cs="宋体"/>
          <w:bCs/>
          <w:color w:val="auto"/>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highlight w:val="none"/>
        </w:rPr>
        <w:t>。单价合同，在合同履行期间内，根据实际完成的工作量据实结算，但结算总价上限不得超过预算金额或者双方确定的金额￥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元（大写：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元人民币）。</w:t>
      </w:r>
    </w:p>
    <w:p>
      <w:pPr>
        <w:pStyle w:val="4"/>
        <w:rPr>
          <w:rFonts w:hint="eastAsia" w:ascii="宋体" w:hAnsi="宋体" w:eastAsia="宋体" w:cs="宋体"/>
          <w:color w:val="auto"/>
          <w:highlight w:val="none"/>
          <w:lang w:val="en-US"/>
        </w:rPr>
      </w:pPr>
      <w:r>
        <w:rPr>
          <w:rFonts w:hint="eastAsia" w:ascii="宋体" w:hAnsi="宋体" w:eastAsia="宋体" w:cs="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bookmarkEnd w:id="415"/>
    <w:bookmarkEnd w:id="416"/>
    <w:bookmarkEnd w:id="417"/>
    <w:bookmarkEnd w:id="418"/>
    <w:bookmarkEnd w:id="419"/>
    <w:p>
      <w:pPr>
        <w:pStyle w:val="959"/>
        <w:spacing w:before="0" w:beforeAutospacing="0" w:after="0" w:afterAutospacing="0" w:line="360" w:lineRule="auto"/>
        <w:ind w:firstLine="480"/>
        <w:rPr>
          <w:rFonts w:hint="eastAsia" w:ascii="宋体" w:hAnsi="宋体" w:eastAsia="宋体" w:cs="宋体"/>
          <w:b/>
          <w:color w:val="auto"/>
          <w:highlight w:val="none"/>
        </w:rPr>
      </w:pPr>
      <w:bookmarkStart w:id="420" w:name="_Toc1814"/>
      <w:bookmarkStart w:id="421" w:name="_Toc10340"/>
      <w:bookmarkStart w:id="422" w:name="_Toc22618"/>
      <w:bookmarkStart w:id="423" w:name="_Toc4760"/>
      <w:bookmarkStart w:id="424" w:name="_Toc11108"/>
      <w:bookmarkStart w:id="425" w:name="_Toc31421"/>
      <w:bookmarkStart w:id="426" w:name="_Toc8772"/>
      <w:bookmarkStart w:id="427" w:name="_Toc3625"/>
      <w:r>
        <w:rPr>
          <w:rFonts w:hint="eastAsia" w:ascii="宋体" w:hAnsi="宋体" w:eastAsia="宋体" w:cs="宋体"/>
          <w:b/>
          <w:color w:val="auto"/>
          <w:highlight w:val="none"/>
        </w:rPr>
        <w:t>1.4履约保证金</w:t>
      </w:r>
    </w:p>
    <w:p>
      <w:pPr>
        <w:pStyle w:val="959"/>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乙方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（是/否）需要支付履约保证金。若需要支付履约保证金的，则：</w:t>
      </w:r>
    </w:p>
    <w:p>
      <w:pPr>
        <w:spacing w:line="560" w:lineRule="exact"/>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1.4.1履约保证金的比例为合同金额的</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spacing w:line="560" w:lineRule="exact"/>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1.4.2履约保证金支付方式详见</w:t>
      </w:r>
      <w:r>
        <w:rPr>
          <w:rFonts w:hint="eastAsia" w:ascii="宋体" w:hAnsi="宋体" w:eastAsia="宋体" w:cs="宋体"/>
          <w:color w:val="auto"/>
          <w:kern w:val="0"/>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pStyle w:val="4"/>
        <w:tabs>
          <w:tab w:val="left" w:pos="0"/>
        </w:tabs>
        <w:spacing w:line="560" w:lineRule="exact"/>
        <w:ind w:left="0" w:firstLine="480" w:firstLineChars="200"/>
        <w:rPr>
          <w:rFonts w:hint="eastAsia" w:ascii="宋体" w:hAnsi="宋体" w:eastAsia="宋体" w:cs="宋体"/>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1.4.4甲方在项目验收结束后及时退还履约保证金。甲方在项目通过验收之日起</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eastAsia="宋体" w:cs="宋体"/>
          <w:color w:val="auto"/>
          <w:kern w:val="0"/>
          <w:sz w:val="24"/>
          <w:highlight w:val="none"/>
          <w:u w:val="single"/>
        </w:rPr>
        <w:t xml:space="preserve">  0.05（可根据情况修改）  </w:t>
      </w:r>
      <w:r>
        <w:rPr>
          <w:rFonts w:hint="eastAsia" w:ascii="宋体" w:hAnsi="宋体" w:eastAsia="宋体" w:cs="宋体"/>
          <w:color w:val="auto"/>
          <w:kern w:val="0"/>
          <w:sz w:val="24"/>
          <w:highlight w:val="none"/>
        </w:rPr>
        <w:t>%计算，最高限额为本合同履约保证金的</w:t>
      </w:r>
      <w:r>
        <w:rPr>
          <w:rFonts w:hint="eastAsia" w:ascii="宋体" w:hAnsi="宋体" w:eastAsia="宋体" w:cs="宋体"/>
          <w:color w:val="auto"/>
          <w:kern w:val="0"/>
          <w:sz w:val="24"/>
          <w:highlight w:val="none"/>
          <w:u w:val="single"/>
        </w:rPr>
        <w:t xml:space="preserve">  20  </w:t>
      </w:r>
      <w:r>
        <w:rPr>
          <w:rFonts w:hint="eastAsia" w:ascii="宋体" w:hAnsi="宋体" w:eastAsia="宋体" w:cs="宋体"/>
          <w:color w:val="auto"/>
          <w:kern w:val="0"/>
          <w:sz w:val="24"/>
          <w:highlight w:val="none"/>
        </w:rPr>
        <w:t xml:space="preserve"> %。</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1.5</w:t>
      </w:r>
      <w:bookmarkEnd w:id="420"/>
      <w:bookmarkEnd w:id="421"/>
      <w:bookmarkEnd w:id="422"/>
      <w:r>
        <w:rPr>
          <w:rFonts w:hint="eastAsia" w:ascii="宋体" w:hAnsi="宋体" w:eastAsia="宋体" w:cs="宋体"/>
          <w:b/>
          <w:color w:val="auto"/>
          <w:sz w:val="24"/>
          <w:highlight w:val="none"/>
        </w:rPr>
        <w:t>预付款</w:t>
      </w:r>
    </w:p>
    <w:p>
      <w:pPr>
        <w:pStyle w:val="959"/>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甲方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（是/否）需要支付预付款。若需要支付预付款的，则：</w:t>
      </w:r>
    </w:p>
    <w:p>
      <w:pPr>
        <w:spacing w:line="56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1.5.1预付款比例、支付方式、时间详见</w:t>
      </w:r>
      <w:r>
        <w:rPr>
          <w:rFonts w:hint="eastAsia" w:ascii="宋体" w:hAnsi="宋体" w:eastAsia="宋体" w:cs="宋体"/>
          <w:color w:val="auto"/>
          <w:kern w:val="0"/>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pStyle w:val="959"/>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1.5.2预付款的扣回方式详见</w:t>
      </w:r>
      <w:r>
        <w:rPr>
          <w:rFonts w:hint="eastAsia" w:ascii="宋体" w:hAnsi="宋体" w:eastAsia="宋体" w:cs="宋体"/>
          <w:color w:val="auto"/>
          <w:highlight w:val="none"/>
          <w:u w:val="single"/>
        </w:rPr>
        <w:t xml:space="preserve">    </w:t>
      </w:r>
      <w:r>
        <w:rPr>
          <w:rFonts w:hint="eastAsia" w:ascii="宋体" w:hAnsi="宋体" w:eastAsia="宋体" w:cs="宋体"/>
          <w:b/>
          <w:i/>
          <w:color w:val="auto"/>
          <w:highlight w:val="none"/>
          <w:u w:val="single"/>
        </w:rPr>
        <w:t>合同专用条款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Style w:val="959"/>
        <w:spacing w:before="0" w:beforeAutospacing="0" w:after="0" w:afterAutospacing="0" w:line="360" w:lineRule="auto"/>
        <w:ind w:firstLine="480"/>
        <w:rPr>
          <w:rFonts w:hint="eastAsia" w:ascii="宋体" w:hAnsi="宋体" w:eastAsia="宋体" w:cs="宋体"/>
          <w:color w:val="auto"/>
          <w:highlight w:val="none"/>
          <w:u w:val="single"/>
        </w:rPr>
      </w:pPr>
      <w:r>
        <w:rPr>
          <w:rFonts w:hint="eastAsia" w:ascii="宋体" w:hAnsi="宋体" w:eastAsia="宋体" w:cs="宋体"/>
          <w:color w:val="auto"/>
          <w:highlight w:val="none"/>
        </w:rPr>
        <w:t>1.5.3预付款的担保措施详见</w:t>
      </w:r>
      <w:r>
        <w:rPr>
          <w:rFonts w:hint="eastAsia" w:ascii="宋体" w:hAnsi="宋体" w:eastAsia="宋体" w:cs="宋体"/>
          <w:color w:val="auto"/>
          <w:highlight w:val="none"/>
          <w:u w:val="single"/>
        </w:rPr>
        <w:t xml:space="preserve">    </w:t>
      </w:r>
      <w:r>
        <w:rPr>
          <w:rFonts w:hint="eastAsia" w:ascii="宋体" w:hAnsi="宋体" w:eastAsia="宋体" w:cs="宋体"/>
          <w:b/>
          <w:i/>
          <w:color w:val="auto"/>
          <w:highlight w:val="none"/>
          <w:u w:val="single"/>
        </w:rPr>
        <w:t>合同专用条款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Style w:val="959"/>
        <w:spacing w:before="0" w:beforeAutospacing="0" w:after="0" w:afterAutospacing="0" w:line="360" w:lineRule="auto"/>
        <w:ind w:firstLine="480"/>
        <w:rPr>
          <w:rFonts w:hint="eastAsia" w:ascii="宋体" w:hAnsi="宋体" w:eastAsia="宋体" w:cs="宋体"/>
          <w:b/>
          <w:bCs/>
          <w:color w:val="auto"/>
          <w:highlight w:val="none"/>
        </w:rPr>
      </w:pPr>
      <w:r>
        <w:rPr>
          <w:rFonts w:hint="eastAsia" w:ascii="宋体" w:hAnsi="宋体" w:eastAsia="宋体" w:cs="宋体"/>
          <w:b/>
          <w:bCs/>
          <w:color w:val="auto"/>
          <w:highlight w:val="none"/>
        </w:rPr>
        <w:t>1.6资金支付</w:t>
      </w:r>
    </w:p>
    <w:p>
      <w:pPr>
        <w:pStyle w:val="959"/>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hint="eastAsia" w:ascii="宋体" w:hAnsi="宋体" w:eastAsia="宋体" w:cs="宋体"/>
          <w:b/>
          <w:color w:val="auto"/>
          <w:sz w:val="24"/>
          <w:highlight w:val="none"/>
        </w:rPr>
      </w:pPr>
      <w:r>
        <w:rPr>
          <w:rFonts w:hint="eastAsia" w:ascii="宋体" w:hAnsi="宋体" w:eastAsia="宋体" w:cs="宋体"/>
          <w:color w:val="auto"/>
          <w:sz w:val="24"/>
          <w:highlight w:val="none"/>
        </w:rPr>
        <w:t>1.6.2资金支付的方式、时间和条件详见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以经塘栖镇根据政府采购法等相关规定审核通过的合同相应条款为准。</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1.7 履行期限、地点和方式</w:t>
      </w:r>
      <w:bookmarkEnd w:id="423"/>
      <w:bookmarkEnd w:id="424"/>
      <w:bookmarkEnd w:id="425"/>
      <w:bookmarkEnd w:id="426"/>
      <w:bookmarkEnd w:id="427"/>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1.7.1 服务交付（实施）的时间（期限）：</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1.7.2 服务交付（实施）的地点（地域范围）：</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1.7.3 服务交付（实施）的方式：</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outlineLvl w:val="0"/>
        <w:rPr>
          <w:rFonts w:hint="eastAsia" w:ascii="宋体" w:hAnsi="宋体" w:eastAsia="宋体" w:cs="宋体"/>
          <w:bCs/>
          <w:color w:val="auto"/>
          <w:sz w:val="24"/>
          <w:highlight w:val="none"/>
        </w:rPr>
      </w:pPr>
      <w:bookmarkStart w:id="428" w:name="_Toc5698"/>
      <w:bookmarkStart w:id="429" w:name="_Toc24662"/>
      <w:bookmarkStart w:id="430" w:name="_Toc2375"/>
      <w:bookmarkStart w:id="431" w:name="_Toc3079"/>
      <w:bookmarkStart w:id="432" w:name="_Toc8586"/>
      <w:r>
        <w:rPr>
          <w:rFonts w:hint="eastAsia" w:ascii="宋体" w:hAnsi="宋体" w:eastAsia="宋体" w:cs="宋体"/>
          <w:bCs/>
          <w:color w:val="auto"/>
          <w:sz w:val="24"/>
          <w:highlight w:val="none"/>
        </w:rPr>
        <w:t>1.7.4若服务涉及货物的，则货物的：</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1.7.4.1 交付期限：详见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1.7.4.2 交付地点：</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1.7.4.3 交付方式：</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pStyle w:val="164"/>
        <w:snapToGrid w:val="0"/>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1.8、考核扣款：</w:t>
      </w:r>
    </w:p>
    <w:p>
      <w:pPr>
        <w:pStyle w:val="164"/>
        <w:snapToGrid w:val="0"/>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1.8.1、根据市级检查采纳的环卫类行业问题进行扣款，市级1000元/每件，区级500元/每件；</w:t>
      </w:r>
    </w:p>
    <w:p>
      <w:pPr>
        <w:pStyle w:val="164"/>
        <w:snapToGrid w:val="0"/>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1.8.2、区城市管理领导小组办公室每月组织养护项目“红黑榜”评比，黑榜标段每次扣款1万元；</w:t>
      </w:r>
    </w:p>
    <w:p>
      <w:pPr>
        <w:pStyle w:val="164"/>
        <w:snapToGrid w:val="0"/>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1.8.3、根据临平区分级分类考核办法，区级对镇街按照考核排名进行扣款，各镇街根据区级标段考核成绩以及镇街内日常检查情况对各标段实施扣款，扣款总金额不应少于区级扣款。其他扣款方式可由镇街结合实际自行制定增加。</w:t>
      </w:r>
    </w:p>
    <w:p>
      <w:pPr>
        <w:pStyle w:val="164"/>
        <w:snapToGrid w:val="0"/>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1.8.4、标准落实：</w:t>
      </w:r>
    </w:p>
    <w:p>
      <w:pPr>
        <w:pStyle w:val="164"/>
        <w:snapToGrid w:val="0"/>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在日常养护过程中，经查实作业人员、作业设备未达到投标文件约定的，人员每少1%或设备每少1台的应扣除总合同价的1%；作业遍次未达到要求的，每次扣0.5万元     </w:t>
      </w:r>
    </w:p>
    <w:p>
      <w:pPr>
        <w:pStyle w:val="164"/>
        <w:snapToGrid w:val="0"/>
        <w:spacing w:line="360" w:lineRule="auto"/>
        <w:ind w:firstLine="480" w:firstLineChars="200"/>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1.8.5、</w:t>
      </w:r>
      <w:r>
        <w:rPr>
          <w:rFonts w:hint="default" w:ascii="宋体" w:hAnsi="宋体" w:eastAsia="宋体" w:cs="宋体"/>
          <w:color w:val="auto"/>
          <w:kern w:val="2"/>
          <w:sz w:val="24"/>
          <w:szCs w:val="24"/>
          <w:highlight w:val="none"/>
          <w:lang w:val="en-US" w:eastAsia="zh-CN" w:bidi="ar-SA"/>
        </w:rPr>
        <w:t>清退机制</w:t>
      </w:r>
    </w:p>
    <w:p>
      <w:pPr>
        <w:pStyle w:val="164"/>
        <w:snapToGrid w:val="0"/>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建立清退机制，对挂靠、串标、分包等扰乱市场、影响管养水平的严重违规行为，从合同源头纳入清退标准，营造良性的竞争市场。</w:t>
      </w:r>
      <w:r>
        <w:rPr>
          <w:rFonts w:hint="eastAsia" w:ascii="宋体" w:hAnsi="宋体" w:eastAsia="宋体" w:cs="宋体"/>
          <w:color w:val="auto"/>
          <w:kern w:val="2"/>
          <w:sz w:val="24"/>
          <w:szCs w:val="24"/>
          <w:highlight w:val="none"/>
          <w:lang w:val="en-US" w:eastAsia="zh-CN" w:bidi="ar-SA"/>
        </w:rPr>
        <w:t>本年度内“洁化、绿化、市政”同一标段“黑榜”连续3次或累计6次，区城市管理领导小组办公室以“城市管理建议函”的形式，函告镇街本年度合同结束后建议在同一标段不再使用同一企业。</w:t>
      </w:r>
    </w:p>
    <w:p>
      <w:pPr>
        <w:spacing w:line="560" w:lineRule="exact"/>
        <w:ind w:firstLine="482" w:firstLineChars="200"/>
        <w:outlineLvl w:val="0"/>
        <w:rPr>
          <w:rFonts w:hint="eastAsia" w:ascii="宋体" w:hAnsi="宋体" w:eastAsia="宋体" w:cs="宋体"/>
          <w:color w:val="auto"/>
          <w:sz w:val="24"/>
          <w:highlight w:val="none"/>
          <w:u w:val="single"/>
        </w:rPr>
      </w:pPr>
      <w:r>
        <w:rPr>
          <w:rFonts w:hint="eastAsia" w:ascii="宋体" w:hAnsi="宋体" w:eastAsia="宋体" w:cs="宋体"/>
          <w:b/>
          <w:color w:val="auto"/>
          <w:sz w:val="24"/>
          <w:highlight w:val="none"/>
        </w:rPr>
        <w:t>1.</w:t>
      </w:r>
      <w:r>
        <w:rPr>
          <w:rFonts w:hint="eastAsia" w:ascii="宋体" w:hAnsi="宋体" w:cs="宋体"/>
          <w:b/>
          <w:color w:val="auto"/>
          <w:sz w:val="24"/>
          <w:highlight w:val="none"/>
          <w:lang w:val="en-US" w:eastAsia="zh-CN"/>
        </w:rPr>
        <w:t>9</w:t>
      </w:r>
      <w:r>
        <w:rPr>
          <w:rFonts w:hint="eastAsia" w:ascii="宋体" w:hAnsi="宋体" w:eastAsia="宋体" w:cs="宋体"/>
          <w:b/>
          <w:color w:val="auto"/>
          <w:sz w:val="24"/>
          <w:highlight w:val="none"/>
        </w:rPr>
        <w:t>违约责任</w:t>
      </w:r>
      <w:bookmarkEnd w:id="428"/>
      <w:bookmarkEnd w:id="429"/>
      <w:bookmarkEnd w:id="430"/>
      <w:bookmarkEnd w:id="431"/>
      <w:bookmarkEnd w:id="432"/>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rPr>
        <w:t>.1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宋体" w:hAnsi="宋体" w:eastAsia="宋体" w:cs="宋体"/>
          <w:color w:val="auto"/>
          <w:sz w:val="24"/>
          <w:highlight w:val="none"/>
          <w:u w:val="single"/>
        </w:rPr>
        <w:t xml:space="preserve">0.05 </w:t>
      </w:r>
      <w:r>
        <w:rPr>
          <w:rFonts w:hint="eastAsia" w:ascii="宋体" w:hAnsi="宋体" w:eastAsia="宋体" w:cs="宋体"/>
          <w:color w:val="auto"/>
          <w:sz w:val="24"/>
          <w:highlight w:val="none"/>
        </w:rPr>
        <w:t>%计算，最高限额为本合同总价的</w:t>
      </w:r>
      <w:r>
        <w:rPr>
          <w:rFonts w:hint="eastAsia" w:ascii="宋体" w:hAnsi="宋体" w:eastAsia="宋体" w:cs="宋体"/>
          <w:color w:val="auto"/>
          <w:sz w:val="24"/>
          <w:highlight w:val="none"/>
          <w:u w:val="single"/>
        </w:rPr>
        <w:t xml:space="preserve">  20   </w:t>
      </w:r>
      <w:r>
        <w:rPr>
          <w:rFonts w:hint="eastAsia" w:ascii="宋体" w:hAnsi="宋体" w:eastAsia="宋体" w:cs="宋体"/>
          <w:color w:val="auto"/>
          <w:sz w:val="24"/>
          <w:highlight w:val="none"/>
        </w:rPr>
        <w:t>%；迟延履行的违约金计算数额达到前述最高限额之日起，甲方有权在要求乙方支付违约金的同时，书面通知乙方解除本合同；</w:t>
      </w:r>
    </w:p>
    <w:p>
      <w:pPr>
        <w:pStyle w:val="4"/>
        <w:ind w:left="0" w:firstLine="480" w:firstLineChars="200"/>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w:t>
      </w:r>
      <w:r>
        <w:rPr>
          <w:rFonts w:hint="eastAsia" w:ascii="宋体" w:hAnsi="宋体" w:eastAsia="宋体" w:cs="宋体"/>
          <w:b w:val="0"/>
          <w:bCs w:val="0"/>
          <w:color w:val="auto"/>
          <w:sz w:val="24"/>
          <w:szCs w:val="24"/>
          <w:highlight w:val="none"/>
          <w:lang w:val="en-US" w:eastAsia="zh-CN"/>
        </w:rPr>
        <w:t>9</w:t>
      </w:r>
      <w:r>
        <w:rPr>
          <w:rFonts w:hint="eastAsia" w:ascii="宋体" w:hAnsi="宋体" w:eastAsia="宋体" w:cs="宋体"/>
          <w:b w:val="0"/>
          <w:bCs w:val="0"/>
          <w:color w:val="auto"/>
          <w:sz w:val="24"/>
          <w:szCs w:val="24"/>
          <w:highlight w:val="none"/>
          <w:lang w:val="en-US"/>
        </w:rPr>
        <w:t>.2服务中涉及的货物，除不可抗力外，如果乙方没有按照本合同约定的期限、地点和方式交付货物，那么甲方可要求乙方支付违约金，违约金按每迟延交付货物一日的应交付而未交付货物价格的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rPr>
        <w:t>.3除不可抗力外，如果甲方没有按照本合同约定的付款方式付款，那么乙方可要求甲方支付违约金，违约金按每迟延付款一日的应付而未付款的</w:t>
      </w:r>
      <w:r>
        <w:rPr>
          <w:rFonts w:hint="eastAsia" w:ascii="宋体" w:hAnsi="宋体" w:eastAsia="宋体" w:cs="宋体"/>
          <w:color w:val="auto"/>
          <w:sz w:val="24"/>
          <w:highlight w:val="none"/>
          <w:u w:val="single"/>
        </w:rPr>
        <w:t xml:space="preserve">   0.05   </w:t>
      </w:r>
      <w:r>
        <w:rPr>
          <w:rFonts w:hint="eastAsia" w:ascii="宋体" w:hAnsi="宋体" w:eastAsia="宋体" w:cs="宋体"/>
          <w:color w:val="auto"/>
          <w:sz w:val="24"/>
          <w:highlight w:val="none"/>
        </w:rPr>
        <w:t>%计算，最高限额为本合同总价的</w:t>
      </w:r>
      <w:r>
        <w:rPr>
          <w:rFonts w:hint="eastAsia" w:ascii="宋体" w:hAnsi="宋体" w:eastAsia="宋体" w:cs="宋体"/>
          <w:color w:val="auto"/>
          <w:sz w:val="24"/>
          <w:highlight w:val="none"/>
          <w:u w:val="single"/>
        </w:rPr>
        <w:t xml:space="preserve">   20</w:t>
      </w:r>
      <w:r>
        <w:rPr>
          <w:rFonts w:hint="eastAsia" w:ascii="宋体" w:hAnsi="宋体" w:eastAsia="宋体" w:cs="宋体"/>
          <w:color w:val="auto"/>
          <w:kern w:val="0"/>
          <w:sz w:val="24"/>
          <w:highlight w:val="none"/>
          <w:u w:val="single"/>
        </w:rPr>
        <w:t>（可根据情况修改）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宋体" w:hAnsi="宋体" w:eastAsia="宋体" w:cs="宋体"/>
          <w:color w:val="auto"/>
          <w:sz w:val="24"/>
          <w:highlight w:val="none"/>
        </w:rPr>
      </w:pPr>
      <w:bookmarkStart w:id="433" w:name="_Toc26807"/>
      <w:bookmarkStart w:id="434" w:name="_Toc18683"/>
      <w:bookmarkStart w:id="435" w:name="_Toc9497"/>
      <w:bookmarkStart w:id="436" w:name="_Toc30329"/>
      <w:bookmarkStart w:id="437" w:name="_Toc32454"/>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rPr>
        <w:t>.4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rPr>
        <w:t>.5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rPr>
        <w:t>.6如果出现政府采购监督管理部门在处理投诉事项期间，书面通知甲方暂停采购活动的情形，或者询问或质疑事项可能影响中标或者成交结果的，导致甲方中止履行合同的情形，均不视为甲方违约。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rPr>
        <w:t>.7违约责任</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另有约定的，从其约定。</w:t>
      </w:r>
    </w:p>
    <w:bookmarkEnd w:id="433"/>
    <w:bookmarkEnd w:id="434"/>
    <w:bookmarkEnd w:id="435"/>
    <w:bookmarkEnd w:id="436"/>
    <w:bookmarkEnd w:id="437"/>
    <w:p>
      <w:pPr>
        <w:spacing w:line="560" w:lineRule="exact"/>
        <w:ind w:firstLine="482" w:firstLineChars="200"/>
        <w:outlineLvl w:val="0"/>
        <w:rPr>
          <w:rFonts w:hint="eastAsia" w:ascii="宋体" w:hAnsi="宋体" w:eastAsia="宋体" w:cs="宋体"/>
          <w:b/>
          <w:color w:val="auto"/>
          <w:sz w:val="24"/>
          <w:highlight w:val="none"/>
        </w:rPr>
      </w:pPr>
      <w:bookmarkStart w:id="438" w:name="_Toc15583"/>
      <w:bookmarkStart w:id="439" w:name="_Toc16021"/>
      <w:bookmarkStart w:id="440" w:name="_Toc28375"/>
      <w:r>
        <w:rPr>
          <w:rFonts w:hint="eastAsia" w:ascii="宋体" w:hAnsi="宋体" w:cs="宋体"/>
          <w:b/>
          <w:color w:val="auto"/>
          <w:sz w:val="24"/>
          <w:highlight w:val="none"/>
          <w:lang w:val="en-US" w:eastAsia="zh-CN"/>
        </w:rPr>
        <w:t>2.0</w:t>
      </w:r>
      <w:r>
        <w:rPr>
          <w:rFonts w:hint="eastAsia" w:ascii="宋体" w:hAnsi="宋体" w:eastAsia="宋体" w:cs="宋体"/>
          <w:b/>
          <w:color w:val="auto"/>
          <w:sz w:val="24"/>
          <w:highlight w:val="none"/>
        </w:rPr>
        <w:t>合同争议的解决</w:t>
      </w:r>
      <w:bookmarkEnd w:id="438"/>
      <w:bookmarkEnd w:id="439"/>
      <w:bookmarkEnd w:id="440"/>
    </w:p>
    <w:p>
      <w:pPr>
        <w:spacing w:line="560" w:lineRule="exact"/>
        <w:ind w:left="-61" w:leftChars="-29" w:right="-420" w:rightChars="-200"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eastAsia="宋体" w:cs="宋体"/>
          <w:b/>
          <w:i/>
          <w:color w:val="auto"/>
          <w:sz w:val="24"/>
          <w:highlight w:val="none"/>
          <w:u w:val="single"/>
        </w:rPr>
        <w:t xml:space="preserve">      </w:t>
      </w:r>
      <w:r>
        <w:rPr>
          <w:rFonts w:hint="eastAsia" w:ascii="宋体" w:hAnsi="宋体" w:eastAsia="宋体" w:cs="宋体"/>
          <w:color w:val="auto"/>
          <w:sz w:val="24"/>
          <w:highlight w:val="none"/>
        </w:rPr>
        <w:t>条款规定的方式解决：</w:t>
      </w:r>
    </w:p>
    <w:p>
      <w:pPr>
        <w:spacing w:line="560" w:lineRule="exact"/>
        <w:ind w:left="-420" w:leftChars="-200" w:right="-420" w:rightChars="-200" w:firstLine="600" w:firstLineChars="25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2.01</w:t>
      </w:r>
      <w:r>
        <w:rPr>
          <w:rFonts w:hint="eastAsia" w:ascii="宋体" w:hAnsi="宋体" w:eastAsia="宋体" w:cs="宋体"/>
          <w:color w:val="auto"/>
          <w:sz w:val="24"/>
          <w:highlight w:val="none"/>
        </w:rPr>
        <w:t xml:space="preserve"> 将争议提交</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2.02</w:t>
      </w:r>
      <w:r>
        <w:rPr>
          <w:rFonts w:hint="eastAsia" w:ascii="宋体" w:hAnsi="宋体" w:eastAsia="宋体" w:cs="宋体"/>
          <w:color w:val="auto"/>
          <w:sz w:val="24"/>
          <w:highlight w:val="none"/>
        </w:rPr>
        <w:t xml:space="preserve"> 向</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人民法院起诉。</w:t>
      </w:r>
    </w:p>
    <w:p>
      <w:pPr>
        <w:spacing w:line="560" w:lineRule="exact"/>
        <w:ind w:firstLine="482" w:firstLineChars="200"/>
        <w:outlineLvl w:val="0"/>
        <w:rPr>
          <w:rFonts w:hint="eastAsia" w:ascii="宋体" w:hAnsi="宋体" w:eastAsia="宋体" w:cs="宋体"/>
          <w:b/>
          <w:color w:val="auto"/>
          <w:sz w:val="24"/>
          <w:highlight w:val="none"/>
        </w:rPr>
      </w:pPr>
      <w:bookmarkStart w:id="441" w:name="_Toc15322"/>
      <w:bookmarkStart w:id="442" w:name="_Toc11173"/>
      <w:bookmarkStart w:id="443" w:name="_Toc7245"/>
      <w:r>
        <w:rPr>
          <w:rFonts w:hint="eastAsia" w:ascii="宋体" w:hAnsi="宋体" w:eastAsia="宋体" w:cs="宋体"/>
          <w:b/>
          <w:color w:val="auto"/>
          <w:sz w:val="24"/>
          <w:highlight w:val="none"/>
        </w:rPr>
        <w:t>2.</w:t>
      </w:r>
      <w:r>
        <w:rPr>
          <w:rFonts w:hint="eastAsia" w:ascii="宋体" w:hAnsi="宋体" w:cs="宋体"/>
          <w:b/>
          <w:color w:val="auto"/>
          <w:sz w:val="24"/>
          <w:highlight w:val="none"/>
          <w:lang w:val="en-US" w:eastAsia="zh-CN"/>
        </w:rPr>
        <w:t>1</w:t>
      </w:r>
      <w:r>
        <w:rPr>
          <w:rFonts w:hint="eastAsia" w:ascii="宋体" w:hAnsi="宋体" w:eastAsia="宋体" w:cs="宋体"/>
          <w:b/>
          <w:color w:val="auto"/>
          <w:sz w:val="24"/>
          <w:highlight w:val="none"/>
        </w:rPr>
        <w:t xml:space="preserve"> 合同生效</w:t>
      </w:r>
      <w:bookmarkEnd w:id="441"/>
      <w:bookmarkEnd w:id="442"/>
      <w:bookmarkEnd w:id="443"/>
    </w:p>
    <w:p>
      <w:pPr>
        <w:spacing w:line="560" w:lineRule="exact"/>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本合同自双方当事人盖章签字时生效。</w:t>
      </w:r>
    </w:p>
    <w:p>
      <w:pPr>
        <w:autoSpaceDE w:val="0"/>
        <w:autoSpaceDN w:val="0"/>
        <w:spacing w:line="560" w:lineRule="exact"/>
        <w:rPr>
          <w:rFonts w:hint="eastAsia" w:ascii="宋体" w:hAnsi="宋体" w:eastAsia="宋体" w:cs="宋体"/>
          <w:color w:val="auto"/>
          <w:sz w:val="24"/>
          <w:highlight w:val="none"/>
          <w:lang w:val="zh-CN"/>
        </w:rPr>
      </w:pP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b/>
          <w:color w:val="auto"/>
          <w:sz w:val="24"/>
          <w:highlight w:val="none"/>
          <w:lang w:val="zh-CN"/>
        </w:rPr>
        <w:t>甲方</w:t>
      </w:r>
      <w:r>
        <w:rPr>
          <w:rFonts w:hint="eastAsia" w:ascii="宋体" w:hAnsi="宋体" w:eastAsia="宋体" w:cs="宋体"/>
          <w:color w:val="auto"/>
          <w:sz w:val="24"/>
          <w:highlight w:val="none"/>
          <w:lang w:val="zh-CN"/>
        </w:rPr>
        <w:t xml:space="preserve">：                             </w:t>
      </w:r>
      <w:r>
        <w:rPr>
          <w:rFonts w:hint="eastAsia" w:ascii="宋体" w:hAnsi="宋体" w:eastAsia="宋体" w:cs="宋体"/>
          <w:b/>
          <w:color w:val="auto"/>
          <w:sz w:val="24"/>
          <w:highlight w:val="none"/>
          <w:lang w:val="zh-CN"/>
        </w:rPr>
        <w:t xml:space="preserve">      乙方</w:t>
      </w:r>
      <w:r>
        <w:rPr>
          <w:rFonts w:hint="eastAsia" w:ascii="宋体" w:hAnsi="宋体" w:eastAsia="宋体" w:cs="宋体"/>
          <w:color w:val="auto"/>
          <w:sz w:val="24"/>
          <w:highlight w:val="none"/>
          <w:lang w:val="zh-CN"/>
        </w:rPr>
        <w:t>：</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统一社会信用代码：                        统一社会信用代码或身份证号码：</w:t>
      </w:r>
    </w:p>
    <w:p>
      <w:pPr>
        <w:autoSpaceDE w:val="0"/>
        <w:autoSpaceDN w:val="0"/>
        <w:spacing w:line="560" w:lineRule="exact"/>
        <w:rPr>
          <w:rFonts w:hint="eastAsia" w:ascii="宋体" w:hAnsi="宋体" w:eastAsia="宋体" w:cs="宋体"/>
          <w:color w:val="auto"/>
          <w:sz w:val="24"/>
          <w:highlight w:val="none"/>
          <w:lang w:val="zh-CN"/>
        </w:rPr>
      </w:pP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住所：                                   住所：</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法定代表人或                             法定代表人或</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授权代表（签字）：                       授权代表（签字）: </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联系人：                                 联系人：</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约定送达地址：                           约定送达地址：</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邮政编码：                               邮政编码：</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电话:                                    电话: </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传真:                                    传真:</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电子邮箱：                               电子邮箱：</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开户银行：                               开户银行： </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开户名称：                               开户名称： </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开户账号：</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开户账号：</w:t>
      </w:r>
    </w:p>
    <w:p>
      <w:pPr>
        <w:widowControl/>
        <w:spacing w:line="560" w:lineRule="exact"/>
        <w:jc w:val="left"/>
        <w:rPr>
          <w:rFonts w:hint="eastAsia" w:ascii="宋体" w:hAnsi="宋体" w:eastAsia="宋体" w:cs="宋体"/>
          <w:b/>
          <w:color w:val="auto"/>
          <w:sz w:val="24"/>
          <w:highlight w:val="none"/>
        </w:rPr>
      </w:pPr>
    </w:p>
    <w:p>
      <w:pPr>
        <w:widowControl/>
        <w:adjustRightInd/>
        <w:jc w:val="left"/>
        <w:rPr>
          <w:rFonts w:hint="eastAsia" w:ascii="宋体" w:hAnsi="宋体" w:eastAsia="宋体" w:cs="宋体"/>
          <w:b/>
          <w:color w:val="auto"/>
          <w:sz w:val="24"/>
          <w:highlight w:val="none"/>
        </w:rPr>
      </w:pPr>
      <w:r>
        <w:rPr>
          <w:rFonts w:hint="eastAsia" w:ascii="宋体" w:hAnsi="宋体" w:eastAsia="宋体" w:cs="宋体"/>
          <w:b/>
          <w:color w:val="auto"/>
          <w:highlight w:val="none"/>
        </w:rPr>
        <w:br w:type="page"/>
      </w:r>
    </w:p>
    <w:p>
      <w:pPr>
        <w:pStyle w:val="702"/>
        <w:spacing w:line="560" w:lineRule="exact"/>
        <w:ind w:firstLine="482"/>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第二部分 合同一般条款</w:t>
      </w:r>
    </w:p>
    <w:p>
      <w:pPr>
        <w:spacing w:line="560" w:lineRule="exact"/>
        <w:ind w:firstLine="482" w:firstLineChars="200"/>
        <w:outlineLvl w:val="0"/>
        <w:rPr>
          <w:rFonts w:hint="eastAsia" w:ascii="宋体" w:hAnsi="宋体" w:eastAsia="宋体" w:cs="宋体"/>
          <w:b/>
          <w:color w:val="auto"/>
          <w:sz w:val="24"/>
          <w:highlight w:val="none"/>
        </w:rPr>
      </w:pPr>
      <w:bookmarkStart w:id="444" w:name="_Toc19680"/>
      <w:bookmarkStart w:id="445" w:name="_Toc14021"/>
      <w:bookmarkStart w:id="446" w:name="_Toc31297"/>
      <w:bookmarkStart w:id="447" w:name="_Toc5228"/>
      <w:bookmarkStart w:id="448" w:name="_Toc25079"/>
      <w:r>
        <w:rPr>
          <w:rFonts w:hint="eastAsia" w:ascii="宋体" w:hAnsi="宋体" w:eastAsia="宋体" w:cs="宋体"/>
          <w:b/>
          <w:color w:val="auto"/>
          <w:sz w:val="24"/>
          <w:highlight w:val="none"/>
        </w:rPr>
        <w:t>2.1 定义</w:t>
      </w:r>
      <w:bookmarkEnd w:id="444"/>
      <w:bookmarkEnd w:id="445"/>
      <w:bookmarkEnd w:id="446"/>
      <w:bookmarkEnd w:id="447"/>
      <w:bookmarkEnd w:id="448"/>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本合同中的下列词语应按以下内容进行解释：</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 “合同”系指采购人和中标或成交供应商签订的载明双方当事人所达成的协议，并包括所有的附件、附录和构成合同的其他文件。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 “合同价”系指根据合同约定，中标或成交供应商在完全履行合同义务后，采购人应支付给中标或成交供应商的价格。</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 “服务”系指中标或成交供应商根据合同约定应向采购人履行的除货物和工程以外的其他政府采购对象，包括采购人自身需要的服务和向社会公众提供的公共服务。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 “甲方”系指与中标或成交供应商签署合同的采购人；采购人委托采购代理机构代表其与乙方签订合同的，采购人的授权委托书作为合同附件。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2.1.6 “现场”系指合同约定提供服务的地点。</w:t>
      </w:r>
    </w:p>
    <w:p>
      <w:pPr>
        <w:spacing w:line="560" w:lineRule="exact"/>
        <w:ind w:firstLine="482" w:firstLineChars="200"/>
        <w:outlineLvl w:val="0"/>
        <w:rPr>
          <w:rFonts w:hint="eastAsia" w:ascii="宋体" w:hAnsi="宋体" w:eastAsia="宋体" w:cs="宋体"/>
          <w:b/>
          <w:color w:val="auto"/>
          <w:sz w:val="24"/>
          <w:highlight w:val="none"/>
        </w:rPr>
      </w:pPr>
      <w:bookmarkStart w:id="449" w:name="_Toc3769"/>
      <w:bookmarkStart w:id="450" w:name="_Toc23289"/>
      <w:bookmarkStart w:id="451" w:name="_Toc16752"/>
      <w:bookmarkStart w:id="452" w:name="_Toc19539"/>
      <w:bookmarkStart w:id="453" w:name="_Toc31402"/>
      <w:r>
        <w:rPr>
          <w:rFonts w:hint="eastAsia" w:ascii="宋体" w:hAnsi="宋体" w:eastAsia="宋体" w:cs="宋体"/>
          <w:b/>
          <w:color w:val="auto"/>
          <w:sz w:val="24"/>
          <w:highlight w:val="none"/>
        </w:rPr>
        <w:t>2.2 技术规范</w:t>
      </w:r>
      <w:bookmarkEnd w:id="449"/>
      <w:bookmarkEnd w:id="450"/>
      <w:bookmarkEnd w:id="451"/>
      <w:bookmarkEnd w:id="452"/>
      <w:bookmarkEnd w:id="453"/>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宋体" w:hAnsi="宋体" w:eastAsia="宋体" w:cs="宋体"/>
          <w:b/>
          <w:color w:val="auto"/>
          <w:sz w:val="24"/>
          <w:highlight w:val="none"/>
        </w:rPr>
      </w:pPr>
      <w:bookmarkStart w:id="454" w:name="_Toc12412"/>
      <w:bookmarkStart w:id="455" w:name="_Toc13673"/>
      <w:bookmarkStart w:id="456" w:name="_Toc27945"/>
      <w:bookmarkStart w:id="457" w:name="_Toc4133"/>
      <w:bookmarkStart w:id="458" w:name="_Toc9161"/>
      <w:r>
        <w:rPr>
          <w:rFonts w:hint="eastAsia" w:ascii="宋体" w:hAnsi="宋体" w:eastAsia="宋体" w:cs="宋体"/>
          <w:b/>
          <w:color w:val="auto"/>
          <w:sz w:val="24"/>
          <w:highlight w:val="none"/>
        </w:rPr>
        <w:t>2.3 知识产权</w:t>
      </w:r>
      <w:bookmarkEnd w:id="454"/>
      <w:bookmarkEnd w:id="455"/>
      <w:bookmarkEnd w:id="456"/>
      <w:bookmarkEnd w:id="457"/>
      <w:bookmarkEnd w:id="458"/>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2.3.2 合同涉及技术成果的归属和收益的分成办法的，详见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2.4 履约检查和问题反馈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宋体" w:hAnsi="宋体" w:eastAsia="宋体" w:cs="宋体"/>
          <w:b/>
          <w:color w:val="auto"/>
          <w:sz w:val="24"/>
          <w:highlight w:val="none"/>
        </w:rPr>
      </w:pPr>
      <w:bookmarkStart w:id="459" w:name="_Toc26555"/>
      <w:bookmarkStart w:id="460" w:name="_Toc32670"/>
      <w:bookmarkStart w:id="461" w:name="_Toc31233"/>
      <w:bookmarkStart w:id="462" w:name="_Toc22011"/>
      <w:bookmarkStart w:id="463" w:name="_Toc15447"/>
      <w:r>
        <w:rPr>
          <w:rFonts w:hint="eastAsia" w:ascii="宋体" w:hAnsi="宋体" w:eastAsia="宋体" w:cs="宋体"/>
          <w:b/>
          <w:color w:val="auto"/>
          <w:sz w:val="24"/>
          <w:highlight w:val="none"/>
        </w:rPr>
        <w:t>2.5 结算方式和付款条件</w:t>
      </w:r>
      <w:bookmarkEnd w:id="459"/>
      <w:bookmarkEnd w:id="460"/>
      <w:bookmarkEnd w:id="461"/>
      <w:bookmarkEnd w:id="462"/>
      <w:bookmarkEnd w:id="463"/>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bookmarkStart w:id="464" w:name="_Toc16163"/>
      <w:bookmarkStart w:id="465" w:name="_Toc18990"/>
      <w:bookmarkStart w:id="466" w:name="_Toc30507"/>
      <w:bookmarkStart w:id="467" w:name="_Toc13154"/>
      <w:bookmarkStart w:id="468" w:name="_Toc13467"/>
      <w:r>
        <w:rPr>
          <w:rFonts w:hint="eastAsia" w:ascii="宋体" w:hAnsi="宋体" w:eastAsia="宋体" w:cs="宋体"/>
          <w:b/>
          <w:color w:val="auto"/>
          <w:sz w:val="24"/>
          <w:highlight w:val="none"/>
        </w:rPr>
        <w:t>2.6 技术资料和保密义务</w:t>
      </w:r>
      <w:bookmarkEnd w:id="464"/>
      <w:bookmarkEnd w:id="465"/>
      <w:bookmarkEnd w:id="466"/>
      <w:bookmarkEnd w:id="467"/>
      <w:bookmarkEnd w:id="468"/>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2.6.2 乙方有义务妥善保管和保护由甲方提供的前款信息和资料等；</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宋体" w:hAnsi="宋体" w:eastAsia="宋体" w:cs="宋体"/>
          <w:b/>
          <w:color w:val="auto"/>
          <w:sz w:val="24"/>
          <w:highlight w:val="none"/>
        </w:rPr>
      </w:pPr>
      <w:bookmarkStart w:id="469" w:name="_Toc19069"/>
      <w:r>
        <w:rPr>
          <w:rFonts w:hint="eastAsia" w:ascii="宋体" w:hAnsi="宋体" w:eastAsia="宋体" w:cs="宋体"/>
          <w:b/>
          <w:color w:val="auto"/>
          <w:sz w:val="24"/>
          <w:highlight w:val="none"/>
        </w:rPr>
        <w:t>2.7 质量保证</w:t>
      </w:r>
      <w:bookmarkEnd w:id="469"/>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2.7.1 乙方应建立和完善履行合同的内部质量保证体系，并提供相关内部规章制度给甲方，以便甲方进行监督检查；</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宋体" w:hAnsi="宋体" w:eastAsia="宋体" w:cs="宋体"/>
          <w:b/>
          <w:color w:val="auto"/>
          <w:sz w:val="24"/>
          <w:highlight w:val="none"/>
        </w:rPr>
      </w:pPr>
      <w:bookmarkStart w:id="470" w:name="_Toc22267"/>
      <w:r>
        <w:rPr>
          <w:rFonts w:hint="eastAsia" w:ascii="宋体" w:hAnsi="宋体" w:eastAsia="宋体" w:cs="宋体"/>
          <w:b/>
          <w:color w:val="auto"/>
          <w:sz w:val="24"/>
          <w:highlight w:val="none"/>
        </w:rPr>
        <w:t>2.8 延迟履行</w:t>
      </w:r>
      <w:bookmarkEnd w:id="470"/>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宋体" w:hAnsi="宋体" w:eastAsia="宋体" w:cs="宋体"/>
          <w:b/>
          <w:color w:val="auto"/>
          <w:sz w:val="24"/>
          <w:highlight w:val="none"/>
        </w:rPr>
      </w:pPr>
      <w:bookmarkStart w:id="471" w:name="_Toc10611"/>
      <w:r>
        <w:rPr>
          <w:rFonts w:hint="eastAsia" w:ascii="宋体" w:hAnsi="宋体" w:eastAsia="宋体" w:cs="宋体"/>
          <w:b/>
          <w:color w:val="auto"/>
          <w:sz w:val="24"/>
          <w:highlight w:val="none"/>
        </w:rPr>
        <w:t>2.9 合同变更</w:t>
      </w:r>
      <w:bookmarkEnd w:id="471"/>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宋体" w:hAnsi="宋体" w:eastAsia="宋体" w:cs="宋体"/>
          <w:b/>
          <w:color w:val="auto"/>
          <w:sz w:val="24"/>
          <w:highlight w:val="none"/>
        </w:rPr>
      </w:pPr>
      <w:bookmarkStart w:id="472" w:name="_Toc42"/>
      <w:bookmarkStart w:id="473" w:name="_Toc23368"/>
      <w:bookmarkStart w:id="474" w:name="_Toc10663"/>
      <w:bookmarkStart w:id="475" w:name="_Toc21830"/>
      <w:bookmarkStart w:id="476" w:name="_Toc26689"/>
      <w:r>
        <w:rPr>
          <w:rFonts w:hint="eastAsia" w:ascii="宋体" w:hAnsi="宋体" w:eastAsia="宋体" w:cs="宋体"/>
          <w:b/>
          <w:color w:val="auto"/>
          <w:sz w:val="24"/>
          <w:highlight w:val="none"/>
        </w:rPr>
        <w:t>2.10 合同转让和分包</w:t>
      </w:r>
      <w:bookmarkEnd w:id="472"/>
      <w:bookmarkEnd w:id="473"/>
      <w:bookmarkEnd w:id="474"/>
      <w:bookmarkEnd w:id="475"/>
      <w:bookmarkEnd w:id="476"/>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hint="eastAsia" w:ascii="宋体" w:hAnsi="宋体" w:eastAsia="宋体" w:cs="宋体"/>
          <w:b/>
          <w:color w:val="auto"/>
          <w:sz w:val="24"/>
          <w:highlight w:val="none"/>
        </w:rPr>
      </w:pPr>
      <w:bookmarkStart w:id="477" w:name="_Toc14371"/>
      <w:bookmarkStart w:id="478" w:name="_Toc25571"/>
      <w:bookmarkStart w:id="479" w:name="_Toc32494"/>
      <w:bookmarkStart w:id="480" w:name="_Toc4720"/>
      <w:bookmarkStart w:id="481" w:name="_Toc26633"/>
      <w:r>
        <w:rPr>
          <w:rFonts w:hint="eastAsia" w:ascii="宋体" w:hAnsi="宋体" w:eastAsia="宋体" w:cs="宋体"/>
          <w:b/>
          <w:color w:val="auto"/>
          <w:sz w:val="24"/>
          <w:highlight w:val="none"/>
        </w:rPr>
        <w:t>2.11 不可抗力</w:t>
      </w:r>
      <w:bookmarkEnd w:id="477"/>
      <w:bookmarkEnd w:id="478"/>
      <w:bookmarkEnd w:id="479"/>
      <w:bookmarkEnd w:id="480"/>
      <w:bookmarkEnd w:id="481"/>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2.11.2 因不可抗力致使不能实现合同目的的，当事人可以解除合同；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2.11.3 因不可抗力致使合同有变更必要的，双方当事人应在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约定时间内以书面形式变更合同；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2.11.4受不可抗力影响的一方在不可抗力发生后，应在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约定时间内以书面形式通知对方当事人，并在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约定时间内，将有关部门出具的证明文件送达对方当事人。</w:t>
      </w:r>
    </w:p>
    <w:p>
      <w:pPr>
        <w:spacing w:line="560" w:lineRule="exact"/>
        <w:ind w:firstLine="482" w:firstLineChars="200"/>
        <w:outlineLvl w:val="0"/>
        <w:rPr>
          <w:rFonts w:hint="eastAsia" w:ascii="宋体" w:hAnsi="宋体" w:eastAsia="宋体" w:cs="宋体"/>
          <w:b/>
          <w:color w:val="auto"/>
          <w:sz w:val="24"/>
          <w:highlight w:val="none"/>
        </w:rPr>
      </w:pPr>
      <w:bookmarkStart w:id="482" w:name="_Toc25783"/>
      <w:bookmarkStart w:id="483" w:name="_Toc14115"/>
      <w:bookmarkStart w:id="484" w:name="_Toc3638"/>
      <w:bookmarkStart w:id="485" w:name="_Toc23854"/>
      <w:bookmarkStart w:id="486" w:name="_Toc24465"/>
      <w:r>
        <w:rPr>
          <w:rFonts w:hint="eastAsia" w:ascii="宋体" w:hAnsi="宋体" w:eastAsia="宋体" w:cs="宋体"/>
          <w:b/>
          <w:color w:val="auto"/>
          <w:sz w:val="24"/>
          <w:highlight w:val="none"/>
        </w:rPr>
        <w:t>2.12 税费</w:t>
      </w:r>
      <w:bookmarkEnd w:id="482"/>
      <w:bookmarkEnd w:id="483"/>
      <w:bookmarkEnd w:id="484"/>
      <w:bookmarkEnd w:id="485"/>
      <w:bookmarkEnd w:id="486"/>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与合同有关的一切税费，均按照中华人民共和国法律的相关规定缴纳。</w:t>
      </w:r>
    </w:p>
    <w:p>
      <w:pPr>
        <w:spacing w:line="560" w:lineRule="exact"/>
        <w:ind w:firstLine="482" w:firstLineChars="200"/>
        <w:outlineLvl w:val="0"/>
        <w:rPr>
          <w:rFonts w:hint="eastAsia" w:ascii="宋体" w:hAnsi="宋体" w:eastAsia="宋体" w:cs="宋体"/>
          <w:b/>
          <w:color w:val="auto"/>
          <w:sz w:val="24"/>
          <w:highlight w:val="none"/>
        </w:rPr>
      </w:pPr>
      <w:bookmarkStart w:id="487" w:name="_Toc7315"/>
      <w:bookmarkStart w:id="488" w:name="_Toc26883"/>
      <w:bookmarkStart w:id="489" w:name="_Toc14814"/>
      <w:bookmarkStart w:id="490" w:name="_Toc25525"/>
      <w:bookmarkStart w:id="491" w:name="_Toc30105"/>
      <w:r>
        <w:rPr>
          <w:rFonts w:hint="eastAsia" w:ascii="宋体" w:hAnsi="宋体" w:eastAsia="宋体" w:cs="宋体"/>
          <w:b/>
          <w:color w:val="auto"/>
          <w:sz w:val="24"/>
          <w:highlight w:val="none"/>
        </w:rPr>
        <w:t>2.13 乙方破产</w:t>
      </w:r>
      <w:bookmarkEnd w:id="487"/>
      <w:bookmarkEnd w:id="488"/>
      <w:bookmarkEnd w:id="489"/>
      <w:bookmarkEnd w:id="490"/>
      <w:bookmarkEnd w:id="491"/>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宋体" w:hAnsi="宋体" w:eastAsia="宋体" w:cs="宋体"/>
          <w:b/>
          <w:color w:val="auto"/>
          <w:sz w:val="24"/>
          <w:highlight w:val="none"/>
        </w:rPr>
      </w:pPr>
      <w:bookmarkStart w:id="492" w:name="_Toc1123"/>
      <w:bookmarkStart w:id="493" w:name="_Toc2016"/>
      <w:bookmarkStart w:id="494" w:name="_Toc23323"/>
      <w:r>
        <w:rPr>
          <w:rFonts w:hint="eastAsia" w:ascii="宋体" w:hAnsi="宋体" w:eastAsia="宋体" w:cs="宋体"/>
          <w:b/>
          <w:color w:val="auto"/>
          <w:sz w:val="24"/>
          <w:highlight w:val="none"/>
        </w:rPr>
        <w:t>2.14 合同中止、终止</w:t>
      </w:r>
      <w:bookmarkEnd w:id="492"/>
      <w:bookmarkEnd w:id="493"/>
      <w:bookmarkEnd w:id="494"/>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2.14.1 双方当事人不得擅自中止或者终止合同；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宋体" w:hAnsi="宋体" w:eastAsia="宋体" w:cs="宋体"/>
          <w:b/>
          <w:color w:val="auto"/>
          <w:sz w:val="24"/>
          <w:highlight w:val="none"/>
        </w:rPr>
      </w:pPr>
      <w:bookmarkStart w:id="495" w:name="_Toc14525"/>
      <w:bookmarkStart w:id="496" w:name="_Toc17363"/>
      <w:bookmarkStart w:id="497" w:name="_Toc1969"/>
      <w:r>
        <w:rPr>
          <w:rFonts w:hint="eastAsia" w:ascii="宋体" w:hAnsi="宋体" w:eastAsia="宋体" w:cs="宋体"/>
          <w:b/>
          <w:color w:val="auto"/>
          <w:sz w:val="24"/>
          <w:highlight w:val="none"/>
        </w:rPr>
        <w:t>2.15 检验和验收</w:t>
      </w:r>
      <w:bookmarkEnd w:id="495"/>
      <w:bookmarkEnd w:id="496"/>
      <w:bookmarkEnd w:id="497"/>
    </w:p>
    <w:p>
      <w:pP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2.15.1 乙方按照</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的约定，定期提交服务报告，甲方按照</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的约定进行定期验收；</w:t>
      </w:r>
    </w:p>
    <w:p>
      <w:pP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2.15.3 检验和验收标准、程序等具体内容以及前述验收书的效力详见</w:t>
      </w:r>
      <w:r>
        <w:rPr>
          <w:rFonts w:hint="eastAsia" w:ascii="宋体" w:hAnsi="宋体" w:eastAsia="宋体" w:cs="宋体"/>
          <w:b/>
          <w:i/>
          <w:color w:val="auto"/>
          <w:sz w:val="24"/>
          <w:highlight w:val="none"/>
          <w:u w:val="single"/>
        </w:rPr>
        <w:t>合同专用条款</w:t>
      </w:r>
      <w:r>
        <w:rPr>
          <w:rFonts w:hint="eastAsia" w:ascii="宋体" w:hAnsi="宋体" w:eastAsia="宋体" w:cs="宋体"/>
          <w:i/>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bookmarkStart w:id="498" w:name="_Toc31892"/>
      <w:bookmarkStart w:id="499" w:name="_Toc2308"/>
      <w:bookmarkStart w:id="500" w:name="_Toc12666"/>
      <w:bookmarkStart w:id="501" w:name="_Toc25198"/>
      <w:bookmarkStart w:id="502" w:name="_Toc9808"/>
      <w:r>
        <w:rPr>
          <w:rFonts w:hint="eastAsia" w:ascii="宋体" w:hAnsi="宋体" w:eastAsia="宋体" w:cs="宋体"/>
          <w:b/>
          <w:color w:val="auto"/>
          <w:sz w:val="24"/>
          <w:highlight w:val="none"/>
        </w:rPr>
        <w:t>2.16 通知和送达</w:t>
      </w:r>
      <w:bookmarkEnd w:id="498"/>
      <w:bookmarkEnd w:id="499"/>
      <w:bookmarkEnd w:id="500"/>
      <w:bookmarkEnd w:id="501"/>
      <w:bookmarkEnd w:id="502"/>
    </w:p>
    <w:p>
      <w:pPr>
        <w:spacing w:line="560" w:lineRule="exact"/>
        <w:ind w:firstLine="480" w:firstLineChars="200"/>
        <w:rPr>
          <w:rFonts w:hint="eastAsia" w:ascii="宋体" w:hAnsi="宋体" w:eastAsia="宋体" w:cs="宋体"/>
          <w:color w:val="auto"/>
          <w:sz w:val="24"/>
          <w:highlight w:val="none"/>
        </w:rPr>
      </w:pPr>
      <w:bookmarkStart w:id="503" w:name="_Toc18401"/>
      <w:bookmarkStart w:id="504" w:name="_Toc27674"/>
      <w:r>
        <w:rPr>
          <w:rFonts w:hint="eastAsia" w:ascii="宋体" w:hAnsi="宋体" w:eastAsia="宋体" w:cs="宋体"/>
          <w:color w:val="auto"/>
          <w:sz w:val="24"/>
          <w:highlight w:val="none"/>
        </w:rPr>
        <w:t xml:space="preserve">2.17.1任何一方因履行合同而以合同第一部分尾部所列明的传真或电子邮件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发出的所有通知、文件、材料，均视为已向对方当事人送达；任何一方变更上述送达方式或者地址的，应于</w:t>
      </w:r>
      <w:r>
        <w:rPr>
          <w:rFonts w:hint="eastAsia" w:ascii="宋体" w:hAnsi="宋体" w:eastAsia="宋体" w:cs="宋体"/>
          <w:color w:val="auto"/>
          <w:sz w:val="24"/>
          <w:highlight w:val="none"/>
          <w:u w:val="single"/>
        </w:rPr>
        <w:t>3</w:t>
      </w:r>
      <w:r>
        <w:rPr>
          <w:rFonts w:hint="eastAsia" w:ascii="宋体" w:hAnsi="宋体" w:eastAsia="宋体" w:cs="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03"/>
      <w:bookmarkEnd w:id="504"/>
    </w:p>
    <w:p>
      <w:pPr>
        <w:spacing w:line="560" w:lineRule="exact"/>
        <w:ind w:firstLine="482" w:firstLineChars="200"/>
        <w:outlineLvl w:val="0"/>
        <w:rPr>
          <w:rFonts w:hint="eastAsia" w:ascii="宋体" w:hAnsi="宋体" w:eastAsia="宋体" w:cs="宋体"/>
          <w:b/>
          <w:color w:val="auto"/>
          <w:sz w:val="24"/>
          <w:highlight w:val="none"/>
        </w:rPr>
      </w:pPr>
      <w:bookmarkStart w:id="505" w:name="_Toc27644"/>
      <w:bookmarkStart w:id="506" w:name="_Toc20808"/>
      <w:bookmarkStart w:id="507" w:name="_Toc28906"/>
      <w:bookmarkStart w:id="508" w:name="_Toc12254"/>
      <w:bookmarkStart w:id="509" w:name="_Toc5063"/>
      <w:r>
        <w:rPr>
          <w:rFonts w:hint="eastAsia" w:ascii="宋体" w:hAnsi="宋体" w:eastAsia="宋体" w:cs="宋体"/>
          <w:b/>
          <w:color w:val="auto"/>
          <w:sz w:val="24"/>
          <w:highlight w:val="none"/>
        </w:rPr>
        <w:t>2.17 合同使用的文字和适用的法律</w:t>
      </w:r>
      <w:bookmarkEnd w:id="505"/>
      <w:bookmarkEnd w:id="506"/>
      <w:bookmarkEnd w:id="507"/>
      <w:bookmarkEnd w:id="508"/>
      <w:bookmarkEnd w:id="509"/>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2.17.1 合同使用汉语书就、变更和解释；</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2.17.2 合同适用中华人民共和国法律。</w:t>
      </w:r>
    </w:p>
    <w:p>
      <w:pPr>
        <w:spacing w:line="560" w:lineRule="exact"/>
        <w:ind w:firstLine="482" w:firstLineChars="200"/>
        <w:outlineLvl w:val="0"/>
        <w:rPr>
          <w:rFonts w:hint="eastAsia" w:ascii="宋体" w:hAnsi="宋体" w:eastAsia="宋体" w:cs="宋体"/>
          <w:b/>
          <w:color w:val="auto"/>
          <w:sz w:val="24"/>
          <w:highlight w:val="none"/>
        </w:rPr>
      </w:pPr>
      <w:bookmarkStart w:id="510" w:name="_Toc30599"/>
      <w:bookmarkStart w:id="511" w:name="_Toc4355"/>
      <w:bookmarkStart w:id="512" w:name="_Toc18540"/>
      <w:r>
        <w:rPr>
          <w:rFonts w:hint="eastAsia" w:ascii="宋体" w:hAnsi="宋体" w:eastAsia="宋体" w:cs="宋体"/>
          <w:b/>
          <w:color w:val="auto"/>
          <w:sz w:val="24"/>
          <w:highlight w:val="none"/>
        </w:rPr>
        <w:t>2.18 计量单位</w:t>
      </w:r>
      <w:bookmarkEnd w:id="510"/>
      <w:bookmarkEnd w:id="511"/>
      <w:bookmarkEnd w:id="512"/>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除技术规范中另有规定外,合同的计量单位均使用国家法定计量单位。</w:t>
      </w:r>
    </w:p>
    <w:p>
      <w:pPr>
        <w:spacing w:line="56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2.19合同份数</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合同份数按</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规定，每份均具有同等法律效力。</w:t>
      </w:r>
    </w:p>
    <w:p>
      <w:pPr>
        <w:spacing w:line="360" w:lineRule="auto"/>
        <w:jc w:val="center"/>
        <w:outlineLvl w:val="0"/>
        <w:rPr>
          <w:rFonts w:hint="eastAsia" w:ascii="宋体" w:hAnsi="宋体" w:eastAsia="宋体" w:cs="宋体"/>
          <w:b/>
          <w:color w:val="auto"/>
          <w:sz w:val="24"/>
          <w:highlight w:val="none"/>
        </w:rPr>
      </w:pPr>
      <w:r>
        <w:rPr>
          <w:rFonts w:hint="eastAsia" w:ascii="宋体" w:hAnsi="宋体" w:eastAsia="宋体" w:cs="宋体"/>
          <w:color w:val="auto"/>
          <w:kern w:val="0"/>
          <w:highlight w:val="none"/>
        </w:rPr>
        <w:br w:type="page"/>
      </w:r>
      <w:bookmarkStart w:id="513" w:name="_Toc331685784"/>
      <w:r>
        <w:rPr>
          <w:rFonts w:hint="eastAsia" w:ascii="宋体" w:hAnsi="宋体" w:eastAsia="宋体" w:cs="宋体"/>
          <w:b/>
          <w:color w:val="auto"/>
          <w:sz w:val="24"/>
          <w:highlight w:val="none"/>
        </w:rPr>
        <w:t xml:space="preserve"> </w:t>
      </w:r>
      <w:bookmarkEnd w:id="513"/>
      <w:r>
        <w:rPr>
          <w:rFonts w:hint="eastAsia" w:ascii="宋体" w:hAnsi="宋体" w:eastAsia="宋体" w:cs="宋体"/>
          <w:b/>
          <w:color w:val="auto"/>
          <w:sz w:val="24"/>
          <w:highlight w:val="none"/>
        </w:rPr>
        <w:t>第三部分  合同专用条款</w:t>
      </w:r>
    </w:p>
    <w:p>
      <w:pPr>
        <w:spacing w:line="560" w:lineRule="exact"/>
        <w:ind w:left="-420" w:leftChars="-200" w:right="-420" w:rightChars="-200"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条款号</w:t>
            </w:r>
          </w:p>
        </w:tc>
        <w:tc>
          <w:tcPr>
            <w:tcW w:w="4464" w:type="pct"/>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1.3.2</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1.4.2</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1.5.1 </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1.5.2</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1.5.3 </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1.6.2</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1.7.1</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1.7.2</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1.7.3</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1.7.4.1</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1.7.4.2</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1.7.4.3</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1.8.7</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1.9.1</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1.9.2</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w:t>
            </w:r>
          </w:p>
        </w:tc>
        <w:tc>
          <w:tcPr>
            <w:tcW w:w="4464" w:type="pct"/>
            <w:vAlign w:val="center"/>
          </w:tcPr>
          <w:p>
            <w:pPr>
              <w:spacing w:line="360" w:lineRule="auto"/>
              <w:ind w:left="-420" w:leftChars="-200" w:right="-420" w:rightChars="-200" w:firstLine="480" w:firstLineChars="200"/>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2.5</w:t>
            </w:r>
          </w:p>
        </w:tc>
        <w:tc>
          <w:tcPr>
            <w:tcW w:w="4464" w:type="pct"/>
            <w:vAlign w:val="center"/>
          </w:tcPr>
          <w:p>
            <w:pPr>
              <w:spacing w:line="360" w:lineRule="auto"/>
              <w:ind w:left="-420" w:leftChars="-200" w:right="-420" w:rightChars="-200" w:firstLine="480" w:firstLineChars="200"/>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2.11.3</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2.11.4 </w:t>
            </w:r>
          </w:p>
        </w:tc>
        <w:tc>
          <w:tcPr>
            <w:tcW w:w="4464" w:type="pct"/>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2.15.1</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2.15.3</w:t>
            </w:r>
          </w:p>
        </w:tc>
        <w:tc>
          <w:tcPr>
            <w:tcW w:w="4464" w:type="pct"/>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2.19</w:t>
            </w:r>
          </w:p>
        </w:tc>
        <w:tc>
          <w:tcPr>
            <w:tcW w:w="4464" w:type="pct"/>
          </w:tcPr>
          <w:p>
            <w:pPr>
              <w:spacing w:line="360" w:lineRule="auto"/>
              <w:rPr>
                <w:rFonts w:hint="eastAsia" w:ascii="宋体" w:hAnsi="宋体" w:eastAsia="宋体" w:cs="宋体"/>
                <w:color w:val="auto"/>
                <w:sz w:val="24"/>
                <w:highlight w:val="none"/>
              </w:rPr>
            </w:pPr>
          </w:p>
        </w:tc>
      </w:tr>
    </w:tbl>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jc w:val="center"/>
        <w:outlineLvl w:val="0"/>
        <w:rPr>
          <w:rFonts w:hint="eastAsia" w:ascii="宋体" w:hAnsi="宋体" w:eastAsia="宋体" w:cs="宋体"/>
          <w:color w:val="auto"/>
          <w:sz w:val="24"/>
          <w:highlight w:val="none"/>
        </w:rPr>
      </w:pPr>
    </w:p>
    <w:p>
      <w:pPr>
        <w:widowControl/>
        <w:adjustRightInd/>
        <w:jc w:val="center"/>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第六部分</w:t>
      </w:r>
      <w:bookmarkEnd w:id="398"/>
      <w:r>
        <w:rPr>
          <w:rFonts w:hint="eastAsia" w:ascii="宋体" w:hAnsi="宋体" w:eastAsia="宋体" w:cs="宋体"/>
          <w:b/>
          <w:color w:val="auto"/>
          <w:sz w:val="36"/>
          <w:szCs w:val="20"/>
          <w:highlight w:val="none"/>
        </w:rPr>
        <w:t xml:space="preserve"> </w:t>
      </w:r>
      <w:bookmarkEnd w:id="399"/>
      <w:r>
        <w:rPr>
          <w:rFonts w:hint="eastAsia" w:ascii="宋体" w:hAnsi="宋体" w:eastAsia="宋体" w:cs="宋体"/>
          <w:b/>
          <w:color w:val="auto"/>
          <w:sz w:val="36"/>
          <w:szCs w:val="20"/>
          <w:highlight w:val="none"/>
        </w:rPr>
        <w:t>应提交的有关格式范例</w:t>
      </w:r>
    </w:p>
    <w:p>
      <w:pPr>
        <w:spacing w:line="360" w:lineRule="auto"/>
        <w:jc w:val="center"/>
        <w:outlineLvl w:val="0"/>
        <w:rPr>
          <w:rFonts w:hint="eastAsia" w:ascii="宋体" w:hAnsi="宋体" w:eastAsia="宋体" w:cs="宋体"/>
          <w:b/>
          <w:color w:val="auto"/>
          <w:kern w:val="0"/>
          <w:sz w:val="36"/>
          <w:szCs w:val="36"/>
          <w:highlight w:val="none"/>
        </w:r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资格文件部分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（1）符合参加政府采购活动应当具备的一般条件的承诺函……………（页码）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snapToGrid w:val="0"/>
          <w:color w:val="auto"/>
          <w:kern w:val="28"/>
          <w:sz w:val="24"/>
          <w:szCs w:val="20"/>
          <w:highlight w:val="none"/>
        </w:rPr>
        <w:t>（2）联合协议</w:t>
      </w:r>
      <w:r>
        <w:rPr>
          <w:rFonts w:hint="eastAsia" w:ascii="宋体" w:hAnsi="宋体" w:eastAsia="宋体" w:cs="宋体"/>
          <w:color w:val="auto"/>
          <w:sz w:val="24"/>
          <w:highlight w:val="none"/>
        </w:rPr>
        <w:t>………………………………………………………………（页码）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（3）落实政府采购政策需满足的资格要求………………………………（页码）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（4）本项目的特定资格要求………………………………………………（页码）</w:t>
      </w:r>
    </w:p>
    <w:p>
      <w:pPr>
        <w:snapToGrid w:val="0"/>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br w:type="page"/>
      </w:r>
      <w:r>
        <w:rPr>
          <w:rFonts w:hint="eastAsia" w:ascii="宋体" w:hAnsi="宋体" w:eastAsia="宋体" w:cs="宋体"/>
          <w:b/>
          <w:color w:val="auto"/>
          <w:kern w:val="0"/>
          <w:sz w:val="32"/>
          <w:szCs w:val="32"/>
          <w:highlight w:val="none"/>
        </w:rPr>
        <w:t xml:space="preserve">  一、 符合参加政府采购活动应当具备的一般条件的承诺函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w:t>
      </w:r>
      <w:r>
        <w:rPr>
          <w:rFonts w:hint="eastAsia" w:ascii="宋体" w:hAnsi="宋体" w:eastAsia="宋体" w:cs="宋体"/>
          <w:color w:val="auto"/>
          <w:sz w:val="24"/>
          <w:highlight w:val="none"/>
          <w:lang w:eastAsia="zh-CN"/>
        </w:rPr>
        <w:t>塘栖镇镇区保洁翠紫河以北项目</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ZJZFCG-YS2023-009</w:t>
      </w:r>
      <w:r>
        <w:rPr>
          <w:rFonts w:hint="eastAsia" w:ascii="宋体" w:hAnsi="宋体" w:eastAsia="宋体" w:cs="宋体"/>
          <w:color w:val="auto"/>
          <w:sz w:val="24"/>
          <w:highlight w:val="none"/>
        </w:rPr>
        <w:t>】政府采购活动，郑重承诺：</w:t>
      </w:r>
    </w:p>
    <w:p>
      <w:pPr>
        <w:snapToGrid w:val="0"/>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6、具有法律、行政法规规定的其他条件。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（三）不存在以下情况：</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widowControl/>
        <w:adjustRightInd/>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widowControl/>
        <w:spacing w:line="360" w:lineRule="auto"/>
        <w:ind w:firstLine="643" w:firstLineChars="20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二、联合协议（如果有）</w:t>
      </w:r>
    </w:p>
    <w:p>
      <w:pPr>
        <w:widowControl/>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三、落实政府采购政策需满足的资格要求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A</w:t>
      </w:r>
      <w:r>
        <w:rPr>
          <w:rFonts w:hint="eastAsia" w:ascii="宋体" w:hAnsi="宋体" w:eastAsia="宋体" w:cs="宋体"/>
          <w:color w:val="auto"/>
          <w:sz w:val="24"/>
          <w:highlight w:val="none"/>
        </w:rPr>
        <w:t xml:space="preserve">.专门面向中小企业，服务全部由符合政策要求的中小企业（或小微企业）承接的，提供相应的中小企业声明函（附件7）。 </w:t>
      </w:r>
    </w:p>
    <w:p>
      <w:pPr>
        <w:widowControl/>
        <w:spacing w:line="360" w:lineRule="auto"/>
        <w:ind w:firstLine="480"/>
        <w:jc w:val="left"/>
        <w:rPr>
          <w:rFonts w:hint="eastAsia" w:ascii="宋体" w:hAnsi="宋体" w:eastAsia="宋体" w:cs="宋体"/>
          <w:color w:val="auto"/>
          <w:sz w:val="24"/>
          <w:highlight w:val="none"/>
        </w:rPr>
      </w:pPr>
    </w:p>
    <w:p>
      <w:pPr>
        <w:widowControl/>
        <w:spacing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B.</w:t>
      </w:r>
      <w:r>
        <w:rPr>
          <w:rFonts w:hint="eastAsia" w:ascii="宋体" w:hAnsi="宋体" w:eastAsia="宋体" w:cs="宋体"/>
          <w:color w:val="auto"/>
          <w:sz w:val="24"/>
          <w:highlight w:val="none"/>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C、</w:t>
      </w:r>
      <w:r>
        <w:rPr>
          <w:rFonts w:hint="eastAsia" w:ascii="宋体" w:hAnsi="宋体" w:eastAsia="宋体" w:cs="宋体"/>
          <w:color w:val="auto"/>
          <w:sz w:val="24"/>
          <w:highlight w:val="none"/>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视同符合了资格条件，无需再向中小企业分包，无需提供分包意向协议。</w:t>
      </w:r>
    </w:p>
    <w:p>
      <w:pPr>
        <w:widowControl/>
        <w:spacing w:line="360" w:lineRule="auto"/>
        <w:ind w:left="150"/>
        <w:jc w:val="center"/>
        <w:rPr>
          <w:rFonts w:hint="eastAsia" w:ascii="宋体" w:hAnsi="宋体" w:eastAsia="宋体" w:cs="宋体"/>
          <w:b/>
          <w:color w:val="auto"/>
          <w:kern w:val="0"/>
          <w:sz w:val="32"/>
          <w:szCs w:val="32"/>
          <w:highlight w:val="none"/>
        </w:rPr>
      </w:pPr>
    </w:p>
    <w:p>
      <w:pPr>
        <w:widowControl/>
        <w:spacing w:line="360" w:lineRule="auto"/>
        <w:ind w:left="15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四、本项目的特定资格要求</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（根据招标公告本项目的特定资格要求提供相应的材料；未要求的，无需提供）</w:t>
      </w: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widowControl/>
        <w:adjustRightInd/>
        <w:jc w:val="left"/>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br w:type="page"/>
      </w:r>
    </w:p>
    <w:p>
      <w:pPr>
        <w:spacing w:line="360" w:lineRule="auto"/>
        <w:ind w:right="420" w:firstLine="3614" w:firstLineChars="100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商务技术文件部分</w:t>
      </w:r>
    </w:p>
    <w:p>
      <w:pPr>
        <w:spacing w:line="360" w:lineRule="auto"/>
        <w:jc w:val="center"/>
        <w:outlineLvl w:val="0"/>
        <w:rPr>
          <w:rFonts w:hint="eastAsia" w:ascii="宋体" w:hAnsi="宋体" w:eastAsia="宋体" w:cs="宋体"/>
          <w:b/>
          <w:color w:val="auto"/>
          <w:kern w:val="0"/>
          <w:sz w:val="24"/>
          <w:highlight w:val="none"/>
        </w:rPr>
      </w:pPr>
    </w:p>
    <w:p>
      <w:pPr>
        <w:spacing w:line="360" w:lineRule="auto"/>
        <w:jc w:val="center"/>
        <w:outlineLvl w:val="0"/>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目录</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（1）投标函</w:t>
      </w:r>
      <w:r>
        <w:rPr>
          <w:rFonts w:hint="eastAsia" w:ascii="宋体" w:hAnsi="宋体" w:eastAsia="宋体" w:cs="宋体"/>
          <w:color w:val="auto"/>
          <w:highlight w:val="none"/>
        </w:rPr>
        <w:t>…………………………………………………………………………………（页码）</w:t>
      </w:r>
      <w:r>
        <w:rPr>
          <w:rFonts w:hint="eastAsia" w:ascii="宋体" w:hAnsi="宋体" w:eastAsia="宋体" w:cs="宋体"/>
          <w:color w:val="auto"/>
          <w:sz w:val="24"/>
          <w:highlight w:val="none"/>
        </w:rPr>
        <w:t>（2）授权委托书或法定代表人（单位负责人、自然人本人）身份证明</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（3）分包意向协议</w:t>
      </w:r>
      <w:r>
        <w:rPr>
          <w:rFonts w:hint="eastAsia" w:ascii="宋体" w:hAnsi="宋体" w:eastAsia="宋体" w:cs="宋体"/>
          <w:color w:val="auto"/>
          <w:highlight w:val="none"/>
        </w:rPr>
        <w:t>…………………………………………………………………………（页码）</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（4）符合性审查资料</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（5）评标标准相应的商务技术资料</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r>
        <w:rPr>
          <w:rFonts w:hint="eastAsia" w:ascii="宋体" w:hAnsi="宋体" w:eastAsia="宋体" w:cs="宋体"/>
          <w:color w:val="auto"/>
          <w:sz w:val="24"/>
          <w:highlight w:val="none"/>
        </w:rPr>
        <w:t>（6）投标标的清单</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r>
        <w:rPr>
          <w:rFonts w:hint="eastAsia" w:ascii="宋体" w:hAnsi="宋体" w:eastAsia="宋体" w:cs="宋体"/>
          <w:color w:val="auto"/>
          <w:sz w:val="24"/>
          <w:highlight w:val="none"/>
        </w:rPr>
        <w:t>（7）商务技术偏离表</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r>
        <w:rPr>
          <w:rFonts w:hint="eastAsia" w:ascii="宋体" w:hAnsi="宋体" w:eastAsia="宋体" w:cs="宋体"/>
          <w:color w:val="auto"/>
          <w:highlight w:val="none"/>
        </w:rPr>
        <w:t>…………………………………………………（页码）</w:t>
      </w: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rPr>
          <w:rFonts w:hint="eastAsia" w:ascii="宋体" w:hAnsi="宋体" w:eastAsia="宋体" w:cs="宋体"/>
          <w:b/>
          <w:color w:val="auto"/>
          <w:kern w:val="0"/>
          <w:sz w:val="32"/>
          <w:szCs w:val="32"/>
          <w:highlight w:val="none"/>
          <w:lang w:val="zh-CN"/>
        </w:rPr>
      </w:pPr>
    </w:p>
    <w:p>
      <w:pPr>
        <w:widowControl/>
        <w:adjustRightInd/>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snapToGrid w:val="0"/>
        <w:spacing w:line="360" w:lineRule="auto"/>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kern w:val="0"/>
          <w:sz w:val="32"/>
          <w:szCs w:val="32"/>
          <w:highlight w:val="none"/>
        </w:rPr>
        <w:t>一、投标</w:t>
      </w:r>
      <w:r>
        <w:rPr>
          <w:rFonts w:hint="eastAsia" w:ascii="宋体" w:hAnsi="宋体" w:eastAsia="宋体" w:cs="宋体"/>
          <w:b/>
          <w:color w:val="auto"/>
          <w:sz w:val="32"/>
          <w:szCs w:val="32"/>
          <w:highlight w:val="none"/>
        </w:rPr>
        <w:t>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我方参加你方组织的</w:t>
      </w:r>
      <w:r>
        <w:rPr>
          <w:rFonts w:hint="eastAsia" w:ascii="宋体" w:hAnsi="宋体" w:eastAsia="宋体" w:cs="宋体"/>
          <w:color w:val="auto"/>
          <w:sz w:val="24"/>
          <w:highlight w:val="none"/>
          <w:lang w:eastAsia="zh-CN"/>
        </w:rPr>
        <w:t>塘栖镇镇区保洁翠紫河以北项目</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ZJZFCG-YS2023-009</w:t>
      </w:r>
      <w:r>
        <w:rPr>
          <w:rFonts w:hint="eastAsia" w:ascii="宋体" w:hAnsi="宋体" w:eastAsia="宋体" w:cs="宋体"/>
          <w:color w:val="auto"/>
          <w:sz w:val="24"/>
          <w:highlight w:val="none"/>
        </w:rPr>
        <w:t>】招标的有关活动，并对此项目进行投标。为此：</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1、我方承诺投标有效期从提交投标文件的截止之日起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天（不少于90天）</w:t>
      </w:r>
      <w:r>
        <w:rPr>
          <w:rFonts w:hint="eastAsia" w:ascii="宋体" w:hAnsi="宋体" w:eastAsia="宋体" w:cs="宋体"/>
          <w:color w:val="auto"/>
          <w:highlight w:val="none"/>
        </w:rPr>
        <w:t>，</w:t>
      </w:r>
      <w:r>
        <w:rPr>
          <w:rFonts w:hint="eastAsia" w:ascii="宋体" w:hAnsi="宋体" w:eastAsia="宋体" w:cs="宋体"/>
          <w:color w:val="auto"/>
          <w:sz w:val="24"/>
          <w:highlight w:val="none"/>
        </w:rPr>
        <w:t>本投标文件在投标有效期满之前均具有约束力。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2、我方的投标文件包括以下内容：</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2.1资格文件：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2.1.1承诺函；</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w:t>
      </w:r>
      <w:r>
        <w:rPr>
          <w:rFonts w:hint="eastAsia" w:ascii="宋体" w:hAnsi="宋体" w:eastAsia="宋体" w:cs="宋体"/>
          <w:snapToGrid w:val="0"/>
          <w:color w:val="auto"/>
          <w:kern w:val="28"/>
          <w:sz w:val="24"/>
          <w:szCs w:val="20"/>
          <w:highlight w:val="none"/>
        </w:rPr>
        <w:t>联合协议</w:t>
      </w:r>
      <w:bookmarkStart w:id="514" w:name="_Hlk101257010"/>
      <w:r>
        <w:rPr>
          <w:rFonts w:hint="eastAsia" w:ascii="宋体" w:hAnsi="宋体" w:eastAsia="宋体" w:cs="宋体"/>
          <w:color w:val="auto"/>
          <w:sz w:val="24"/>
          <w:highlight w:val="none"/>
        </w:rPr>
        <w:t>（如果有)</w:t>
      </w:r>
      <w:bookmarkEnd w:id="514"/>
      <w:r>
        <w:rPr>
          <w:rFonts w:hint="eastAsia" w:ascii="宋体" w:hAnsi="宋体" w:eastAsia="宋体" w:cs="宋体"/>
          <w:snapToGrid w:val="0"/>
          <w:color w:val="auto"/>
          <w:kern w:val="28"/>
          <w:sz w:val="24"/>
          <w:szCs w:val="20"/>
          <w:highlight w:val="none"/>
        </w:rPr>
        <w:t>；</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2.1.3落实政府采购政策需满足的资格要求（如果有）；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2.1.4本项目的特定资格要求（如果有)。</w:t>
      </w:r>
    </w:p>
    <w:p>
      <w:pPr>
        <w:snapToGrid w:val="0"/>
        <w:spacing w:line="360" w:lineRule="auto"/>
        <w:ind w:left="210" w:leftChars="1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2.2.1投标函；</w:t>
      </w:r>
      <w:r>
        <w:rPr>
          <w:rFonts w:hint="eastAsia" w:ascii="宋体" w:hAnsi="宋体" w:eastAsia="宋体" w:cs="宋体"/>
          <w:color w:val="auto"/>
          <w:sz w:val="24"/>
          <w:highlight w:val="none"/>
          <w:lang w:val="zh-CN"/>
        </w:rPr>
        <w:t xml:space="preserve"> </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2.2.2授权委托书或法定代表人（单位负责人）身份证明；</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2.2.3分包意向协议（如果有)；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2.2.4符合性审查资料；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2.2.5评标标准相应的商务技术资料；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2.2.6投标标的清单；</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2.2.7商务技术偏离表；</w:t>
      </w:r>
    </w:p>
    <w:p>
      <w:pPr>
        <w:snapToGrid w:val="0"/>
        <w:spacing w:line="360" w:lineRule="auto"/>
        <w:ind w:left="420" w:leftChars="2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政府采购供应商廉洁自律承诺书；</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3报价文件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2.3.1开标一览表（报价表）；</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2.3.2中小企业声明函（如果有）。</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4、如我方中标，我方承诺：</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5、其他补充说明: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360" w:lineRule="auto"/>
        <w:ind w:firstLine="3600" w:firstLineChars="15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投标人名称（电子签名）：                          </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snapToGrid w:val="0"/>
        <w:spacing w:line="360" w:lineRule="auto"/>
        <w:ind w:left="420" w:leftChars="200" w:firstLine="4200" w:firstLineChars="1750"/>
        <w:rPr>
          <w:rFonts w:hint="eastAsia" w:ascii="宋体" w:hAnsi="宋体" w:eastAsia="宋体" w:cs="宋体"/>
          <w:color w:val="auto"/>
          <w:kern w:val="0"/>
          <w:sz w:val="24"/>
          <w:highlight w:val="none"/>
          <w:u w:val="singl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napToGrid w:val="0"/>
        <w:spacing w:line="360" w:lineRule="auto"/>
        <w:jc w:val="center"/>
        <w:rPr>
          <w:rFonts w:hint="eastAsia" w:ascii="宋体" w:hAnsi="宋体" w:eastAsia="宋体" w:cs="宋体"/>
          <w:b/>
          <w:color w:val="auto"/>
          <w:kern w:val="0"/>
          <w:sz w:val="32"/>
          <w:szCs w:val="32"/>
          <w:highlight w:val="none"/>
        </w:rPr>
      </w:pPr>
    </w:p>
    <w:p>
      <w:pPr>
        <w:snapToGrid w:val="0"/>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pStyle w:val="4"/>
        <w:rPr>
          <w:rFonts w:hint="eastAsia" w:ascii="宋体" w:hAnsi="宋体" w:eastAsia="宋体" w:cs="宋体"/>
          <w:color w:val="auto"/>
          <w:highlight w:val="none"/>
          <w:lang w:val="en-US"/>
        </w:rPr>
      </w:pPr>
    </w:p>
    <w:p>
      <w:pPr>
        <w:rPr>
          <w:rFonts w:hint="eastAsia" w:ascii="宋体" w:hAnsi="宋体" w:eastAsia="宋体" w:cs="宋体"/>
          <w:color w:val="auto"/>
          <w:highlight w:val="none"/>
          <w:lang w:val="en-US"/>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二、授权委托书或法定代表人（单位负责人、自然人本人）身份证明</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napToGrid w:val="0"/>
        <w:spacing w:line="360" w:lineRule="auto"/>
        <w:ind w:firstLine="2872" w:firstLineChars="894"/>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lang w:val="zh-CN"/>
        </w:rPr>
        <w:t>授权委托书（适用于非联合体投标）</w:t>
      </w:r>
      <w:r>
        <w:rPr>
          <w:rFonts w:hint="eastAsia" w:ascii="宋体" w:hAnsi="宋体" w:eastAsia="宋体" w:cs="宋体"/>
          <w:color w:val="auto"/>
          <w:highlight w:val="none"/>
        </w:rPr>
        <w:t xml:space="preserve">                               </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lang w:eastAsia="zh-CN"/>
        </w:rPr>
        <w:t>塘栖镇镇区保洁翠紫河以北项目</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ZJZFCG-YS2023-009</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投标人名称(电子签名)：</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签发日期：  年  月   日</w:t>
      </w:r>
    </w:p>
    <w:p>
      <w:pPr>
        <w:snapToGrid w:val="0"/>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zh-CN"/>
        </w:rPr>
        <w:t xml:space="preserve">      </w:t>
      </w:r>
      <w:r>
        <w:rPr>
          <w:rFonts w:hint="eastAsia" w:ascii="宋体" w:hAnsi="宋体" w:eastAsia="宋体" w:cs="宋体"/>
          <w:b/>
          <w:color w:val="auto"/>
          <w:kern w:val="0"/>
          <w:sz w:val="32"/>
          <w:szCs w:val="32"/>
          <w:highlight w:val="none"/>
        </w:rPr>
        <w:t xml:space="preserve"> </w:t>
      </w:r>
      <w:r>
        <w:rPr>
          <w:rFonts w:hint="eastAsia" w:ascii="宋体" w:hAnsi="宋体" w:eastAsia="宋体" w:cs="宋体"/>
          <w:b/>
          <w:color w:val="auto"/>
          <w:kern w:val="0"/>
          <w:sz w:val="32"/>
          <w:szCs w:val="32"/>
          <w:highlight w:val="none"/>
          <w:lang w:val="zh-CN"/>
        </w:rPr>
        <w:t>授权委托书（适用于联合体投标）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sz w:val="24"/>
          <w:highlight w:val="none"/>
          <w:lang w:eastAsia="zh-CN"/>
        </w:rPr>
        <w:t>塘栖镇镇区保洁翠紫河以北项目</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ZJZFCG-YS2023-009</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kern w:val="0"/>
          <w:sz w:val="32"/>
          <w:szCs w:val="32"/>
          <w:highlight w:val="none"/>
          <w:lang w:val="zh-CN"/>
        </w:rPr>
        <w:t>法定代表人、单位负责人或自然人本人</w:t>
      </w:r>
      <w:r>
        <w:rPr>
          <w:rFonts w:hint="eastAsia" w:ascii="宋体" w:hAnsi="宋体" w:eastAsia="宋体" w:cs="宋体"/>
          <w:b/>
          <w:color w:val="auto"/>
          <w:sz w:val="30"/>
          <w:szCs w:val="30"/>
          <w:highlight w:val="none"/>
        </w:rPr>
        <w:t>的身份证明（适用于法定代表人、单位负责人或者自然人本人代表投标人参加投标）</w:t>
      </w:r>
    </w:p>
    <w:p>
      <w:pPr>
        <w:pStyle w:val="171"/>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71"/>
              <w:adjustRightIn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正面：                                 反面：</w:t>
            </w:r>
          </w:p>
          <w:p>
            <w:pPr>
              <w:pStyle w:val="171"/>
              <w:adjustRightInd w:val="0"/>
              <w:spacing w:line="360" w:lineRule="auto"/>
              <w:rPr>
                <w:rFonts w:hint="eastAsia" w:ascii="宋体" w:hAnsi="宋体" w:eastAsia="宋体" w:cs="宋体"/>
                <w:bCs/>
                <w:color w:val="auto"/>
                <w:sz w:val="24"/>
                <w:highlight w:val="none"/>
              </w:rPr>
            </w:pPr>
          </w:p>
        </w:tc>
      </w:tr>
    </w:tbl>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投标人名称(电子签名)：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snapToGrid w:val="0"/>
        <w:spacing w:line="360" w:lineRule="auto"/>
        <w:ind w:right="480"/>
        <w:rPr>
          <w:rFonts w:hint="eastAsia" w:ascii="宋体" w:hAnsi="宋体" w:eastAsia="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三、分包意向协议（如果有）</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中标后以分包方式履行合同的，提供分包意向协议(附件6)；采购人不同意分包或者投标人中标后不以分包方式履行合同的，则不需要提供。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color w:val="auto"/>
          <w:kern w:val="0"/>
          <w:sz w:val="24"/>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四、符合性审查资料</w:t>
      </w:r>
    </w:p>
    <w:p>
      <w:pPr>
        <w:jc w:val="center"/>
        <w:rPr>
          <w:rFonts w:hint="eastAsia" w:ascii="宋体" w:hAnsi="宋体" w:eastAsia="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499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实质性要求</w:t>
            </w:r>
          </w:p>
        </w:tc>
        <w:tc>
          <w:tcPr>
            <w:tcW w:w="255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需要提供的符合性审查资料</w:t>
            </w:r>
          </w:p>
        </w:tc>
        <w:tc>
          <w:tcPr>
            <w:tcW w:w="1418"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投标文件中的</w:t>
            </w:r>
          </w:p>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991"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投标文件按照招标文件要求签署、盖章。</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需要使用电子签名或者签字盖章的投标文件的组成部分</w:t>
            </w:r>
          </w:p>
        </w:tc>
        <w:tc>
          <w:tcPr>
            <w:tcW w:w="1418" w:type="dxa"/>
          </w:tcPr>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见投标文件</w:t>
            </w:r>
          </w:p>
          <w:p>
            <w:pPr>
              <w:rPr>
                <w:rFonts w:hint="eastAsia" w:ascii="宋体" w:hAnsi="宋体" w:eastAsia="宋体" w:cs="宋体"/>
                <w:color w:val="auto"/>
                <w:highlight w:val="none"/>
              </w:rPr>
            </w:pPr>
            <w:r>
              <w:rPr>
                <w:rFonts w:hint="eastAsia" w:ascii="宋体" w:hAnsi="宋体" w:eastAsia="宋体" w:cs="宋体"/>
                <w:color w:val="auto"/>
                <w:sz w:val="24"/>
                <w:highlight w:val="none"/>
              </w:rPr>
              <w:t>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4991"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投标文件中承诺的投标有效期不少于招标文件中载明的投标有效期。</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投标函</w:t>
            </w:r>
          </w:p>
        </w:tc>
        <w:tc>
          <w:tcPr>
            <w:tcW w:w="1418" w:type="dxa"/>
          </w:tcPr>
          <w:p>
            <w:pP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4991"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投标文件满足招标文件的其它实质性要求。</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 xml:space="preserve">            </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rPr>
        <w:t>五、评标标准相应的商务技术资料</w:t>
      </w:r>
    </w:p>
    <w:p>
      <w:pPr>
        <w:snapToGrid w:val="0"/>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（按招标文件第四部分评标办法前附表中“投标文件中评标标准相应的商务技术资料目录”提供资料。）</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369"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1114" w:type="dxa"/>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服务范围</w:t>
            </w:r>
          </w:p>
        </w:tc>
        <w:tc>
          <w:tcPr>
            <w:tcW w:w="1260"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服务要求</w:t>
            </w:r>
          </w:p>
        </w:tc>
        <w:tc>
          <w:tcPr>
            <w:tcW w:w="2775"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服务时间</w:t>
            </w:r>
          </w:p>
        </w:tc>
        <w:tc>
          <w:tcPr>
            <w:tcW w:w="930"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服务标准</w:t>
            </w:r>
          </w:p>
        </w:tc>
        <w:tc>
          <w:tcPr>
            <w:tcW w:w="1526" w:type="dxa"/>
            <w:vAlign w:val="center"/>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备注（如果有）</w:t>
            </w:r>
          </w:p>
          <w:p>
            <w:pPr>
              <w:spacing w:line="360" w:lineRule="auto"/>
              <w:jc w:val="center"/>
              <w:rPr>
                <w:rFonts w:hint="eastAsia" w:ascii="宋体" w:hAnsi="宋体" w:eastAsia="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369" w:type="dxa"/>
            <w:vAlign w:val="center"/>
          </w:tcPr>
          <w:p>
            <w:pPr>
              <w:snapToGrid w:val="0"/>
              <w:spacing w:line="360" w:lineRule="auto"/>
              <w:jc w:val="center"/>
              <w:rPr>
                <w:rFonts w:hint="eastAsia" w:ascii="宋体" w:hAnsi="宋体" w:eastAsia="宋体" w:cs="宋体"/>
                <w:color w:val="auto"/>
                <w:sz w:val="24"/>
                <w:highlight w:val="none"/>
              </w:rPr>
            </w:pPr>
          </w:p>
        </w:tc>
        <w:tc>
          <w:tcPr>
            <w:tcW w:w="1114" w:type="dxa"/>
            <w:vAlign w:val="center"/>
          </w:tcPr>
          <w:p>
            <w:pPr>
              <w:snapToGrid w:val="0"/>
              <w:spacing w:line="360" w:lineRule="auto"/>
              <w:jc w:val="center"/>
              <w:rPr>
                <w:rFonts w:hint="eastAsia" w:ascii="宋体" w:hAnsi="宋体" w:eastAsia="宋体" w:cs="宋体"/>
                <w:color w:val="auto"/>
                <w:sz w:val="24"/>
                <w:highlight w:val="none"/>
              </w:rPr>
            </w:pPr>
          </w:p>
        </w:tc>
        <w:tc>
          <w:tcPr>
            <w:tcW w:w="1260" w:type="dxa"/>
            <w:vAlign w:val="center"/>
          </w:tcPr>
          <w:p>
            <w:pPr>
              <w:snapToGrid w:val="0"/>
              <w:spacing w:line="360" w:lineRule="auto"/>
              <w:jc w:val="center"/>
              <w:rPr>
                <w:rFonts w:hint="eastAsia" w:ascii="宋体" w:hAnsi="宋体" w:eastAsia="宋体" w:cs="宋体"/>
                <w:color w:val="auto"/>
                <w:sz w:val="24"/>
                <w:highlight w:val="none"/>
              </w:rPr>
            </w:pPr>
          </w:p>
        </w:tc>
        <w:tc>
          <w:tcPr>
            <w:tcW w:w="2775" w:type="dxa"/>
            <w:vAlign w:val="center"/>
          </w:tcPr>
          <w:p>
            <w:pPr>
              <w:spacing w:line="360" w:lineRule="auto"/>
              <w:jc w:val="center"/>
              <w:rPr>
                <w:rFonts w:hint="eastAsia" w:ascii="宋体" w:hAnsi="宋体" w:eastAsia="宋体" w:cs="宋体"/>
                <w:color w:val="auto"/>
                <w:sz w:val="24"/>
                <w:highlight w:val="none"/>
              </w:rPr>
            </w:pPr>
          </w:p>
        </w:tc>
        <w:tc>
          <w:tcPr>
            <w:tcW w:w="930" w:type="dxa"/>
            <w:vAlign w:val="center"/>
          </w:tcPr>
          <w:p>
            <w:pPr>
              <w:spacing w:line="360" w:lineRule="auto"/>
              <w:jc w:val="center"/>
              <w:rPr>
                <w:rFonts w:hint="eastAsia" w:ascii="宋体" w:hAnsi="宋体" w:eastAsia="宋体" w:cs="宋体"/>
                <w:color w:val="auto"/>
                <w:sz w:val="24"/>
                <w:highlight w:val="none"/>
              </w:rPr>
            </w:pPr>
          </w:p>
        </w:tc>
        <w:tc>
          <w:tcPr>
            <w:tcW w:w="1526"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369" w:type="dxa"/>
            <w:vAlign w:val="center"/>
          </w:tcPr>
          <w:p>
            <w:pPr>
              <w:snapToGrid w:val="0"/>
              <w:spacing w:line="360" w:lineRule="auto"/>
              <w:jc w:val="center"/>
              <w:rPr>
                <w:rFonts w:hint="eastAsia" w:ascii="宋体" w:hAnsi="宋体" w:eastAsia="宋体" w:cs="宋体"/>
                <w:color w:val="auto"/>
                <w:sz w:val="24"/>
                <w:highlight w:val="none"/>
              </w:rPr>
            </w:pPr>
          </w:p>
        </w:tc>
        <w:tc>
          <w:tcPr>
            <w:tcW w:w="1114" w:type="dxa"/>
            <w:vAlign w:val="center"/>
          </w:tcPr>
          <w:p>
            <w:pPr>
              <w:snapToGrid w:val="0"/>
              <w:spacing w:line="360" w:lineRule="auto"/>
              <w:jc w:val="center"/>
              <w:rPr>
                <w:rFonts w:hint="eastAsia" w:ascii="宋体" w:hAnsi="宋体" w:eastAsia="宋体" w:cs="宋体"/>
                <w:color w:val="auto"/>
                <w:sz w:val="24"/>
                <w:highlight w:val="none"/>
              </w:rPr>
            </w:pPr>
          </w:p>
        </w:tc>
        <w:tc>
          <w:tcPr>
            <w:tcW w:w="1260" w:type="dxa"/>
            <w:vAlign w:val="center"/>
          </w:tcPr>
          <w:p>
            <w:pPr>
              <w:snapToGrid w:val="0"/>
              <w:spacing w:line="360" w:lineRule="auto"/>
              <w:jc w:val="center"/>
              <w:rPr>
                <w:rFonts w:hint="eastAsia" w:ascii="宋体" w:hAnsi="宋体" w:eastAsia="宋体" w:cs="宋体"/>
                <w:color w:val="auto"/>
                <w:sz w:val="24"/>
                <w:highlight w:val="none"/>
              </w:rPr>
            </w:pPr>
          </w:p>
        </w:tc>
        <w:tc>
          <w:tcPr>
            <w:tcW w:w="2775" w:type="dxa"/>
            <w:vAlign w:val="center"/>
          </w:tcPr>
          <w:p>
            <w:pPr>
              <w:spacing w:line="360" w:lineRule="auto"/>
              <w:jc w:val="center"/>
              <w:rPr>
                <w:rFonts w:hint="eastAsia" w:ascii="宋体" w:hAnsi="宋体" w:eastAsia="宋体" w:cs="宋体"/>
                <w:color w:val="auto"/>
                <w:sz w:val="24"/>
                <w:highlight w:val="none"/>
              </w:rPr>
            </w:pPr>
          </w:p>
        </w:tc>
        <w:tc>
          <w:tcPr>
            <w:tcW w:w="930" w:type="dxa"/>
            <w:vAlign w:val="center"/>
          </w:tcPr>
          <w:p>
            <w:pPr>
              <w:spacing w:line="360" w:lineRule="auto"/>
              <w:jc w:val="center"/>
              <w:rPr>
                <w:rFonts w:hint="eastAsia" w:ascii="宋体" w:hAnsi="宋体" w:eastAsia="宋体" w:cs="宋体"/>
                <w:color w:val="auto"/>
                <w:sz w:val="24"/>
                <w:highlight w:val="none"/>
              </w:rPr>
            </w:pPr>
          </w:p>
        </w:tc>
        <w:tc>
          <w:tcPr>
            <w:tcW w:w="1526"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369" w:type="dxa"/>
            <w:vAlign w:val="center"/>
          </w:tcPr>
          <w:p>
            <w:pPr>
              <w:snapToGrid w:val="0"/>
              <w:spacing w:line="360" w:lineRule="auto"/>
              <w:jc w:val="center"/>
              <w:rPr>
                <w:rFonts w:hint="eastAsia" w:ascii="宋体" w:hAnsi="宋体" w:eastAsia="宋体" w:cs="宋体"/>
                <w:color w:val="auto"/>
                <w:sz w:val="24"/>
                <w:highlight w:val="none"/>
              </w:rPr>
            </w:pPr>
          </w:p>
        </w:tc>
        <w:tc>
          <w:tcPr>
            <w:tcW w:w="1114" w:type="dxa"/>
            <w:vAlign w:val="center"/>
          </w:tcPr>
          <w:p>
            <w:pPr>
              <w:snapToGrid w:val="0"/>
              <w:spacing w:line="360" w:lineRule="auto"/>
              <w:jc w:val="center"/>
              <w:rPr>
                <w:rFonts w:hint="eastAsia" w:ascii="宋体" w:hAnsi="宋体" w:eastAsia="宋体" w:cs="宋体"/>
                <w:color w:val="auto"/>
                <w:sz w:val="24"/>
                <w:highlight w:val="none"/>
              </w:rPr>
            </w:pPr>
          </w:p>
        </w:tc>
        <w:tc>
          <w:tcPr>
            <w:tcW w:w="1260" w:type="dxa"/>
            <w:vAlign w:val="center"/>
          </w:tcPr>
          <w:p>
            <w:pPr>
              <w:snapToGrid w:val="0"/>
              <w:spacing w:line="360" w:lineRule="auto"/>
              <w:jc w:val="center"/>
              <w:rPr>
                <w:rFonts w:hint="eastAsia" w:ascii="宋体" w:hAnsi="宋体" w:eastAsia="宋体" w:cs="宋体"/>
                <w:color w:val="auto"/>
                <w:sz w:val="24"/>
                <w:highlight w:val="none"/>
              </w:rPr>
            </w:pPr>
          </w:p>
        </w:tc>
        <w:tc>
          <w:tcPr>
            <w:tcW w:w="2775" w:type="dxa"/>
            <w:vAlign w:val="center"/>
          </w:tcPr>
          <w:p>
            <w:pPr>
              <w:spacing w:line="360" w:lineRule="auto"/>
              <w:jc w:val="center"/>
              <w:rPr>
                <w:rFonts w:hint="eastAsia" w:ascii="宋体" w:hAnsi="宋体" w:eastAsia="宋体" w:cs="宋体"/>
                <w:color w:val="auto"/>
                <w:sz w:val="24"/>
                <w:highlight w:val="none"/>
              </w:rPr>
            </w:pPr>
          </w:p>
        </w:tc>
        <w:tc>
          <w:tcPr>
            <w:tcW w:w="930" w:type="dxa"/>
            <w:vAlign w:val="center"/>
          </w:tcPr>
          <w:p>
            <w:pPr>
              <w:spacing w:line="360" w:lineRule="auto"/>
              <w:jc w:val="center"/>
              <w:rPr>
                <w:rFonts w:hint="eastAsia" w:ascii="宋体" w:hAnsi="宋体" w:eastAsia="宋体" w:cs="宋体"/>
                <w:color w:val="auto"/>
                <w:sz w:val="24"/>
                <w:highlight w:val="none"/>
              </w:rPr>
            </w:pPr>
          </w:p>
        </w:tc>
        <w:tc>
          <w:tcPr>
            <w:tcW w:w="1526" w:type="dxa"/>
            <w:vAlign w:val="center"/>
          </w:tcPr>
          <w:p>
            <w:pPr>
              <w:spacing w:line="360" w:lineRule="auto"/>
              <w:jc w:val="center"/>
              <w:rPr>
                <w:rFonts w:hint="eastAsia" w:ascii="宋体" w:hAnsi="宋体" w:eastAsia="宋体" w:cs="宋体"/>
                <w:color w:val="auto"/>
                <w:sz w:val="24"/>
                <w:highlight w:val="none"/>
              </w:rPr>
            </w:pP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七、商务技术偏离表</w:t>
      </w:r>
    </w:p>
    <w:tbl>
      <w:tblPr>
        <w:tblStyle w:val="62"/>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3683"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招标文件章节及具体内容</w:t>
            </w:r>
          </w:p>
        </w:tc>
        <w:tc>
          <w:tcPr>
            <w:tcW w:w="3546"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投标文件章节及具体内容</w:t>
            </w:r>
          </w:p>
        </w:tc>
        <w:tc>
          <w:tcPr>
            <w:tcW w:w="1276"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3683" w:type="dxa"/>
          </w:tcPr>
          <w:p>
            <w:pPr>
              <w:jc w:val="center"/>
              <w:rPr>
                <w:rFonts w:hint="eastAsia" w:ascii="宋体" w:hAnsi="宋体" w:eastAsia="宋体" w:cs="宋体"/>
                <w:b/>
                <w:color w:val="auto"/>
                <w:kern w:val="0"/>
                <w:sz w:val="32"/>
                <w:szCs w:val="32"/>
                <w:highlight w:val="none"/>
              </w:rPr>
            </w:pPr>
          </w:p>
        </w:tc>
        <w:tc>
          <w:tcPr>
            <w:tcW w:w="3546" w:type="dxa"/>
          </w:tcPr>
          <w:p>
            <w:pPr>
              <w:jc w:val="center"/>
              <w:rPr>
                <w:rFonts w:hint="eastAsia" w:ascii="宋体" w:hAnsi="宋体" w:eastAsia="宋体" w:cs="宋体"/>
                <w:b/>
                <w:color w:val="auto"/>
                <w:kern w:val="0"/>
                <w:sz w:val="32"/>
                <w:szCs w:val="32"/>
                <w:highlight w:val="none"/>
              </w:rPr>
            </w:pPr>
          </w:p>
        </w:tc>
        <w:tc>
          <w:tcPr>
            <w:tcW w:w="1276" w:type="dxa"/>
          </w:tcPr>
          <w:p>
            <w:pPr>
              <w:jc w:val="center"/>
              <w:rPr>
                <w:rFonts w:hint="eastAsia" w:ascii="宋体" w:hAnsi="宋体" w:eastAsia="宋体" w:cs="宋体"/>
                <w:b/>
                <w:color w:val="auto"/>
                <w:kern w:val="0"/>
                <w:sz w:val="32"/>
                <w:szCs w:val="32"/>
                <w:highlight w:val="none"/>
              </w:rPr>
            </w:pPr>
          </w:p>
        </w:tc>
      </w:tr>
    </w:tbl>
    <w:p>
      <w:pPr>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投标人保证：除商务技术偏离表列出的偏离外，投标人响应招标文件的全部要求</w:t>
      </w:r>
    </w:p>
    <w:p>
      <w:pPr>
        <w:jc w:val="center"/>
        <w:rPr>
          <w:rFonts w:hint="eastAsia" w:ascii="宋体" w:hAnsi="宋体" w:eastAsia="宋体" w:cs="宋体"/>
          <w:b/>
          <w:color w:val="auto"/>
          <w:kern w:val="0"/>
          <w:sz w:val="32"/>
          <w:szCs w:val="32"/>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ind w:firstLine="1911" w:firstLineChars="595"/>
        <w:rPr>
          <w:rFonts w:hint="eastAsia" w:ascii="宋体" w:hAnsi="宋体" w:eastAsia="宋体" w:cs="宋体"/>
          <w:b/>
          <w:bCs/>
          <w:color w:val="auto"/>
          <w:sz w:val="32"/>
          <w:szCs w:val="32"/>
          <w:highlight w:val="none"/>
        </w:rPr>
      </w:pPr>
    </w:p>
    <w:p>
      <w:pPr>
        <w:ind w:firstLine="1911" w:firstLineChars="595"/>
        <w:rPr>
          <w:rFonts w:hint="eastAsia" w:ascii="宋体" w:hAnsi="宋体" w:eastAsia="宋体" w:cs="宋体"/>
          <w:b/>
          <w:bCs/>
          <w:color w:val="auto"/>
          <w:sz w:val="32"/>
          <w:szCs w:val="32"/>
          <w:highlight w:val="none"/>
        </w:rPr>
      </w:pPr>
    </w:p>
    <w:p>
      <w:pPr>
        <w:ind w:firstLine="1911" w:firstLineChars="595"/>
        <w:rPr>
          <w:rFonts w:hint="eastAsia" w:ascii="宋体" w:hAnsi="宋体" w:eastAsia="宋体" w:cs="宋体"/>
          <w:b/>
          <w:bCs/>
          <w:color w:val="auto"/>
          <w:sz w:val="32"/>
          <w:szCs w:val="32"/>
          <w:highlight w:val="none"/>
        </w:rPr>
      </w:pPr>
    </w:p>
    <w:p>
      <w:pPr>
        <w:widowControl/>
        <w:adjustRightInd/>
        <w:jc w:val="left"/>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br w:type="page"/>
      </w:r>
    </w:p>
    <w:p>
      <w:pPr>
        <w:ind w:firstLine="1911" w:firstLineChars="595"/>
        <w:rPr>
          <w:rFonts w:hint="eastAsia" w:ascii="宋体" w:hAnsi="宋体" w:eastAsia="宋体" w:cs="宋体"/>
          <w:b/>
          <w:color w:val="auto"/>
          <w:kern w:val="0"/>
          <w:sz w:val="32"/>
          <w:szCs w:val="32"/>
          <w:highlight w:val="none"/>
        </w:rPr>
      </w:pPr>
      <w:r>
        <w:rPr>
          <w:rFonts w:hint="eastAsia" w:ascii="宋体" w:hAnsi="宋体" w:eastAsia="宋体" w:cs="宋体"/>
          <w:b/>
          <w:bCs/>
          <w:color w:val="auto"/>
          <w:sz w:val="32"/>
          <w:szCs w:val="32"/>
          <w:highlight w:val="none"/>
        </w:rPr>
        <w:t>八</w:t>
      </w:r>
      <w:r>
        <w:rPr>
          <w:rFonts w:hint="eastAsia" w:ascii="宋体" w:hAnsi="宋体" w:eastAsia="宋体" w:cs="宋体"/>
          <w:b/>
          <w:color w:val="auto"/>
          <w:kern w:val="0"/>
          <w:sz w:val="32"/>
          <w:szCs w:val="32"/>
          <w:highlight w:val="none"/>
        </w:rPr>
        <w:t>、</w:t>
      </w:r>
      <w:r>
        <w:rPr>
          <w:rFonts w:hint="eastAsia" w:ascii="宋体" w:hAnsi="宋体" w:eastAsia="宋体" w:cs="宋体"/>
          <w:b/>
          <w:color w:val="auto"/>
          <w:kern w:val="0"/>
          <w:sz w:val="32"/>
          <w:szCs w:val="32"/>
          <w:highlight w:val="none"/>
          <w:lang w:val="zh-CN"/>
        </w:rPr>
        <w:t>政府采购供应商廉洁自律承诺书</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我单位响应你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好处；</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六、严格遵守《</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政府采购法》《</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招标投标</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法》</w:t>
      </w:r>
      <w:r>
        <w:rPr>
          <w:rFonts w:hint="eastAsia" w:ascii="宋体" w:hAnsi="宋体" w:eastAsia="宋体" w:cs="宋体"/>
          <w:color w:val="auto"/>
          <w:sz w:val="24"/>
          <w:highlight w:val="none"/>
          <w:lang w:val="zh-CN"/>
        </w:rPr>
        <w:t>《中华人民共和国民法典》</w:t>
      </w:r>
      <w:r>
        <w:rPr>
          <w:rFonts w:hint="eastAsia" w:ascii="宋体" w:hAnsi="宋体" w:eastAsia="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如违反上述承诺，你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有权立即取消我单位投标、中标或在建项目的建设资格，有权拒绝我单位在一定时期内进入你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投标人名称（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 xml:space="preserve">）：                                                                                                                                                                                                               </w:t>
      </w:r>
    </w:p>
    <w:p>
      <w:pPr>
        <w:spacing w:line="360" w:lineRule="auto"/>
        <w:ind w:left="4620" w:leftChars="2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spacing w:line="360" w:lineRule="auto"/>
        <w:jc w:val="center"/>
        <w:rPr>
          <w:rFonts w:hint="eastAsia" w:ascii="宋体" w:hAnsi="宋体" w:eastAsia="宋体" w:cs="宋体"/>
          <w:b/>
          <w:bCs/>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pacing w:line="360" w:lineRule="auto"/>
        <w:jc w:val="center"/>
        <w:rPr>
          <w:rFonts w:hint="eastAsia" w:ascii="宋体" w:hAnsi="宋体" w:eastAsia="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报价文件部分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numPr>
          <w:ilvl w:val="0"/>
          <w:numId w:val="4"/>
        </w:num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开标一览表（报价表）…………………………………………………（页码）</w:t>
      </w:r>
    </w:p>
    <w:p>
      <w:pPr>
        <w:numPr>
          <w:ilvl w:val="0"/>
          <w:numId w:val="4"/>
        </w:numPr>
        <w:snapToGrid w:val="0"/>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t>报价表明细清单……………………………………………………（页码）</w:t>
      </w:r>
    </w:p>
    <w:p>
      <w:pPr>
        <w:snapToGrid w:val="0"/>
        <w:spacing w:line="360" w:lineRule="auto"/>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（3）中小企业声明函……………………………………………………（页码）</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pStyle w:val="27"/>
        <w:ind w:firstLine="643"/>
        <w:rPr>
          <w:rFonts w:hint="eastAsia" w:ascii="宋体" w:hAnsi="宋体" w:eastAsia="宋体" w:cs="宋体"/>
          <w:b/>
          <w:color w:val="auto"/>
          <w:kern w:val="0"/>
          <w:sz w:val="32"/>
          <w:szCs w:val="32"/>
          <w:highlight w:val="none"/>
        </w:rPr>
      </w:pPr>
    </w:p>
    <w:p>
      <w:pPr>
        <w:rPr>
          <w:rFonts w:hint="eastAsia" w:ascii="宋体" w:hAnsi="宋体" w:eastAsia="宋体" w:cs="宋体"/>
          <w:b/>
          <w:color w:val="auto"/>
          <w:kern w:val="0"/>
          <w:sz w:val="32"/>
          <w:szCs w:val="32"/>
          <w:highlight w:val="none"/>
        </w:rPr>
      </w:pPr>
    </w:p>
    <w:p>
      <w:pPr>
        <w:pStyle w:val="27"/>
        <w:ind w:firstLine="643"/>
        <w:rPr>
          <w:rFonts w:hint="eastAsia" w:ascii="宋体" w:hAnsi="宋体" w:eastAsia="宋体" w:cs="宋体"/>
          <w:b/>
          <w:color w:val="auto"/>
          <w:kern w:val="0"/>
          <w:sz w:val="32"/>
          <w:szCs w:val="32"/>
          <w:highlight w:val="none"/>
        </w:rPr>
      </w:pPr>
    </w:p>
    <w:p>
      <w:pPr>
        <w:rPr>
          <w:rFonts w:hint="eastAsia" w:ascii="宋体" w:hAnsi="宋体" w:eastAsia="宋体" w:cs="宋体"/>
          <w:b/>
          <w:color w:val="auto"/>
          <w:kern w:val="0"/>
          <w:sz w:val="32"/>
          <w:szCs w:val="32"/>
          <w:highlight w:val="none"/>
        </w:rPr>
      </w:pPr>
    </w:p>
    <w:p>
      <w:pPr>
        <w:pStyle w:val="27"/>
        <w:ind w:firstLine="643"/>
        <w:rPr>
          <w:rFonts w:hint="eastAsia" w:ascii="宋体" w:hAnsi="宋体" w:eastAsia="宋体" w:cs="宋体"/>
          <w:b/>
          <w:color w:val="auto"/>
          <w:kern w:val="0"/>
          <w:sz w:val="32"/>
          <w:szCs w:val="32"/>
          <w:highlight w:val="none"/>
        </w:rPr>
      </w:pPr>
    </w:p>
    <w:p>
      <w:pPr>
        <w:rPr>
          <w:rFonts w:hint="eastAsia" w:ascii="宋体" w:hAnsi="宋体" w:eastAsia="宋体" w:cs="宋体"/>
          <w:b/>
          <w:color w:val="auto"/>
          <w:kern w:val="0"/>
          <w:sz w:val="32"/>
          <w:szCs w:val="32"/>
          <w:highlight w:val="none"/>
        </w:rPr>
      </w:pPr>
    </w:p>
    <w:p>
      <w:pPr>
        <w:pStyle w:val="27"/>
        <w:ind w:firstLine="643"/>
        <w:rPr>
          <w:rFonts w:hint="eastAsia" w:ascii="宋体" w:hAnsi="宋体" w:eastAsia="宋体" w:cs="宋体"/>
          <w:b/>
          <w:color w:val="auto"/>
          <w:kern w:val="0"/>
          <w:sz w:val="32"/>
          <w:szCs w:val="32"/>
          <w:highlight w:val="none"/>
        </w:rPr>
      </w:pPr>
    </w:p>
    <w:p>
      <w:pPr>
        <w:rPr>
          <w:rFonts w:hint="eastAsia" w:ascii="宋体" w:hAnsi="宋体" w:eastAsia="宋体" w:cs="宋体"/>
          <w:b/>
          <w:color w:val="auto"/>
          <w:kern w:val="0"/>
          <w:sz w:val="32"/>
          <w:szCs w:val="32"/>
          <w:highlight w:val="none"/>
        </w:rPr>
      </w:pPr>
    </w:p>
    <w:p>
      <w:pPr>
        <w:pStyle w:val="27"/>
        <w:ind w:firstLine="643"/>
        <w:rPr>
          <w:rFonts w:hint="eastAsia" w:ascii="宋体" w:hAnsi="宋体" w:eastAsia="宋体" w:cs="宋体"/>
          <w:b/>
          <w:color w:val="auto"/>
          <w:kern w:val="0"/>
          <w:sz w:val="32"/>
          <w:szCs w:val="32"/>
          <w:highlight w:val="none"/>
        </w:rPr>
      </w:pPr>
    </w:p>
    <w:p>
      <w:pPr>
        <w:rPr>
          <w:rFonts w:hint="eastAsia" w:ascii="宋体" w:hAnsi="宋体" w:eastAsia="宋体" w:cs="宋体"/>
          <w:b/>
          <w:color w:val="auto"/>
          <w:kern w:val="0"/>
          <w:sz w:val="32"/>
          <w:szCs w:val="32"/>
          <w:highlight w:val="none"/>
        </w:rPr>
      </w:pPr>
    </w:p>
    <w:p>
      <w:pPr>
        <w:pStyle w:val="27"/>
        <w:ind w:firstLine="643"/>
        <w:rPr>
          <w:rFonts w:hint="eastAsia" w:ascii="宋体" w:hAnsi="宋体" w:eastAsia="宋体" w:cs="宋体"/>
          <w:b/>
          <w:color w:val="auto"/>
          <w:kern w:val="0"/>
          <w:sz w:val="32"/>
          <w:szCs w:val="32"/>
          <w:highlight w:val="none"/>
        </w:rPr>
      </w:pPr>
    </w:p>
    <w:p>
      <w:pPr>
        <w:rPr>
          <w:rFonts w:hint="eastAsia" w:ascii="宋体" w:hAnsi="宋体" w:eastAsia="宋体" w:cs="宋体"/>
          <w:b/>
          <w:color w:val="auto"/>
          <w:kern w:val="0"/>
          <w:sz w:val="32"/>
          <w:szCs w:val="32"/>
          <w:highlight w:val="none"/>
        </w:rPr>
      </w:pPr>
    </w:p>
    <w:p>
      <w:pPr>
        <w:pStyle w:val="27"/>
        <w:ind w:firstLine="420"/>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pStyle w:val="4"/>
        <w:ind w:left="0" w:firstLine="0"/>
        <w:jc w:val="center"/>
        <w:rPr>
          <w:rFonts w:hint="eastAsia" w:ascii="宋体" w:hAnsi="宋体" w:eastAsia="宋体" w:cs="宋体"/>
          <w:color w:val="auto"/>
          <w:highlight w:val="none"/>
        </w:rPr>
      </w:pPr>
      <w:r>
        <w:rPr>
          <w:rFonts w:hint="eastAsia" w:ascii="宋体" w:hAnsi="宋体" w:eastAsia="宋体" w:cs="宋体"/>
          <w:color w:val="auto"/>
          <w:sz w:val="28"/>
          <w:szCs w:val="28"/>
          <w:highlight w:val="none"/>
        </w:rPr>
        <w:t>开标一览表（报价表）</w:t>
      </w:r>
    </w:p>
    <w:p>
      <w:pPr>
        <w:snapToGrid w:val="0"/>
        <w:spacing w:line="500" w:lineRule="exac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500" w:lineRule="exact"/>
        <w:ind w:firstLine="482"/>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auto"/>
          <w:sz w:val="24"/>
          <w:highlight w:val="none"/>
        </w:rPr>
        <w:t>（项目名称）</w:t>
      </w:r>
      <w:r>
        <w:rPr>
          <w:rFonts w:hint="eastAsia" w:ascii="宋体" w:hAnsi="宋体" w:eastAsia="宋体" w:cs="宋体"/>
          <w:color w:val="auto"/>
          <w:kern w:val="0"/>
          <w:sz w:val="24"/>
          <w:highlight w:val="none"/>
          <w:lang w:val="zh-CN"/>
        </w:rPr>
        <w:t>【招标编号：</w:t>
      </w:r>
      <w:r>
        <w:rPr>
          <w:rFonts w:hint="eastAsia" w:ascii="宋体" w:hAnsi="宋体" w:eastAsia="宋体" w:cs="宋体"/>
          <w:color w:val="auto"/>
          <w:sz w:val="24"/>
          <w:highlight w:val="none"/>
        </w:rPr>
        <w:t>（采购编号）】的实施</w:t>
      </w:r>
      <w:r>
        <w:rPr>
          <w:rFonts w:hint="eastAsia" w:ascii="宋体" w:hAnsi="宋体" w:eastAsia="宋体" w:cs="宋体"/>
          <w:color w:val="auto"/>
          <w:kern w:val="0"/>
          <w:sz w:val="24"/>
          <w:highlight w:val="none"/>
          <w:lang w:val="zh-CN"/>
        </w:rPr>
        <w:t>。</w:t>
      </w:r>
    </w:p>
    <w:p>
      <w:pPr>
        <w:shd w:val="clear" w:color="auto" w:fill="FFFFFF"/>
        <w:snapToGrid w:val="0"/>
        <w:spacing w:line="600" w:lineRule="exact"/>
        <w:ind w:firstLine="482" w:firstLineChars="200"/>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开标一览表（报价表）(单位均为人民币元）</w:t>
      </w:r>
    </w:p>
    <w:tbl>
      <w:tblPr>
        <w:tblStyle w:val="62"/>
        <w:tblW w:w="915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7"/>
        <w:gridCol w:w="1099"/>
        <w:gridCol w:w="1869"/>
        <w:gridCol w:w="991"/>
        <w:gridCol w:w="1074"/>
        <w:gridCol w:w="1121"/>
        <w:gridCol w:w="2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0" w:hRule="atLeast"/>
        </w:trPr>
        <w:tc>
          <w:tcPr>
            <w:tcW w:w="727" w:type="dxa"/>
            <w:vAlign w:val="center"/>
          </w:tcPr>
          <w:p>
            <w:pPr>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序号</w:t>
            </w:r>
          </w:p>
        </w:tc>
        <w:tc>
          <w:tcPr>
            <w:tcW w:w="2968" w:type="dxa"/>
            <w:gridSpan w:val="2"/>
            <w:tcBorders>
              <w:right w:val="single" w:color="auto" w:sz="4" w:space="0"/>
            </w:tcBorders>
            <w:vAlign w:val="center"/>
          </w:tcPr>
          <w:p>
            <w:pPr>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项目</w:t>
            </w:r>
          </w:p>
        </w:tc>
        <w:tc>
          <w:tcPr>
            <w:tcW w:w="991" w:type="dxa"/>
            <w:tcBorders>
              <w:left w:val="single" w:color="auto" w:sz="4" w:space="0"/>
              <w:right w:val="single" w:color="auto" w:sz="4" w:space="0"/>
            </w:tcBorders>
            <w:vAlign w:val="center"/>
          </w:tcPr>
          <w:p>
            <w:pPr>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单位</w:t>
            </w:r>
          </w:p>
        </w:tc>
        <w:tc>
          <w:tcPr>
            <w:tcW w:w="1074" w:type="dxa"/>
            <w:tcBorders>
              <w:left w:val="single" w:color="auto" w:sz="4" w:space="0"/>
            </w:tcBorders>
            <w:vAlign w:val="center"/>
          </w:tcPr>
          <w:p>
            <w:pPr>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数量</w:t>
            </w:r>
          </w:p>
        </w:tc>
        <w:tc>
          <w:tcPr>
            <w:tcW w:w="1121" w:type="dxa"/>
            <w:vAlign w:val="center"/>
          </w:tcPr>
          <w:p>
            <w:pPr>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合计（元）</w:t>
            </w:r>
          </w:p>
        </w:tc>
        <w:tc>
          <w:tcPr>
            <w:tcW w:w="2276" w:type="dxa"/>
            <w:vAlign w:val="center"/>
          </w:tcPr>
          <w:p>
            <w:pPr>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79" w:hRule="atLeast"/>
        </w:trPr>
        <w:tc>
          <w:tcPr>
            <w:tcW w:w="727" w:type="dxa"/>
            <w:vMerge w:val="restart"/>
            <w:vAlign w:val="center"/>
          </w:tcPr>
          <w:p>
            <w:pPr>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1</w:t>
            </w:r>
          </w:p>
        </w:tc>
        <w:tc>
          <w:tcPr>
            <w:tcW w:w="1099" w:type="dxa"/>
            <w:vMerge w:val="restart"/>
            <w:tcBorders>
              <w:right w:val="single" w:color="auto" w:sz="4" w:space="0"/>
            </w:tcBorders>
            <w:vAlign w:val="center"/>
          </w:tcPr>
          <w:p>
            <w:pPr>
              <w:snapToGrid w:val="0"/>
              <w:spacing w:line="500" w:lineRule="exac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道路保洁费</w:t>
            </w:r>
            <w:r>
              <w:rPr>
                <w:rFonts w:hint="eastAsia" w:ascii="宋体" w:hAnsi="宋体" w:eastAsia="宋体" w:cs="宋体"/>
                <w:color w:val="auto"/>
                <w:kern w:val="0"/>
                <w:sz w:val="21"/>
                <w:szCs w:val="21"/>
                <w:highlight w:val="none"/>
                <w:lang w:val="zh-CN" w:eastAsia="zh-CN"/>
              </w:rPr>
              <w:t>（</w:t>
            </w:r>
            <w:r>
              <w:rPr>
                <w:rFonts w:hint="eastAsia" w:ascii="宋体" w:hAnsi="宋体" w:eastAsia="宋体" w:cs="宋体"/>
                <w:color w:val="auto"/>
                <w:kern w:val="0"/>
                <w:sz w:val="21"/>
                <w:szCs w:val="21"/>
                <w:highlight w:val="none"/>
                <w:lang w:val="en-US" w:eastAsia="zh-CN"/>
              </w:rPr>
              <w:t>含音乐线费用</w:t>
            </w:r>
            <w:r>
              <w:rPr>
                <w:rFonts w:hint="eastAsia" w:ascii="宋体" w:hAnsi="宋体" w:eastAsia="宋体" w:cs="宋体"/>
                <w:color w:val="auto"/>
                <w:kern w:val="0"/>
                <w:sz w:val="21"/>
                <w:szCs w:val="21"/>
                <w:highlight w:val="none"/>
                <w:lang w:val="zh-CN" w:eastAsia="zh-CN"/>
              </w:rPr>
              <w:t>）</w:t>
            </w:r>
          </w:p>
        </w:tc>
        <w:tc>
          <w:tcPr>
            <w:tcW w:w="1869" w:type="dxa"/>
            <w:tcBorders>
              <w:left w:val="single" w:color="auto" w:sz="4" w:space="0"/>
              <w:right w:val="single" w:color="auto" w:sz="4" w:space="0"/>
            </w:tcBorders>
            <w:vAlign w:val="center"/>
          </w:tcPr>
          <w:p>
            <w:pPr>
              <w:snapToGrid w:val="0"/>
              <w:spacing w:line="500" w:lineRule="exac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en-US" w:eastAsia="zh-CN"/>
              </w:rPr>
              <w:t>日常保洁人员工资</w:t>
            </w:r>
          </w:p>
        </w:tc>
        <w:tc>
          <w:tcPr>
            <w:tcW w:w="991" w:type="dxa"/>
            <w:tcBorders>
              <w:left w:val="single" w:color="auto" w:sz="4" w:space="0"/>
              <w:right w:val="single" w:color="auto" w:sz="4" w:space="0"/>
            </w:tcBorders>
            <w:vAlign w:val="center"/>
          </w:tcPr>
          <w:p>
            <w:pPr>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项</w:t>
            </w:r>
          </w:p>
        </w:tc>
        <w:tc>
          <w:tcPr>
            <w:tcW w:w="1074" w:type="dxa"/>
            <w:tcBorders>
              <w:left w:val="single" w:color="auto" w:sz="4" w:space="0"/>
            </w:tcBorders>
            <w:vAlign w:val="center"/>
          </w:tcPr>
          <w:p>
            <w:pPr>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1</w:t>
            </w:r>
          </w:p>
        </w:tc>
        <w:tc>
          <w:tcPr>
            <w:tcW w:w="1121" w:type="dxa"/>
            <w:vAlign w:val="center"/>
          </w:tcPr>
          <w:p>
            <w:pPr>
              <w:jc w:val="center"/>
              <w:rPr>
                <w:rFonts w:hint="eastAsia" w:ascii="宋体" w:hAnsi="宋体" w:eastAsia="宋体" w:cs="宋体"/>
                <w:color w:val="auto"/>
                <w:highlight w:val="none"/>
                <w:lang w:val="zh-CN"/>
              </w:rPr>
            </w:pPr>
          </w:p>
        </w:tc>
        <w:tc>
          <w:tcPr>
            <w:tcW w:w="2276" w:type="dxa"/>
            <w:vAlign w:val="center"/>
          </w:tcPr>
          <w:p>
            <w:pPr>
              <w:jc w:val="center"/>
              <w:rPr>
                <w:rFonts w:hint="eastAsia" w:ascii="宋体" w:hAnsi="宋体" w:eastAsia="宋体" w:cs="宋体"/>
                <w:b/>
                <w:bCs/>
                <w:color w:val="auto"/>
                <w:highlight w:val="none"/>
                <w:lang w:val="zh-CN"/>
              </w:rPr>
            </w:pPr>
            <w:r>
              <w:rPr>
                <w:rFonts w:hint="eastAsia" w:ascii="宋体" w:hAnsi="宋体" w:eastAsia="宋体" w:cs="宋体"/>
                <w:b/>
                <w:bCs/>
                <w:color w:val="auto"/>
                <w:highlight w:val="none"/>
                <w:lang w:val="zh-CN"/>
              </w:rPr>
              <w:t>人员不得少于</w:t>
            </w:r>
            <w:r>
              <w:rPr>
                <w:rFonts w:hint="eastAsia" w:ascii="宋体" w:hAnsi="宋体" w:cs="宋体"/>
                <w:b/>
                <w:bCs/>
                <w:color w:val="auto"/>
                <w:highlight w:val="none"/>
                <w:lang w:val="en-US" w:eastAsia="zh-CN"/>
              </w:rPr>
              <w:t xml:space="preserve">  </w:t>
            </w:r>
            <w:r>
              <w:rPr>
                <w:rFonts w:hint="eastAsia" w:ascii="宋体" w:hAnsi="宋体" w:eastAsia="宋体" w:cs="宋体"/>
                <w:b/>
                <w:bCs/>
                <w:color w:val="auto"/>
                <w:highlight w:val="none"/>
                <w:lang w:val="zh-CN"/>
              </w:rPr>
              <w:t xml:space="preserve">人，服务期 </w:t>
            </w:r>
            <w:r>
              <w:rPr>
                <w:rFonts w:hint="eastAsia" w:ascii="宋体" w:hAnsi="宋体" w:eastAsia="宋体" w:cs="宋体"/>
                <w:b/>
                <w:bCs/>
                <w:color w:val="auto"/>
                <w:highlight w:val="none"/>
              </w:rPr>
              <w:t>2</w:t>
            </w:r>
            <w:r>
              <w:rPr>
                <w:rFonts w:hint="eastAsia" w:ascii="宋体" w:hAnsi="宋体" w:eastAsia="宋体" w:cs="宋体"/>
                <w:b/>
                <w:bCs/>
                <w:color w:val="auto"/>
                <w:highlight w:val="none"/>
                <w:lang w:val="zh-CN"/>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0" w:hRule="atLeast"/>
        </w:trPr>
        <w:tc>
          <w:tcPr>
            <w:tcW w:w="727" w:type="dxa"/>
            <w:vMerge w:val="continue"/>
            <w:vAlign w:val="center"/>
          </w:tcPr>
          <w:p>
            <w:pPr>
              <w:jc w:val="center"/>
              <w:rPr>
                <w:rFonts w:hint="eastAsia" w:ascii="宋体" w:hAnsi="宋体" w:eastAsia="宋体" w:cs="宋体"/>
                <w:color w:val="auto"/>
                <w:highlight w:val="none"/>
                <w:lang w:val="zh-CN"/>
              </w:rPr>
            </w:pPr>
          </w:p>
        </w:tc>
        <w:tc>
          <w:tcPr>
            <w:tcW w:w="1099" w:type="dxa"/>
            <w:vMerge w:val="continue"/>
            <w:tcBorders>
              <w:right w:val="single" w:color="auto" w:sz="4" w:space="0"/>
            </w:tcBorders>
            <w:vAlign w:val="center"/>
          </w:tcPr>
          <w:p>
            <w:pPr>
              <w:snapToGrid w:val="0"/>
              <w:spacing w:line="500" w:lineRule="exact"/>
              <w:ind w:firstLine="482"/>
              <w:rPr>
                <w:rFonts w:hint="eastAsia" w:ascii="宋体" w:hAnsi="宋体" w:eastAsia="宋体" w:cs="宋体"/>
                <w:color w:val="auto"/>
                <w:kern w:val="0"/>
                <w:sz w:val="21"/>
                <w:szCs w:val="21"/>
                <w:highlight w:val="none"/>
                <w:lang w:val="zh-CN"/>
              </w:rPr>
            </w:pPr>
          </w:p>
        </w:tc>
        <w:tc>
          <w:tcPr>
            <w:tcW w:w="1869" w:type="dxa"/>
            <w:tcBorders>
              <w:left w:val="single" w:color="auto" w:sz="4" w:space="0"/>
              <w:right w:val="single" w:color="auto" w:sz="4" w:space="0"/>
            </w:tcBorders>
            <w:vAlign w:val="center"/>
          </w:tcPr>
          <w:p>
            <w:pPr>
              <w:snapToGrid w:val="0"/>
              <w:spacing w:line="500" w:lineRule="exac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en-US" w:eastAsia="zh-CN"/>
              </w:rPr>
              <w:t>设备投入费用</w:t>
            </w:r>
          </w:p>
        </w:tc>
        <w:tc>
          <w:tcPr>
            <w:tcW w:w="991" w:type="dxa"/>
            <w:tcBorders>
              <w:left w:val="single" w:color="auto" w:sz="4" w:space="0"/>
              <w:right w:val="single" w:color="auto" w:sz="4" w:space="0"/>
            </w:tcBorders>
            <w:vAlign w:val="center"/>
          </w:tcPr>
          <w:p>
            <w:pPr>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项</w:t>
            </w:r>
          </w:p>
        </w:tc>
        <w:tc>
          <w:tcPr>
            <w:tcW w:w="1074" w:type="dxa"/>
            <w:tcBorders>
              <w:left w:val="single" w:color="auto" w:sz="4" w:space="0"/>
            </w:tcBorders>
            <w:vAlign w:val="center"/>
          </w:tcPr>
          <w:p>
            <w:pPr>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1</w:t>
            </w:r>
          </w:p>
        </w:tc>
        <w:tc>
          <w:tcPr>
            <w:tcW w:w="1121" w:type="dxa"/>
            <w:vAlign w:val="center"/>
          </w:tcPr>
          <w:p>
            <w:pPr>
              <w:jc w:val="center"/>
              <w:rPr>
                <w:rFonts w:hint="eastAsia" w:ascii="宋体" w:hAnsi="宋体" w:eastAsia="宋体" w:cs="宋体"/>
                <w:color w:val="auto"/>
                <w:highlight w:val="none"/>
                <w:lang w:val="zh-CN"/>
              </w:rPr>
            </w:pPr>
          </w:p>
        </w:tc>
        <w:tc>
          <w:tcPr>
            <w:tcW w:w="2276" w:type="dxa"/>
            <w:vAlign w:val="center"/>
          </w:tcPr>
          <w:p>
            <w:pPr>
              <w:jc w:val="center"/>
              <w:rPr>
                <w:rFonts w:hint="eastAsia" w:ascii="宋体" w:hAnsi="宋体" w:eastAsia="宋体" w:cs="宋体"/>
                <w:b/>
                <w:bCs/>
                <w:color w:val="auto"/>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78" w:hRule="atLeast"/>
        </w:trPr>
        <w:tc>
          <w:tcPr>
            <w:tcW w:w="5760" w:type="dxa"/>
            <w:gridSpan w:val="5"/>
            <w:vMerge w:val="restart"/>
            <w:vAlign w:val="center"/>
          </w:tcPr>
          <w:p>
            <w:pPr>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投标报价</w:t>
            </w:r>
          </w:p>
        </w:tc>
        <w:tc>
          <w:tcPr>
            <w:tcW w:w="1121" w:type="dxa"/>
            <w:vAlign w:val="center"/>
          </w:tcPr>
          <w:p>
            <w:pPr>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小写（元）</w:t>
            </w:r>
          </w:p>
        </w:tc>
        <w:tc>
          <w:tcPr>
            <w:tcW w:w="2276" w:type="dxa"/>
            <w:tcBorders>
              <w:bottom w:val="single" w:color="auto" w:sz="4" w:space="0"/>
            </w:tcBorders>
            <w:vAlign w:val="center"/>
          </w:tcPr>
          <w:p>
            <w:pPr>
              <w:jc w:val="center"/>
              <w:rPr>
                <w:rFonts w:hint="eastAsia" w:ascii="宋体" w:hAnsi="宋体" w:eastAsia="宋体" w:cs="宋体"/>
                <w:color w:val="auto"/>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299" w:hRule="atLeast"/>
        </w:trPr>
        <w:tc>
          <w:tcPr>
            <w:tcW w:w="5760" w:type="dxa"/>
            <w:gridSpan w:val="5"/>
            <w:vMerge w:val="continue"/>
            <w:vAlign w:val="center"/>
          </w:tcPr>
          <w:p>
            <w:pPr>
              <w:jc w:val="center"/>
              <w:rPr>
                <w:rFonts w:hint="eastAsia" w:ascii="宋体" w:hAnsi="宋体" w:eastAsia="宋体" w:cs="宋体"/>
                <w:color w:val="auto"/>
                <w:highlight w:val="none"/>
                <w:lang w:val="zh-CN"/>
              </w:rPr>
            </w:pPr>
          </w:p>
        </w:tc>
        <w:tc>
          <w:tcPr>
            <w:tcW w:w="1121" w:type="dxa"/>
            <w:vAlign w:val="center"/>
          </w:tcPr>
          <w:p>
            <w:pPr>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大写（元）</w:t>
            </w:r>
          </w:p>
        </w:tc>
        <w:tc>
          <w:tcPr>
            <w:tcW w:w="2276" w:type="dxa"/>
            <w:tcBorders>
              <w:top w:val="single" w:color="auto" w:sz="4" w:space="0"/>
            </w:tcBorders>
            <w:vAlign w:val="center"/>
          </w:tcPr>
          <w:p>
            <w:pPr>
              <w:jc w:val="center"/>
              <w:rPr>
                <w:rFonts w:hint="eastAsia" w:ascii="宋体" w:hAnsi="宋体" w:eastAsia="宋体" w:cs="宋体"/>
                <w:color w:val="auto"/>
                <w:highlight w:val="none"/>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8" w:hRule="atLeast"/>
        </w:trPr>
        <w:tc>
          <w:tcPr>
            <w:tcW w:w="9157" w:type="dxa"/>
            <w:gridSpan w:val="7"/>
            <w:vAlign w:val="center"/>
          </w:tcPr>
          <w:p>
            <w:pPr>
              <w:jc w:val="left"/>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说明：（1）投标报价四舍五入到元。</w:t>
            </w:r>
          </w:p>
          <w:p>
            <w:pPr>
              <w:jc w:val="left"/>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2、养护范围内所有区域均垃圾分类音乐线收集费用均已在合同价内，不再另行支付。</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宋体" w:hAnsi="宋体" w:eastAsia="宋体" w:cs="宋体"/>
          <w:b w:val="0"/>
          <w:bCs w:val="0"/>
          <w:color w:val="auto"/>
          <w:sz w:val="24"/>
          <w:szCs w:val="24"/>
          <w:highlight w:val="none"/>
          <w:lang w:val="zh-CN" w:eastAsia="zh-CN"/>
        </w:rPr>
      </w:pPr>
      <w:bookmarkStart w:id="515" w:name="_Toc233618992"/>
      <w:r>
        <w:rPr>
          <w:rFonts w:hint="eastAsia" w:ascii="宋体" w:hAnsi="宋体" w:eastAsia="宋体" w:cs="宋体"/>
          <w:b w:val="0"/>
          <w:bCs w:val="0"/>
          <w:color w:val="auto"/>
          <w:sz w:val="24"/>
          <w:szCs w:val="24"/>
          <w:highlight w:val="none"/>
          <w:lang w:val="zh-CN" w:eastAsia="zh-CN"/>
        </w:rPr>
        <w:t>1、本投标文件及其所附文件涵盖了我方要约的全部内容。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宋体" w:hAnsi="宋体" w:eastAsia="宋体" w:cs="宋体"/>
          <w:b w:val="0"/>
          <w:bCs w:val="0"/>
          <w:color w:val="auto"/>
          <w:sz w:val="24"/>
          <w:szCs w:val="24"/>
          <w:highlight w:val="none"/>
          <w:lang w:val="zh-CN" w:eastAsia="zh-CN"/>
        </w:rPr>
      </w:pPr>
      <w:r>
        <w:rPr>
          <w:rFonts w:hint="eastAsia" w:ascii="宋体" w:hAnsi="宋体" w:eastAsia="宋体" w:cs="宋体"/>
          <w:b w:val="0"/>
          <w:bCs w:val="0"/>
          <w:color w:val="auto"/>
          <w:sz w:val="24"/>
          <w:szCs w:val="24"/>
          <w:highlight w:val="none"/>
          <w:lang w:val="zh-CN" w:eastAsia="zh-CN"/>
        </w:rPr>
        <w:t>2、本项目招标人员工资含人员基础工资、环卫特殊岗位津贴、高温费、社会保险费、住房公积金、双休日及法定节假日加班费、医疗体检费等；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宋体" w:hAnsi="宋体" w:eastAsia="宋体" w:cs="宋体"/>
          <w:b w:val="0"/>
          <w:bCs w:val="0"/>
          <w:color w:val="auto"/>
          <w:sz w:val="24"/>
          <w:szCs w:val="24"/>
          <w:highlight w:val="none"/>
          <w:lang w:val="zh-CN" w:eastAsia="zh-CN"/>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val="zh-CN" w:eastAsia="zh-CN"/>
        </w:rPr>
        <w:t>根据中华人民共和国招标投标法第三十三条规定“投标人不得以低于成本的报价竞标”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根据中华人民共和国财政部令第87号中的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5"/>
        <w:snapToGrid w:val="0"/>
        <w:spacing w:line="600" w:lineRule="exact"/>
        <w:ind w:firstLine="480" w:firstLineChars="200"/>
        <w:rPr>
          <w:rFonts w:hint="eastAsia" w:hAnsi="宋体" w:cs="宋体"/>
          <w:color w:val="auto"/>
          <w:sz w:val="24"/>
          <w:highlight w:val="none"/>
          <w:lang w:val="en-US" w:eastAsia="zh-CN"/>
        </w:rPr>
      </w:pPr>
      <w:r>
        <w:rPr>
          <w:rFonts w:hint="eastAsia" w:hAnsi="宋体" w:cs="宋体"/>
          <w:color w:val="auto"/>
          <w:sz w:val="24"/>
          <w:highlight w:val="none"/>
          <w:lang w:val="en-US" w:eastAsia="zh-CN"/>
        </w:rPr>
        <w:t>4、人员工资：根据杭政办〔2008〕14号、浙政办发〔2009〕190号、</w:t>
      </w:r>
      <w:r>
        <w:rPr>
          <w:rFonts w:hint="eastAsia" w:hAnsi="宋体" w:cs="宋体"/>
          <w:color w:val="auto"/>
          <w:sz w:val="24"/>
          <w:highlight w:val="none"/>
          <w:lang w:val="zh-CN" w:eastAsia="zh-CN"/>
        </w:rPr>
        <w:t>《浙江省人民政府关于调整全省最低工资标准的通知》（浙政发[2021]22号）、</w:t>
      </w:r>
      <w:r>
        <w:rPr>
          <w:rFonts w:hint="eastAsia" w:hAnsi="宋体" w:cs="宋体"/>
          <w:color w:val="auto"/>
          <w:sz w:val="24"/>
          <w:highlight w:val="none"/>
          <w:lang w:val="en-US" w:eastAsia="zh-CN"/>
        </w:rPr>
        <w:t>《杭州市人民政府关于调整市区最低工资标准的通知》（杭政函[2021]69号），日常加班工资按劳动法相关要求另行计算。必须为本项目人员缴纳五险、住房公积金及杭政办〔2008〕14号和浙政办发〔2009〕190号文件规定的其它经费，须在杭州本地缴纳“五险一金”。投标单位根据道路保洁作业定额，结合作业难易程度，确定投标合理报价。</w:t>
      </w:r>
    </w:p>
    <w:tbl>
      <w:tblPr>
        <w:tblStyle w:val="62"/>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2"/>
        <w:gridCol w:w="3199"/>
        <w:gridCol w:w="2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52"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基本工资</w:t>
            </w:r>
          </w:p>
        </w:tc>
        <w:tc>
          <w:tcPr>
            <w:tcW w:w="319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2280元/月，即27360元/年</w:t>
            </w:r>
          </w:p>
        </w:tc>
        <w:tc>
          <w:tcPr>
            <w:tcW w:w="265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杭政函[2021]69号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3252"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上浮10%</w:t>
            </w:r>
          </w:p>
        </w:tc>
        <w:tc>
          <w:tcPr>
            <w:tcW w:w="319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228元/月，即2736元/年</w:t>
            </w:r>
          </w:p>
        </w:tc>
        <w:tc>
          <w:tcPr>
            <w:tcW w:w="265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杭政办〔2008〕14号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52"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特殊岗位津贴</w:t>
            </w:r>
          </w:p>
        </w:tc>
        <w:tc>
          <w:tcPr>
            <w:tcW w:w="319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300元/月，即3600元/年</w:t>
            </w:r>
          </w:p>
        </w:tc>
        <w:tc>
          <w:tcPr>
            <w:tcW w:w="265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浙政办发〔2009〕190号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52"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夏季高温津贴</w:t>
            </w:r>
          </w:p>
        </w:tc>
        <w:tc>
          <w:tcPr>
            <w:tcW w:w="319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1200元/年</w:t>
            </w:r>
          </w:p>
        </w:tc>
        <w:tc>
          <w:tcPr>
            <w:tcW w:w="265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浙人社发〔2018〕65号300元/月，按4个月计算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3252"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住房公积金</w:t>
            </w:r>
          </w:p>
        </w:tc>
        <w:tc>
          <w:tcPr>
            <w:tcW w:w="319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125.4元/月，即1504.8元/年</w:t>
            </w:r>
          </w:p>
        </w:tc>
        <w:tc>
          <w:tcPr>
            <w:tcW w:w="265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杭政办〔2008〕14号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3252"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企业职工基本养老保险</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（单位缴纳比例按14%）</w:t>
            </w:r>
          </w:p>
        </w:tc>
        <w:tc>
          <w:tcPr>
            <w:tcW w:w="319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553.98元/月，即6647.76元/年</w:t>
            </w:r>
          </w:p>
        </w:tc>
        <w:tc>
          <w:tcPr>
            <w:tcW w:w="2659" w:type="dxa"/>
            <w:vMerge w:val="restart"/>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关于启动2021年度社会保险缴费基数的通知、浙人社发[2021]54号，基数保底值按3957元计算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3252"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失业保险</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（按0.5%计取）</w:t>
            </w:r>
          </w:p>
        </w:tc>
        <w:tc>
          <w:tcPr>
            <w:tcW w:w="319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19.79元/月，即237.48元/年</w:t>
            </w:r>
          </w:p>
        </w:tc>
        <w:tc>
          <w:tcPr>
            <w:tcW w:w="2659" w:type="dxa"/>
            <w:vMerge w:val="continue"/>
            <w:noWrap w:val="0"/>
            <w:vAlign w:val="center"/>
          </w:tcPr>
          <w:p>
            <w:pPr>
              <w:jc w:val="lef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252"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医疗保险</w:t>
            </w:r>
          </w:p>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（单位缴纳比例按9.9%）</w:t>
            </w:r>
          </w:p>
        </w:tc>
        <w:tc>
          <w:tcPr>
            <w:tcW w:w="3199" w:type="dxa"/>
            <w:noWrap w:val="0"/>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391.74元/月，即4700.88元/年</w:t>
            </w:r>
          </w:p>
        </w:tc>
        <w:tc>
          <w:tcPr>
            <w:tcW w:w="2659" w:type="dxa"/>
            <w:vMerge w:val="continue"/>
            <w:noWrap w:val="0"/>
            <w:vAlign w:val="center"/>
          </w:tcPr>
          <w:p>
            <w:pPr>
              <w:jc w:val="left"/>
              <w:rPr>
                <w:rFonts w:hint="eastAsia" w:ascii="宋体" w:hAnsi="宋体" w:eastAsia="宋体" w:cs="宋体"/>
                <w:color w:val="auto"/>
                <w:sz w:val="24"/>
                <w:szCs w:val="24"/>
                <w:highlight w:val="none"/>
              </w:rPr>
            </w:pPr>
          </w:p>
        </w:tc>
      </w:tr>
    </w:tbl>
    <w:p>
      <w:pPr>
        <w:widowControl w:val="0"/>
        <w:shd w:val="clear" w:color="auto" w:fill="FFFFFF"/>
        <w:tabs>
          <w:tab w:val="left" w:pos="914"/>
        </w:tabs>
        <w:wordWrap/>
        <w:adjustRightInd w:val="0"/>
        <w:snapToGrid w:val="0"/>
        <w:spacing w:line="440" w:lineRule="exact"/>
        <w:ind w:firstLine="480" w:firstLineChars="200"/>
        <w:jc w:val="left"/>
        <w:textAlignment w:val="auto"/>
        <w:rPr>
          <w:rFonts w:hint="eastAsia" w:ascii="宋体" w:hAnsi="宋体" w:eastAsia="宋体" w:cs="宋体"/>
          <w:color w:val="auto"/>
          <w:sz w:val="24"/>
          <w:highlight w:val="none"/>
          <w:lang w:eastAsia="zh-CN"/>
        </w:rPr>
      </w:pP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lang w:val="zh-CN"/>
        </w:rPr>
        <w:t>、投标人需按本表格式填写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6</w:t>
      </w:r>
      <w:r>
        <w:rPr>
          <w:rFonts w:hint="eastAsia" w:ascii="宋体" w:hAnsi="宋体" w:cs="宋体"/>
          <w:color w:val="auto"/>
          <w:kern w:val="0"/>
          <w:sz w:val="24"/>
          <w:highlight w:val="none"/>
          <w:lang w:val="zh-CN"/>
        </w:rPr>
        <w:t>、有关本项目实施所涉及的一切费用均计入报价。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en-US" w:eastAsia="zh-CN"/>
        </w:rPr>
        <w:t>7</w:t>
      </w:r>
      <w:r>
        <w:rPr>
          <w:rFonts w:hint="eastAsia" w:ascii="宋体" w:hAnsi="宋体" w:cs="宋体"/>
          <w:color w:val="auto"/>
          <w:kern w:val="0"/>
          <w:sz w:val="24"/>
          <w:highlight w:val="none"/>
          <w:lang w:val="zh-CN"/>
        </w:rPr>
        <w:t>、特别提示：采购代理机构将对项目名称和项目编号，中标供应商名称、地址和中标金额，主要中标标的名称、服务范围、服务要求、服务时间、服务标准等予以公示。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szCs w:val="22"/>
          <w:highlight w:val="none"/>
          <w:lang w:val="en-US" w:eastAsia="zh-CN"/>
        </w:rPr>
        <w:t>8</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kern w:val="0"/>
          <w:sz w:val="24"/>
          <w:highlight w:val="none"/>
        </w:rPr>
      </w:pPr>
    </w:p>
    <w:p>
      <w:pPr>
        <w:shd w:val="clear" w:color="auto" w:fill="FFFFFF"/>
        <w:snapToGrid w:val="0"/>
        <w:spacing w:line="360" w:lineRule="auto"/>
        <w:ind w:firstLine="480" w:firstLineChars="200"/>
        <w:jc w:val="right"/>
        <w:rPr>
          <w:rFonts w:hint="eastAsia" w:ascii="宋体" w:hAnsi="宋体" w:eastAsia="宋体" w:cs="宋体"/>
          <w:color w:val="auto"/>
          <w:sz w:val="24"/>
          <w:highlight w:val="none"/>
        </w:rPr>
      </w:pPr>
    </w:p>
    <w:p>
      <w:pPr>
        <w:shd w:val="clear" w:color="auto" w:fill="FFFFFF"/>
        <w:snapToGrid w:val="0"/>
        <w:spacing w:line="360" w:lineRule="auto"/>
        <w:ind w:firstLine="480" w:firstLineChars="20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投标人名称(公章)：</w:t>
      </w:r>
    </w:p>
    <w:p>
      <w:pPr>
        <w:shd w:val="clear" w:color="auto" w:fill="FFFFFF"/>
        <w:snapToGrid w:val="0"/>
        <w:spacing w:line="360" w:lineRule="auto"/>
        <w:ind w:firstLine="480" w:firstLineChars="200"/>
        <w:jc w:val="right"/>
        <w:rPr>
          <w:rFonts w:hint="eastAsia" w:ascii="宋体" w:hAnsi="宋体" w:eastAsia="宋体" w:cs="宋体"/>
          <w:color w:val="auto"/>
          <w:sz w:val="24"/>
          <w:highlight w:val="none"/>
          <w:lang w:val="zh-CN"/>
        </w:rPr>
      </w:pPr>
      <w:r>
        <w:rPr>
          <w:rFonts w:hint="eastAsia" w:ascii="宋体" w:hAnsi="宋体" w:eastAsia="宋体" w:cs="宋体"/>
          <w:color w:val="auto"/>
          <w:kern w:val="0"/>
          <w:sz w:val="24"/>
          <w:highlight w:val="none"/>
          <w:lang w:val="zh-CN"/>
        </w:rPr>
        <w:t>法定（授权）代表人（</w:t>
      </w:r>
      <w:r>
        <w:rPr>
          <w:rFonts w:hint="eastAsia" w:ascii="宋体" w:hAnsi="宋体" w:eastAsia="宋体" w:cs="宋体"/>
          <w:color w:val="auto"/>
          <w:kern w:val="0"/>
          <w:sz w:val="24"/>
          <w:highlight w:val="none"/>
        </w:rPr>
        <w:t>盖</w:t>
      </w:r>
      <w:r>
        <w:rPr>
          <w:rFonts w:hint="eastAsia" w:ascii="宋体" w:hAnsi="宋体" w:eastAsia="宋体" w:cs="宋体"/>
          <w:color w:val="auto"/>
          <w:sz w:val="24"/>
          <w:highlight w:val="none"/>
        </w:rPr>
        <w:t>章或签字</w:t>
      </w:r>
      <w:r>
        <w:rPr>
          <w:rFonts w:hint="eastAsia" w:ascii="宋体" w:hAnsi="宋体" w:eastAsia="宋体" w:cs="宋体"/>
          <w:color w:val="auto"/>
          <w:sz w:val="24"/>
          <w:highlight w:val="none"/>
          <w:lang w:val="zh-CN"/>
        </w:rPr>
        <w:t>）：</w:t>
      </w:r>
    </w:p>
    <w:p>
      <w:pPr>
        <w:pStyle w:val="4"/>
        <w:jc w:val="right"/>
        <w:rPr>
          <w:rFonts w:hint="eastAsia" w:ascii="宋体" w:hAnsi="宋体" w:eastAsia="宋体" w:cs="宋体"/>
          <w:b w:val="0"/>
          <w:bCs w:val="0"/>
          <w:color w:val="auto"/>
          <w:highlight w:val="none"/>
        </w:rPr>
      </w:pPr>
      <w:r>
        <w:rPr>
          <w:rFonts w:hint="eastAsia" w:ascii="宋体" w:hAnsi="宋体" w:eastAsia="宋体" w:cs="宋体"/>
          <w:b w:val="0"/>
          <w:bCs w:val="0"/>
          <w:color w:val="auto"/>
          <w:sz w:val="24"/>
          <w:highlight w:val="none"/>
        </w:rPr>
        <w:t>日期：    年   月   日</w:t>
      </w:r>
    </w:p>
    <w:p>
      <w:pPr>
        <w:pageBreakBefore/>
        <w:shd w:val="clear" w:color="auto" w:fill="FFFFFF"/>
        <w:snapToGrid w:val="0"/>
        <w:spacing w:line="360" w:lineRule="auto"/>
        <w:ind w:left="3570"/>
        <w:outlineLvl w:val="2"/>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二、报价明细清单</w:t>
      </w:r>
      <w:bookmarkEnd w:id="515"/>
    </w:p>
    <w:p>
      <w:pPr>
        <w:pStyle w:val="26"/>
        <w:rPr>
          <w:rFonts w:hint="eastAsia" w:ascii="宋体" w:hAnsi="宋体" w:eastAsia="宋体" w:cs="宋体"/>
          <w:color w:val="auto"/>
          <w:highlight w:val="none"/>
        </w:rPr>
      </w:pPr>
    </w:p>
    <w:p>
      <w:pPr>
        <w:autoSpaceDE w:val="0"/>
        <w:autoSpaceDN w:val="0"/>
        <w:spacing w:line="440" w:lineRule="exact"/>
        <w:rPr>
          <w:rFonts w:hint="eastAsia" w:ascii="宋体" w:hAnsi="宋体" w:eastAsia="宋体" w:cs="宋体"/>
          <w:color w:val="auto"/>
          <w:highlight w:val="none"/>
        </w:rPr>
      </w:pPr>
      <w:r>
        <w:rPr>
          <w:rFonts w:hint="eastAsia" w:ascii="宋体" w:hAnsi="宋体" w:eastAsia="宋体" w:cs="宋体"/>
          <w:color w:val="auto"/>
          <w:kern w:val="0"/>
          <w:sz w:val="24"/>
          <w:highlight w:val="none"/>
        </w:rPr>
        <w:t>项目名称：</w:t>
      </w:r>
      <w:r>
        <w:rPr>
          <w:rFonts w:hint="eastAsia" w:ascii="宋体" w:hAnsi="宋体" w:eastAsia="宋体" w:cs="宋体"/>
          <w:b/>
          <w:color w:val="auto"/>
          <w:kern w:val="0"/>
          <w:sz w:val="24"/>
          <w:highlight w:val="none"/>
        </w:rPr>
        <w:t xml:space="preserve">                                        </w:t>
      </w:r>
      <w:r>
        <w:rPr>
          <w:rFonts w:hint="eastAsia" w:ascii="宋体" w:hAnsi="宋体" w:eastAsia="宋体" w:cs="宋体"/>
          <w:color w:val="auto"/>
          <w:kern w:val="0"/>
          <w:sz w:val="24"/>
          <w:highlight w:val="none"/>
        </w:rPr>
        <w:t>项目编号：</w:t>
      </w:r>
    </w:p>
    <w:tbl>
      <w:tblPr>
        <w:tblStyle w:val="6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3"/>
        <w:gridCol w:w="532"/>
        <w:gridCol w:w="764"/>
        <w:gridCol w:w="2292"/>
        <w:gridCol w:w="1134"/>
        <w:gridCol w:w="1417"/>
        <w:gridCol w:w="1276"/>
        <w:gridCol w:w="12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right w:val="single" w:color="auto" w:sz="4" w:space="0"/>
            </w:tcBorders>
            <w:shd w:val="clear" w:color="auto" w:fill="E5DFEC"/>
          </w:tcPr>
          <w:p>
            <w:pPr>
              <w:autoSpaceDE w:val="0"/>
              <w:autoSpaceDN w:val="0"/>
              <w:spacing w:line="400" w:lineRule="atLeast"/>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序号</w:t>
            </w:r>
          </w:p>
        </w:tc>
        <w:tc>
          <w:tcPr>
            <w:tcW w:w="1296" w:type="dxa"/>
            <w:gridSpan w:val="2"/>
            <w:tcBorders>
              <w:left w:val="single" w:color="auto" w:sz="4" w:space="0"/>
              <w:right w:val="single" w:color="auto" w:sz="4" w:space="0"/>
            </w:tcBorders>
            <w:shd w:val="clear" w:color="auto" w:fill="E5DFEC"/>
          </w:tcPr>
          <w:p>
            <w:pPr>
              <w:autoSpaceDE w:val="0"/>
              <w:autoSpaceDN w:val="0"/>
              <w:spacing w:line="400" w:lineRule="atLeast"/>
              <w:rPr>
                <w:rFonts w:hint="eastAsia" w:ascii="宋体" w:hAnsi="宋体" w:eastAsia="宋体" w:cs="宋体"/>
                <w:b/>
                <w:color w:val="auto"/>
                <w:kern w:val="0"/>
                <w:sz w:val="24"/>
                <w:highlight w:val="none"/>
              </w:rPr>
            </w:pPr>
          </w:p>
        </w:tc>
        <w:tc>
          <w:tcPr>
            <w:tcW w:w="2292" w:type="dxa"/>
            <w:tcBorders>
              <w:left w:val="single" w:color="auto" w:sz="4" w:space="0"/>
            </w:tcBorders>
            <w:shd w:val="clear" w:color="auto" w:fill="E5DFEC"/>
          </w:tcPr>
          <w:p>
            <w:pPr>
              <w:autoSpaceDE w:val="0"/>
              <w:autoSpaceDN w:val="0"/>
              <w:spacing w:line="400" w:lineRule="atLeast"/>
              <w:rPr>
                <w:rFonts w:hint="eastAsia" w:ascii="宋体" w:hAnsi="宋体" w:eastAsia="宋体" w:cs="宋体"/>
                <w:b/>
                <w:color w:val="auto"/>
                <w:kern w:val="0"/>
                <w:sz w:val="24"/>
                <w:highlight w:val="none"/>
              </w:rPr>
            </w:pPr>
          </w:p>
        </w:tc>
        <w:tc>
          <w:tcPr>
            <w:tcW w:w="1134" w:type="dxa"/>
            <w:shd w:val="clear" w:color="auto" w:fill="E5DFEC"/>
          </w:tcPr>
          <w:p>
            <w:pPr>
              <w:autoSpaceDE w:val="0"/>
              <w:autoSpaceDN w:val="0"/>
              <w:spacing w:line="400" w:lineRule="atLeast"/>
              <w:rPr>
                <w:rFonts w:hint="eastAsia" w:ascii="宋体" w:hAnsi="宋体" w:eastAsia="宋体" w:cs="宋体"/>
                <w:b/>
                <w:color w:val="auto"/>
                <w:kern w:val="0"/>
                <w:sz w:val="24"/>
                <w:highlight w:val="none"/>
              </w:rPr>
            </w:pPr>
          </w:p>
        </w:tc>
        <w:tc>
          <w:tcPr>
            <w:tcW w:w="1417" w:type="dxa"/>
            <w:shd w:val="clear" w:color="auto" w:fill="E5DFEC"/>
          </w:tcPr>
          <w:p>
            <w:pPr>
              <w:autoSpaceDE w:val="0"/>
              <w:autoSpaceDN w:val="0"/>
              <w:spacing w:line="400" w:lineRule="atLeast"/>
              <w:rPr>
                <w:rFonts w:hint="eastAsia" w:ascii="宋体" w:hAnsi="宋体" w:eastAsia="宋体" w:cs="宋体"/>
                <w:b/>
                <w:color w:val="auto"/>
                <w:kern w:val="0"/>
                <w:sz w:val="24"/>
                <w:highlight w:val="none"/>
              </w:rPr>
            </w:pPr>
          </w:p>
        </w:tc>
        <w:tc>
          <w:tcPr>
            <w:tcW w:w="1276" w:type="dxa"/>
            <w:shd w:val="clear" w:color="auto" w:fill="E5DFEC"/>
          </w:tcPr>
          <w:p>
            <w:pPr>
              <w:autoSpaceDE w:val="0"/>
              <w:autoSpaceDN w:val="0"/>
              <w:spacing w:line="400" w:lineRule="atLeast"/>
              <w:rPr>
                <w:rFonts w:hint="eastAsia" w:ascii="宋体" w:hAnsi="宋体" w:eastAsia="宋体" w:cs="宋体"/>
                <w:b/>
                <w:color w:val="auto"/>
                <w:kern w:val="0"/>
                <w:sz w:val="24"/>
                <w:highlight w:val="none"/>
              </w:rPr>
            </w:pPr>
          </w:p>
        </w:tc>
        <w:tc>
          <w:tcPr>
            <w:tcW w:w="1269" w:type="dxa"/>
            <w:shd w:val="clear" w:color="auto" w:fill="E5DFEC"/>
          </w:tcPr>
          <w:p>
            <w:pPr>
              <w:autoSpaceDE w:val="0"/>
              <w:autoSpaceDN w:val="0"/>
              <w:spacing w:line="400" w:lineRule="atLeast"/>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73" w:type="dxa"/>
            <w:tcBorders>
              <w:righ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1296" w:type="dxa"/>
            <w:gridSpan w:val="2"/>
            <w:tcBorders>
              <w:left w:val="single" w:color="auto" w:sz="4" w:space="0"/>
              <w:righ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2292" w:type="dxa"/>
            <w:tcBorders>
              <w:lef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1134" w:type="dxa"/>
          </w:tcPr>
          <w:p>
            <w:pPr>
              <w:autoSpaceDE w:val="0"/>
              <w:autoSpaceDN w:val="0"/>
              <w:spacing w:line="400" w:lineRule="atLeast"/>
              <w:rPr>
                <w:rFonts w:hint="eastAsia" w:ascii="宋体" w:hAnsi="宋体" w:eastAsia="宋体" w:cs="宋体"/>
                <w:color w:val="auto"/>
                <w:kern w:val="0"/>
                <w:sz w:val="24"/>
                <w:highlight w:val="none"/>
              </w:rPr>
            </w:pPr>
          </w:p>
        </w:tc>
        <w:tc>
          <w:tcPr>
            <w:tcW w:w="1417" w:type="dxa"/>
          </w:tcPr>
          <w:p>
            <w:pPr>
              <w:autoSpaceDE w:val="0"/>
              <w:autoSpaceDN w:val="0"/>
              <w:spacing w:line="400" w:lineRule="atLeast"/>
              <w:rPr>
                <w:rFonts w:hint="eastAsia" w:ascii="宋体" w:hAnsi="宋体" w:eastAsia="宋体" w:cs="宋体"/>
                <w:color w:val="auto"/>
                <w:kern w:val="0"/>
                <w:sz w:val="24"/>
                <w:highlight w:val="none"/>
              </w:rPr>
            </w:pPr>
          </w:p>
        </w:tc>
        <w:tc>
          <w:tcPr>
            <w:tcW w:w="1276" w:type="dxa"/>
          </w:tcPr>
          <w:p>
            <w:pPr>
              <w:autoSpaceDE w:val="0"/>
              <w:autoSpaceDN w:val="0"/>
              <w:spacing w:line="400" w:lineRule="atLeast"/>
              <w:rPr>
                <w:rFonts w:hint="eastAsia" w:ascii="宋体" w:hAnsi="宋体" w:eastAsia="宋体" w:cs="宋体"/>
                <w:color w:val="auto"/>
                <w:kern w:val="0"/>
                <w:sz w:val="24"/>
                <w:highlight w:val="none"/>
              </w:rPr>
            </w:pPr>
          </w:p>
        </w:tc>
        <w:tc>
          <w:tcPr>
            <w:tcW w:w="1269" w:type="dxa"/>
          </w:tcPr>
          <w:p>
            <w:pPr>
              <w:autoSpaceDE w:val="0"/>
              <w:autoSpaceDN w:val="0"/>
              <w:spacing w:line="400" w:lineRule="atLeast"/>
              <w:rPr>
                <w:rFonts w:hint="eastAsia" w:ascii="宋体" w:hAnsi="宋体" w:eastAsia="宋体" w:cs="宋体"/>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righ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1296" w:type="dxa"/>
            <w:gridSpan w:val="2"/>
            <w:tcBorders>
              <w:left w:val="single" w:color="auto" w:sz="4" w:space="0"/>
              <w:righ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2292" w:type="dxa"/>
            <w:tcBorders>
              <w:lef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1134" w:type="dxa"/>
          </w:tcPr>
          <w:p>
            <w:pPr>
              <w:autoSpaceDE w:val="0"/>
              <w:autoSpaceDN w:val="0"/>
              <w:spacing w:line="400" w:lineRule="atLeast"/>
              <w:rPr>
                <w:rFonts w:hint="eastAsia" w:ascii="宋体" w:hAnsi="宋体" w:eastAsia="宋体" w:cs="宋体"/>
                <w:color w:val="auto"/>
                <w:kern w:val="0"/>
                <w:sz w:val="24"/>
                <w:highlight w:val="none"/>
              </w:rPr>
            </w:pPr>
          </w:p>
        </w:tc>
        <w:tc>
          <w:tcPr>
            <w:tcW w:w="1417" w:type="dxa"/>
          </w:tcPr>
          <w:p>
            <w:pPr>
              <w:autoSpaceDE w:val="0"/>
              <w:autoSpaceDN w:val="0"/>
              <w:spacing w:line="400" w:lineRule="atLeast"/>
              <w:rPr>
                <w:rFonts w:hint="eastAsia" w:ascii="宋体" w:hAnsi="宋体" w:eastAsia="宋体" w:cs="宋体"/>
                <w:color w:val="auto"/>
                <w:kern w:val="0"/>
                <w:sz w:val="24"/>
                <w:highlight w:val="none"/>
              </w:rPr>
            </w:pPr>
          </w:p>
        </w:tc>
        <w:tc>
          <w:tcPr>
            <w:tcW w:w="1276" w:type="dxa"/>
          </w:tcPr>
          <w:p>
            <w:pPr>
              <w:autoSpaceDE w:val="0"/>
              <w:autoSpaceDN w:val="0"/>
              <w:spacing w:line="400" w:lineRule="atLeast"/>
              <w:rPr>
                <w:rFonts w:hint="eastAsia" w:ascii="宋体" w:hAnsi="宋体" w:eastAsia="宋体" w:cs="宋体"/>
                <w:color w:val="auto"/>
                <w:kern w:val="0"/>
                <w:sz w:val="24"/>
                <w:highlight w:val="none"/>
              </w:rPr>
            </w:pPr>
          </w:p>
        </w:tc>
        <w:tc>
          <w:tcPr>
            <w:tcW w:w="1269" w:type="dxa"/>
          </w:tcPr>
          <w:p>
            <w:pPr>
              <w:autoSpaceDE w:val="0"/>
              <w:autoSpaceDN w:val="0"/>
              <w:spacing w:line="400" w:lineRule="atLeast"/>
              <w:rPr>
                <w:rFonts w:hint="eastAsia" w:ascii="宋体" w:hAnsi="宋体" w:eastAsia="宋体" w:cs="宋体"/>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73" w:type="dxa"/>
            <w:tcBorders>
              <w:righ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1296" w:type="dxa"/>
            <w:gridSpan w:val="2"/>
            <w:tcBorders>
              <w:left w:val="single" w:color="auto" w:sz="4" w:space="0"/>
              <w:righ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2292" w:type="dxa"/>
            <w:tcBorders>
              <w:lef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1134" w:type="dxa"/>
          </w:tcPr>
          <w:p>
            <w:pPr>
              <w:autoSpaceDE w:val="0"/>
              <w:autoSpaceDN w:val="0"/>
              <w:spacing w:line="400" w:lineRule="atLeast"/>
              <w:rPr>
                <w:rFonts w:hint="eastAsia" w:ascii="宋体" w:hAnsi="宋体" w:eastAsia="宋体" w:cs="宋体"/>
                <w:color w:val="auto"/>
                <w:kern w:val="0"/>
                <w:sz w:val="24"/>
                <w:highlight w:val="none"/>
              </w:rPr>
            </w:pPr>
          </w:p>
        </w:tc>
        <w:tc>
          <w:tcPr>
            <w:tcW w:w="1417" w:type="dxa"/>
          </w:tcPr>
          <w:p>
            <w:pPr>
              <w:autoSpaceDE w:val="0"/>
              <w:autoSpaceDN w:val="0"/>
              <w:spacing w:line="400" w:lineRule="atLeast"/>
              <w:rPr>
                <w:rFonts w:hint="eastAsia" w:ascii="宋体" w:hAnsi="宋体" w:eastAsia="宋体" w:cs="宋体"/>
                <w:color w:val="auto"/>
                <w:kern w:val="0"/>
                <w:sz w:val="24"/>
                <w:highlight w:val="none"/>
              </w:rPr>
            </w:pPr>
          </w:p>
        </w:tc>
        <w:tc>
          <w:tcPr>
            <w:tcW w:w="1276" w:type="dxa"/>
          </w:tcPr>
          <w:p>
            <w:pPr>
              <w:autoSpaceDE w:val="0"/>
              <w:autoSpaceDN w:val="0"/>
              <w:spacing w:line="400" w:lineRule="atLeast"/>
              <w:rPr>
                <w:rFonts w:hint="eastAsia" w:ascii="宋体" w:hAnsi="宋体" w:eastAsia="宋体" w:cs="宋体"/>
                <w:color w:val="auto"/>
                <w:kern w:val="0"/>
                <w:sz w:val="24"/>
                <w:highlight w:val="none"/>
              </w:rPr>
            </w:pPr>
          </w:p>
        </w:tc>
        <w:tc>
          <w:tcPr>
            <w:tcW w:w="1269" w:type="dxa"/>
          </w:tcPr>
          <w:p>
            <w:pPr>
              <w:autoSpaceDE w:val="0"/>
              <w:autoSpaceDN w:val="0"/>
              <w:spacing w:line="400" w:lineRule="atLeast"/>
              <w:rPr>
                <w:rFonts w:hint="eastAsia" w:ascii="宋体" w:hAnsi="宋体" w:eastAsia="宋体" w:cs="宋体"/>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righ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1296" w:type="dxa"/>
            <w:gridSpan w:val="2"/>
            <w:tcBorders>
              <w:left w:val="single" w:color="auto" w:sz="4" w:space="0"/>
              <w:righ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2292" w:type="dxa"/>
            <w:tcBorders>
              <w:lef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1134" w:type="dxa"/>
          </w:tcPr>
          <w:p>
            <w:pPr>
              <w:autoSpaceDE w:val="0"/>
              <w:autoSpaceDN w:val="0"/>
              <w:spacing w:line="400" w:lineRule="atLeast"/>
              <w:rPr>
                <w:rFonts w:hint="eastAsia" w:ascii="宋体" w:hAnsi="宋体" w:eastAsia="宋体" w:cs="宋体"/>
                <w:color w:val="auto"/>
                <w:kern w:val="0"/>
                <w:sz w:val="24"/>
                <w:highlight w:val="none"/>
              </w:rPr>
            </w:pPr>
          </w:p>
        </w:tc>
        <w:tc>
          <w:tcPr>
            <w:tcW w:w="1417" w:type="dxa"/>
          </w:tcPr>
          <w:p>
            <w:pPr>
              <w:autoSpaceDE w:val="0"/>
              <w:autoSpaceDN w:val="0"/>
              <w:spacing w:line="400" w:lineRule="atLeast"/>
              <w:rPr>
                <w:rFonts w:hint="eastAsia" w:ascii="宋体" w:hAnsi="宋体" w:eastAsia="宋体" w:cs="宋体"/>
                <w:color w:val="auto"/>
                <w:kern w:val="0"/>
                <w:sz w:val="24"/>
                <w:highlight w:val="none"/>
              </w:rPr>
            </w:pPr>
          </w:p>
        </w:tc>
        <w:tc>
          <w:tcPr>
            <w:tcW w:w="1276" w:type="dxa"/>
          </w:tcPr>
          <w:p>
            <w:pPr>
              <w:autoSpaceDE w:val="0"/>
              <w:autoSpaceDN w:val="0"/>
              <w:spacing w:line="400" w:lineRule="atLeast"/>
              <w:rPr>
                <w:rFonts w:hint="eastAsia" w:ascii="宋体" w:hAnsi="宋体" w:eastAsia="宋体" w:cs="宋体"/>
                <w:color w:val="auto"/>
                <w:kern w:val="0"/>
                <w:sz w:val="24"/>
                <w:highlight w:val="none"/>
              </w:rPr>
            </w:pPr>
          </w:p>
        </w:tc>
        <w:tc>
          <w:tcPr>
            <w:tcW w:w="1269" w:type="dxa"/>
          </w:tcPr>
          <w:p>
            <w:pPr>
              <w:autoSpaceDE w:val="0"/>
              <w:autoSpaceDN w:val="0"/>
              <w:spacing w:line="400" w:lineRule="atLeast"/>
              <w:rPr>
                <w:rFonts w:hint="eastAsia" w:ascii="宋体" w:hAnsi="宋体" w:eastAsia="宋体" w:cs="宋体"/>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73" w:type="dxa"/>
            <w:tcBorders>
              <w:righ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1296" w:type="dxa"/>
            <w:gridSpan w:val="2"/>
            <w:tcBorders>
              <w:left w:val="single" w:color="auto" w:sz="4" w:space="0"/>
              <w:righ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2292" w:type="dxa"/>
            <w:tcBorders>
              <w:lef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1134" w:type="dxa"/>
          </w:tcPr>
          <w:p>
            <w:pPr>
              <w:autoSpaceDE w:val="0"/>
              <w:autoSpaceDN w:val="0"/>
              <w:spacing w:line="400" w:lineRule="atLeast"/>
              <w:rPr>
                <w:rFonts w:hint="eastAsia" w:ascii="宋体" w:hAnsi="宋体" w:eastAsia="宋体" w:cs="宋体"/>
                <w:color w:val="auto"/>
                <w:kern w:val="0"/>
                <w:sz w:val="24"/>
                <w:highlight w:val="none"/>
              </w:rPr>
            </w:pPr>
          </w:p>
        </w:tc>
        <w:tc>
          <w:tcPr>
            <w:tcW w:w="1417" w:type="dxa"/>
          </w:tcPr>
          <w:p>
            <w:pPr>
              <w:autoSpaceDE w:val="0"/>
              <w:autoSpaceDN w:val="0"/>
              <w:spacing w:line="400" w:lineRule="atLeast"/>
              <w:rPr>
                <w:rFonts w:hint="eastAsia" w:ascii="宋体" w:hAnsi="宋体" w:eastAsia="宋体" w:cs="宋体"/>
                <w:color w:val="auto"/>
                <w:kern w:val="0"/>
                <w:sz w:val="24"/>
                <w:highlight w:val="none"/>
              </w:rPr>
            </w:pPr>
          </w:p>
        </w:tc>
        <w:tc>
          <w:tcPr>
            <w:tcW w:w="1276" w:type="dxa"/>
          </w:tcPr>
          <w:p>
            <w:pPr>
              <w:autoSpaceDE w:val="0"/>
              <w:autoSpaceDN w:val="0"/>
              <w:spacing w:line="400" w:lineRule="atLeast"/>
              <w:rPr>
                <w:rFonts w:hint="eastAsia" w:ascii="宋体" w:hAnsi="宋体" w:eastAsia="宋体" w:cs="宋体"/>
                <w:color w:val="auto"/>
                <w:kern w:val="0"/>
                <w:sz w:val="24"/>
                <w:highlight w:val="none"/>
              </w:rPr>
            </w:pPr>
          </w:p>
        </w:tc>
        <w:tc>
          <w:tcPr>
            <w:tcW w:w="1269" w:type="dxa"/>
          </w:tcPr>
          <w:p>
            <w:pPr>
              <w:autoSpaceDE w:val="0"/>
              <w:autoSpaceDN w:val="0"/>
              <w:spacing w:line="400" w:lineRule="atLeast"/>
              <w:rPr>
                <w:rFonts w:hint="eastAsia" w:ascii="宋体" w:hAnsi="宋体" w:eastAsia="宋体" w:cs="宋体"/>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3" w:type="dxa"/>
            <w:tcBorders>
              <w:righ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1296" w:type="dxa"/>
            <w:gridSpan w:val="2"/>
            <w:tcBorders>
              <w:left w:val="single" w:color="auto" w:sz="4" w:space="0"/>
              <w:righ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2292" w:type="dxa"/>
            <w:tcBorders>
              <w:lef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1134" w:type="dxa"/>
          </w:tcPr>
          <w:p>
            <w:pPr>
              <w:autoSpaceDE w:val="0"/>
              <w:autoSpaceDN w:val="0"/>
              <w:spacing w:line="400" w:lineRule="atLeast"/>
              <w:rPr>
                <w:rFonts w:hint="eastAsia" w:ascii="宋体" w:hAnsi="宋体" w:eastAsia="宋体" w:cs="宋体"/>
                <w:color w:val="auto"/>
                <w:kern w:val="0"/>
                <w:sz w:val="24"/>
                <w:highlight w:val="none"/>
              </w:rPr>
            </w:pPr>
          </w:p>
        </w:tc>
        <w:tc>
          <w:tcPr>
            <w:tcW w:w="1417" w:type="dxa"/>
          </w:tcPr>
          <w:p>
            <w:pPr>
              <w:autoSpaceDE w:val="0"/>
              <w:autoSpaceDN w:val="0"/>
              <w:spacing w:line="400" w:lineRule="atLeast"/>
              <w:rPr>
                <w:rFonts w:hint="eastAsia" w:ascii="宋体" w:hAnsi="宋体" w:eastAsia="宋体" w:cs="宋体"/>
                <w:color w:val="auto"/>
                <w:kern w:val="0"/>
                <w:sz w:val="24"/>
                <w:highlight w:val="none"/>
              </w:rPr>
            </w:pPr>
          </w:p>
        </w:tc>
        <w:tc>
          <w:tcPr>
            <w:tcW w:w="1276" w:type="dxa"/>
          </w:tcPr>
          <w:p>
            <w:pPr>
              <w:autoSpaceDE w:val="0"/>
              <w:autoSpaceDN w:val="0"/>
              <w:spacing w:line="400" w:lineRule="atLeast"/>
              <w:rPr>
                <w:rFonts w:hint="eastAsia" w:ascii="宋体" w:hAnsi="宋体" w:eastAsia="宋体" w:cs="宋体"/>
                <w:color w:val="auto"/>
                <w:kern w:val="0"/>
                <w:sz w:val="24"/>
                <w:highlight w:val="none"/>
              </w:rPr>
            </w:pPr>
          </w:p>
        </w:tc>
        <w:tc>
          <w:tcPr>
            <w:tcW w:w="1269" w:type="dxa"/>
          </w:tcPr>
          <w:p>
            <w:pPr>
              <w:autoSpaceDE w:val="0"/>
              <w:autoSpaceDN w:val="0"/>
              <w:spacing w:line="400" w:lineRule="atLeast"/>
              <w:rPr>
                <w:rFonts w:hint="eastAsia" w:ascii="宋体" w:hAnsi="宋体" w:eastAsia="宋体" w:cs="宋体"/>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73" w:type="dxa"/>
            <w:tcBorders>
              <w:righ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1296" w:type="dxa"/>
            <w:gridSpan w:val="2"/>
            <w:tcBorders>
              <w:left w:val="single" w:color="auto" w:sz="4" w:space="0"/>
              <w:righ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2292" w:type="dxa"/>
            <w:tcBorders>
              <w:left w:val="single" w:color="auto" w:sz="4" w:space="0"/>
            </w:tcBorders>
          </w:tcPr>
          <w:p>
            <w:pPr>
              <w:autoSpaceDE w:val="0"/>
              <w:autoSpaceDN w:val="0"/>
              <w:spacing w:line="400" w:lineRule="atLeast"/>
              <w:rPr>
                <w:rFonts w:hint="eastAsia" w:ascii="宋体" w:hAnsi="宋体" w:eastAsia="宋体" w:cs="宋体"/>
                <w:color w:val="auto"/>
                <w:kern w:val="0"/>
                <w:sz w:val="24"/>
                <w:highlight w:val="none"/>
              </w:rPr>
            </w:pPr>
          </w:p>
        </w:tc>
        <w:tc>
          <w:tcPr>
            <w:tcW w:w="1134" w:type="dxa"/>
          </w:tcPr>
          <w:p>
            <w:pPr>
              <w:autoSpaceDE w:val="0"/>
              <w:autoSpaceDN w:val="0"/>
              <w:spacing w:line="400" w:lineRule="atLeast"/>
              <w:rPr>
                <w:rFonts w:hint="eastAsia" w:ascii="宋体" w:hAnsi="宋体" w:eastAsia="宋体" w:cs="宋体"/>
                <w:color w:val="auto"/>
                <w:kern w:val="0"/>
                <w:sz w:val="24"/>
                <w:highlight w:val="none"/>
              </w:rPr>
            </w:pPr>
          </w:p>
        </w:tc>
        <w:tc>
          <w:tcPr>
            <w:tcW w:w="1417" w:type="dxa"/>
          </w:tcPr>
          <w:p>
            <w:pPr>
              <w:autoSpaceDE w:val="0"/>
              <w:autoSpaceDN w:val="0"/>
              <w:spacing w:line="400" w:lineRule="atLeast"/>
              <w:rPr>
                <w:rFonts w:hint="eastAsia" w:ascii="宋体" w:hAnsi="宋体" w:eastAsia="宋体" w:cs="宋体"/>
                <w:color w:val="auto"/>
                <w:kern w:val="0"/>
                <w:sz w:val="24"/>
                <w:highlight w:val="none"/>
              </w:rPr>
            </w:pPr>
          </w:p>
        </w:tc>
        <w:tc>
          <w:tcPr>
            <w:tcW w:w="1276" w:type="dxa"/>
          </w:tcPr>
          <w:p>
            <w:pPr>
              <w:autoSpaceDE w:val="0"/>
              <w:autoSpaceDN w:val="0"/>
              <w:spacing w:line="400" w:lineRule="atLeast"/>
              <w:rPr>
                <w:rFonts w:hint="eastAsia" w:ascii="宋体" w:hAnsi="宋体" w:eastAsia="宋体" w:cs="宋体"/>
                <w:color w:val="auto"/>
                <w:kern w:val="0"/>
                <w:sz w:val="24"/>
                <w:highlight w:val="none"/>
              </w:rPr>
            </w:pPr>
          </w:p>
        </w:tc>
        <w:tc>
          <w:tcPr>
            <w:tcW w:w="1269" w:type="dxa"/>
          </w:tcPr>
          <w:p>
            <w:pPr>
              <w:autoSpaceDE w:val="0"/>
              <w:autoSpaceDN w:val="0"/>
              <w:spacing w:line="400" w:lineRule="atLeast"/>
              <w:rPr>
                <w:rFonts w:hint="eastAsia" w:ascii="宋体" w:hAnsi="宋体" w:eastAsia="宋体" w:cs="宋体"/>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1305" w:type="dxa"/>
            <w:gridSpan w:val="2"/>
            <w:vMerge w:val="restart"/>
            <w:tcBorders>
              <w:right w:val="single" w:color="auto" w:sz="4" w:space="0"/>
            </w:tcBorders>
            <w:vAlign w:val="center"/>
          </w:tcPr>
          <w:p>
            <w:pPr>
              <w:autoSpaceDE w:val="0"/>
              <w:autoSpaceDN w:val="0"/>
              <w:spacing w:line="400" w:lineRule="atLeast"/>
              <w:jc w:val="center"/>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合计</w:t>
            </w:r>
          </w:p>
        </w:tc>
        <w:tc>
          <w:tcPr>
            <w:tcW w:w="8152" w:type="dxa"/>
            <w:gridSpan w:val="6"/>
            <w:tcBorders>
              <w:left w:val="single" w:color="auto" w:sz="4" w:space="0"/>
              <w:bottom w:val="single" w:color="auto" w:sz="4" w:space="0"/>
            </w:tcBorders>
          </w:tcPr>
          <w:p>
            <w:pPr>
              <w:autoSpaceDE w:val="0"/>
              <w:autoSpaceDN w:val="0"/>
              <w:spacing w:line="400" w:lineRule="atLeas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大写：</w:t>
            </w:r>
            <w:r>
              <w:rPr>
                <w:rFonts w:hint="eastAsia" w:ascii="宋体" w:hAnsi="宋体" w:eastAsia="宋体" w:cs="宋体"/>
                <w:bCs/>
                <w:color w:val="auto"/>
                <w:sz w:val="24"/>
                <w:highlight w:val="none"/>
              </w:rPr>
              <w:t>人民币              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1305" w:type="dxa"/>
            <w:gridSpan w:val="2"/>
            <w:vMerge w:val="continue"/>
            <w:tcBorders>
              <w:right w:val="single" w:color="auto" w:sz="4" w:space="0"/>
            </w:tcBorders>
            <w:vAlign w:val="center"/>
          </w:tcPr>
          <w:p>
            <w:pPr>
              <w:widowControl/>
              <w:spacing w:line="400" w:lineRule="atLeast"/>
              <w:jc w:val="left"/>
              <w:rPr>
                <w:rFonts w:hint="eastAsia" w:ascii="宋体" w:hAnsi="宋体" w:eastAsia="宋体" w:cs="宋体"/>
                <w:bCs/>
                <w:color w:val="auto"/>
                <w:kern w:val="0"/>
                <w:sz w:val="24"/>
                <w:highlight w:val="none"/>
              </w:rPr>
            </w:pPr>
          </w:p>
        </w:tc>
        <w:tc>
          <w:tcPr>
            <w:tcW w:w="8152" w:type="dxa"/>
            <w:gridSpan w:val="6"/>
            <w:tcBorders>
              <w:top w:val="single" w:color="auto" w:sz="4" w:space="0"/>
              <w:left w:val="single" w:color="auto" w:sz="4" w:space="0"/>
            </w:tcBorders>
          </w:tcPr>
          <w:p>
            <w:pPr>
              <w:autoSpaceDE w:val="0"/>
              <w:autoSpaceDN w:val="0"/>
              <w:spacing w:line="400" w:lineRule="atLeast"/>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小写：</w:t>
            </w:r>
            <w:r>
              <w:rPr>
                <w:rFonts w:hint="eastAsia" w:ascii="宋体" w:hAnsi="宋体" w:eastAsia="宋体" w:cs="宋体"/>
                <w:bCs/>
                <w:color w:val="auto"/>
                <w:sz w:val="24"/>
                <w:highlight w:val="none"/>
              </w:rPr>
              <w:t>￥</w:t>
            </w:r>
          </w:p>
        </w:tc>
      </w:tr>
    </w:tbl>
    <w:p>
      <w:pPr>
        <w:snapToGrid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填表说明：</w:t>
      </w:r>
    </w:p>
    <w:p>
      <w:pPr>
        <w:snapToGrid w:val="0"/>
        <w:ind w:firstLine="480" w:firstLine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1、分项报价表中合计总价应与开标一览表中的相应报价相一致。</w:t>
      </w:r>
    </w:p>
    <w:p>
      <w:pPr>
        <w:numPr>
          <w:ilvl w:val="0"/>
          <w:numId w:val="5"/>
        </w:numPr>
        <w:snapToGrid w:val="0"/>
        <w:ind w:firstLine="480" w:firstLine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 xml:space="preserve">此表在不改变格式内容时，可自行制作。 </w:t>
      </w:r>
    </w:p>
    <w:p>
      <w:pPr>
        <w:numPr>
          <w:ilvl w:val="0"/>
          <w:numId w:val="5"/>
        </w:numPr>
        <w:snapToGrid w:val="0"/>
        <w:ind w:firstLine="480" w:firstLineChars="200"/>
        <w:rPr>
          <w:rFonts w:hint="eastAsia" w:ascii="宋体" w:hAnsi="宋体" w:eastAsia="宋体" w:cs="宋体"/>
          <w:bCs/>
          <w:color w:val="auto"/>
          <w:kern w:val="0"/>
          <w:sz w:val="24"/>
          <w:highlight w:val="none"/>
        </w:rPr>
      </w:pPr>
      <w:r>
        <w:rPr>
          <w:rFonts w:hint="eastAsia" w:ascii="宋体" w:hAnsi="宋体" w:eastAsia="宋体" w:cs="宋体"/>
          <w:bCs/>
          <w:color w:val="auto"/>
          <w:kern w:val="0"/>
          <w:sz w:val="24"/>
          <w:highlight w:val="none"/>
        </w:rPr>
        <w:t>以上漏报的有重大缺项的将作无效标处理。</w:t>
      </w:r>
    </w:p>
    <w:p>
      <w:pPr>
        <w:pStyle w:val="35"/>
        <w:snapToGrid w:val="0"/>
        <w:spacing w:line="360" w:lineRule="auto"/>
        <w:rPr>
          <w:rFonts w:hint="eastAsia" w:ascii="宋体" w:hAnsi="宋体" w:eastAsia="宋体" w:cs="宋体"/>
          <w:color w:val="auto"/>
          <w:sz w:val="24"/>
          <w:highlight w:val="none"/>
        </w:rPr>
      </w:pP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投标人名称(公章)：</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授权代表人(签字)：</w:t>
      </w:r>
    </w:p>
    <w:p>
      <w:pPr>
        <w:shd w:val="clear" w:color="auto" w:fill="FFFFFF"/>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47" w:right="1418" w:bottom="1276" w:left="1418"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hint="eastAsia"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三、</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93"/>
        <w:keepNext w:val="0"/>
        <w:pageBreakBefore w:val="0"/>
        <w:tabs>
          <w:tab w:val="clear" w:pos="720"/>
        </w:tabs>
        <w:snapToGrid w:val="0"/>
        <w:spacing w:before="120" w:after="120"/>
        <w:ind w:firstLine="643"/>
        <w:outlineLvl w:val="9"/>
        <w:rPr>
          <w:rFonts w:hint="eastAsia" w:ascii="宋体" w:hAnsi="宋体" w:eastAsia="宋体" w:cs="宋体"/>
          <w:b w:val="0"/>
          <w:color w:val="auto"/>
          <w:sz w:val="32"/>
          <w:szCs w:val="32"/>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pStyle w:val="3"/>
        <w:keepNext w:val="0"/>
        <w:keepLines w:val="0"/>
        <w:pageBreakBefore/>
        <w:widowControl/>
        <w:spacing w:before="100" w:beforeAutospacing="1" w:after="100" w:afterAutospacing="1" w:line="360" w:lineRule="auto"/>
        <w:ind w:left="1290" w:firstLine="3092" w:firstLineChars="700"/>
        <w:rPr>
          <w:rFonts w:hint="eastAsia" w:ascii="宋体" w:hAnsi="宋体" w:eastAsia="宋体" w:cs="宋体"/>
          <w:color w:val="auto"/>
          <w:highlight w:val="none"/>
        </w:rPr>
      </w:pPr>
      <w:r>
        <w:rPr>
          <w:rFonts w:hint="eastAsia" w:ascii="宋体" w:hAnsi="宋体" w:eastAsia="宋体" w:cs="宋体"/>
          <w:color w:val="auto"/>
          <w:highlight w:val="none"/>
        </w:rPr>
        <w:t>附件</w:t>
      </w:r>
    </w:p>
    <w:p>
      <w:pPr>
        <w:spacing w:line="360" w:lineRule="auto"/>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附件1：</w:t>
      </w:r>
    </w:p>
    <w:p>
      <w:pPr>
        <w:spacing w:line="360" w:lineRule="auto"/>
        <w:jc w:val="center"/>
        <w:rPr>
          <w:rFonts w:hint="eastAsia" w:ascii="宋体" w:hAnsi="宋体" w:eastAsia="宋体" w:cs="宋体"/>
          <w:b/>
          <w:color w:val="auto"/>
          <w:spacing w:val="6"/>
          <w:sz w:val="32"/>
          <w:szCs w:val="32"/>
          <w:highlight w:val="none"/>
        </w:rPr>
      </w:pPr>
      <w:bookmarkStart w:id="516" w:name="OLE_LINK14"/>
      <w:bookmarkStart w:id="517" w:name="OLE_LINK13"/>
      <w:r>
        <w:rPr>
          <w:rFonts w:hint="eastAsia" w:ascii="宋体" w:hAnsi="宋体" w:eastAsia="宋体" w:cs="宋体"/>
          <w:b/>
          <w:color w:val="auto"/>
          <w:spacing w:val="6"/>
          <w:sz w:val="32"/>
          <w:szCs w:val="32"/>
          <w:highlight w:val="none"/>
        </w:rPr>
        <w:t>残疾人福利性单位声明函</w:t>
      </w:r>
    </w:p>
    <w:bookmarkEnd w:id="516"/>
    <w:bookmarkEnd w:id="517"/>
    <w:p>
      <w:pPr>
        <w:spacing w:line="360" w:lineRule="auto"/>
        <w:rPr>
          <w:rFonts w:hint="eastAsia" w:ascii="宋体" w:hAnsi="宋体" w:eastAsia="宋体" w:cs="宋体"/>
          <w:b/>
          <w:color w:val="auto"/>
          <w:spacing w:val="6"/>
          <w:sz w:val="30"/>
          <w:szCs w:val="30"/>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eastAsia="宋体" w:cs="宋体"/>
          <w:color w:val="auto"/>
          <w:sz w:val="24"/>
          <w:highlight w:val="none"/>
          <w:u w:val="single"/>
        </w:rPr>
        <w:t>(采购人)</w:t>
      </w:r>
      <w:r>
        <w:rPr>
          <w:rFonts w:hint="eastAsia" w:ascii="宋体" w:hAnsi="宋体" w:eastAsia="宋体" w:cs="宋体"/>
          <w:color w:val="auto"/>
          <w:sz w:val="24"/>
          <w:highlight w:val="none"/>
        </w:rPr>
        <w:t>_单位的_</w:t>
      </w:r>
      <w:r>
        <w:rPr>
          <w:rFonts w:hint="eastAsia" w:ascii="宋体" w:hAnsi="宋体" w:eastAsia="宋体" w:cs="宋体"/>
          <w:color w:val="auto"/>
          <w:sz w:val="24"/>
          <w:highlight w:val="none"/>
          <w:u w:val="single"/>
          <w:lang w:eastAsia="zh-CN"/>
        </w:rPr>
        <w:t>塘栖镇镇区保洁翠紫河以北项目</w:t>
      </w:r>
      <w:r>
        <w:rPr>
          <w:rFonts w:hint="eastAsia" w:ascii="宋体" w:hAnsi="宋体" w:eastAsia="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kern w:val="0"/>
          <w:sz w:val="24"/>
          <w:highlight w:val="none"/>
          <w:lang w:val="zh-CN"/>
        </w:rPr>
        <w:t>投标人名称（电子签名）</w:t>
      </w:r>
      <w:r>
        <w:rPr>
          <w:rFonts w:hint="eastAsia" w:ascii="宋体" w:hAnsi="宋体" w:eastAsia="宋体" w:cs="宋体"/>
          <w:color w:val="auto"/>
          <w:sz w:val="24"/>
          <w:highlight w:val="none"/>
        </w:rPr>
        <w:t>：</w:t>
      </w: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  期：</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附件2：质疑函范本及制作说明</w:t>
      </w: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质疑函范本</w:t>
      </w:r>
    </w:p>
    <w:p>
      <w:pPr>
        <w:snapToGrid w:val="0"/>
        <w:spacing w:beforeLines="100"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一、质疑供应商基本信息</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质疑供应商：</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地址： </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二、质疑项目基本情况</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采购文件获取日期：</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三、质疑事项具体内容</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质疑事项1：</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质疑事项2</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四、与质疑事项相关的质疑请求</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jc w:val="center"/>
        <w:rPr>
          <w:rFonts w:hint="eastAsia" w:ascii="宋体" w:hAnsi="宋体" w:eastAsia="宋体" w:cs="宋体"/>
          <w:b/>
          <w:bCs/>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auto"/>
          <w:sz w:val="30"/>
          <w:szCs w:val="30"/>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附件3：投诉书范本及制作说明</w:t>
      </w: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投诉书范本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一、投诉相关主体基本情况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tabs>
          <w:tab w:val="left" w:pos="6510"/>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法定代表人/主要负责人：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tabs>
          <w:tab w:val="left" w:pos="6510"/>
        </w:tabs>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被投诉人1：</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被投诉人2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相关供应商：</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二、投诉项目基本情况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采购项目名称：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采购项目编号：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代理机构名称：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采购文件公告: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采购结果公告: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三、质疑基本情况</w:t>
      </w:r>
    </w:p>
    <w:p>
      <w:pPr>
        <w:spacing w:line="360" w:lineRule="auto"/>
        <w:ind w:firstLine="480" w:firstLineChars="200"/>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日,向</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提出质疑，质疑事项为：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采购人/代理机构</w:t>
      </w:r>
      <w:r>
        <w:rPr>
          <w:rFonts w:hint="eastAsia" w:ascii="宋体" w:hAnsi="宋体" w:eastAsia="宋体" w:cs="宋体"/>
          <w:color w:val="auto"/>
          <w:sz w:val="24"/>
          <w:highlight w:val="none"/>
        </w:rPr>
        <w:t>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日,就质疑事项作出了答复/没有在法定期限内作出答复。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四、投诉事项具体内容</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投诉事项 1：</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投诉事项2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五、与投诉事项相关的投诉请求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autoSpaceDE w:val="0"/>
        <w:autoSpaceDN w:val="0"/>
        <w:jc w:val="both"/>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color w:val="auto"/>
          <w:spacing w:val="6"/>
          <w:sz w:val="32"/>
          <w:szCs w:val="32"/>
          <w:highlight w:val="none"/>
        </w:rPr>
        <w:t>附件4：</w:t>
      </w:r>
      <w:r>
        <w:rPr>
          <w:rFonts w:hint="eastAsia" w:ascii="宋体" w:hAnsi="宋体" w:eastAsia="宋体" w:cs="宋体"/>
          <w:b/>
          <w:bCs/>
          <w:color w:val="auto"/>
          <w:sz w:val="32"/>
          <w:szCs w:val="32"/>
          <w:highlight w:val="none"/>
        </w:rPr>
        <w:t>业务专用章使用说明函</w:t>
      </w:r>
    </w:p>
    <w:p>
      <w:pPr>
        <w:spacing w:line="360" w:lineRule="auto"/>
        <w:rPr>
          <w:rFonts w:hint="eastAsia" w:ascii="宋体" w:hAnsi="宋体" w:eastAsia="宋体" w:cs="宋体"/>
          <w:color w:val="auto"/>
          <w:sz w:val="24"/>
          <w:highlight w:val="none"/>
          <w:u w:val="singl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（采购人）、（采购代理机构）：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我方</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(投标人全称)是中华人民共和国依法登记注册的合法企业，</w:t>
      </w:r>
      <w:r>
        <w:rPr>
          <w:rFonts w:hint="eastAsia" w:ascii="宋体" w:hAnsi="宋体" w:eastAsia="宋体" w:cs="宋体"/>
          <w:bCs/>
          <w:color w:val="auto"/>
          <w:sz w:val="24"/>
          <w:highlight w:val="none"/>
        </w:rPr>
        <w:t>在参加</w:t>
      </w:r>
      <w:r>
        <w:rPr>
          <w:rFonts w:hint="eastAsia" w:ascii="宋体" w:hAnsi="宋体" w:eastAsia="宋体" w:cs="宋体"/>
          <w:color w:val="auto"/>
          <w:sz w:val="24"/>
          <w:highlight w:val="none"/>
        </w:rPr>
        <w:t>你方组织的</w:t>
      </w:r>
      <w:r>
        <w:rPr>
          <w:rFonts w:hint="eastAsia" w:ascii="宋体" w:hAnsi="宋体" w:eastAsia="宋体" w:cs="宋体"/>
          <w:color w:val="auto"/>
          <w:sz w:val="24"/>
          <w:highlight w:val="none"/>
          <w:lang w:eastAsia="zh-CN"/>
        </w:rPr>
        <w:t>塘栖镇镇区保洁翠紫河以北项目</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ZJZFCG-YS2023-009</w:t>
      </w:r>
      <w:r>
        <w:rPr>
          <w:rFonts w:hint="eastAsia" w:ascii="宋体" w:hAnsi="宋体" w:eastAsia="宋体" w:cs="宋体"/>
          <w:color w:val="auto"/>
          <w:sz w:val="24"/>
          <w:highlight w:val="none"/>
        </w:rPr>
        <w:t>】</w:t>
      </w:r>
      <w:r>
        <w:rPr>
          <w:rFonts w:hint="eastAsia" w:ascii="宋体" w:hAnsi="宋体" w:eastAsia="宋体" w:cs="宋体"/>
          <w:bCs/>
          <w:color w:val="auto"/>
          <w:sz w:val="24"/>
          <w:highlight w:val="none"/>
        </w:rPr>
        <w:t>投标活动中作如下说明：</w:t>
      </w:r>
      <w:r>
        <w:rPr>
          <w:rFonts w:hint="eastAsia" w:ascii="宋体" w:hAnsi="宋体" w:eastAsia="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特此说明。</w:t>
      </w:r>
    </w:p>
    <w:p>
      <w:pPr>
        <w:spacing w:line="360" w:lineRule="auto"/>
        <w:ind w:firstLine="494"/>
        <w:rPr>
          <w:rFonts w:hint="eastAsia" w:ascii="宋体" w:hAnsi="宋体" w:eastAsia="宋体" w:cs="宋体"/>
          <w:color w:val="auto"/>
          <w:sz w:val="24"/>
          <w:highlight w:val="none"/>
        </w:rPr>
      </w:pPr>
    </w:p>
    <w:p>
      <w:pPr>
        <w:spacing w:line="360" w:lineRule="auto"/>
        <w:ind w:right="480" w:firstLine="4080" w:firstLineChars="17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投标单位（法定名称章）：</w:t>
      </w:r>
    </w:p>
    <w:p>
      <w:pPr>
        <w:ind w:right="1440" w:firstLine="494"/>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附：</w:t>
      </w:r>
    </w:p>
    <w:p>
      <w:pPr>
        <w:spacing w:line="360" w:lineRule="auto"/>
        <w:rPr>
          <w:rFonts w:hint="eastAsia" w:ascii="宋体" w:hAnsi="宋体" w:eastAsia="宋体" w:cs="宋体"/>
          <w:bCs/>
          <w:color w:val="auto"/>
          <w:sz w:val="24"/>
          <w:highlight w:val="none"/>
        </w:rPr>
      </w:pPr>
      <w:r>
        <w:rPr>
          <w:rFonts w:hint="eastAsia" w:ascii="宋体" w:hAnsi="宋体" w:eastAsia="宋体" w:cs="宋体"/>
          <w:color w:val="auto"/>
          <w:highlight w:val="none"/>
        </w:rPr>
        <w:pict>
          <v:rect id="Rectangle 17" o:spid="_x0000_s1026" o:spt="1" style="position:absolute;left:0pt;margin-left:238.9pt;margin-top:28.05pt;height:177.45pt;width:212.95pt;z-index:-251657216;mso-width-relative:page;mso-height-relative:page;" coordsize="21600,21600">
            <v:path/>
            <v:fill focussize="0,0"/>
            <v:stroke miterlimit="2"/>
            <v:imagedata o:title=""/>
            <o:lock v:ext="edit"/>
          </v:rect>
        </w:pict>
      </w:r>
      <w:r>
        <w:rPr>
          <w:rFonts w:hint="eastAsia" w:ascii="宋体" w:hAnsi="宋体" w:eastAsia="宋体" w:cs="宋体"/>
          <w:color w:val="auto"/>
          <w:highlight w:val="none"/>
        </w:rPr>
        <w:pict>
          <v:rect id="Rectangle 16" o:spid="_x0000_s1027" o:spt="1" style="position:absolute;left:0pt;margin-left:-7.2pt;margin-top:30.3pt;height:177.45pt;width:208.5pt;z-index:-251656192;mso-width-relative:page;mso-height-relative:page;" coordsize="21600,21600">
            <v:path/>
            <v:fill focussize="0,0"/>
            <v:stroke miterlimit="2"/>
            <v:imagedata o:title=""/>
            <o:lock v:ext="edit"/>
          </v:rect>
        </w:pict>
      </w:r>
      <w:r>
        <w:rPr>
          <w:rFonts w:hint="eastAsia" w:ascii="宋体" w:hAnsi="宋体" w:eastAsia="宋体" w:cs="宋体"/>
          <w:color w:val="auto"/>
          <w:sz w:val="24"/>
          <w:highlight w:val="none"/>
        </w:rPr>
        <w:t>投标单位法定名称章（印模）                投标单位“XX专用章”（印模）</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both"/>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spacing w:val="6"/>
          <w:sz w:val="32"/>
          <w:szCs w:val="32"/>
          <w:highlight w:val="none"/>
        </w:rPr>
        <w:t>附件5：</w:t>
      </w:r>
      <w:r>
        <w:rPr>
          <w:rFonts w:hint="eastAsia" w:ascii="宋体" w:hAnsi="宋体" w:eastAsia="宋体" w:cs="宋体"/>
          <w:b/>
          <w:color w:val="auto"/>
          <w:kern w:val="0"/>
          <w:sz w:val="32"/>
          <w:szCs w:val="32"/>
          <w:highlight w:val="none"/>
          <w:lang w:val="zh-CN"/>
        </w:rPr>
        <w:t>联合协议</w:t>
      </w:r>
    </w:p>
    <w:p>
      <w:pPr>
        <w:widowControl/>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组成一个联合体，以一个投标人的身份</w:t>
      </w:r>
      <w:r>
        <w:rPr>
          <w:rFonts w:hint="eastAsia" w:ascii="宋体" w:hAnsi="宋体" w:eastAsia="宋体" w:cs="宋体"/>
          <w:color w:val="auto"/>
          <w:kern w:val="0"/>
          <w:sz w:val="24"/>
          <w:highlight w:val="none"/>
        </w:rPr>
        <w:t>参加</w:t>
      </w:r>
      <w:r>
        <w:rPr>
          <w:rFonts w:hint="eastAsia" w:ascii="宋体" w:hAnsi="宋体" w:eastAsia="宋体" w:cs="宋体"/>
          <w:color w:val="auto"/>
          <w:sz w:val="24"/>
          <w:highlight w:val="none"/>
          <w:lang w:eastAsia="zh-CN"/>
        </w:rPr>
        <w:t>塘栖镇镇区保洁翠紫河以北项目</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ZJZFCG-YS2023-009</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 xml:space="preserve">投标。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（联合体成员1）</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（联合体成员2）</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四、联合体成员中小企业合同份额。</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1、</w:t>
      </w:r>
      <w:r>
        <w:rPr>
          <w:rFonts w:hint="eastAsia" w:ascii="宋体" w:hAnsi="宋体" w:eastAsia="宋体" w:cs="宋体"/>
          <w:color w:val="auto"/>
          <w:kern w:val="0"/>
          <w:sz w:val="24"/>
          <w:highlight w:val="none"/>
          <w:u w:val="single"/>
        </w:rPr>
        <w:t>（</w:t>
      </w:r>
      <w:bookmarkStart w:id="518" w:name="_Hlk101131882"/>
      <w:r>
        <w:rPr>
          <w:rFonts w:hint="eastAsia" w:ascii="宋体" w:hAnsi="宋体" w:eastAsia="宋体" w:cs="宋体"/>
          <w:color w:val="auto"/>
          <w:kern w:val="0"/>
          <w:sz w:val="24"/>
          <w:highlight w:val="none"/>
          <w:u w:val="single"/>
        </w:rPr>
        <w:t>联合体成员X,……</w:t>
      </w:r>
      <w:bookmarkEnd w:id="518"/>
      <w:r>
        <w:rPr>
          <w:rFonts w:hint="eastAsia" w:ascii="宋体" w:hAnsi="宋体" w:eastAsia="宋体" w:cs="宋体"/>
          <w:color w:val="auto"/>
          <w:kern w:val="0"/>
          <w:sz w:val="24"/>
          <w:highlight w:val="none"/>
          <w:u w:val="single"/>
        </w:rPr>
        <w:t>）</w:t>
      </w:r>
      <w:r>
        <w:rPr>
          <w:rFonts w:hint="eastAsia" w:ascii="宋体" w:hAnsi="宋体" w:eastAsia="宋体" w:cs="宋体"/>
          <w:color w:val="auto"/>
          <w:kern w:val="0"/>
          <w:sz w:val="24"/>
          <w:highlight w:val="none"/>
        </w:rPr>
        <w:t>提供的服务由小微企业承接，其合同份额占到合同总金额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w:t>
      </w:r>
      <w:bookmarkStart w:id="519" w:name="_Hlk101133598"/>
      <w:r>
        <w:rPr>
          <w:rFonts w:hint="eastAsia" w:ascii="宋体" w:hAnsi="宋体" w:eastAsia="宋体" w:cs="宋体"/>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eastAsia="宋体" w:cs="宋体"/>
          <w:b/>
          <w:color w:val="auto"/>
          <w:sz w:val="24"/>
          <w:highlight w:val="none"/>
        </w:rPr>
        <w:t>拟享受以上价格扣除政策的，填写有关内容。</w:t>
      </w:r>
      <w:bookmarkEnd w:id="519"/>
      <w:r>
        <w:rPr>
          <w:rFonts w:hint="eastAsia" w:ascii="宋体" w:hAnsi="宋体" w:eastAsia="宋体" w:cs="宋体"/>
          <w:b/>
          <w:color w:val="auto"/>
          <w:kern w:val="0"/>
          <w:sz w:val="24"/>
          <w:highlight w:val="none"/>
          <w:lang w:val="zh-CN"/>
        </w:rPr>
        <w:t>）</w:t>
      </w:r>
    </w:p>
    <w:p>
      <w:pPr>
        <w:spacing w:line="360" w:lineRule="auto"/>
        <w:ind w:firstLine="480" w:firstLineChars="200"/>
        <w:rPr>
          <w:rFonts w:hint="eastAsia" w:ascii="宋体" w:hAnsi="宋体" w:eastAsia="宋体" w:cs="宋体"/>
          <w:b/>
          <w:bCs/>
          <w:color w:val="auto"/>
          <w:kern w:val="0"/>
          <w:sz w:val="24"/>
          <w:highlight w:val="none"/>
          <w:lang w:val="zh-CN"/>
        </w:rPr>
      </w:pPr>
      <w:r>
        <w:rPr>
          <w:rFonts w:hint="eastAsia" w:ascii="宋体" w:hAnsi="宋体" w:eastAsia="宋体" w:cs="宋体"/>
          <w:color w:val="auto"/>
          <w:sz w:val="24"/>
          <w:highlight w:val="none"/>
        </w:rPr>
        <w:t>2、</w:t>
      </w:r>
      <w:bookmarkStart w:id="520" w:name="_Hlk101133173"/>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eastAsia="宋体" w:cs="宋体"/>
          <w:b/>
          <w:bCs/>
          <w:color w:val="auto"/>
          <w:kern w:val="0"/>
          <w:sz w:val="24"/>
          <w:highlight w:val="none"/>
          <w:lang w:val="zh-CN"/>
        </w:rPr>
        <w:t>）</w:t>
      </w:r>
      <w:bookmarkEnd w:id="520"/>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right="960"/>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both"/>
        <w:rPr>
          <w:rFonts w:hint="eastAsia" w:ascii="宋体" w:hAnsi="宋体" w:eastAsia="宋体" w:cs="宋体"/>
          <w:b/>
          <w:color w:val="auto"/>
          <w:spacing w:val="6"/>
          <w:sz w:val="32"/>
          <w:szCs w:val="32"/>
          <w:highlight w:val="none"/>
        </w:rPr>
      </w:pPr>
    </w:p>
    <w:p>
      <w:pPr>
        <w:widowControl/>
        <w:adjustRightInd/>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spacing w:val="6"/>
          <w:sz w:val="32"/>
          <w:szCs w:val="32"/>
          <w:highlight w:val="none"/>
        </w:rPr>
        <w:t>附件6：</w:t>
      </w:r>
      <w:r>
        <w:rPr>
          <w:rFonts w:hint="eastAsia" w:ascii="宋体" w:hAnsi="宋体" w:eastAsia="宋体" w:cs="宋体"/>
          <w:b/>
          <w:color w:val="auto"/>
          <w:kern w:val="0"/>
          <w:sz w:val="32"/>
          <w:szCs w:val="32"/>
          <w:highlight w:val="none"/>
        </w:rPr>
        <w:t>分包意向协议</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sz w:val="24"/>
          <w:highlight w:val="none"/>
          <w:lang w:eastAsia="zh-CN"/>
        </w:rPr>
        <w:t>塘栖镇镇区保洁翠紫河以北项目</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ZJZFCG-YS2023-009</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的中标供应商，将依法采取分包方式履行合同。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（分包供应商1名称）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（分包供应商2名称），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pStyle w:val="4"/>
        <w:ind w:left="664" w:leftChars="316" w:firstLine="229" w:firstLineChars="95"/>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rFonts w:hint="eastAsia" w:ascii="宋体" w:hAnsi="宋体" w:eastAsia="宋体" w:cs="宋体"/>
          <w:color w:val="auto"/>
          <w:highlight w:val="none"/>
        </w:rPr>
      </w:pPr>
      <w:r>
        <w:rPr>
          <w:rFonts w:hint="eastAsia" w:ascii="宋体" w:hAnsi="宋体" w:eastAsia="宋体" w:cs="宋体"/>
          <w:color w:val="auto"/>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二、分包供应商中小企业合同份额</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u w:val="single"/>
        </w:rPr>
        <w:t>（分包供应商X,……）提供的服务全部由小微企业承接，</w:t>
      </w:r>
      <w:r>
        <w:rPr>
          <w:rFonts w:hint="eastAsia" w:ascii="宋体" w:hAnsi="宋体" w:eastAsia="宋体" w:cs="宋体"/>
          <w:color w:val="auto"/>
          <w:kern w:val="0"/>
          <w:sz w:val="24"/>
          <w:highlight w:val="none"/>
        </w:rPr>
        <w:t>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highlight w:val="none"/>
        </w:rPr>
        <w:t>。</w:t>
      </w:r>
      <w:r>
        <w:rPr>
          <w:rFonts w:hint="eastAsia" w:ascii="宋体" w:hAnsi="宋体" w:eastAsia="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eastAsia="宋体" w:cs="宋体"/>
          <w:b/>
          <w:color w:val="auto"/>
          <w:sz w:val="24"/>
          <w:highlight w:val="none"/>
        </w:rPr>
        <w:t>拟享受以上价格扣除政策的，填写有关内容。</w:t>
      </w:r>
      <w:r>
        <w:rPr>
          <w:rFonts w:hint="eastAsia" w:ascii="宋体" w:hAnsi="宋体" w:eastAsia="宋体" w:cs="宋体"/>
          <w:b/>
          <w:color w:val="auto"/>
          <w:kern w:val="0"/>
          <w:sz w:val="24"/>
          <w:highlight w:val="none"/>
          <w:lang w:val="zh-CN"/>
        </w:rPr>
        <w:t>）</w:t>
      </w:r>
    </w:p>
    <w:p>
      <w:pPr>
        <w:spacing w:line="360" w:lineRule="auto"/>
        <w:ind w:firstLine="480" w:firstLineChars="200"/>
        <w:rPr>
          <w:rFonts w:hint="eastAsia" w:ascii="宋体" w:hAnsi="宋体" w:eastAsia="宋体" w:cs="宋体"/>
          <w:b/>
          <w:bCs/>
          <w:color w:val="auto"/>
          <w:kern w:val="0"/>
          <w:sz w:val="24"/>
          <w:highlight w:val="none"/>
          <w:lang w:val="zh-CN"/>
        </w:rPr>
      </w:pPr>
      <w:r>
        <w:rPr>
          <w:rFonts w:hint="eastAsia" w:ascii="宋体" w:hAnsi="宋体" w:eastAsia="宋体" w:cs="宋体"/>
          <w:color w:val="auto"/>
          <w:sz w:val="24"/>
          <w:highlight w:val="none"/>
        </w:rPr>
        <w:t>2、中小企业合同金额达到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要求合同分包形式参加的项目或采购包，供应商按招标文件第一部分招标公告申请人的资格要求中规定的</w:t>
      </w:r>
      <w:r>
        <w:rPr>
          <w:rFonts w:hint="eastAsia" w:ascii="宋体" w:hAnsi="宋体" w:eastAsia="宋体" w:cs="宋体"/>
          <w:b/>
          <w:color w:val="auto"/>
          <w:kern w:val="0"/>
          <w:sz w:val="24"/>
          <w:highlight w:val="none"/>
          <w:lang w:val="zh-CN"/>
        </w:rPr>
        <w:t>分包意向协议</w:t>
      </w:r>
      <w:r>
        <w:rPr>
          <w:rFonts w:hint="eastAsia" w:ascii="宋体" w:hAnsi="宋体" w:eastAsia="宋体" w:cs="宋体"/>
          <w:b/>
          <w:bCs/>
          <w:color w:val="auto"/>
          <w:sz w:val="24"/>
          <w:highlight w:val="none"/>
        </w:rPr>
        <w:t>中中小企业、小微企业合同金额应当达到的比例要求填写。</w:t>
      </w:r>
      <w:r>
        <w:rPr>
          <w:rFonts w:hint="eastAsia" w:ascii="宋体" w:hAnsi="宋体" w:eastAsia="宋体" w:cs="宋体"/>
          <w:b/>
          <w:bCs/>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三、分包工作履行期限、地点、方式</w:t>
      </w:r>
    </w:p>
    <w:p>
      <w:pPr>
        <w:snapToGrid w:val="0"/>
        <w:spacing w:line="360" w:lineRule="auto"/>
        <w:ind w:firstLine="576"/>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四、质量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五、价款或者报酬</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六、违约责任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七、争议解决的办法</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八、其他</w:t>
      </w:r>
    </w:p>
    <w:p>
      <w:pPr>
        <w:snapToGrid w:val="0"/>
        <w:spacing w:line="360" w:lineRule="auto"/>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 xml:space="preserve">  。                                           投标人名称(电子签名)：</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分包供应商名称(电子签名/公章)：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both"/>
        <w:rPr>
          <w:rFonts w:hint="eastAsia" w:ascii="宋体" w:hAnsi="宋体" w:eastAsia="宋体" w:cs="宋体"/>
          <w:b/>
          <w:color w:val="auto"/>
          <w:spacing w:val="6"/>
          <w:sz w:val="32"/>
          <w:szCs w:val="32"/>
          <w:highlight w:val="none"/>
        </w:rPr>
      </w:pPr>
    </w:p>
    <w:p>
      <w:pPr>
        <w:pStyle w:val="2"/>
        <w:rPr>
          <w:rFonts w:hint="eastAsia" w:ascii="宋体" w:hAnsi="宋体" w:eastAsia="宋体" w:cs="宋体"/>
          <w:b/>
          <w:color w:val="auto"/>
          <w:spacing w:val="6"/>
          <w:sz w:val="32"/>
          <w:szCs w:val="32"/>
          <w:highlight w:val="none"/>
        </w:rPr>
      </w:pPr>
    </w:p>
    <w:p>
      <w:pPr>
        <w:rPr>
          <w:rFonts w:hint="eastAsia"/>
        </w:rPr>
      </w:pPr>
    </w:p>
    <w:p>
      <w:pPr>
        <w:autoSpaceDE w:val="0"/>
        <w:autoSpaceDN w:val="0"/>
        <w:jc w:val="center"/>
        <w:rPr>
          <w:rFonts w:hint="eastAsia" w:ascii="宋体" w:hAnsi="宋体" w:eastAsia="宋体" w:cs="宋体"/>
          <w:b/>
          <w:color w:val="auto"/>
          <w:spacing w:val="6"/>
          <w:sz w:val="32"/>
          <w:szCs w:val="32"/>
          <w:highlight w:val="none"/>
        </w:rPr>
      </w:pPr>
    </w:p>
    <w:p>
      <w:pPr>
        <w:spacing w:line="360" w:lineRule="auto"/>
        <w:jc w:val="left"/>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附件7：中小企业声明函</w:t>
      </w:r>
    </w:p>
    <w:p>
      <w:pPr>
        <w:spacing w:line="360" w:lineRule="auto"/>
        <w:jc w:val="center"/>
        <w:rPr>
          <w:rFonts w:hint="eastAsia" w:ascii="宋体" w:hAnsi="宋体" w:eastAsia="宋体" w:cs="宋体"/>
          <w:color w:val="auto"/>
          <w:sz w:val="24"/>
          <w:highlight w:val="none"/>
          <w:u w:val="single"/>
        </w:rPr>
      </w:pP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中小企业声明函（服务）</w:t>
      </w:r>
    </w:p>
    <w:p>
      <w:pPr>
        <w:spacing w:line="360" w:lineRule="auto"/>
        <w:ind w:firstLine="360" w:firstLineChars="1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eastAsia="宋体" w:cs="宋体"/>
          <w:color w:val="auto"/>
          <w:sz w:val="24"/>
          <w:highlight w:val="none"/>
          <w:u w:val="single"/>
        </w:rPr>
        <w:t xml:space="preserve">（采购人） </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塘栖镇镇区保洁翠紫河以北项目</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 xml:space="preserve"> （采购文件中明确的所属行业）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u w:val="single"/>
        </w:rPr>
        <w:t xml:space="preserve"> （标的名称），</w:t>
      </w:r>
      <w:r>
        <w:rPr>
          <w:rFonts w:hint="eastAsia" w:ascii="宋体" w:hAnsi="宋体" w:eastAsia="宋体" w:cs="宋体"/>
          <w:color w:val="auto"/>
          <w:sz w:val="24"/>
          <w:highlight w:val="none"/>
        </w:rPr>
        <w:t xml:space="preserve">属于 </w:t>
      </w:r>
      <w:r>
        <w:rPr>
          <w:rFonts w:hint="eastAsia" w:ascii="宋体" w:hAnsi="宋体" w:eastAsia="宋体" w:cs="宋体"/>
          <w:color w:val="auto"/>
          <w:sz w:val="24"/>
          <w:highlight w:val="none"/>
          <w:u w:val="single"/>
        </w:rPr>
        <w:t xml:space="preserve">（采购文件中明确的所属行业） </w:t>
      </w:r>
      <w:r>
        <w:rPr>
          <w:rFonts w:hint="eastAsia" w:ascii="宋体" w:hAnsi="宋体" w:eastAsia="宋体" w:cs="宋体"/>
          <w:color w:val="auto"/>
          <w:sz w:val="24"/>
          <w:highlight w:val="none"/>
        </w:rPr>
        <w:t xml:space="preserve">；承建（承接）企业为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pacing w:line="360" w:lineRule="auto"/>
        <w:ind w:right="176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投标人名称（电子签名）：</w:t>
      </w:r>
    </w:p>
    <w:p>
      <w:pPr>
        <w:spacing w:line="360" w:lineRule="auto"/>
        <w:ind w:right="1120" w:firstLine="4680" w:firstLineChars="195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p>
      <w:pPr>
        <w:spacing w:line="360" w:lineRule="auto"/>
        <w:ind w:firstLine="310" w:firstLineChars="147"/>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从业人员、营业收入、资产总额填报上一年度数据，无上一年度数据的新成立企业可不填报。</w:t>
      </w:r>
    </w:p>
    <w:p>
      <w:pPr>
        <w:spacing w:line="360" w:lineRule="auto"/>
        <w:ind w:right="420"/>
        <w:rPr>
          <w:rFonts w:hint="eastAsia" w:ascii="宋体" w:hAnsi="宋体" w:eastAsia="宋体" w:cs="宋体"/>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注：</w:t>
      </w:r>
    </w:p>
    <w:p>
      <w:pPr>
        <w:spacing w:line="360"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rFonts w:hint="eastAsia" w:ascii="宋体" w:hAnsi="宋体" w:eastAsia="宋体" w:cs="宋体"/>
          <w:color w:val="auto"/>
          <w:highlight w:val="none"/>
          <w:lang w:val="en-US"/>
        </w:rPr>
      </w:pPr>
    </w:p>
    <w:p>
      <w:pPr>
        <w:spacing w:line="360" w:lineRule="auto"/>
        <w:ind w:right="420"/>
        <w:rPr>
          <w:rFonts w:hint="eastAsia" w:ascii="宋体" w:hAnsi="宋体" w:eastAsia="宋体" w:cs="宋体"/>
          <w:color w:val="auto"/>
          <w:highlight w:val="none"/>
        </w:rPr>
      </w:pPr>
    </w:p>
    <w:p>
      <w:pPr>
        <w:spacing w:line="360" w:lineRule="auto"/>
        <w:rPr>
          <w:rFonts w:hint="eastAsia" w:ascii="宋体" w:hAnsi="宋体" w:eastAsia="宋体" w:cs="宋体"/>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Vrinda"/>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altName w:val="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
    <w:altName w:val="Segoe Print"/>
    <w:panose1 w:val="00000000000000000000"/>
    <w:charset w:val="00"/>
    <w:family w:val="roman"/>
    <w:pitch w:val="default"/>
    <w:sig w:usb0="00000000" w:usb1="00000000" w:usb2="00000000" w:usb3="00000000" w:csb0="0000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5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Cumberland">
    <w:altName w:val="Segoe Print"/>
    <w:panose1 w:val="00000000000000000000"/>
    <w:charset w:val="00"/>
    <w:family w:val="modern"/>
    <w:pitch w:val="default"/>
    <w:sig w:usb0="00000000" w:usb1="00000000" w:usb2="00000000" w:usb3="00000000" w:csb0="00000001" w:csb1="00000000"/>
  </w:font>
  <w:font w:name="Futura Hv">
    <w:altName w:val="Segoe Print"/>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01" w:csb1="00000000"/>
  </w:font>
  <w:font w:name=".PingFang SC">
    <w:altName w:val="Segoe Print"/>
    <w:panose1 w:val="00000000000000000000"/>
    <w:charset w:val="00"/>
    <w:family w:val="modern"/>
    <w:pitch w:val="default"/>
    <w:sig w:usb0="00000000"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42</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86</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第</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86</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r>
      <w:rPr>
        <w:rFonts w:ascii="仿宋_GB2312" w:eastAsia="仿宋_GB2312"/>
        <w:kern w:val="0"/>
        <w:szCs w:val="21"/>
      </w:rPr>
      <w:t xml:space="preserve"> </w:t>
    </w:r>
    <w:r>
      <w:rPr>
        <w:rFonts w:hint="eastAsia" w:ascii="仿宋_GB2312" w:eastAsia="仿宋_GB2312"/>
        <w:kern w:val="0"/>
        <w:szCs w:val="21"/>
      </w:rPr>
      <w:t>共</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71</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sz w:val="18"/>
      </w:rPr>
    </w:pPr>
    <w:r>
      <w:rPr>
        <w:rStyle w:val="72"/>
        <w:sz w:val="18"/>
      </w:rPr>
      <w:fldChar w:fldCharType="begin"/>
    </w:r>
    <w:r>
      <w:rPr>
        <w:rStyle w:val="72"/>
        <w:sz w:val="18"/>
      </w:rPr>
      <w:instrText xml:space="preserve">PAGE  </w:instrText>
    </w:r>
    <w:r>
      <w:rPr>
        <w:rStyle w:val="72"/>
        <w:sz w:val="18"/>
      </w:rP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第</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59</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r>
      <w:rPr>
        <w:rFonts w:ascii="仿宋_GB2312" w:eastAsia="仿宋_GB2312"/>
        <w:kern w:val="0"/>
        <w:szCs w:val="21"/>
      </w:rPr>
      <w:t xml:space="preserve"> </w:t>
    </w:r>
    <w:r>
      <w:rPr>
        <w:rFonts w:hint="eastAsia" w:ascii="仿宋_GB2312" w:eastAsia="仿宋_GB2312"/>
        <w:kern w:val="0"/>
        <w:szCs w:val="21"/>
      </w:rPr>
      <w:t>共</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71</w:t>
    </w:r>
    <w:r>
      <w:rPr>
        <w:rFonts w:ascii="仿宋_GB2312" w:eastAsia="仿宋_GB2312"/>
        <w:kern w:val="0"/>
        <w:szCs w:val="21"/>
      </w:rPr>
      <w:fldChar w:fldCharType="end"/>
    </w:r>
    <w:bookmarkStart w:id="521" w:name="_Toc91899912"/>
    <w:bookmarkStart w:id="522" w:name="_Toc131845147"/>
    <w:bookmarkStart w:id="523" w:name="_Toc36110187"/>
    <w:bookmarkStart w:id="524" w:name="_Toc164085800"/>
    <w:r>
      <w:rPr>
        <w:rFonts w:ascii="仿宋_GB2312" w:eastAsia="仿宋_GB2312"/>
        <w:kern w:val="0"/>
        <w:szCs w:val="21"/>
      </w:rPr>
      <w:t xml:space="preserve"> </w:t>
    </w:r>
    <w:r>
      <w:rPr>
        <w:rFonts w:hint="eastAsia" w:ascii="仿宋_GB2312" w:eastAsia="仿宋_GB2312"/>
        <w:kern w:val="0"/>
        <w:szCs w:val="21"/>
      </w:rPr>
      <w:t>页</w:t>
    </w:r>
    <w:bookmarkEnd w:id="521"/>
    <w:bookmarkEnd w:id="522"/>
    <w:bookmarkEnd w:id="523"/>
    <w:bookmarkEnd w:id="52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sz w:val="18"/>
      </w:rPr>
    </w:pPr>
    <w:r>
      <w:rPr>
        <w:rStyle w:val="72"/>
        <w:sz w:val="18"/>
      </w:rPr>
      <w:fldChar w:fldCharType="begin"/>
    </w:r>
    <w:r>
      <w:rPr>
        <w:rStyle w:val="72"/>
        <w:sz w:val="18"/>
      </w:rPr>
      <w:instrText xml:space="preserve">PAGE  </w:instrText>
    </w:r>
    <w:r>
      <w:rPr>
        <w:rStyle w:val="72"/>
        <w:sz w:val="18"/>
      </w:rP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1</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71</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45</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86</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43</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86</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64</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71</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63</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71</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70</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71</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66</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71</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 xml:space="preserve">             </w:t>
    </w:r>
    <w:r>
      <w:rPr>
        <w:rFonts w:hint="eastAsia"/>
      </w:rPr>
      <w:t>杭州市政府采购公开招标文件</w:t>
    </w:r>
  </w:p>
  <w:p>
    <w:pPr>
      <w:pStyle w:val="2"/>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 xml:space="preserve">                                             </w:t>
    </w:r>
    <w:r>
      <w:rPr>
        <w:rFonts w:hint="eastAsia"/>
      </w:rP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 xml:space="preserve">                                                               </w:t>
    </w:r>
    <w:r>
      <w:rPr>
        <w:rFonts w:hint="eastAsia"/>
      </w:rP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 xml:space="preserve">         </w:t>
    </w:r>
  </w:p>
  <w:p>
    <w:pPr>
      <w:pStyle w:val="43"/>
    </w:pPr>
    <w:r>
      <w:t xml:space="preserve">                                                                  </w:t>
    </w:r>
    <w:r>
      <w:rPr>
        <w:rFonts w:hint="eastAsia"/>
      </w:rP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 xml:space="preserve">                                                  </w:t>
    </w:r>
    <w:r>
      <w:rPr>
        <w:rFonts w:hint="eastAsia"/>
      </w:rP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 xml:space="preserve">                                                          </w:t>
    </w:r>
    <w:r>
      <w:rPr>
        <w:rFonts w:hint="eastAsia"/>
      </w:rP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 xml:space="preserve">                                  </w:t>
    </w:r>
    <w:r>
      <w:rPr>
        <w:rFonts w:hint="eastAsia"/>
      </w:rP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 xml:space="preserve">                                                                                                        </w:t>
    </w:r>
    <w:r>
      <w:rPr>
        <w:rFonts w:hint="eastAsia"/>
      </w:rP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w:t>
    </w:r>
    <w:r>
      <w:rPr>
        <w:rFonts w:hint="eastAsia"/>
      </w:rP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742D1F"/>
    <w:multiLevelType w:val="singleLevel"/>
    <w:tmpl w:val="A7742D1F"/>
    <w:lvl w:ilvl="0" w:tentative="0">
      <w:start w:val="1"/>
      <w:numFmt w:val="decimal"/>
      <w:suff w:val="nothing"/>
      <w:lvlText w:val="%1、"/>
      <w:lvlJc w:val="left"/>
      <w:rPr>
        <w:rFonts w:cs="Times New Roman"/>
      </w:rPr>
    </w:lvl>
  </w:abstractNum>
  <w:abstractNum w:abstractNumId="1">
    <w:nsid w:val="CED675EB"/>
    <w:multiLevelType w:val="singleLevel"/>
    <w:tmpl w:val="CED675EB"/>
    <w:lvl w:ilvl="0" w:tentative="0">
      <w:start w:val="1"/>
      <w:numFmt w:val="decimal"/>
      <w:suff w:val="nothing"/>
      <w:lvlText w:val="（%1）"/>
      <w:lvlJc w:val="left"/>
      <w:pPr>
        <w:ind w:left="840"/>
      </w:pPr>
      <w:rPr>
        <w:rFonts w:cs="Times New Roman"/>
      </w:rPr>
    </w:lvl>
  </w:abstractNum>
  <w:abstractNum w:abstractNumId="2">
    <w:nsid w:val="5B37291C"/>
    <w:multiLevelType w:val="multilevel"/>
    <w:tmpl w:val="5B37291C"/>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CA6D98F"/>
    <w:multiLevelType w:val="singleLevel"/>
    <w:tmpl w:val="5CA6D98F"/>
    <w:lvl w:ilvl="0" w:tentative="0">
      <w:start w:val="2"/>
      <w:numFmt w:val="decimal"/>
      <w:suff w:val="nothing"/>
      <w:lvlText w:val="%1、"/>
      <w:lvlJc w:val="left"/>
    </w:lvl>
  </w:abstractNum>
  <w:abstractNum w:abstractNumId="4">
    <w:nsid w:val="5D8036DA"/>
    <w:multiLevelType w:val="singleLevel"/>
    <w:tmpl w:val="5D8036DA"/>
    <w:lvl w:ilvl="0" w:tentative="0">
      <w:start w:val="1"/>
      <w:numFmt w:val="chineseCounting"/>
      <w:suff w:val="nothing"/>
      <w:lvlText w:val="%1、"/>
      <w:lvlJc w:val="left"/>
    </w:lvl>
  </w:abstractNum>
  <w:num w:numId="1">
    <w:abstractNumId w:val="4"/>
  </w:num>
  <w:num w:numId="2">
    <w:abstractNumId w:val="2"/>
    <w:lvlOverride w:ilvl="0">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Y5ZGMwY2E1OTQwYzNlYTgwMjliNzA4ZGIzZTI1NTMifQ=="/>
    <w:docVar w:name="KSO_WPS_MARK_KEY" w:val="e7eeed0c-e6d8-4b2a-ae8c-333a08547150"/>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43D"/>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1FC0"/>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8E9"/>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2E72"/>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0CE7"/>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0F0B40"/>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151F1E"/>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9652E1"/>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C161D1"/>
    <w:rsid w:val="0DD63300"/>
    <w:rsid w:val="0DF50604"/>
    <w:rsid w:val="0DF702FE"/>
    <w:rsid w:val="0E060E51"/>
    <w:rsid w:val="0E5604B2"/>
    <w:rsid w:val="0E6D5D79"/>
    <w:rsid w:val="0E736C0C"/>
    <w:rsid w:val="0E9D0089"/>
    <w:rsid w:val="0EB803EE"/>
    <w:rsid w:val="0EF94D4B"/>
    <w:rsid w:val="0F4958DC"/>
    <w:rsid w:val="0F515DF7"/>
    <w:rsid w:val="0F596BA8"/>
    <w:rsid w:val="0F6248D2"/>
    <w:rsid w:val="0F693536"/>
    <w:rsid w:val="0F7B0511"/>
    <w:rsid w:val="0F7B76D9"/>
    <w:rsid w:val="0F816ACD"/>
    <w:rsid w:val="0F890758"/>
    <w:rsid w:val="0F9832DB"/>
    <w:rsid w:val="0FBF3FD2"/>
    <w:rsid w:val="0FBF7FF3"/>
    <w:rsid w:val="10235DB1"/>
    <w:rsid w:val="10413FEB"/>
    <w:rsid w:val="10646583"/>
    <w:rsid w:val="107D4B15"/>
    <w:rsid w:val="108A3C80"/>
    <w:rsid w:val="10C26171"/>
    <w:rsid w:val="10F33360"/>
    <w:rsid w:val="10FC16EA"/>
    <w:rsid w:val="110F1D40"/>
    <w:rsid w:val="111927C8"/>
    <w:rsid w:val="11266F33"/>
    <w:rsid w:val="118963A1"/>
    <w:rsid w:val="11C6522A"/>
    <w:rsid w:val="11E104CC"/>
    <w:rsid w:val="11E20309"/>
    <w:rsid w:val="122201DF"/>
    <w:rsid w:val="12255233"/>
    <w:rsid w:val="12530213"/>
    <w:rsid w:val="127723A9"/>
    <w:rsid w:val="12862074"/>
    <w:rsid w:val="12883966"/>
    <w:rsid w:val="129465AA"/>
    <w:rsid w:val="129E45B4"/>
    <w:rsid w:val="12D81596"/>
    <w:rsid w:val="13072A44"/>
    <w:rsid w:val="135F4BE2"/>
    <w:rsid w:val="139B1A0A"/>
    <w:rsid w:val="139D25C7"/>
    <w:rsid w:val="13BF3CE4"/>
    <w:rsid w:val="141008D8"/>
    <w:rsid w:val="14125FE6"/>
    <w:rsid w:val="146D271E"/>
    <w:rsid w:val="14982588"/>
    <w:rsid w:val="149A5AD9"/>
    <w:rsid w:val="14A7619D"/>
    <w:rsid w:val="15023C9F"/>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5959E3"/>
    <w:rsid w:val="1A984BAD"/>
    <w:rsid w:val="1AB8220E"/>
    <w:rsid w:val="1AE4166C"/>
    <w:rsid w:val="1AF06CFB"/>
    <w:rsid w:val="1AF11B8D"/>
    <w:rsid w:val="1B11359C"/>
    <w:rsid w:val="1B2A271F"/>
    <w:rsid w:val="1B530544"/>
    <w:rsid w:val="1B571798"/>
    <w:rsid w:val="1B713184"/>
    <w:rsid w:val="1BA209CF"/>
    <w:rsid w:val="1BB4777D"/>
    <w:rsid w:val="1BD75AB8"/>
    <w:rsid w:val="1C0459C2"/>
    <w:rsid w:val="1C1B3B4A"/>
    <w:rsid w:val="1C88086E"/>
    <w:rsid w:val="1D266CE1"/>
    <w:rsid w:val="1D3963AF"/>
    <w:rsid w:val="1D3A00CA"/>
    <w:rsid w:val="1D6A673C"/>
    <w:rsid w:val="1D9247AE"/>
    <w:rsid w:val="1DB567EC"/>
    <w:rsid w:val="1DDE692B"/>
    <w:rsid w:val="1DF51A98"/>
    <w:rsid w:val="1E3D060F"/>
    <w:rsid w:val="1E3F7D2E"/>
    <w:rsid w:val="1E4134E4"/>
    <w:rsid w:val="1E5062B3"/>
    <w:rsid w:val="1E523514"/>
    <w:rsid w:val="1E714A66"/>
    <w:rsid w:val="1E802593"/>
    <w:rsid w:val="1E8B6156"/>
    <w:rsid w:val="1EA703CC"/>
    <w:rsid w:val="1EB7330C"/>
    <w:rsid w:val="1F0A0FF3"/>
    <w:rsid w:val="1F175906"/>
    <w:rsid w:val="1F5771FF"/>
    <w:rsid w:val="1FB265F6"/>
    <w:rsid w:val="1FD52DD5"/>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4EF7670"/>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795BCE"/>
    <w:rsid w:val="289F7086"/>
    <w:rsid w:val="28C32028"/>
    <w:rsid w:val="28CC490F"/>
    <w:rsid w:val="28DE40AA"/>
    <w:rsid w:val="29345E77"/>
    <w:rsid w:val="294C65AD"/>
    <w:rsid w:val="29806583"/>
    <w:rsid w:val="298B3C4C"/>
    <w:rsid w:val="29F26D24"/>
    <w:rsid w:val="2A15033F"/>
    <w:rsid w:val="2A1662C1"/>
    <w:rsid w:val="2A1C7367"/>
    <w:rsid w:val="2A2815FA"/>
    <w:rsid w:val="2A600699"/>
    <w:rsid w:val="2A6D6092"/>
    <w:rsid w:val="2A7D76B4"/>
    <w:rsid w:val="2AEF5EBB"/>
    <w:rsid w:val="2B437463"/>
    <w:rsid w:val="2B7807EE"/>
    <w:rsid w:val="2BA50BF7"/>
    <w:rsid w:val="2BBF00EC"/>
    <w:rsid w:val="2BC37CFD"/>
    <w:rsid w:val="2BD5237F"/>
    <w:rsid w:val="2BE536CE"/>
    <w:rsid w:val="2BE758D9"/>
    <w:rsid w:val="2C09049E"/>
    <w:rsid w:val="2C0A653C"/>
    <w:rsid w:val="2C191F85"/>
    <w:rsid w:val="2CE82D6F"/>
    <w:rsid w:val="2CF0147B"/>
    <w:rsid w:val="2D343236"/>
    <w:rsid w:val="2DD15014"/>
    <w:rsid w:val="2DF72DE4"/>
    <w:rsid w:val="2E0220AF"/>
    <w:rsid w:val="2E4B082A"/>
    <w:rsid w:val="2E5D4E86"/>
    <w:rsid w:val="2E5D790B"/>
    <w:rsid w:val="2E9A3C18"/>
    <w:rsid w:val="2EBB0FEE"/>
    <w:rsid w:val="2EC63002"/>
    <w:rsid w:val="2F0A6B38"/>
    <w:rsid w:val="2F946CCB"/>
    <w:rsid w:val="2FD25781"/>
    <w:rsid w:val="2FDC745C"/>
    <w:rsid w:val="2FEF07F9"/>
    <w:rsid w:val="2FFD7934"/>
    <w:rsid w:val="30733ACD"/>
    <w:rsid w:val="308C3862"/>
    <w:rsid w:val="309379D8"/>
    <w:rsid w:val="30A270F7"/>
    <w:rsid w:val="30DF1478"/>
    <w:rsid w:val="30EC586F"/>
    <w:rsid w:val="314550B7"/>
    <w:rsid w:val="319C6071"/>
    <w:rsid w:val="31AC537E"/>
    <w:rsid w:val="31E3679B"/>
    <w:rsid w:val="31E732FD"/>
    <w:rsid w:val="32470AEB"/>
    <w:rsid w:val="32517576"/>
    <w:rsid w:val="32BE5C2C"/>
    <w:rsid w:val="32FB6478"/>
    <w:rsid w:val="331B5CED"/>
    <w:rsid w:val="33263B3F"/>
    <w:rsid w:val="332F26F9"/>
    <w:rsid w:val="33310A59"/>
    <w:rsid w:val="336963EB"/>
    <w:rsid w:val="33816EEB"/>
    <w:rsid w:val="33EB55CD"/>
    <w:rsid w:val="33EC4C02"/>
    <w:rsid w:val="340D2360"/>
    <w:rsid w:val="3410665D"/>
    <w:rsid w:val="34211214"/>
    <w:rsid w:val="34285771"/>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0C5BAE"/>
    <w:rsid w:val="373F410B"/>
    <w:rsid w:val="37961737"/>
    <w:rsid w:val="37AD7642"/>
    <w:rsid w:val="37EE7094"/>
    <w:rsid w:val="38296C89"/>
    <w:rsid w:val="383002EB"/>
    <w:rsid w:val="38586797"/>
    <w:rsid w:val="38BC0149"/>
    <w:rsid w:val="38C649FE"/>
    <w:rsid w:val="38D806EF"/>
    <w:rsid w:val="38D87D1C"/>
    <w:rsid w:val="39636459"/>
    <w:rsid w:val="396B7F6C"/>
    <w:rsid w:val="39B417A9"/>
    <w:rsid w:val="39FC5695"/>
    <w:rsid w:val="3A006D8E"/>
    <w:rsid w:val="3A231268"/>
    <w:rsid w:val="3A3651E5"/>
    <w:rsid w:val="3A744481"/>
    <w:rsid w:val="3A8C7BEF"/>
    <w:rsid w:val="3A906246"/>
    <w:rsid w:val="3AE55345"/>
    <w:rsid w:val="3B084B8F"/>
    <w:rsid w:val="3B2349B7"/>
    <w:rsid w:val="3B5461A1"/>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B17E35"/>
    <w:rsid w:val="3EC33DFA"/>
    <w:rsid w:val="3EF41AE7"/>
    <w:rsid w:val="3F060BDA"/>
    <w:rsid w:val="3F060E16"/>
    <w:rsid w:val="3F1D1096"/>
    <w:rsid w:val="3F2F0234"/>
    <w:rsid w:val="3F6363FE"/>
    <w:rsid w:val="3F756B8F"/>
    <w:rsid w:val="3F95482B"/>
    <w:rsid w:val="4019356B"/>
    <w:rsid w:val="40592157"/>
    <w:rsid w:val="406E1CAE"/>
    <w:rsid w:val="40A0133A"/>
    <w:rsid w:val="40AF61D9"/>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313BA0"/>
    <w:rsid w:val="46422483"/>
    <w:rsid w:val="4659254A"/>
    <w:rsid w:val="465B0637"/>
    <w:rsid w:val="465E3F0D"/>
    <w:rsid w:val="466A16E6"/>
    <w:rsid w:val="46893F2B"/>
    <w:rsid w:val="46C4686E"/>
    <w:rsid w:val="46EA5390"/>
    <w:rsid w:val="477B778F"/>
    <w:rsid w:val="478203EC"/>
    <w:rsid w:val="47B025FA"/>
    <w:rsid w:val="48007381"/>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2D52E4"/>
    <w:rsid w:val="4B707271"/>
    <w:rsid w:val="4B9739F7"/>
    <w:rsid w:val="4BEE2503"/>
    <w:rsid w:val="4C245A30"/>
    <w:rsid w:val="4C9D528B"/>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570BC"/>
    <w:rsid w:val="4FE625E0"/>
    <w:rsid w:val="50055E16"/>
    <w:rsid w:val="5021480F"/>
    <w:rsid w:val="50452592"/>
    <w:rsid w:val="50962ECB"/>
    <w:rsid w:val="50A42E38"/>
    <w:rsid w:val="50A4577F"/>
    <w:rsid w:val="50A47258"/>
    <w:rsid w:val="50B73D1F"/>
    <w:rsid w:val="50BD5BC9"/>
    <w:rsid w:val="50C11EEE"/>
    <w:rsid w:val="50E97CFC"/>
    <w:rsid w:val="50FA4028"/>
    <w:rsid w:val="510D65B7"/>
    <w:rsid w:val="511157AB"/>
    <w:rsid w:val="5142540C"/>
    <w:rsid w:val="518832C8"/>
    <w:rsid w:val="519D3C50"/>
    <w:rsid w:val="51A0432A"/>
    <w:rsid w:val="51A86090"/>
    <w:rsid w:val="51B7396D"/>
    <w:rsid w:val="51BF0246"/>
    <w:rsid w:val="522E4CC3"/>
    <w:rsid w:val="5244713B"/>
    <w:rsid w:val="52615633"/>
    <w:rsid w:val="526C3D30"/>
    <w:rsid w:val="526F4DE4"/>
    <w:rsid w:val="52977FD4"/>
    <w:rsid w:val="52A25790"/>
    <w:rsid w:val="52A96B6F"/>
    <w:rsid w:val="52B45975"/>
    <w:rsid w:val="52D94AA4"/>
    <w:rsid w:val="52EA3A62"/>
    <w:rsid w:val="52F50BB8"/>
    <w:rsid w:val="53097272"/>
    <w:rsid w:val="53544462"/>
    <w:rsid w:val="5397158E"/>
    <w:rsid w:val="53A94D0A"/>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111123"/>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2C5A04"/>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2A05"/>
    <w:rsid w:val="5AD63A24"/>
    <w:rsid w:val="5B07180D"/>
    <w:rsid w:val="5B2E1A1D"/>
    <w:rsid w:val="5B843A1C"/>
    <w:rsid w:val="5B873E3F"/>
    <w:rsid w:val="5C02690E"/>
    <w:rsid w:val="5C196DA7"/>
    <w:rsid w:val="5C2A048C"/>
    <w:rsid w:val="5C2A2760"/>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00CFE"/>
    <w:rsid w:val="635600A5"/>
    <w:rsid w:val="635B1DB5"/>
    <w:rsid w:val="63711FED"/>
    <w:rsid w:val="63880DDC"/>
    <w:rsid w:val="638D750D"/>
    <w:rsid w:val="63AC6CC0"/>
    <w:rsid w:val="64055776"/>
    <w:rsid w:val="64240056"/>
    <w:rsid w:val="643E143A"/>
    <w:rsid w:val="64431560"/>
    <w:rsid w:val="64491666"/>
    <w:rsid w:val="648B6EEF"/>
    <w:rsid w:val="64C158BF"/>
    <w:rsid w:val="64CE2EAA"/>
    <w:rsid w:val="653C3090"/>
    <w:rsid w:val="65854376"/>
    <w:rsid w:val="658767BE"/>
    <w:rsid w:val="65892531"/>
    <w:rsid w:val="65B66FA0"/>
    <w:rsid w:val="66195831"/>
    <w:rsid w:val="662E75B1"/>
    <w:rsid w:val="66342C2E"/>
    <w:rsid w:val="663E784C"/>
    <w:rsid w:val="66876EA9"/>
    <w:rsid w:val="668B6A45"/>
    <w:rsid w:val="67011F07"/>
    <w:rsid w:val="672F3F24"/>
    <w:rsid w:val="673E055F"/>
    <w:rsid w:val="6744501E"/>
    <w:rsid w:val="67551CE3"/>
    <w:rsid w:val="67A22552"/>
    <w:rsid w:val="67B22DCC"/>
    <w:rsid w:val="67BE71AA"/>
    <w:rsid w:val="67D90273"/>
    <w:rsid w:val="67DE5875"/>
    <w:rsid w:val="67E55852"/>
    <w:rsid w:val="67EB1AB4"/>
    <w:rsid w:val="67FA1285"/>
    <w:rsid w:val="68551F4F"/>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4A332D"/>
    <w:rsid w:val="6C552F0B"/>
    <w:rsid w:val="6C8C67B7"/>
    <w:rsid w:val="6C9D744C"/>
    <w:rsid w:val="6CD2250A"/>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9C4DBC"/>
    <w:rsid w:val="70DE5EFD"/>
    <w:rsid w:val="70F5661B"/>
    <w:rsid w:val="71360107"/>
    <w:rsid w:val="713B688E"/>
    <w:rsid w:val="718E16A9"/>
    <w:rsid w:val="71D43752"/>
    <w:rsid w:val="71F1796A"/>
    <w:rsid w:val="72154626"/>
    <w:rsid w:val="72262B5D"/>
    <w:rsid w:val="72283FF7"/>
    <w:rsid w:val="722E7212"/>
    <w:rsid w:val="723A0474"/>
    <w:rsid w:val="725923E4"/>
    <w:rsid w:val="72864BF7"/>
    <w:rsid w:val="729023FC"/>
    <w:rsid w:val="73134A5B"/>
    <w:rsid w:val="73306456"/>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B3766E"/>
    <w:rsid w:val="76C87133"/>
    <w:rsid w:val="76CD08D5"/>
    <w:rsid w:val="76DB4B92"/>
    <w:rsid w:val="76FD013A"/>
    <w:rsid w:val="77052AA4"/>
    <w:rsid w:val="77136511"/>
    <w:rsid w:val="77340A39"/>
    <w:rsid w:val="77351FD0"/>
    <w:rsid w:val="77472422"/>
    <w:rsid w:val="777E5046"/>
    <w:rsid w:val="777F31F2"/>
    <w:rsid w:val="77D1700D"/>
    <w:rsid w:val="77EC04CC"/>
    <w:rsid w:val="78775729"/>
    <w:rsid w:val="78A42DB0"/>
    <w:rsid w:val="78A656AB"/>
    <w:rsid w:val="78B2245C"/>
    <w:rsid w:val="78E172CC"/>
    <w:rsid w:val="78E75809"/>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095F0A"/>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3C7DAB"/>
    <w:rsid w:val="7D491C6C"/>
    <w:rsid w:val="7D5429C0"/>
    <w:rsid w:val="7D6E6D43"/>
    <w:rsid w:val="7DB57A34"/>
    <w:rsid w:val="7DE60973"/>
    <w:rsid w:val="7DEF0916"/>
    <w:rsid w:val="7E1E5218"/>
    <w:rsid w:val="7E305A76"/>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qFormat="1" w:unhideWhenUsed="0" w:uiPriority="99" w:semiHidden="0" w:name="List Number"/>
    <w:lsdException w:qFormat="1" w:unhideWhenUsed="0" w:uiPriority="99" w:semiHidden="0" w:name="List 2"/>
    <w:lsdException w:unhideWhenUsed="0" w:uiPriority="0" w:semiHidden="0" w:name="List 3"/>
    <w:lsdException w:unhideWhenUsed="0" w:uiPriority="0"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nhideWhenUsed="0" w:uiPriority="0"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nhideWhenUsed="0" w:uiPriority="0" w:semiHidden="0" w:name="Closing"/>
    <w:lsdException w:qFormat="1" w:unhideWhenUsed="0" w:uiPriority="99"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99" w:semiHidden="0" w:name="HTML Address"/>
    <w:lsdException w:unhideWhenUsed="0" w:uiPriority="0" w:semiHidden="0" w:name="HTML Cite"/>
    <w:lsdException w:qFormat="1" w:unhideWhenUsed="0" w:uiPriority="99"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qFormat="1"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7"/>
    <w:qFormat/>
    <w:uiPriority w:val="9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link w:val="80"/>
    <w:qFormat/>
    <w:uiPriority w:val="9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link w:val="81"/>
    <w:qFormat/>
    <w:uiPriority w:val="99"/>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82"/>
    <w:qFormat/>
    <w:uiPriority w:val="9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83"/>
    <w:qFormat/>
    <w:uiPriority w:val="99"/>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84"/>
    <w:qFormat/>
    <w:uiPriority w:val="99"/>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316"/>
    <w:qFormat/>
    <w:uiPriority w:val="99"/>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86"/>
    <w:qFormat/>
    <w:uiPriority w:val="99"/>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87"/>
    <w:qFormat/>
    <w:uiPriority w:val="99"/>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qFormat/>
    <w:uiPriority w:val="99"/>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110"/>
    <w:qFormat/>
    <w:uiPriority w:val="99"/>
    <w:pPr>
      <w:widowControl/>
      <w:overflowPunct w:val="0"/>
      <w:autoSpaceDE w:val="0"/>
      <w:autoSpaceDN w:val="0"/>
      <w:jc w:val="center"/>
      <w:textAlignment w:val="baseline"/>
    </w:pPr>
    <w:rPr>
      <w:b/>
      <w:kern w:val="0"/>
      <w:sz w:val="24"/>
      <w:szCs w:val="20"/>
      <w:lang w:val="en-GB"/>
    </w:rPr>
  </w:style>
  <w:style w:type="paragraph" w:styleId="6">
    <w:name w:val="Normal Indent"/>
    <w:basedOn w:val="1"/>
    <w:link w:val="211"/>
    <w:qFormat/>
    <w:uiPriority w:val="99"/>
    <w:pPr>
      <w:widowControl/>
      <w:snapToGrid w:val="0"/>
      <w:spacing w:line="480" w:lineRule="exact"/>
      <w:ind w:firstLine="567"/>
    </w:pPr>
    <w:rPr>
      <w:rFonts w:ascii="宋体"/>
      <w:color w:val="000000"/>
      <w:kern w:val="28"/>
      <w:sz w:val="28"/>
      <w:szCs w:val="20"/>
    </w:rPr>
  </w:style>
  <w:style w:type="paragraph" w:styleId="13">
    <w:name w:val="toc 7"/>
    <w:basedOn w:val="1"/>
    <w:next w:val="1"/>
    <w:qFormat/>
    <w:uiPriority w:val="99"/>
    <w:pPr>
      <w:ind w:left="2520" w:leftChars="1200"/>
    </w:pPr>
  </w:style>
  <w:style w:type="paragraph" w:styleId="14">
    <w:name w:val="List Number 2"/>
    <w:basedOn w:val="1"/>
    <w:qFormat/>
    <w:uiPriority w:val="99"/>
    <w:pPr>
      <w:widowControl/>
      <w:tabs>
        <w:tab w:val="left" w:pos="1697"/>
      </w:tabs>
      <w:adjustRightInd/>
      <w:spacing w:afterLines="50"/>
      <w:ind w:left="1697" w:hanging="420"/>
      <w:jc w:val="left"/>
    </w:pPr>
    <w:rPr>
      <w:kern w:val="0"/>
      <w:sz w:val="24"/>
      <w:szCs w:val="20"/>
    </w:rPr>
  </w:style>
  <w:style w:type="paragraph" w:styleId="15">
    <w:name w:val="List Bullet 4"/>
    <w:basedOn w:val="1"/>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99"/>
    <w:pPr>
      <w:widowControl/>
      <w:tabs>
        <w:tab w:val="left" w:pos="390"/>
        <w:tab w:val="left" w:pos="454"/>
      </w:tabs>
      <w:adjustRightInd/>
      <w:spacing w:afterLines="50"/>
      <w:ind w:left="454" w:hanging="284"/>
      <w:jc w:val="left"/>
    </w:pPr>
    <w:rPr>
      <w:kern w:val="0"/>
      <w:sz w:val="24"/>
      <w:szCs w:val="20"/>
    </w:rPr>
  </w:style>
  <w:style w:type="paragraph" w:styleId="17">
    <w:name w:val="caption"/>
    <w:basedOn w:val="1"/>
    <w:next w:val="1"/>
    <w:link w:val="245"/>
    <w:qFormat/>
    <w:uiPriority w:val="99"/>
    <w:rPr>
      <w:b/>
      <w:sz w:val="28"/>
      <w:szCs w:val="20"/>
    </w:rPr>
  </w:style>
  <w:style w:type="paragraph" w:styleId="18">
    <w:name w:val="index 5"/>
    <w:basedOn w:val="1"/>
    <w:next w:val="1"/>
    <w:qFormat/>
    <w:uiPriority w:val="99"/>
    <w:pPr>
      <w:adjustRightInd/>
      <w:ind w:left="800" w:leftChars="800" w:firstLine="200" w:firstLineChars="200"/>
    </w:pPr>
  </w:style>
  <w:style w:type="paragraph" w:styleId="19">
    <w:name w:val="Document Map"/>
    <w:basedOn w:val="1"/>
    <w:link w:val="220"/>
    <w:qFormat/>
    <w:uiPriority w:val="99"/>
    <w:pPr>
      <w:shd w:val="clear" w:color="auto" w:fill="000080"/>
    </w:pPr>
  </w:style>
  <w:style w:type="paragraph" w:styleId="20">
    <w:name w:val="annotation text"/>
    <w:basedOn w:val="1"/>
    <w:link w:val="348"/>
    <w:qFormat/>
    <w:uiPriority w:val="99"/>
    <w:pPr>
      <w:jc w:val="left"/>
    </w:pPr>
  </w:style>
  <w:style w:type="paragraph" w:styleId="21">
    <w:name w:val="Salutation"/>
    <w:basedOn w:val="1"/>
    <w:next w:val="1"/>
    <w:link w:val="92"/>
    <w:qFormat/>
    <w:uiPriority w:val="99"/>
    <w:rPr>
      <w:rFonts w:ascii="仿宋_GB2312" w:eastAsia="仿宋_GB2312"/>
      <w:sz w:val="28"/>
      <w:szCs w:val="20"/>
    </w:rPr>
  </w:style>
  <w:style w:type="paragraph" w:styleId="22">
    <w:name w:val="Body Text 3"/>
    <w:basedOn w:val="1"/>
    <w:link w:val="93"/>
    <w:qFormat/>
    <w:uiPriority w:val="99"/>
    <w:pPr>
      <w:jc w:val="center"/>
    </w:pPr>
    <w:rPr>
      <w:szCs w:val="20"/>
    </w:rPr>
  </w:style>
  <w:style w:type="paragraph" w:styleId="23">
    <w:name w:val="List Bullet 3"/>
    <w:basedOn w:val="1"/>
    <w:qFormat/>
    <w:uiPriority w:val="99"/>
    <w:pPr>
      <w:snapToGrid w:val="0"/>
      <w:spacing w:line="360" w:lineRule="auto"/>
      <w:ind w:left="360" w:right="238" w:hanging="360"/>
      <w:contextualSpacing/>
    </w:pPr>
    <w:rPr>
      <w:sz w:val="24"/>
    </w:rPr>
  </w:style>
  <w:style w:type="paragraph" w:styleId="24">
    <w:name w:val="Body Text"/>
    <w:basedOn w:val="1"/>
    <w:next w:val="25"/>
    <w:link w:val="94"/>
    <w:qFormat/>
    <w:uiPriority w:val="99"/>
    <w:pPr>
      <w:autoSpaceDE w:val="0"/>
      <w:autoSpaceDN w:val="0"/>
      <w:spacing w:line="360" w:lineRule="auto"/>
    </w:pPr>
    <w:rPr>
      <w:rFonts w:ascii="宋体" w:hAnsi="Arial" w:cs="Arial"/>
      <w:sz w:val="24"/>
      <w:szCs w:val="21"/>
      <w:lang w:val="zh-CN"/>
    </w:rPr>
  </w:style>
  <w:style w:type="paragraph" w:styleId="25">
    <w:name w:val="Body Text First Indent"/>
    <w:basedOn w:val="24"/>
    <w:link w:val="95"/>
    <w:qFormat/>
    <w:uiPriority w:val="99"/>
    <w:pPr>
      <w:ind w:firstLine="420"/>
    </w:pPr>
    <w:rPr>
      <w:rFonts w:hAnsi="Times New Roman" w:cs="Times New Roman"/>
      <w:szCs w:val="20"/>
    </w:rPr>
  </w:style>
  <w:style w:type="paragraph" w:styleId="26">
    <w:name w:val="Body Text Indent"/>
    <w:basedOn w:val="1"/>
    <w:next w:val="27"/>
    <w:link w:val="88"/>
    <w:qFormat/>
    <w:uiPriority w:val="99"/>
    <w:pPr>
      <w:spacing w:line="480" w:lineRule="exact"/>
      <w:ind w:firstLine="480" w:firstLineChars="200"/>
    </w:pPr>
    <w:rPr>
      <w:rFonts w:ascii="宋体" w:hAnsi="宋体"/>
      <w:sz w:val="24"/>
    </w:rPr>
  </w:style>
  <w:style w:type="paragraph" w:styleId="27">
    <w:name w:val="Body Text First Indent 2"/>
    <w:basedOn w:val="26"/>
    <w:next w:val="1"/>
    <w:link w:val="89"/>
    <w:qFormat/>
    <w:uiPriority w:val="99"/>
    <w:pPr>
      <w:adjustRightInd/>
      <w:spacing w:after="120" w:line="240" w:lineRule="auto"/>
      <w:ind w:left="420" w:leftChars="200" w:firstLine="210"/>
    </w:pPr>
    <w:rPr>
      <w:sz w:val="21"/>
    </w:rPr>
  </w:style>
  <w:style w:type="paragraph" w:styleId="28">
    <w:name w:val="List Number 3"/>
    <w:basedOn w:val="1"/>
    <w:qFormat/>
    <w:uiPriority w:val="99"/>
    <w:pPr>
      <w:widowControl/>
      <w:tabs>
        <w:tab w:val="left" w:pos="360"/>
        <w:tab w:val="left" w:pos="482"/>
      </w:tabs>
      <w:adjustRightInd/>
      <w:spacing w:afterLines="50"/>
      <w:ind w:left="482" w:hanging="340"/>
      <w:jc w:val="left"/>
    </w:pPr>
    <w:rPr>
      <w:kern w:val="0"/>
      <w:sz w:val="24"/>
      <w:szCs w:val="20"/>
    </w:rPr>
  </w:style>
  <w:style w:type="paragraph" w:styleId="29">
    <w:name w:val="List 2"/>
    <w:basedOn w:val="1"/>
    <w:qFormat/>
    <w:uiPriority w:val="99"/>
    <w:pPr>
      <w:adjustRightInd/>
      <w:spacing w:line="360" w:lineRule="auto"/>
      <w:ind w:left="100" w:leftChars="200" w:hanging="200" w:hangingChars="200"/>
    </w:pPr>
    <w:rPr>
      <w:rFonts w:eastAsia="微软雅黑"/>
    </w:rPr>
  </w:style>
  <w:style w:type="paragraph" w:styleId="30">
    <w:name w:val="Block Text"/>
    <w:basedOn w:val="1"/>
    <w:qFormat/>
    <w:uiPriority w:val="99"/>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99"/>
    <w:pPr>
      <w:autoSpaceDE w:val="0"/>
      <w:autoSpaceDN w:val="0"/>
      <w:ind w:left="420"/>
      <w:jc w:val="left"/>
    </w:pPr>
    <w:rPr>
      <w:rFonts w:ascii="宋体" w:hAnsi="宋体"/>
      <w:color w:val="000000"/>
      <w:kern w:val="0"/>
      <w:sz w:val="24"/>
      <w:szCs w:val="20"/>
    </w:rPr>
  </w:style>
  <w:style w:type="paragraph" w:styleId="32">
    <w:name w:val="HTML Address"/>
    <w:basedOn w:val="1"/>
    <w:link w:val="96"/>
    <w:qFormat/>
    <w:uiPriority w:val="99"/>
    <w:pPr>
      <w:widowControl/>
      <w:adjustRightInd/>
      <w:ind w:firstLine="200" w:firstLineChars="200"/>
      <w:jc w:val="left"/>
    </w:pPr>
    <w:rPr>
      <w:rFonts w:ascii="宋体" w:hAnsi="宋体"/>
      <w:i/>
      <w:iCs/>
      <w:kern w:val="0"/>
      <w:sz w:val="24"/>
    </w:rPr>
  </w:style>
  <w:style w:type="paragraph" w:styleId="33">
    <w:name w:val="toc 5"/>
    <w:basedOn w:val="1"/>
    <w:next w:val="1"/>
    <w:qFormat/>
    <w:uiPriority w:val="99"/>
    <w:pPr>
      <w:ind w:left="1680" w:leftChars="800"/>
    </w:pPr>
  </w:style>
  <w:style w:type="paragraph" w:styleId="34">
    <w:name w:val="toc 3"/>
    <w:basedOn w:val="1"/>
    <w:next w:val="1"/>
    <w:qFormat/>
    <w:uiPriority w:val="99"/>
    <w:pPr>
      <w:tabs>
        <w:tab w:val="right" w:leader="dot" w:pos="8268"/>
      </w:tabs>
      <w:spacing w:line="460" w:lineRule="exact"/>
      <w:ind w:left="840" w:leftChars="400" w:firstLine="482"/>
    </w:pPr>
    <w:rPr>
      <w:rFonts w:ascii="宋体" w:hAnsi="宋体"/>
    </w:rPr>
  </w:style>
  <w:style w:type="paragraph" w:styleId="35">
    <w:name w:val="Plain Text"/>
    <w:basedOn w:val="1"/>
    <w:next w:val="1"/>
    <w:link w:val="97"/>
    <w:qFormat/>
    <w:uiPriority w:val="99"/>
    <w:rPr>
      <w:rFonts w:ascii="宋体" w:hAnsi="Courier New" w:cs="Arial"/>
      <w:szCs w:val="21"/>
    </w:rPr>
  </w:style>
  <w:style w:type="paragraph" w:styleId="36">
    <w:name w:val="List Number 4"/>
    <w:basedOn w:val="1"/>
    <w:qFormat/>
    <w:uiPriority w:val="99"/>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99"/>
    <w:pPr>
      <w:ind w:left="2940" w:leftChars="1400"/>
    </w:pPr>
  </w:style>
  <w:style w:type="paragraph" w:styleId="38">
    <w:name w:val="Date"/>
    <w:basedOn w:val="1"/>
    <w:next w:val="1"/>
    <w:link w:val="98"/>
    <w:qFormat/>
    <w:uiPriority w:val="99"/>
    <w:pPr>
      <w:ind w:left="100" w:leftChars="2500"/>
    </w:pPr>
    <w:rPr>
      <w:rFonts w:ascii="宋体"/>
      <w:sz w:val="24"/>
      <w:szCs w:val="21"/>
      <w:lang w:val="zh-CN"/>
    </w:rPr>
  </w:style>
  <w:style w:type="paragraph" w:styleId="39">
    <w:name w:val="Body Text Indent 2"/>
    <w:basedOn w:val="1"/>
    <w:link w:val="99"/>
    <w:qFormat/>
    <w:uiPriority w:val="99"/>
    <w:pPr>
      <w:spacing w:line="360" w:lineRule="auto"/>
      <w:ind w:firstLine="601"/>
      <w:textAlignment w:val="baseline"/>
    </w:pPr>
    <w:rPr>
      <w:rFonts w:ascii="宋体"/>
      <w:kern w:val="0"/>
      <w:sz w:val="28"/>
      <w:szCs w:val="20"/>
    </w:rPr>
  </w:style>
  <w:style w:type="paragraph" w:styleId="40">
    <w:name w:val="endnote text"/>
    <w:basedOn w:val="1"/>
    <w:link w:val="100"/>
    <w:qFormat/>
    <w:uiPriority w:val="99"/>
    <w:rPr>
      <w:lang w:val="zh-CN"/>
    </w:rPr>
  </w:style>
  <w:style w:type="paragraph" w:styleId="41">
    <w:name w:val="Balloon Text"/>
    <w:basedOn w:val="1"/>
    <w:link w:val="206"/>
    <w:qFormat/>
    <w:uiPriority w:val="99"/>
    <w:rPr>
      <w:sz w:val="18"/>
      <w:szCs w:val="18"/>
    </w:rPr>
  </w:style>
  <w:style w:type="paragraph" w:styleId="42">
    <w:name w:val="footer"/>
    <w:basedOn w:val="1"/>
    <w:link w:val="384"/>
    <w:qFormat/>
    <w:uiPriority w:val="99"/>
    <w:pPr>
      <w:tabs>
        <w:tab w:val="center" w:pos="4153"/>
        <w:tab w:val="right" w:pos="8306"/>
      </w:tabs>
      <w:snapToGrid w:val="0"/>
      <w:jc w:val="left"/>
    </w:pPr>
    <w:rPr>
      <w:sz w:val="18"/>
      <w:szCs w:val="18"/>
    </w:rPr>
  </w:style>
  <w:style w:type="paragraph" w:styleId="43">
    <w:name w:val="header"/>
    <w:basedOn w:val="1"/>
    <w:link w:val="393"/>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104"/>
    <w:qFormat/>
    <w:uiPriority w:val="99"/>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99"/>
  </w:style>
  <w:style w:type="paragraph" w:styleId="46">
    <w:name w:val="toc 4"/>
    <w:basedOn w:val="1"/>
    <w:next w:val="1"/>
    <w:qFormat/>
    <w:uiPriority w:val="99"/>
    <w:pPr>
      <w:ind w:left="1260" w:leftChars="600"/>
    </w:pPr>
  </w:style>
  <w:style w:type="paragraph" w:styleId="47">
    <w:name w:val="index heading"/>
    <w:basedOn w:val="1"/>
    <w:next w:val="48"/>
    <w:qFormat/>
    <w:uiPriority w:val="99"/>
    <w:pPr>
      <w:adjustRightInd/>
      <w:ind w:firstLine="200" w:firstLineChars="200"/>
    </w:pPr>
  </w:style>
  <w:style w:type="paragraph" w:styleId="48">
    <w:name w:val="index 1"/>
    <w:basedOn w:val="1"/>
    <w:next w:val="1"/>
    <w:qFormat/>
    <w:uiPriority w:val="99"/>
    <w:pPr>
      <w:adjustRightInd/>
      <w:spacing w:line="360" w:lineRule="auto"/>
      <w:ind w:firstLine="200" w:firstLineChars="200"/>
      <w:jc w:val="center"/>
    </w:pPr>
    <w:rPr>
      <w:sz w:val="24"/>
      <w:szCs w:val="20"/>
    </w:rPr>
  </w:style>
  <w:style w:type="paragraph" w:styleId="49">
    <w:name w:val="Subtitle"/>
    <w:basedOn w:val="1"/>
    <w:link w:val="105"/>
    <w:qFormat/>
    <w:uiPriority w:val="99"/>
    <w:pPr>
      <w:widowControl/>
      <w:snapToGrid w:val="0"/>
      <w:spacing w:before="240" w:after="480"/>
      <w:jc w:val="center"/>
    </w:pPr>
    <w:rPr>
      <w:rFonts w:ascii="Arial" w:hAnsi="Arial" w:eastAsia="隶书"/>
      <w:b/>
      <w:bCs/>
      <w:kern w:val="28"/>
      <w:sz w:val="44"/>
      <w:szCs w:val="32"/>
    </w:rPr>
  </w:style>
  <w:style w:type="paragraph" w:styleId="50">
    <w:name w:val="List Number 5"/>
    <w:basedOn w:val="1"/>
    <w:qFormat/>
    <w:uiPriority w:val="99"/>
    <w:pPr>
      <w:tabs>
        <w:tab w:val="left" w:pos="902"/>
      </w:tabs>
      <w:adjustRightInd/>
      <w:spacing w:line="400" w:lineRule="exact"/>
      <w:ind w:left="902" w:hanging="420"/>
    </w:pPr>
    <w:rPr>
      <w:sz w:val="24"/>
      <w:szCs w:val="20"/>
    </w:rPr>
  </w:style>
  <w:style w:type="paragraph" w:styleId="51">
    <w:name w:val="List"/>
    <w:basedOn w:val="1"/>
    <w:qFormat/>
    <w:uiPriority w:val="99"/>
    <w:pPr>
      <w:ind w:left="200" w:hanging="200" w:hangingChars="200"/>
    </w:pPr>
  </w:style>
  <w:style w:type="paragraph" w:styleId="52">
    <w:name w:val="footnote text"/>
    <w:basedOn w:val="6"/>
    <w:link w:val="106"/>
    <w:qFormat/>
    <w:uiPriority w:val="99"/>
    <w:pPr>
      <w:adjustRightInd/>
      <w:snapToGrid/>
      <w:spacing w:before="60" w:after="60" w:line="300" w:lineRule="exact"/>
      <w:ind w:firstLine="0"/>
    </w:pPr>
    <w:rPr>
      <w:rFonts w:ascii="Times New Roman"/>
      <w:color w:val="0000FF"/>
      <w:kern w:val="0"/>
      <w:sz w:val="21"/>
    </w:rPr>
  </w:style>
  <w:style w:type="paragraph" w:styleId="53">
    <w:name w:val="toc 6"/>
    <w:basedOn w:val="1"/>
    <w:next w:val="1"/>
    <w:qFormat/>
    <w:uiPriority w:val="99"/>
    <w:pPr>
      <w:ind w:left="2100" w:leftChars="1000"/>
    </w:pPr>
  </w:style>
  <w:style w:type="paragraph" w:styleId="54">
    <w:name w:val="List 5"/>
    <w:basedOn w:val="1"/>
    <w:qFormat/>
    <w:uiPriority w:val="99"/>
    <w:pPr>
      <w:adjustRightInd/>
      <w:ind w:left="100" w:leftChars="800" w:hanging="200" w:hangingChars="200"/>
    </w:pPr>
  </w:style>
  <w:style w:type="paragraph" w:styleId="55">
    <w:name w:val="Body Text Indent 3"/>
    <w:basedOn w:val="1"/>
    <w:link w:val="107"/>
    <w:qFormat/>
    <w:uiPriority w:val="99"/>
    <w:pPr>
      <w:spacing w:line="360" w:lineRule="auto"/>
      <w:ind w:firstLine="420"/>
    </w:pPr>
    <w:rPr>
      <w:sz w:val="24"/>
      <w:szCs w:val="20"/>
    </w:rPr>
  </w:style>
  <w:style w:type="paragraph" w:styleId="56">
    <w:name w:val="toc 2"/>
    <w:basedOn w:val="1"/>
    <w:next w:val="1"/>
    <w:qFormat/>
    <w:uiPriority w:val="99"/>
    <w:pPr>
      <w:ind w:left="420" w:leftChars="200"/>
    </w:pPr>
  </w:style>
  <w:style w:type="paragraph" w:styleId="57">
    <w:name w:val="toc 9"/>
    <w:basedOn w:val="1"/>
    <w:next w:val="1"/>
    <w:qFormat/>
    <w:uiPriority w:val="99"/>
    <w:pPr>
      <w:ind w:left="3360" w:leftChars="1600"/>
    </w:pPr>
  </w:style>
  <w:style w:type="paragraph" w:styleId="58">
    <w:name w:val="Body Text 2"/>
    <w:basedOn w:val="1"/>
    <w:link w:val="108"/>
    <w:qFormat/>
    <w:uiPriority w:val="99"/>
    <w:pPr>
      <w:spacing w:after="120" w:line="480" w:lineRule="auto"/>
    </w:pPr>
  </w:style>
  <w:style w:type="paragraph" w:styleId="59">
    <w:name w:val="HTML Preformatted"/>
    <w:basedOn w:val="1"/>
    <w:link w:val="10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annotation subject"/>
    <w:basedOn w:val="20"/>
    <w:next w:val="20"/>
    <w:link w:val="111"/>
    <w:qFormat/>
    <w:uiPriority w:val="99"/>
    <w:rPr>
      <w:b/>
      <w:bCs/>
    </w:rPr>
  </w:style>
  <w:style w:type="table" w:styleId="63">
    <w:name w:val="Table Grid"/>
    <w:basedOn w:val="62"/>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99"/>
    <w:pPr>
      <w:widowControl w:val="0"/>
      <w:jc w:val="both"/>
    </w:pPr>
    <w:rPr>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rPr>
      <w:tblPr/>
      <w:tcPr>
        <w:tcBorders>
          <w:top w:val="nil"/>
          <w:left w:val="nil"/>
          <w:bottom w:val="single" w:color="000000" w:sz="12" w:space="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99"/>
    <w:pPr>
      <w:widowControl w:val="0"/>
      <w:jc w:val="both"/>
    </w:pPr>
    <w:rPr>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blPr/>
      <w:tcPr>
        <w:tcBorders>
          <w:top w:val="nil"/>
          <w:left w:val="nil"/>
          <w:bottom w:val="nil"/>
          <w:right w:val="nil"/>
          <w:insideH w:val="nil"/>
          <w:insideV w:val="nil"/>
          <w:tl2br w:val="nil"/>
          <w:tr2bl w:val="nil"/>
        </w:tcBorders>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99"/>
    <w:pPr>
      <w:widowControl w:val="0"/>
      <w:jc w:val="both"/>
    </w:pPr>
    <w:rPr>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basedOn w:val="69"/>
    <w:qFormat/>
    <w:uiPriority w:val="99"/>
    <w:rPr>
      <w:rFonts w:cs="Times New Roman"/>
      <w:b/>
    </w:rPr>
  </w:style>
  <w:style w:type="character" w:styleId="71">
    <w:name w:val="endnote reference"/>
    <w:basedOn w:val="69"/>
    <w:qFormat/>
    <w:uiPriority w:val="99"/>
    <w:rPr>
      <w:rFonts w:cs="Times New Roman"/>
      <w:vertAlign w:val="superscript"/>
    </w:rPr>
  </w:style>
  <w:style w:type="character" w:styleId="72">
    <w:name w:val="page number"/>
    <w:basedOn w:val="69"/>
    <w:qFormat/>
    <w:uiPriority w:val="99"/>
    <w:rPr>
      <w:rFonts w:ascii="Arial" w:hAnsi="Arial" w:eastAsia="黑体" w:cs="Arial"/>
      <w:snapToGrid w:val="0"/>
      <w:kern w:val="0"/>
      <w:sz w:val="21"/>
      <w:szCs w:val="21"/>
    </w:rPr>
  </w:style>
  <w:style w:type="character" w:styleId="73">
    <w:name w:val="FollowedHyperlink"/>
    <w:basedOn w:val="69"/>
    <w:qFormat/>
    <w:uiPriority w:val="99"/>
    <w:rPr>
      <w:rFonts w:ascii="Arial" w:hAnsi="Arial" w:eastAsia="黑体" w:cs="Times New Roman"/>
      <w:snapToGrid w:val="0"/>
      <w:color w:val="000000"/>
      <w:kern w:val="0"/>
      <w:sz w:val="18"/>
      <w:u w:val="none"/>
    </w:rPr>
  </w:style>
  <w:style w:type="character" w:styleId="74">
    <w:name w:val="Emphasis"/>
    <w:basedOn w:val="69"/>
    <w:qFormat/>
    <w:uiPriority w:val="99"/>
    <w:rPr>
      <w:rFonts w:cs="Times New Roman"/>
      <w:color w:val="CC0033"/>
    </w:rPr>
  </w:style>
  <w:style w:type="character" w:styleId="75">
    <w:name w:val="line number"/>
    <w:basedOn w:val="69"/>
    <w:qFormat/>
    <w:uiPriority w:val="99"/>
    <w:rPr>
      <w:rFonts w:ascii="Arial" w:hAnsi="Arial" w:eastAsia="黑体" w:cs="Arial"/>
      <w:snapToGrid w:val="0"/>
      <w:kern w:val="0"/>
      <w:sz w:val="21"/>
      <w:szCs w:val="21"/>
    </w:rPr>
  </w:style>
  <w:style w:type="character" w:styleId="76">
    <w:name w:val="Hyperlink"/>
    <w:basedOn w:val="69"/>
    <w:qFormat/>
    <w:uiPriority w:val="99"/>
    <w:rPr>
      <w:rFonts w:ascii="Arial" w:hAnsi="Arial" w:eastAsia="黑体" w:cs="Times New Roman"/>
      <w:snapToGrid w:val="0"/>
      <w:color w:val="000000"/>
      <w:kern w:val="0"/>
      <w:sz w:val="18"/>
      <w:u w:val="none"/>
    </w:rPr>
  </w:style>
  <w:style w:type="character" w:styleId="77">
    <w:name w:val="HTML Code"/>
    <w:basedOn w:val="69"/>
    <w:qFormat/>
    <w:uiPriority w:val="99"/>
    <w:rPr>
      <w:rFonts w:ascii="黑体" w:hAnsi="Courier New" w:eastAsia="黑体" w:cs="Times New Roman"/>
      <w:sz w:val="20"/>
    </w:rPr>
  </w:style>
  <w:style w:type="character" w:styleId="78">
    <w:name w:val="annotation reference"/>
    <w:basedOn w:val="69"/>
    <w:qFormat/>
    <w:uiPriority w:val="99"/>
    <w:rPr>
      <w:rFonts w:cs="Times New Roman"/>
      <w:sz w:val="21"/>
    </w:rPr>
  </w:style>
  <w:style w:type="character" w:customStyle="1" w:styleId="79">
    <w:name w:val="Heading 1 Char"/>
    <w:basedOn w:val="69"/>
    <w:link w:val="3"/>
    <w:qFormat/>
    <w:uiPriority w:val="99"/>
    <w:rPr>
      <w:rFonts w:ascii="Times New Roman" w:hAnsi="Times New Roman" w:eastAsia="黑体"/>
      <w:b/>
      <w:kern w:val="0"/>
      <w:sz w:val="24"/>
    </w:rPr>
  </w:style>
  <w:style w:type="character" w:customStyle="1" w:styleId="80">
    <w:name w:val="Heading 2 Char"/>
    <w:basedOn w:val="69"/>
    <w:link w:val="4"/>
    <w:semiHidden/>
    <w:qFormat/>
    <w:uiPriority w:val="9"/>
    <w:rPr>
      <w:rFonts w:asciiTheme="majorHAnsi" w:hAnsiTheme="majorHAnsi" w:eastAsiaTheme="majorEastAsia" w:cstheme="majorBidi"/>
      <w:b/>
      <w:bCs/>
      <w:sz w:val="32"/>
      <w:szCs w:val="32"/>
    </w:rPr>
  </w:style>
  <w:style w:type="character" w:customStyle="1" w:styleId="81">
    <w:name w:val="Heading 3 Char"/>
    <w:basedOn w:val="69"/>
    <w:link w:val="5"/>
    <w:semiHidden/>
    <w:qFormat/>
    <w:uiPriority w:val="9"/>
    <w:rPr>
      <w:b/>
      <w:bCs/>
      <w:sz w:val="32"/>
      <w:szCs w:val="32"/>
    </w:rPr>
  </w:style>
  <w:style w:type="character" w:customStyle="1" w:styleId="82">
    <w:name w:val="Heading 4 Char"/>
    <w:basedOn w:val="69"/>
    <w:link w:val="7"/>
    <w:qFormat/>
    <w:locked/>
    <w:uiPriority w:val="99"/>
    <w:rPr>
      <w:rFonts w:ascii="Arial" w:hAnsi="Arial" w:eastAsia="黑体"/>
      <w:b/>
      <w:kern w:val="2"/>
      <w:sz w:val="28"/>
      <w:lang w:val="zh-CN"/>
    </w:rPr>
  </w:style>
  <w:style w:type="character" w:customStyle="1" w:styleId="83">
    <w:name w:val="Heading 5 Char"/>
    <w:basedOn w:val="69"/>
    <w:link w:val="8"/>
    <w:qFormat/>
    <w:locked/>
    <w:uiPriority w:val="99"/>
    <w:rPr>
      <w:b/>
      <w:kern w:val="2"/>
      <w:sz w:val="28"/>
    </w:rPr>
  </w:style>
  <w:style w:type="character" w:customStyle="1" w:styleId="84">
    <w:name w:val="Heading 6 Char"/>
    <w:basedOn w:val="69"/>
    <w:link w:val="9"/>
    <w:qFormat/>
    <w:locked/>
    <w:uiPriority w:val="99"/>
    <w:rPr>
      <w:rFonts w:ascii="Arial" w:hAnsi="Arial" w:eastAsia="黑体"/>
      <w:b/>
      <w:kern w:val="2"/>
      <w:sz w:val="24"/>
    </w:rPr>
  </w:style>
  <w:style w:type="character" w:customStyle="1" w:styleId="85">
    <w:name w:val="Heading 7 Char"/>
    <w:basedOn w:val="69"/>
    <w:link w:val="10"/>
    <w:qFormat/>
    <w:locked/>
    <w:uiPriority w:val="99"/>
    <w:rPr>
      <w:rFonts w:ascii="宋体" w:hAnsi="宋体" w:eastAsia="宋体"/>
      <w:b/>
      <w:kern w:val="2"/>
      <w:sz w:val="24"/>
      <w:lang w:val="en-US" w:eastAsia="zh-CN"/>
    </w:rPr>
  </w:style>
  <w:style w:type="character" w:customStyle="1" w:styleId="86">
    <w:name w:val="Heading 8 Char"/>
    <w:basedOn w:val="69"/>
    <w:link w:val="11"/>
    <w:qFormat/>
    <w:locked/>
    <w:uiPriority w:val="99"/>
    <w:rPr>
      <w:rFonts w:ascii="Arial" w:hAnsi="Arial" w:eastAsia="黑体"/>
      <w:kern w:val="2"/>
      <w:sz w:val="24"/>
    </w:rPr>
  </w:style>
  <w:style w:type="character" w:customStyle="1" w:styleId="87">
    <w:name w:val="Heading 9 Char"/>
    <w:basedOn w:val="69"/>
    <w:link w:val="12"/>
    <w:qFormat/>
    <w:locked/>
    <w:uiPriority w:val="99"/>
    <w:rPr>
      <w:rFonts w:ascii="Arial" w:hAnsi="Arial" w:eastAsia="黑体"/>
      <w:kern w:val="2"/>
      <w:sz w:val="21"/>
    </w:rPr>
  </w:style>
  <w:style w:type="character" w:customStyle="1" w:styleId="88">
    <w:name w:val="Body Text Indent Char"/>
    <w:basedOn w:val="69"/>
    <w:link w:val="26"/>
    <w:qFormat/>
    <w:locked/>
    <w:uiPriority w:val="99"/>
    <w:rPr>
      <w:rFonts w:ascii="宋体" w:eastAsia="宋体"/>
      <w:kern w:val="2"/>
      <w:sz w:val="24"/>
    </w:rPr>
  </w:style>
  <w:style w:type="character" w:customStyle="1" w:styleId="89">
    <w:name w:val="Body Text First Indent 2 Char"/>
    <w:basedOn w:val="88"/>
    <w:link w:val="27"/>
    <w:qFormat/>
    <w:locked/>
    <w:uiPriority w:val="99"/>
  </w:style>
  <w:style w:type="character" w:customStyle="1" w:styleId="90">
    <w:name w:val="Document Map Char"/>
    <w:basedOn w:val="69"/>
    <w:link w:val="19"/>
    <w:qFormat/>
    <w:locked/>
    <w:uiPriority w:val="99"/>
    <w:rPr>
      <w:rFonts w:eastAsia="宋体"/>
      <w:kern w:val="2"/>
      <w:sz w:val="24"/>
      <w:lang w:val="en-US" w:eastAsia="zh-CN"/>
    </w:rPr>
  </w:style>
  <w:style w:type="character" w:customStyle="1" w:styleId="91">
    <w:name w:val="Comment Text Char"/>
    <w:basedOn w:val="69"/>
    <w:link w:val="20"/>
    <w:qFormat/>
    <w:locked/>
    <w:uiPriority w:val="99"/>
    <w:rPr>
      <w:rFonts w:ascii="宋体" w:hAnsi="宋体" w:eastAsia="宋体"/>
      <w:kern w:val="2"/>
      <w:sz w:val="24"/>
      <w:lang w:val="en-US" w:eastAsia="zh-CN"/>
    </w:rPr>
  </w:style>
  <w:style w:type="character" w:customStyle="1" w:styleId="92">
    <w:name w:val="Salutation Char"/>
    <w:basedOn w:val="69"/>
    <w:link w:val="21"/>
    <w:qFormat/>
    <w:locked/>
    <w:uiPriority w:val="99"/>
    <w:rPr>
      <w:rFonts w:ascii="仿宋_GB2312" w:eastAsia="仿宋_GB2312"/>
      <w:kern w:val="2"/>
      <w:sz w:val="28"/>
    </w:rPr>
  </w:style>
  <w:style w:type="character" w:customStyle="1" w:styleId="93">
    <w:name w:val="Body Text 3 Char"/>
    <w:basedOn w:val="69"/>
    <w:link w:val="22"/>
    <w:qFormat/>
    <w:locked/>
    <w:uiPriority w:val="99"/>
    <w:rPr>
      <w:kern w:val="2"/>
      <w:sz w:val="21"/>
    </w:rPr>
  </w:style>
  <w:style w:type="character" w:customStyle="1" w:styleId="94">
    <w:name w:val="Body Text Char"/>
    <w:basedOn w:val="69"/>
    <w:link w:val="24"/>
    <w:qFormat/>
    <w:locked/>
    <w:uiPriority w:val="99"/>
    <w:rPr>
      <w:rFonts w:ascii="宋体" w:hAnsi="Arial" w:eastAsia="宋体"/>
      <w:snapToGrid w:val="0"/>
      <w:kern w:val="2"/>
      <w:sz w:val="21"/>
      <w:lang w:val="zh-CN" w:eastAsia="zh-CN"/>
    </w:rPr>
  </w:style>
  <w:style w:type="character" w:customStyle="1" w:styleId="95">
    <w:name w:val="Body Text First Indent Char"/>
    <w:basedOn w:val="94"/>
    <w:link w:val="25"/>
    <w:qFormat/>
    <w:locked/>
    <w:uiPriority w:val="99"/>
    <w:rPr>
      <w:sz w:val="24"/>
    </w:rPr>
  </w:style>
  <w:style w:type="character" w:customStyle="1" w:styleId="96">
    <w:name w:val="HTML Address Char"/>
    <w:basedOn w:val="69"/>
    <w:link w:val="32"/>
    <w:qFormat/>
    <w:locked/>
    <w:uiPriority w:val="99"/>
    <w:rPr>
      <w:rFonts w:ascii="宋体" w:eastAsia="宋体"/>
      <w:i/>
      <w:sz w:val="24"/>
    </w:rPr>
  </w:style>
  <w:style w:type="character" w:customStyle="1" w:styleId="97">
    <w:name w:val="Plain Text Char"/>
    <w:basedOn w:val="69"/>
    <w:link w:val="35"/>
    <w:qFormat/>
    <w:locked/>
    <w:uiPriority w:val="99"/>
    <w:rPr>
      <w:rFonts w:ascii="宋体" w:hAnsi="Courier New" w:eastAsia="宋体"/>
      <w:snapToGrid w:val="0"/>
      <w:kern w:val="2"/>
      <w:sz w:val="21"/>
      <w:lang w:val="en-US" w:eastAsia="zh-CN"/>
    </w:rPr>
  </w:style>
  <w:style w:type="character" w:customStyle="1" w:styleId="98">
    <w:name w:val="Date Char"/>
    <w:basedOn w:val="69"/>
    <w:link w:val="38"/>
    <w:qFormat/>
    <w:locked/>
    <w:uiPriority w:val="99"/>
    <w:rPr>
      <w:rFonts w:ascii="宋体"/>
      <w:kern w:val="2"/>
      <w:sz w:val="21"/>
      <w:lang w:val="zh-CN"/>
    </w:rPr>
  </w:style>
  <w:style w:type="character" w:customStyle="1" w:styleId="99">
    <w:name w:val="Body Text Indent 2 Char"/>
    <w:basedOn w:val="69"/>
    <w:link w:val="39"/>
    <w:qFormat/>
    <w:locked/>
    <w:uiPriority w:val="99"/>
    <w:rPr>
      <w:rFonts w:ascii="宋体"/>
      <w:sz w:val="28"/>
    </w:rPr>
  </w:style>
  <w:style w:type="character" w:customStyle="1" w:styleId="100">
    <w:name w:val="Endnote Text Char"/>
    <w:basedOn w:val="69"/>
    <w:link w:val="40"/>
    <w:qFormat/>
    <w:locked/>
    <w:uiPriority w:val="99"/>
    <w:rPr>
      <w:kern w:val="2"/>
      <w:sz w:val="24"/>
      <w:lang w:val="zh-CN"/>
    </w:rPr>
  </w:style>
  <w:style w:type="character" w:customStyle="1" w:styleId="101">
    <w:name w:val="Balloon Text Char"/>
    <w:basedOn w:val="69"/>
    <w:link w:val="41"/>
    <w:qFormat/>
    <w:locked/>
    <w:uiPriority w:val="99"/>
    <w:rPr>
      <w:rFonts w:eastAsia="宋体"/>
      <w:kern w:val="2"/>
      <w:sz w:val="18"/>
      <w:lang w:val="en-US" w:eastAsia="zh-CN"/>
    </w:rPr>
  </w:style>
  <w:style w:type="character" w:customStyle="1" w:styleId="102">
    <w:name w:val="Footer Char"/>
    <w:basedOn w:val="69"/>
    <w:link w:val="42"/>
    <w:qFormat/>
    <w:locked/>
    <w:uiPriority w:val="99"/>
    <w:rPr>
      <w:rFonts w:eastAsia="宋体"/>
      <w:kern w:val="2"/>
      <w:sz w:val="18"/>
      <w:lang w:val="en-US" w:eastAsia="zh-CN"/>
    </w:rPr>
  </w:style>
  <w:style w:type="character" w:customStyle="1" w:styleId="103">
    <w:name w:val="Header Char"/>
    <w:basedOn w:val="69"/>
    <w:link w:val="43"/>
    <w:qFormat/>
    <w:locked/>
    <w:uiPriority w:val="99"/>
    <w:rPr>
      <w:rFonts w:eastAsia="宋体"/>
      <w:kern w:val="2"/>
      <w:sz w:val="18"/>
      <w:lang w:val="en-US" w:eastAsia="zh-CN"/>
    </w:rPr>
  </w:style>
  <w:style w:type="character" w:customStyle="1" w:styleId="104">
    <w:name w:val="Signature Char"/>
    <w:basedOn w:val="69"/>
    <w:link w:val="44"/>
    <w:qFormat/>
    <w:locked/>
    <w:uiPriority w:val="99"/>
    <w:rPr>
      <w:rFonts w:eastAsia="仿宋_GB2312"/>
      <w:sz w:val="24"/>
    </w:rPr>
  </w:style>
  <w:style w:type="character" w:customStyle="1" w:styleId="105">
    <w:name w:val="Subtitle Char"/>
    <w:basedOn w:val="69"/>
    <w:link w:val="49"/>
    <w:qFormat/>
    <w:locked/>
    <w:uiPriority w:val="99"/>
    <w:rPr>
      <w:rFonts w:ascii="Arial" w:hAnsi="Arial" w:eastAsia="隶书"/>
      <w:b/>
      <w:kern w:val="28"/>
      <w:sz w:val="32"/>
      <w:lang w:val="en-US" w:eastAsia="zh-CN"/>
    </w:rPr>
  </w:style>
  <w:style w:type="character" w:customStyle="1" w:styleId="106">
    <w:name w:val="Footnote Text Char"/>
    <w:basedOn w:val="69"/>
    <w:link w:val="52"/>
    <w:qFormat/>
    <w:locked/>
    <w:uiPriority w:val="99"/>
    <w:rPr>
      <w:color w:val="0000FF"/>
      <w:sz w:val="21"/>
    </w:rPr>
  </w:style>
  <w:style w:type="character" w:customStyle="1" w:styleId="107">
    <w:name w:val="Body Text Indent 3 Char"/>
    <w:basedOn w:val="69"/>
    <w:link w:val="55"/>
    <w:qFormat/>
    <w:locked/>
    <w:uiPriority w:val="99"/>
    <w:rPr>
      <w:kern w:val="2"/>
      <w:sz w:val="24"/>
    </w:rPr>
  </w:style>
  <w:style w:type="character" w:customStyle="1" w:styleId="108">
    <w:name w:val="Body Text 2 Char"/>
    <w:basedOn w:val="69"/>
    <w:link w:val="58"/>
    <w:qFormat/>
    <w:locked/>
    <w:uiPriority w:val="99"/>
    <w:rPr>
      <w:kern w:val="2"/>
      <w:sz w:val="24"/>
    </w:rPr>
  </w:style>
  <w:style w:type="character" w:customStyle="1" w:styleId="109">
    <w:name w:val="HTML Preformatted Char"/>
    <w:basedOn w:val="69"/>
    <w:link w:val="59"/>
    <w:qFormat/>
    <w:locked/>
    <w:uiPriority w:val="99"/>
    <w:rPr>
      <w:rFonts w:ascii="黑体" w:hAnsi="Courier New" w:eastAsia="黑体"/>
    </w:rPr>
  </w:style>
  <w:style w:type="character" w:customStyle="1" w:styleId="110">
    <w:name w:val="Title Char"/>
    <w:basedOn w:val="69"/>
    <w:link w:val="2"/>
    <w:qFormat/>
    <w:locked/>
    <w:uiPriority w:val="99"/>
    <w:rPr>
      <w:b/>
      <w:sz w:val="24"/>
      <w:lang w:val="en-GB"/>
    </w:rPr>
  </w:style>
  <w:style w:type="character" w:customStyle="1" w:styleId="111">
    <w:name w:val="Comment Subject Char"/>
    <w:basedOn w:val="91"/>
    <w:link w:val="61"/>
    <w:qFormat/>
    <w:locked/>
    <w:uiPriority w:val="99"/>
    <w:rPr>
      <w:b/>
    </w:rPr>
  </w:style>
  <w:style w:type="character" w:customStyle="1" w:styleId="112">
    <w:name w:val="表格非标题文字 Char"/>
    <w:link w:val="113"/>
    <w:qFormat/>
    <w:locked/>
    <w:uiPriority w:val="99"/>
    <w:rPr>
      <w:rFonts w:ascii="Futura Bk" w:hAnsi="Futura Bk" w:eastAsia="宋体"/>
      <w:kern w:val="2"/>
      <w:sz w:val="21"/>
      <w:lang w:val="en-US" w:eastAsia="zh-CN"/>
    </w:rPr>
  </w:style>
  <w:style w:type="paragraph" w:customStyle="1" w:styleId="113">
    <w:name w:val="表格非标题文字"/>
    <w:link w:val="112"/>
    <w:qFormat/>
    <w:uiPriority w:val="99"/>
    <w:pPr>
      <w:snapToGrid w:val="0"/>
      <w:spacing w:before="80" w:after="40"/>
    </w:pPr>
    <w:rPr>
      <w:rFonts w:ascii="Futura Bk" w:hAnsi="Futura Bk" w:eastAsia="宋体" w:cs="Times New Roman"/>
      <w:kern w:val="2"/>
      <w:sz w:val="18"/>
      <w:szCs w:val="21"/>
      <w:lang w:val="en-US" w:eastAsia="zh-CN" w:bidi="ar-SA"/>
    </w:rPr>
  </w:style>
  <w:style w:type="character" w:customStyle="1" w:styleId="114">
    <w:name w:val="*正文 Char"/>
    <w:link w:val="115"/>
    <w:qFormat/>
    <w:locked/>
    <w:uiPriority w:val="99"/>
    <w:rPr>
      <w:rFonts w:ascii="宋体" w:eastAsia="宋体"/>
      <w:sz w:val="24"/>
    </w:rPr>
  </w:style>
  <w:style w:type="paragraph" w:customStyle="1" w:styleId="115">
    <w:name w:val="*正文"/>
    <w:basedOn w:val="1"/>
    <w:link w:val="114"/>
    <w:qFormat/>
    <w:uiPriority w:val="99"/>
    <w:pPr>
      <w:snapToGrid w:val="0"/>
      <w:spacing w:line="360" w:lineRule="auto"/>
      <w:ind w:firstLine="482"/>
      <w:jc w:val="left"/>
    </w:pPr>
    <w:rPr>
      <w:rFonts w:ascii="宋体" w:hAnsi="宋体"/>
      <w:kern w:val="0"/>
      <w:sz w:val="24"/>
      <w:szCs w:val="20"/>
    </w:rPr>
  </w:style>
  <w:style w:type="character" w:customStyle="1" w:styleId="116">
    <w:name w:val="Char Char71"/>
    <w:semiHidden/>
    <w:qFormat/>
    <w:uiPriority w:val="99"/>
    <w:rPr>
      <w:rFonts w:eastAsia="宋体"/>
      <w:kern w:val="2"/>
      <w:sz w:val="24"/>
      <w:lang w:val="en-US" w:eastAsia="zh-CN"/>
    </w:rPr>
  </w:style>
  <w:style w:type="character" w:customStyle="1" w:styleId="117">
    <w:name w:val="Char Char6"/>
    <w:qFormat/>
    <w:uiPriority w:val="99"/>
    <w:rPr>
      <w:rFonts w:eastAsia="宋体"/>
      <w:kern w:val="2"/>
      <w:sz w:val="24"/>
      <w:lang w:val="en-US" w:eastAsia="zh-CN"/>
    </w:rPr>
  </w:style>
  <w:style w:type="character" w:customStyle="1" w:styleId="118">
    <w:name w:val="正文缩进 Char"/>
    <w:qFormat/>
    <w:uiPriority w:val="99"/>
    <w:rPr>
      <w:rFonts w:eastAsia="宋体"/>
      <w:kern w:val="2"/>
      <w:sz w:val="21"/>
      <w:lang w:val="en-US" w:eastAsia="zh-CN"/>
    </w:rPr>
  </w:style>
  <w:style w:type="character" w:customStyle="1" w:styleId="119">
    <w:name w:val="正文首行缩进 Char1"/>
    <w:qFormat/>
    <w:uiPriority w:val="99"/>
    <w:rPr>
      <w:rFonts w:ascii="宋体" w:hAnsi="Times New Roman" w:eastAsia="宋体"/>
      <w:snapToGrid w:val="0"/>
      <w:kern w:val="2"/>
      <w:sz w:val="21"/>
      <w:lang w:val="zh-CN"/>
    </w:rPr>
  </w:style>
  <w:style w:type="character" w:customStyle="1" w:styleId="120">
    <w:name w:val="Char Char28"/>
    <w:qFormat/>
    <w:uiPriority w:val="99"/>
    <w:rPr>
      <w:rFonts w:ascii="仿宋_GB2312" w:hAnsi="仿宋_GB2312" w:eastAsia="仿宋_GB2312"/>
      <w:kern w:val="1"/>
      <w:sz w:val="28"/>
    </w:rPr>
  </w:style>
  <w:style w:type="character" w:customStyle="1" w:styleId="121">
    <w:name w:val="标题 3 Char1"/>
    <w:qFormat/>
    <w:uiPriority w:val="99"/>
    <w:rPr>
      <w:rFonts w:ascii="华文中宋" w:hAnsi="华文中宋" w:eastAsia="华文中宋"/>
      <w:b/>
      <w:kern w:val="2"/>
      <w:sz w:val="32"/>
      <w:lang w:val="en-US" w:eastAsia="zh-CN"/>
    </w:rPr>
  </w:style>
  <w:style w:type="character" w:customStyle="1" w:styleId="122">
    <w:name w:val="U_正文 Char"/>
    <w:link w:val="123"/>
    <w:qFormat/>
    <w:locked/>
    <w:uiPriority w:val="99"/>
    <w:rPr>
      <w:sz w:val="24"/>
    </w:rPr>
  </w:style>
  <w:style w:type="paragraph" w:customStyle="1" w:styleId="123">
    <w:name w:val="U_正文"/>
    <w:basedOn w:val="1"/>
    <w:link w:val="122"/>
    <w:qFormat/>
    <w:uiPriority w:val="99"/>
    <w:pPr>
      <w:adjustRightInd/>
      <w:spacing w:beforeLines="20" w:afterLines="20" w:line="300" w:lineRule="auto"/>
      <w:ind w:firstLine="200" w:firstLineChars="200"/>
    </w:pPr>
    <w:rPr>
      <w:kern w:val="0"/>
      <w:sz w:val="24"/>
    </w:rPr>
  </w:style>
  <w:style w:type="character" w:customStyle="1" w:styleId="124">
    <w:name w:val="HTML 地址 Char1"/>
    <w:qFormat/>
    <w:uiPriority w:val="99"/>
    <w:rPr>
      <w:rFonts w:ascii="Times New Roman" w:hAnsi="Times New Roman" w:eastAsia="宋体"/>
      <w:i/>
      <w:sz w:val="24"/>
    </w:rPr>
  </w:style>
  <w:style w:type="character" w:customStyle="1" w:styleId="125">
    <w:name w:val="Char Char51"/>
    <w:qFormat/>
    <w:uiPriority w:val="99"/>
    <w:rPr>
      <w:rFonts w:ascii="宋体" w:hAnsi="Courier New" w:eastAsia="宋体"/>
      <w:kern w:val="2"/>
      <w:sz w:val="21"/>
      <w:lang w:val="en-US" w:eastAsia="zh-CN"/>
    </w:rPr>
  </w:style>
  <w:style w:type="character" w:customStyle="1" w:styleId="126">
    <w:name w:val="表正文 Char"/>
    <w:qFormat/>
    <w:uiPriority w:val="99"/>
    <w:rPr>
      <w:rFonts w:ascii="宋体" w:eastAsia="宋体"/>
      <w:snapToGrid w:val="0"/>
      <w:color w:val="000000"/>
      <w:kern w:val="28"/>
      <w:sz w:val="28"/>
      <w:lang w:val="en-US" w:eastAsia="zh-CN"/>
    </w:rPr>
  </w:style>
  <w:style w:type="character" w:customStyle="1" w:styleId="127">
    <w:name w:val="Char Char34"/>
    <w:qFormat/>
    <w:uiPriority w:val="99"/>
    <w:rPr>
      <w:b/>
      <w:kern w:val="1"/>
      <w:sz w:val="28"/>
    </w:rPr>
  </w:style>
  <w:style w:type="character" w:customStyle="1" w:styleId="128">
    <w:name w:val="Normal Indent Char"/>
    <w:qFormat/>
    <w:locked/>
    <w:uiPriority w:val="99"/>
    <w:rPr>
      <w:rFonts w:ascii="Calibri" w:hAnsi="Calibri" w:eastAsia="宋体"/>
      <w:snapToGrid w:val="0"/>
      <w:kern w:val="2"/>
      <w:sz w:val="22"/>
      <w:lang w:val="en-US" w:eastAsia="zh-CN"/>
    </w:rPr>
  </w:style>
  <w:style w:type="character" w:customStyle="1" w:styleId="129">
    <w:name w:val="哈哈正文 Char"/>
    <w:link w:val="130"/>
    <w:qFormat/>
    <w:locked/>
    <w:uiPriority w:val="99"/>
    <w:rPr>
      <w:rFonts w:ascii="宋体" w:hAnsi="宋体" w:eastAsia="宋体"/>
      <w:kern w:val="2"/>
      <w:sz w:val="24"/>
    </w:rPr>
  </w:style>
  <w:style w:type="paragraph" w:customStyle="1" w:styleId="130">
    <w:name w:val="哈哈正文"/>
    <w:basedOn w:val="1"/>
    <w:link w:val="129"/>
    <w:qFormat/>
    <w:uiPriority w:val="99"/>
    <w:pPr>
      <w:adjustRightInd/>
      <w:spacing w:line="360" w:lineRule="auto"/>
      <w:ind w:firstLine="200" w:firstLineChars="200"/>
    </w:pPr>
    <w:rPr>
      <w:rFonts w:ascii="宋体" w:hAnsi="宋体"/>
      <w:sz w:val="24"/>
      <w:szCs w:val="20"/>
    </w:rPr>
  </w:style>
  <w:style w:type="character" w:customStyle="1" w:styleId="131">
    <w:name w:val="未处理的提及1"/>
    <w:qFormat/>
    <w:uiPriority w:val="99"/>
    <w:rPr>
      <w:color w:val="808080"/>
      <w:shd w:val="clear" w:color="auto" w:fill="E6E6E6"/>
    </w:rPr>
  </w:style>
  <w:style w:type="character" w:customStyle="1" w:styleId="132">
    <w:name w:val="txt"/>
    <w:qFormat/>
    <w:uiPriority w:val="99"/>
    <w:rPr>
      <w:rFonts w:ascii="仿宋_GB2312" w:eastAsia="微软雅黑"/>
      <w:b/>
      <w:kern w:val="2"/>
      <w:sz w:val="32"/>
      <w:lang w:val="en-US" w:eastAsia="zh-CN"/>
    </w:rPr>
  </w:style>
  <w:style w:type="character" w:customStyle="1" w:styleId="133">
    <w:name w:val="二级标题 Char Char"/>
    <w:qFormat/>
    <w:uiPriority w:val="99"/>
    <w:rPr>
      <w:rFonts w:ascii="宋体" w:hAnsi="宋体" w:eastAsia="宋体"/>
      <w:b/>
      <w:snapToGrid w:val="0"/>
      <w:kern w:val="2"/>
      <w:sz w:val="24"/>
      <w:lang w:val="en-US" w:eastAsia="zh-CN"/>
    </w:rPr>
  </w:style>
  <w:style w:type="character" w:customStyle="1" w:styleId="134">
    <w:name w:val="Char Char32"/>
    <w:qFormat/>
    <w:uiPriority w:val="99"/>
    <w:rPr>
      <w:b/>
      <w:kern w:val="1"/>
      <w:sz w:val="24"/>
    </w:rPr>
  </w:style>
  <w:style w:type="character" w:customStyle="1" w:styleId="135">
    <w:name w:val="PI Char1"/>
    <w:qFormat/>
    <w:uiPriority w:val="99"/>
    <w:rPr>
      <w:rFonts w:ascii="宋体" w:eastAsia="宋体"/>
      <w:kern w:val="2"/>
      <w:sz w:val="24"/>
    </w:rPr>
  </w:style>
  <w:style w:type="character" w:customStyle="1" w:styleId="136">
    <w:name w:val="tw4winTerm"/>
    <w:qFormat/>
    <w:uiPriority w:val="99"/>
    <w:rPr>
      <w:color w:val="0000FF"/>
    </w:rPr>
  </w:style>
  <w:style w:type="character" w:customStyle="1" w:styleId="137">
    <w:name w:val="普通文字 Char Char1"/>
    <w:qFormat/>
    <w:uiPriority w:val="99"/>
    <w:rPr>
      <w:rFonts w:ascii="宋体" w:hAnsi="Courier New"/>
      <w:kern w:val="2"/>
      <w:sz w:val="21"/>
    </w:rPr>
  </w:style>
  <w:style w:type="character" w:customStyle="1" w:styleId="138">
    <w:name w:val="Char Char101"/>
    <w:qFormat/>
    <w:uiPriority w:val="99"/>
    <w:rPr>
      <w:rFonts w:ascii="宋体" w:eastAsia="宋体"/>
      <w:kern w:val="2"/>
      <w:sz w:val="24"/>
      <w:lang w:val="en-US" w:eastAsia="zh-CN"/>
    </w:rPr>
  </w:style>
  <w:style w:type="character" w:customStyle="1" w:styleId="139">
    <w:name w:val="标题 4 Char"/>
    <w:qFormat/>
    <w:uiPriority w:val="99"/>
    <w:rPr>
      <w:rFonts w:ascii="Arial" w:hAnsi="Arial" w:eastAsia="黑体"/>
      <w:b/>
      <w:kern w:val="2"/>
      <w:sz w:val="28"/>
    </w:rPr>
  </w:style>
  <w:style w:type="character" w:customStyle="1" w:styleId="140">
    <w:name w:val="链接"/>
    <w:qFormat/>
    <w:uiPriority w:val="99"/>
    <w:rPr>
      <w:color w:val="0000FF"/>
      <w:sz w:val="21"/>
      <w:u w:val="single"/>
    </w:rPr>
  </w:style>
  <w:style w:type="character" w:customStyle="1" w:styleId="141">
    <w:name w:val="h4 Char"/>
    <w:qFormat/>
    <w:uiPriority w:val="99"/>
    <w:rPr>
      <w:rFonts w:ascii="Arial" w:hAnsi="Arial" w:eastAsia="黑体"/>
      <w:b/>
      <w:kern w:val="2"/>
      <w:sz w:val="28"/>
      <w:lang w:val="zh-CN" w:eastAsia="zh-CN"/>
    </w:rPr>
  </w:style>
  <w:style w:type="character" w:customStyle="1" w:styleId="142">
    <w:name w:val="5正文 Char"/>
    <w:link w:val="143"/>
    <w:qFormat/>
    <w:locked/>
    <w:uiPriority w:val="99"/>
    <w:rPr>
      <w:rFonts w:ascii="仿宋_GB2312" w:hAnsi="微软雅黑" w:eastAsia="仿宋_GB2312"/>
      <w:sz w:val="21"/>
    </w:rPr>
  </w:style>
  <w:style w:type="paragraph" w:customStyle="1" w:styleId="143">
    <w:name w:val="5正文"/>
    <w:basedOn w:val="1"/>
    <w:link w:val="142"/>
    <w:qFormat/>
    <w:uiPriority w:val="99"/>
    <w:pPr>
      <w:adjustRightInd/>
      <w:spacing w:line="360" w:lineRule="auto"/>
      <w:ind w:firstLine="566" w:firstLineChars="202"/>
      <w:jc w:val="left"/>
    </w:pPr>
    <w:rPr>
      <w:rFonts w:ascii="仿宋_GB2312" w:hAnsi="微软雅黑" w:eastAsia="仿宋_GB2312"/>
      <w:kern w:val="0"/>
      <w:sz w:val="28"/>
      <w:szCs w:val="21"/>
    </w:rPr>
  </w:style>
  <w:style w:type="character" w:customStyle="1" w:styleId="144">
    <w:name w:val="标题 3 字符"/>
    <w:qFormat/>
    <w:uiPriority w:val="99"/>
    <w:rPr>
      <w:b/>
      <w:kern w:val="2"/>
      <w:sz w:val="32"/>
    </w:rPr>
  </w:style>
  <w:style w:type="character" w:customStyle="1" w:styleId="145">
    <w:name w:val="样式6 Char"/>
    <w:qFormat/>
    <w:uiPriority w:val="99"/>
    <w:rPr>
      <w:rFonts w:ascii="仿宋_GB2312" w:hAnsi="宋体" w:eastAsia="仿宋_GB2312"/>
      <w:b/>
      <w:kern w:val="2"/>
      <w:sz w:val="24"/>
      <w:lang w:val="en-US" w:eastAsia="zh-CN"/>
    </w:rPr>
  </w:style>
  <w:style w:type="character" w:customStyle="1" w:styleId="146">
    <w:name w:val="Char Char14"/>
    <w:qFormat/>
    <w:uiPriority w:val="99"/>
    <w:rPr>
      <w:rFonts w:ascii="黑体" w:hAnsi="黑体" w:eastAsia="黑体"/>
    </w:rPr>
  </w:style>
  <w:style w:type="character" w:customStyle="1" w:styleId="147">
    <w:name w:val="Heading 2 Hidden Char"/>
    <w:qFormat/>
    <w:uiPriority w:val="99"/>
    <w:rPr>
      <w:rFonts w:ascii="仿宋_GB2312" w:eastAsia="仿宋_GB2312"/>
      <w:b/>
      <w:kern w:val="2"/>
      <w:sz w:val="24"/>
      <w:lang w:val="zh-CN" w:eastAsia="zh-CN"/>
    </w:rPr>
  </w:style>
  <w:style w:type="character" w:customStyle="1" w:styleId="148">
    <w:name w:val="font11"/>
    <w:qFormat/>
    <w:uiPriority w:val="99"/>
    <w:rPr>
      <w:rFonts w:ascii="Times New Roman" w:hAnsi="Times New Roman"/>
      <w:color w:val="000000"/>
      <w:sz w:val="22"/>
      <w:u w:val="none"/>
    </w:rPr>
  </w:style>
  <w:style w:type="character" w:customStyle="1" w:styleId="149">
    <w:name w:val="表正文 Char1"/>
    <w:qFormat/>
    <w:uiPriority w:val="99"/>
    <w:rPr>
      <w:rFonts w:ascii="宋体" w:eastAsia="宋体"/>
      <w:snapToGrid w:val="0"/>
      <w:color w:val="000000"/>
      <w:kern w:val="28"/>
      <w:sz w:val="28"/>
    </w:rPr>
  </w:style>
  <w:style w:type="character" w:customStyle="1" w:styleId="150">
    <w:name w:val="blue1"/>
    <w:basedOn w:val="69"/>
    <w:qFormat/>
    <w:uiPriority w:val="99"/>
    <w:rPr>
      <w:rFonts w:ascii="Arial" w:hAnsi="Arial" w:eastAsia="黑体" w:cs="Arial"/>
      <w:snapToGrid w:val="0"/>
      <w:kern w:val="0"/>
      <w:sz w:val="21"/>
      <w:szCs w:val="21"/>
    </w:rPr>
  </w:style>
  <w:style w:type="character" w:customStyle="1" w:styleId="151">
    <w:name w:val="标书1 Char"/>
    <w:qFormat/>
    <w:uiPriority w:val="99"/>
    <w:rPr>
      <w:rFonts w:eastAsia="宋体"/>
      <w:b/>
      <w:kern w:val="44"/>
      <w:sz w:val="44"/>
      <w:lang w:val="en-US" w:eastAsia="zh-CN"/>
    </w:rPr>
  </w:style>
  <w:style w:type="character" w:customStyle="1" w:styleId="152">
    <w:name w:val="样式5 Char"/>
    <w:qFormat/>
    <w:uiPriority w:val="99"/>
    <w:rPr>
      <w:rFonts w:ascii="仿宋_GB2312" w:hAnsi="仿宋" w:eastAsia="仿宋_GB2312"/>
      <w:kern w:val="2"/>
      <w:sz w:val="24"/>
    </w:rPr>
  </w:style>
  <w:style w:type="character" w:customStyle="1" w:styleId="153">
    <w:name w:val="样式4 Char"/>
    <w:qFormat/>
    <w:uiPriority w:val="99"/>
    <w:rPr>
      <w:rFonts w:ascii="仿宋_GB2312" w:hAnsi="仿宋" w:eastAsia="仿宋_GB2312"/>
      <w:b/>
      <w:kern w:val="2"/>
      <w:sz w:val="32"/>
    </w:rPr>
  </w:style>
  <w:style w:type="character" w:customStyle="1" w:styleId="154">
    <w:name w:val="插图说明 Char"/>
    <w:qFormat/>
    <w:uiPriority w:val="99"/>
    <w:rPr>
      <w:rFonts w:eastAsia="黑体"/>
      <w:sz w:val="24"/>
      <w:lang w:val="en-US" w:eastAsia="zh-CN"/>
    </w:rPr>
  </w:style>
  <w:style w:type="character" w:customStyle="1" w:styleId="155">
    <w:name w:val="正文2 Char Char"/>
    <w:link w:val="156"/>
    <w:qFormat/>
    <w:locked/>
    <w:uiPriority w:val="99"/>
    <w:rPr>
      <w:rFonts w:eastAsia="宋体"/>
      <w:kern w:val="2"/>
      <w:sz w:val="24"/>
      <w:lang w:val="en-US" w:eastAsia="zh-CN"/>
    </w:rPr>
  </w:style>
  <w:style w:type="paragraph" w:customStyle="1" w:styleId="156">
    <w:name w:val="正文2"/>
    <w:basedOn w:val="1"/>
    <w:link w:val="155"/>
    <w:qFormat/>
    <w:uiPriority w:val="99"/>
    <w:pPr>
      <w:spacing w:before="156" w:line="360" w:lineRule="auto"/>
      <w:ind w:firstLine="510" w:firstLineChars="200"/>
    </w:pPr>
    <w:rPr>
      <w:sz w:val="24"/>
      <w:szCs w:val="20"/>
    </w:rPr>
  </w:style>
  <w:style w:type="character" w:customStyle="1" w:styleId="157">
    <w:name w:val="Char Char24"/>
    <w:qFormat/>
    <w:uiPriority w:val="99"/>
    <w:rPr>
      <w:kern w:val="1"/>
      <w:sz w:val="21"/>
    </w:rPr>
  </w:style>
  <w:style w:type="character" w:customStyle="1" w:styleId="158">
    <w:name w:val="普通文字 Char1 Char"/>
    <w:qFormat/>
    <w:uiPriority w:val="99"/>
    <w:rPr>
      <w:rFonts w:ascii="宋体" w:hAnsi="Courier New" w:eastAsia="宋体"/>
      <w:kern w:val="2"/>
      <w:sz w:val="24"/>
      <w:lang w:val="en-US" w:eastAsia="zh-CN"/>
    </w:rPr>
  </w:style>
  <w:style w:type="character" w:customStyle="1" w:styleId="159">
    <w:name w:val="h3 Char1"/>
    <w:qFormat/>
    <w:uiPriority w:val="99"/>
    <w:rPr>
      <w:rFonts w:eastAsia="宋体"/>
      <w:b/>
      <w:kern w:val="2"/>
      <w:sz w:val="32"/>
    </w:rPr>
  </w:style>
  <w:style w:type="character" w:customStyle="1" w:styleId="160">
    <w:name w:val="标题 Char1"/>
    <w:qFormat/>
    <w:uiPriority w:val="99"/>
    <w:rPr>
      <w:rFonts w:ascii="Cambria" w:hAnsi="Cambria" w:eastAsia="宋体"/>
      <w:b/>
      <w:sz w:val="32"/>
    </w:rPr>
  </w:style>
  <w:style w:type="character" w:customStyle="1" w:styleId="161">
    <w:name w:val="gf正文1 Char"/>
    <w:qFormat/>
    <w:uiPriority w:val="99"/>
    <w:rPr>
      <w:rFonts w:ascii="宋体" w:hAnsi="宋体" w:eastAsia="宋体"/>
      <w:kern w:val="2"/>
      <w:sz w:val="24"/>
      <w:lang w:val="en-US" w:eastAsia="zh-CN"/>
    </w:rPr>
  </w:style>
  <w:style w:type="character" w:customStyle="1" w:styleId="162">
    <w:name w:val="正文文本缩进 Char1"/>
    <w:qFormat/>
    <w:uiPriority w:val="99"/>
    <w:rPr>
      <w:rFonts w:ascii="Calibri" w:hAnsi="Calibri"/>
      <w:sz w:val="28"/>
    </w:rPr>
  </w:style>
  <w:style w:type="character" w:customStyle="1" w:styleId="163">
    <w:name w:val="No Spacing Char"/>
    <w:link w:val="164"/>
    <w:qFormat/>
    <w:locked/>
    <w:uiPriority w:val="99"/>
    <w:rPr>
      <w:rFonts w:eastAsia="宋体"/>
      <w:sz w:val="22"/>
      <w:lang w:val="en-US" w:eastAsia="zh-CN"/>
    </w:rPr>
  </w:style>
  <w:style w:type="paragraph" w:customStyle="1" w:styleId="164">
    <w:name w:val="无间隔1"/>
    <w:link w:val="163"/>
    <w:qFormat/>
    <w:uiPriority w:val="99"/>
    <w:rPr>
      <w:rFonts w:ascii="Times New Roman" w:hAnsi="Times New Roman" w:eastAsia="宋体" w:cs="Times New Roman"/>
      <w:kern w:val="0"/>
      <w:sz w:val="22"/>
      <w:szCs w:val="22"/>
      <w:lang w:val="en-US" w:eastAsia="zh-CN" w:bidi="ar-SA"/>
    </w:rPr>
  </w:style>
  <w:style w:type="character" w:customStyle="1" w:styleId="165">
    <w:name w:val="样式7 Char"/>
    <w:qFormat/>
    <w:uiPriority w:val="99"/>
    <w:rPr>
      <w:rFonts w:ascii="仿宋_GB2312" w:hAnsi="仿宋" w:eastAsia="仿宋_GB2312"/>
      <w:b/>
      <w:kern w:val="2"/>
      <w:sz w:val="24"/>
    </w:rPr>
  </w:style>
  <w:style w:type="character" w:customStyle="1" w:styleId="166">
    <w:name w:val="font12gray1"/>
    <w:qFormat/>
    <w:uiPriority w:val="99"/>
    <w:rPr>
      <w:rFonts w:ascii="仿宋_GB2312" w:eastAsia="微软雅黑"/>
      <w:b/>
      <w:spacing w:val="300"/>
      <w:kern w:val="2"/>
      <w:sz w:val="18"/>
      <w:lang w:val="en-US" w:eastAsia="zh-CN"/>
    </w:rPr>
  </w:style>
  <w:style w:type="character" w:customStyle="1" w:styleId="167">
    <w:name w:val="Char Char7"/>
    <w:semiHidden/>
    <w:qFormat/>
    <w:uiPriority w:val="99"/>
    <w:rPr>
      <w:rFonts w:eastAsia="宋体"/>
      <w:kern w:val="2"/>
      <w:sz w:val="24"/>
      <w:lang w:val="en-US" w:eastAsia="zh-CN"/>
    </w:rPr>
  </w:style>
  <w:style w:type="character" w:customStyle="1" w:styleId="168">
    <w:name w:val="表名 Char"/>
    <w:qFormat/>
    <w:uiPriority w:val="99"/>
    <w:rPr>
      <w:rFonts w:eastAsia="宋体"/>
      <w:b/>
      <w:kern w:val="2"/>
      <w:sz w:val="24"/>
      <w:lang w:val="en-US" w:eastAsia="zh-CN"/>
    </w:rPr>
  </w:style>
  <w:style w:type="character" w:customStyle="1" w:styleId="169">
    <w:name w:val="font41"/>
    <w:qFormat/>
    <w:uiPriority w:val="99"/>
    <w:rPr>
      <w:rFonts w:ascii="仿宋_GB2312" w:eastAsia="仿宋_GB2312"/>
      <w:color w:val="000000"/>
      <w:sz w:val="22"/>
      <w:u w:val="none"/>
    </w:rPr>
  </w:style>
  <w:style w:type="character" w:customStyle="1" w:styleId="170">
    <w:name w:val="纯文本 Char_0"/>
    <w:link w:val="171"/>
    <w:qFormat/>
    <w:locked/>
    <w:uiPriority w:val="99"/>
    <w:rPr>
      <w:rFonts w:ascii="宋体" w:hAnsi="Courier New"/>
      <w:kern w:val="2"/>
      <w:sz w:val="21"/>
      <w:lang w:val="en-US" w:eastAsia="zh-CN"/>
    </w:rPr>
  </w:style>
  <w:style w:type="paragraph" w:customStyle="1" w:styleId="171">
    <w:name w:val="纯文本_0_0"/>
    <w:basedOn w:val="172"/>
    <w:link w:val="170"/>
    <w:qFormat/>
    <w:uiPriority w:val="99"/>
    <w:rPr>
      <w:rFonts w:ascii="宋体" w:hAnsi="Courier New"/>
      <w:szCs w:val="21"/>
    </w:rPr>
  </w:style>
  <w:style w:type="paragraph" w:customStyle="1" w:styleId="172">
    <w:name w:val="正文_1_0"/>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73">
    <w:name w:val="正文 项目2 Char"/>
    <w:basedOn w:val="174"/>
    <w:qFormat/>
    <w:uiPriority w:val="99"/>
    <w:rPr>
      <w:rFonts w:cs="Times New Roman"/>
      <w:lang w:bidi="ar-SA"/>
    </w:rPr>
  </w:style>
  <w:style w:type="character" w:customStyle="1" w:styleId="174">
    <w:name w:val="正文 项目 Char"/>
    <w:qFormat/>
    <w:uiPriority w:val="99"/>
    <w:rPr>
      <w:rFonts w:ascii="仿宋_GB2312" w:hAnsi="仿宋_GB2312" w:eastAsia="仿宋_GB2312"/>
      <w:kern w:val="2"/>
      <w:sz w:val="24"/>
    </w:rPr>
  </w:style>
  <w:style w:type="character" w:customStyle="1" w:styleId="175">
    <w:name w:val="h Char Char1"/>
    <w:qFormat/>
    <w:uiPriority w:val="99"/>
    <w:rPr>
      <w:rFonts w:eastAsia="宋体"/>
      <w:kern w:val="2"/>
      <w:sz w:val="18"/>
      <w:lang w:val="en-US" w:eastAsia="zh-CN"/>
    </w:rPr>
  </w:style>
  <w:style w:type="character" w:customStyle="1" w:styleId="176">
    <w:name w:val="Char Char27"/>
    <w:qFormat/>
    <w:uiPriority w:val="99"/>
    <w:rPr>
      <w:rFonts w:ascii="宋体" w:hAnsi="宋体" w:eastAsia="宋体"/>
      <w:color w:val="000000"/>
      <w:kern w:val="1"/>
      <w:sz w:val="28"/>
      <w:lang w:val="en-US" w:eastAsia="zh-CN"/>
    </w:rPr>
  </w:style>
  <w:style w:type="character" w:customStyle="1" w:styleId="177">
    <w:name w:val="px14"/>
    <w:qFormat/>
    <w:uiPriority w:val="99"/>
    <w:rPr>
      <w:rFonts w:ascii="仿宋_GB2312" w:eastAsia="微软雅黑"/>
      <w:b/>
      <w:kern w:val="2"/>
      <w:sz w:val="32"/>
      <w:lang w:val="en-US" w:eastAsia="zh-CN"/>
    </w:rPr>
  </w:style>
  <w:style w:type="character" w:customStyle="1" w:styleId="178">
    <w:name w:val="HTML 预设格式 Char1"/>
    <w:qFormat/>
    <w:uiPriority w:val="99"/>
    <w:rPr>
      <w:rFonts w:ascii="Courier New" w:hAnsi="Courier New" w:eastAsia="宋体"/>
      <w:sz w:val="20"/>
    </w:rPr>
  </w:style>
  <w:style w:type="character" w:customStyle="1" w:styleId="179">
    <w:name w:val="普通文字 Char1"/>
    <w:qFormat/>
    <w:uiPriority w:val="99"/>
    <w:rPr>
      <w:rFonts w:ascii="宋体" w:hAnsi="Courier New" w:eastAsia="宋体"/>
      <w:kern w:val="2"/>
      <w:sz w:val="21"/>
      <w:lang w:val="en-US" w:eastAsia="zh-CN"/>
    </w:rPr>
  </w:style>
  <w:style w:type="character" w:customStyle="1" w:styleId="180">
    <w:name w:val="hei16b1"/>
    <w:qFormat/>
    <w:uiPriority w:val="99"/>
    <w:rPr>
      <w:rFonts w:ascii="Arial" w:hAnsi="Arial"/>
      <w:b/>
      <w:color w:val="000000"/>
      <w:sz w:val="24"/>
    </w:rPr>
  </w:style>
  <w:style w:type="character" w:customStyle="1" w:styleId="181">
    <w:name w:val="正文（绿盟科技） Char"/>
    <w:link w:val="182"/>
    <w:qFormat/>
    <w:locked/>
    <w:uiPriority w:val="99"/>
    <w:rPr>
      <w:rFonts w:ascii="Arial" w:hAnsi="Arial" w:eastAsia="宋体"/>
      <w:sz w:val="21"/>
      <w:lang w:val="en-US" w:eastAsia="zh-CN"/>
    </w:rPr>
  </w:style>
  <w:style w:type="paragraph" w:customStyle="1" w:styleId="182">
    <w:name w:val="正文（绿盟科技）"/>
    <w:link w:val="181"/>
    <w:qFormat/>
    <w:uiPriority w:val="99"/>
    <w:pPr>
      <w:spacing w:line="300" w:lineRule="auto"/>
    </w:pPr>
    <w:rPr>
      <w:rFonts w:ascii="Arial" w:hAnsi="Arial" w:eastAsia="宋体" w:cs="Times New Roman"/>
      <w:kern w:val="0"/>
      <w:sz w:val="21"/>
      <w:szCs w:val="21"/>
      <w:lang w:val="en-US" w:eastAsia="zh-CN" w:bidi="ar-SA"/>
    </w:rPr>
  </w:style>
  <w:style w:type="character" w:customStyle="1" w:styleId="183">
    <w:name w:val="Char Char19"/>
    <w:qFormat/>
    <w:uiPriority w:val="99"/>
    <w:rPr>
      <w:rFonts w:ascii="宋体" w:eastAsia="宋体"/>
      <w:i/>
      <w:sz w:val="24"/>
    </w:rPr>
  </w:style>
  <w:style w:type="character" w:customStyle="1" w:styleId="184">
    <w:name w:val="页脚 Char"/>
    <w:qFormat/>
    <w:uiPriority w:val="99"/>
    <w:rPr>
      <w:rFonts w:eastAsia="仿宋_GB2312"/>
      <w:kern w:val="2"/>
      <w:sz w:val="18"/>
      <w:lang w:val="en-US" w:eastAsia="zh-CN"/>
    </w:rPr>
  </w:style>
  <w:style w:type="character" w:customStyle="1" w:styleId="185">
    <w:name w:val="批注主题 Char"/>
    <w:qFormat/>
    <w:uiPriority w:val="99"/>
    <w:rPr>
      <w:rFonts w:eastAsia="宋体"/>
      <w:b/>
      <w:kern w:val="2"/>
      <w:sz w:val="24"/>
      <w:lang w:val="en-US" w:eastAsia="zh-CN"/>
    </w:rPr>
  </w:style>
  <w:style w:type="character" w:customStyle="1" w:styleId="186">
    <w:name w:val="标题 2 字符"/>
    <w:qFormat/>
    <w:uiPriority w:val="99"/>
    <w:rPr>
      <w:rFonts w:ascii="仿宋_GB2312" w:hAnsi="Times New Roman" w:eastAsia="仿宋_GB2312"/>
      <w:b/>
      <w:kern w:val="2"/>
      <w:sz w:val="24"/>
      <w:lang w:val="zh-CN"/>
    </w:rPr>
  </w:style>
  <w:style w:type="character" w:customStyle="1" w:styleId="187">
    <w:name w:val="Char Char72"/>
    <w:qFormat/>
    <w:uiPriority w:val="99"/>
    <w:rPr>
      <w:rFonts w:eastAsia="宋体"/>
      <w:kern w:val="2"/>
      <w:sz w:val="24"/>
      <w:lang w:val="en-US" w:eastAsia="zh-CN"/>
    </w:rPr>
  </w:style>
  <w:style w:type="character" w:customStyle="1" w:styleId="188">
    <w:name w:val="正文文本缩进 Char2"/>
    <w:qFormat/>
    <w:uiPriority w:val="99"/>
    <w:rPr>
      <w:rFonts w:ascii="Times New Roman" w:hAnsi="Times New Roman" w:eastAsia="宋体"/>
      <w:snapToGrid w:val="0"/>
      <w:kern w:val="0"/>
      <w:sz w:val="24"/>
    </w:rPr>
  </w:style>
  <w:style w:type="character" w:customStyle="1" w:styleId="189">
    <w:name w:val="样式2 Char"/>
    <w:qFormat/>
    <w:uiPriority w:val="99"/>
    <w:rPr>
      <w:rFonts w:ascii="仿宋_GB2312" w:hAnsi="仿宋" w:eastAsia="仿宋_GB2312"/>
      <w:b/>
      <w:sz w:val="30"/>
      <w:lang w:val="zh-CN"/>
    </w:rPr>
  </w:style>
  <w:style w:type="character" w:customStyle="1" w:styleId="190">
    <w:name w:val="表格名称[858D7CFB-ED40-4347-BF05-701D383B685F]"/>
    <w:link w:val="191"/>
    <w:qFormat/>
    <w:locked/>
    <w:uiPriority w:val="99"/>
    <w:rPr>
      <w:sz w:val="32"/>
    </w:rPr>
  </w:style>
  <w:style w:type="paragraph" w:customStyle="1" w:styleId="191">
    <w:name w:val="表格名称"/>
    <w:basedOn w:val="4"/>
    <w:link w:val="190"/>
    <w:qFormat/>
    <w:uiPriority w:val="99"/>
    <w:pPr>
      <w:snapToGrid w:val="0"/>
      <w:spacing w:before="240" w:after="240" w:line="240" w:lineRule="auto"/>
      <w:ind w:left="0" w:firstLine="0"/>
      <w:jc w:val="center"/>
    </w:pPr>
    <w:rPr>
      <w:rFonts w:ascii="Times New Roman" w:hAnsi="Times New Roman" w:eastAsia="宋体"/>
      <w:b w:val="0"/>
      <w:bCs w:val="0"/>
      <w:kern w:val="0"/>
      <w:szCs w:val="20"/>
      <w:lang w:val="en-US"/>
    </w:rPr>
  </w:style>
  <w:style w:type="character" w:customStyle="1" w:styleId="192">
    <w:name w:val="Char Char4"/>
    <w:qFormat/>
    <w:uiPriority w:val="99"/>
    <w:rPr>
      <w:rFonts w:eastAsia="宋体"/>
      <w:b/>
      <w:sz w:val="24"/>
      <w:lang w:val="en-GB" w:eastAsia="zh-CN"/>
    </w:rPr>
  </w:style>
  <w:style w:type="character" w:customStyle="1" w:styleId="193">
    <w:name w:val="c7 style3"/>
    <w:qFormat/>
    <w:uiPriority w:val="99"/>
  </w:style>
  <w:style w:type="character" w:customStyle="1" w:styleId="194">
    <w:name w:val="正文文本 3 Char1"/>
    <w:semiHidden/>
    <w:qFormat/>
    <w:uiPriority w:val="99"/>
    <w:rPr>
      <w:rFonts w:ascii="Times New Roman" w:hAnsi="Times New Roman" w:eastAsia="宋体"/>
      <w:sz w:val="16"/>
    </w:rPr>
  </w:style>
  <w:style w:type="character" w:customStyle="1" w:styleId="195">
    <w:name w:val="tw4winInternal"/>
    <w:qFormat/>
    <w:uiPriority w:val="99"/>
    <w:rPr>
      <w:rFonts w:ascii="Courier New" w:hAnsi="Courier New"/>
      <w:color w:val="FF0000"/>
      <w:lang w:val="en-US" w:eastAsia="zh-CN"/>
    </w:rPr>
  </w:style>
  <w:style w:type="character" w:customStyle="1" w:styleId="196">
    <w:name w:val="Char Char10"/>
    <w:semiHidden/>
    <w:qFormat/>
    <w:uiPriority w:val="99"/>
    <w:rPr>
      <w:rFonts w:ascii="宋体" w:eastAsia="宋体"/>
      <w:kern w:val="2"/>
      <w:sz w:val="24"/>
      <w:lang w:val="en-US" w:eastAsia="zh-CN"/>
    </w:rPr>
  </w:style>
  <w:style w:type="character" w:customStyle="1" w:styleId="197">
    <w:name w:val="shadow11"/>
    <w:qFormat/>
    <w:uiPriority w:val="99"/>
    <w:rPr>
      <w:color w:val="000000"/>
      <w:sz w:val="21"/>
    </w:rPr>
  </w:style>
  <w:style w:type="character" w:customStyle="1" w:styleId="198">
    <w:name w:val="正文非缩进 Char3"/>
    <w:qFormat/>
    <w:uiPriority w:val="99"/>
    <w:rPr>
      <w:rFonts w:ascii="宋体" w:eastAsia="宋体"/>
      <w:snapToGrid w:val="0"/>
      <w:color w:val="000000"/>
      <w:kern w:val="28"/>
      <w:sz w:val="28"/>
      <w:lang w:val="en-US" w:eastAsia="zh-CN"/>
    </w:rPr>
  </w:style>
  <w:style w:type="character" w:customStyle="1" w:styleId="199">
    <w:name w:val="Char Char"/>
    <w:qFormat/>
    <w:uiPriority w:val="99"/>
    <w:rPr>
      <w:rFonts w:ascii="宋体" w:hAnsi="Courier New" w:eastAsia="宋体"/>
      <w:kern w:val="2"/>
      <w:sz w:val="21"/>
      <w:lang w:val="en-US" w:eastAsia="zh-CN"/>
    </w:rPr>
  </w:style>
  <w:style w:type="character" w:customStyle="1" w:styleId="200">
    <w:name w:val="签名 Char1"/>
    <w:qFormat/>
    <w:uiPriority w:val="99"/>
    <w:rPr>
      <w:rFonts w:ascii="Times New Roman" w:hAnsi="Times New Roman" w:eastAsia="宋体"/>
      <w:sz w:val="24"/>
    </w:rPr>
  </w:style>
  <w:style w:type="character" w:customStyle="1" w:styleId="201">
    <w:name w:val="Char Char18"/>
    <w:qFormat/>
    <w:uiPriority w:val="99"/>
    <w:rPr>
      <w:rFonts w:ascii="宋体" w:eastAsia="宋体"/>
      <w:sz w:val="28"/>
    </w:rPr>
  </w:style>
  <w:style w:type="character" w:customStyle="1" w:styleId="202">
    <w:name w:val="批注文字 Char"/>
    <w:qFormat/>
    <w:uiPriority w:val="99"/>
    <w:rPr>
      <w:kern w:val="2"/>
      <w:sz w:val="24"/>
    </w:rPr>
  </w:style>
  <w:style w:type="character" w:customStyle="1" w:styleId="203">
    <w:name w:val="Char Char22"/>
    <w:qFormat/>
    <w:uiPriority w:val="99"/>
    <w:rPr>
      <w:rFonts w:ascii="宋体" w:eastAsia="宋体"/>
      <w:kern w:val="1"/>
      <w:sz w:val="24"/>
    </w:rPr>
  </w:style>
  <w:style w:type="character" w:customStyle="1" w:styleId="204">
    <w:name w:val="pt141"/>
    <w:qFormat/>
    <w:uiPriority w:val="99"/>
    <w:rPr>
      <w:color w:val="330066"/>
      <w:sz w:val="22"/>
    </w:rPr>
  </w:style>
  <w:style w:type="character" w:customStyle="1" w:styleId="205">
    <w:name w:val="正文文本缩进 2 Char1"/>
    <w:semiHidden/>
    <w:qFormat/>
    <w:uiPriority w:val="99"/>
    <w:rPr>
      <w:rFonts w:ascii="Times New Roman" w:hAnsi="Times New Roman" w:eastAsia="宋体"/>
      <w:sz w:val="24"/>
    </w:rPr>
  </w:style>
  <w:style w:type="character" w:customStyle="1" w:styleId="206">
    <w:name w:val="Balloon Text Char1"/>
    <w:link w:val="41"/>
    <w:qFormat/>
    <w:locked/>
    <w:uiPriority w:val="99"/>
    <w:rPr>
      <w:kern w:val="2"/>
      <w:sz w:val="18"/>
    </w:rPr>
  </w:style>
  <w:style w:type="character" w:customStyle="1" w:styleId="207">
    <w:name w:val="Char Char611"/>
    <w:qFormat/>
    <w:uiPriority w:val="99"/>
    <w:rPr>
      <w:rFonts w:eastAsia="宋体"/>
      <w:kern w:val="2"/>
      <w:sz w:val="24"/>
      <w:lang w:val="en-US" w:eastAsia="zh-CN"/>
    </w:rPr>
  </w:style>
  <w:style w:type="character" w:customStyle="1" w:styleId="208">
    <w:name w:val="highlight1"/>
    <w:qFormat/>
    <w:uiPriority w:val="99"/>
    <w:rPr>
      <w:rFonts w:ascii="仿宋_GB2312" w:eastAsia="微软雅黑"/>
      <w:b/>
      <w:kern w:val="2"/>
      <w:sz w:val="23"/>
      <w:lang w:val="en-US" w:eastAsia="zh-CN"/>
    </w:rPr>
  </w:style>
  <w:style w:type="character" w:customStyle="1" w:styleId="209">
    <w:name w:val="my正文 Char"/>
    <w:link w:val="210"/>
    <w:qFormat/>
    <w:locked/>
    <w:uiPriority w:val="99"/>
    <w:rPr>
      <w:rFonts w:ascii="Tahoma" w:hAnsi="Tahoma"/>
      <w:sz w:val="24"/>
    </w:rPr>
  </w:style>
  <w:style w:type="paragraph" w:customStyle="1" w:styleId="210">
    <w:name w:val="my正文"/>
    <w:basedOn w:val="1"/>
    <w:link w:val="209"/>
    <w:qFormat/>
    <w:uiPriority w:val="99"/>
    <w:pPr>
      <w:adjustRightInd/>
      <w:spacing w:line="360" w:lineRule="auto"/>
      <w:ind w:firstLine="480" w:firstLineChars="200"/>
    </w:pPr>
    <w:rPr>
      <w:rFonts w:ascii="Tahoma" w:hAnsi="Tahoma"/>
      <w:kern w:val="0"/>
      <w:sz w:val="24"/>
    </w:rPr>
  </w:style>
  <w:style w:type="character" w:customStyle="1" w:styleId="211">
    <w:name w:val="Normal Indent Char1"/>
    <w:link w:val="6"/>
    <w:qFormat/>
    <w:locked/>
    <w:uiPriority w:val="99"/>
    <w:rPr>
      <w:rFonts w:ascii="宋体" w:eastAsia="宋体"/>
      <w:snapToGrid w:val="0"/>
      <w:color w:val="000000"/>
      <w:kern w:val="28"/>
      <w:sz w:val="28"/>
      <w:lang w:val="en-US" w:eastAsia="zh-CN"/>
    </w:rPr>
  </w:style>
  <w:style w:type="character" w:customStyle="1" w:styleId="212">
    <w:name w:val="Used by Word for text of Help footnotes Char Char1"/>
    <w:qFormat/>
    <w:uiPriority w:val="99"/>
    <w:rPr>
      <w:color w:val="0000FF"/>
      <w:sz w:val="21"/>
    </w:rPr>
  </w:style>
  <w:style w:type="character" w:customStyle="1" w:styleId="213">
    <w:name w:val="页眉 Char"/>
    <w:qFormat/>
    <w:uiPriority w:val="99"/>
    <w:rPr>
      <w:rFonts w:eastAsia="仿宋_GB2312"/>
      <w:kern w:val="2"/>
      <w:sz w:val="18"/>
      <w:lang w:val="en-US" w:eastAsia="zh-CN"/>
    </w:rPr>
  </w:style>
  <w:style w:type="character" w:customStyle="1" w:styleId="214">
    <w:name w:val="FA正文 Char Char"/>
    <w:qFormat/>
    <w:uiPriority w:val="99"/>
    <w:rPr>
      <w:rFonts w:hAnsi="宋体"/>
      <w:kern w:val="2"/>
      <w:sz w:val="24"/>
    </w:rPr>
  </w:style>
  <w:style w:type="character" w:customStyle="1" w:styleId="215">
    <w:name w:val="纯文本 字符"/>
    <w:qFormat/>
    <w:uiPriority w:val="99"/>
    <w:rPr>
      <w:rFonts w:ascii="宋体" w:hAnsi="Courier New" w:eastAsia="宋体"/>
      <w:snapToGrid w:val="0"/>
      <w:kern w:val="2"/>
      <w:sz w:val="21"/>
      <w:lang w:val="en-US" w:eastAsia="zh-CN"/>
    </w:rPr>
  </w:style>
  <w:style w:type="character" w:customStyle="1" w:styleId="216">
    <w:name w:val="3级 Char"/>
    <w:link w:val="217"/>
    <w:qFormat/>
    <w:locked/>
    <w:uiPriority w:val="99"/>
    <w:rPr>
      <w:rFonts w:ascii="宋体" w:eastAsia="宋体"/>
      <w:b/>
      <w:sz w:val="28"/>
    </w:rPr>
  </w:style>
  <w:style w:type="paragraph" w:customStyle="1" w:styleId="217">
    <w:name w:val="3级"/>
    <w:basedOn w:val="218"/>
    <w:link w:val="216"/>
    <w:qFormat/>
    <w:uiPriority w:val="99"/>
    <w:pPr>
      <w:ind w:left="0" w:right="466" w:firstLine="288"/>
    </w:pPr>
    <w:rPr>
      <w:rFonts w:hAnsi="宋体"/>
    </w:rPr>
  </w:style>
  <w:style w:type="paragraph" w:customStyle="1" w:styleId="218">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kern w:val="0"/>
      <w:sz w:val="28"/>
      <w:szCs w:val="20"/>
    </w:rPr>
  </w:style>
  <w:style w:type="character" w:customStyle="1" w:styleId="219">
    <w:name w:val="myp11"/>
    <w:qFormat/>
    <w:uiPriority w:val="99"/>
    <w:rPr>
      <w:rFonts w:ascii="仿宋_GB2312" w:eastAsia="微软雅黑"/>
      <w:b/>
      <w:kern w:val="2"/>
      <w:sz w:val="32"/>
      <w:lang w:val="en-US" w:eastAsia="zh-CN"/>
    </w:rPr>
  </w:style>
  <w:style w:type="character" w:customStyle="1" w:styleId="220">
    <w:name w:val="Document Map Char1"/>
    <w:link w:val="19"/>
    <w:qFormat/>
    <w:locked/>
    <w:uiPriority w:val="99"/>
    <w:rPr>
      <w:kern w:val="2"/>
      <w:sz w:val="24"/>
      <w:shd w:val="clear" w:color="auto" w:fill="000080"/>
    </w:rPr>
  </w:style>
  <w:style w:type="character" w:customStyle="1" w:styleId="221">
    <w:name w:val="H6 Char"/>
    <w:qFormat/>
    <w:uiPriority w:val="99"/>
    <w:rPr>
      <w:rFonts w:ascii="Arial" w:hAnsi="Arial" w:eastAsia="黑体"/>
      <w:b/>
      <w:kern w:val="2"/>
      <w:sz w:val="24"/>
    </w:rPr>
  </w:style>
  <w:style w:type="character" w:customStyle="1" w:styleId="222">
    <w:name w:val="Char Char91"/>
    <w:qFormat/>
    <w:uiPriority w:val="99"/>
    <w:rPr>
      <w:rFonts w:eastAsia="宋体"/>
      <w:kern w:val="2"/>
      <w:sz w:val="18"/>
      <w:lang w:val="en-US" w:eastAsia="zh-CN"/>
    </w:rPr>
  </w:style>
  <w:style w:type="character" w:customStyle="1" w:styleId="223">
    <w:name w:val="副标题 Char1"/>
    <w:qFormat/>
    <w:uiPriority w:val="99"/>
    <w:rPr>
      <w:rFonts w:ascii="Cambria" w:hAnsi="Cambria" w:eastAsia="宋体"/>
      <w:b/>
      <w:snapToGrid w:val="0"/>
      <w:kern w:val="28"/>
      <w:sz w:val="32"/>
    </w:rPr>
  </w:style>
  <w:style w:type="character" w:customStyle="1" w:styleId="224">
    <w:name w:val="font61"/>
    <w:qFormat/>
    <w:uiPriority w:val="99"/>
    <w:rPr>
      <w:rFonts w:ascii="仿宋" w:hAnsi="仿宋" w:eastAsia="仿宋"/>
      <w:color w:val="000000"/>
      <w:sz w:val="20"/>
      <w:u w:val="none"/>
    </w:rPr>
  </w:style>
  <w:style w:type="character" w:customStyle="1" w:styleId="225">
    <w:name w:val="bod1"/>
    <w:qFormat/>
    <w:uiPriority w:val="99"/>
    <w:rPr>
      <w:rFonts w:ascii="MS Sans Serif" w:hAnsi="MS Sans Serif" w:eastAsia="微软雅黑"/>
      <w:b/>
      <w:color w:val="000000"/>
      <w:kern w:val="2"/>
      <w:sz w:val="20"/>
      <w:lang w:val="en-US" w:eastAsia="zh-CN"/>
    </w:rPr>
  </w:style>
  <w:style w:type="character" w:customStyle="1" w:styleId="226">
    <w:name w:val="Char Char211"/>
    <w:qFormat/>
    <w:uiPriority w:val="99"/>
    <w:rPr>
      <w:rFonts w:eastAsia="宋体"/>
      <w:b/>
      <w:kern w:val="2"/>
      <w:sz w:val="24"/>
      <w:lang w:val="en-US" w:eastAsia="zh-CN"/>
    </w:rPr>
  </w:style>
  <w:style w:type="character" w:customStyle="1" w:styleId="227">
    <w:name w:val="标题 2 Char"/>
    <w:qFormat/>
    <w:uiPriority w:val="99"/>
    <w:rPr>
      <w:rFonts w:ascii="Arial" w:hAnsi="Arial" w:eastAsia="黑体"/>
      <w:b/>
      <w:kern w:val="2"/>
      <w:sz w:val="32"/>
      <w:lang w:val="en-US" w:eastAsia="zh-CN"/>
    </w:rPr>
  </w:style>
  <w:style w:type="character" w:customStyle="1" w:styleId="228">
    <w:name w:val="maywed421"/>
    <w:qFormat/>
    <w:uiPriority w:val="99"/>
    <w:rPr>
      <w:color w:val="366FB6"/>
      <w:u w:val="none"/>
    </w:rPr>
  </w:style>
  <w:style w:type="character" w:customStyle="1" w:styleId="229">
    <w:name w:val="正文文本缩进 Char"/>
    <w:qFormat/>
    <w:uiPriority w:val="99"/>
    <w:rPr>
      <w:rFonts w:ascii="宋体" w:eastAsia="宋体"/>
      <w:kern w:val="2"/>
      <w:sz w:val="24"/>
    </w:rPr>
  </w:style>
  <w:style w:type="character" w:customStyle="1" w:styleId="230">
    <w:name w:val="Char Char102"/>
    <w:semiHidden/>
    <w:qFormat/>
    <w:uiPriority w:val="99"/>
    <w:rPr>
      <w:rFonts w:ascii="宋体" w:eastAsia="宋体"/>
      <w:kern w:val="2"/>
      <w:sz w:val="24"/>
      <w:lang w:val="en-US" w:eastAsia="zh-CN"/>
    </w:rPr>
  </w:style>
  <w:style w:type="character" w:customStyle="1" w:styleId="231">
    <w:name w:val="页眉 Char1"/>
    <w:qFormat/>
    <w:uiPriority w:val="99"/>
    <w:rPr>
      <w:rFonts w:eastAsia="宋体"/>
      <w:kern w:val="2"/>
      <w:sz w:val="18"/>
      <w:lang w:val="en-US" w:eastAsia="zh-CN"/>
    </w:rPr>
  </w:style>
  <w:style w:type="character" w:customStyle="1" w:styleId="232">
    <w:name w:val="md"/>
    <w:basedOn w:val="69"/>
    <w:qFormat/>
    <w:uiPriority w:val="99"/>
    <w:rPr>
      <w:rFonts w:ascii="Arial" w:hAnsi="Arial" w:eastAsia="黑体" w:cs="Arial"/>
      <w:snapToGrid w:val="0"/>
      <w:kern w:val="0"/>
      <w:sz w:val="21"/>
      <w:szCs w:val="21"/>
    </w:rPr>
  </w:style>
  <w:style w:type="character" w:customStyle="1" w:styleId="233">
    <w:name w:val="big1"/>
    <w:qFormat/>
    <w:uiPriority w:val="99"/>
    <w:rPr>
      <w:rFonts w:ascii="宋体" w:hAnsi="宋体" w:eastAsia="宋体"/>
      <w:color w:val="333333"/>
      <w:sz w:val="22"/>
    </w:rPr>
  </w:style>
  <w:style w:type="character" w:customStyle="1" w:styleId="234">
    <w:name w:val="Char Char311"/>
    <w:qFormat/>
    <w:uiPriority w:val="99"/>
    <w:rPr>
      <w:rFonts w:eastAsia="宋体"/>
      <w:kern w:val="2"/>
      <w:sz w:val="24"/>
      <w:lang w:val="en-US" w:eastAsia="zh-CN"/>
    </w:rPr>
  </w:style>
  <w:style w:type="character" w:customStyle="1" w:styleId="235">
    <w:name w:val="Char Char81"/>
    <w:qFormat/>
    <w:uiPriority w:val="99"/>
    <w:rPr>
      <w:rFonts w:eastAsia="宋体"/>
      <w:b/>
      <w:sz w:val="24"/>
      <w:lang w:val="en-GB" w:eastAsia="zh-CN"/>
    </w:rPr>
  </w:style>
  <w:style w:type="character" w:customStyle="1" w:styleId="236">
    <w:name w:val="样式3 Char"/>
    <w:basedOn w:val="189"/>
    <w:qFormat/>
    <w:uiPriority w:val="99"/>
    <w:rPr>
      <w:rFonts w:cs="仿宋_GB2312"/>
      <w:bCs/>
      <w:szCs w:val="30"/>
    </w:rPr>
  </w:style>
  <w:style w:type="character" w:customStyle="1" w:styleId="237">
    <w:name w:val="正文首行缩进 2 Char1"/>
    <w:qFormat/>
    <w:uiPriority w:val="99"/>
    <w:rPr>
      <w:rFonts w:ascii="Times New Roman" w:hAnsi="Times New Roman" w:eastAsia="宋体"/>
      <w:kern w:val="2"/>
      <w:sz w:val="24"/>
    </w:rPr>
  </w:style>
  <w:style w:type="character" w:customStyle="1" w:styleId="238">
    <w:name w:val="副标题 Char2"/>
    <w:qFormat/>
    <w:uiPriority w:val="99"/>
    <w:rPr>
      <w:rFonts w:ascii="Cambria" w:hAnsi="Cambria" w:eastAsia="宋体"/>
      <w:b/>
      <w:snapToGrid w:val="0"/>
      <w:kern w:val="28"/>
      <w:sz w:val="32"/>
    </w:rPr>
  </w:style>
  <w:style w:type="character" w:customStyle="1" w:styleId="239">
    <w:name w:val="标题4-dyf Char"/>
    <w:link w:val="240"/>
    <w:qFormat/>
    <w:locked/>
    <w:uiPriority w:val="99"/>
    <w:rPr>
      <w:rFonts w:ascii="Cambria" w:hAnsi="Cambria"/>
      <w:b/>
      <w:color w:val="000000"/>
      <w:kern w:val="2"/>
      <w:sz w:val="21"/>
    </w:rPr>
  </w:style>
  <w:style w:type="paragraph" w:customStyle="1" w:styleId="240">
    <w:name w:val="标题4-dyf"/>
    <w:basedOn w:val="7"/>
    <w:link w:val="239"/>
    <w:qFormat/>
    <w:uiPriority w:val="99"/>
    <w:pPr>
      <w:tabs>
        <w:tab w:val="left" w:pos="851"/>
        <w:tab w:val="clear" w:pos="864"/>
      </w:tabs>
      <w:adjustRightInd/>
      <w:spacing w:line="376" w:lineRule="atLeast"/>
      <w:ind w:left="851" w:hanging="851"/>
    </w:pPr>
    <w:rPr>
      <w:rFonts w:ascii="Cambria" w:hAnsi="Cambria" w:eastAsia="宋体"/>
      <w:color w:val="000000"/>
      <w:sz w:val="21"/>
      <w:szCs w:val="21"/>
      <w:lang w:val="en-US"/>
    </w:rPr>
  </w:style>
  <w:style w:type="character" w:customStyle="1" w:styleId="241">
    <w:name w:val="dectext1"/>
    <w:qFormat/>
    <w:uiPriority w:val="99"/>
    <w:rPr>
      <w:rFonts w:ascii="宋体" w:hAnsi="宋体" w:eastAsia="宋体"/>
      <w:color w:val="333333"/>
      <w:sz w:val="21"/>
      <w:u w:val="none"/>
    </w:rPr>
  </w:style>
  <w:style w:type="character" w:customStyle="1" w:styleId="242">
    <w:name w:val="冯 Char"/>
    <w:link w:val="243"/>
    <w:qFormat/>
    <w:locked/>
    <w:uiPriority w:val="99"/>
    <w:rPr>
      <w:rFonts w:ascii="宋体" w:eastAsia="宋体"/>
      <w:color w:val="000000"/>
      <w:sz w:val="24"/>
    </w:rPr>
  </w:style>
  <w:style w:type="paragraph" w:customStyle="1" w:styleId="243">
    <w:name w:val="冯"/>
    <w:basedOn w:val="1"/>
    <w:link w:val="242"/>
    <w:qFormat/>
    <w:uiPriority w:val="99"/>
    <w:pPr>
      <w:widowControl/>
      <w:adjustRightInd/>
      <w:spacing w:line="360" w:lineRule="auto"/>
      <w:ind w:firstLine="480" w:firstLineChars="200"/>
    </w:pPr>
    <w:rPr>
      <w:rFonts w:ascii="宋体" w:hAnsi="宋体"/>
      <w:color w:val="000000"/>
      <w:kern w:val="0"/>
      <w:sz w:val="24"/>
    </w:rPr>
  </w:style>
  <w:style w:type="character" w:customStyle="1" w:styleId="244">
    <w:name w:val="Char Char12"/>
    <w:qFormat/>
    <w:uiPriority w:val="99"/>
    <w:rPr>
      <w:rFonts w:ascii="仿宋_GB2312" w:eastAsia="仿宋_GB2312"/>
      <w:b/>
      <w:kern w:val="2"/>
      <w:sz w:val="24"/>
      <w:lang w:val="zh-CN" w:eastAsia="zh-CN"/>
    </w:rPr>
  </w:style>
  <w:style w:type="character" w:customStyle="1" w:styleId="245">
    <w:name w:val="Caption Char"/>
    <w:link w:val="17"/>
    <w:qFormat/>
    <w:locked/>
    <w:uiPriority w:val="99"/>
    <w:rPr>
      <w:b/>
      <w:kern w:val="2"/>
      <w:sz w:val="28"/>
    </w:rPr>
  </w:style>
  <w:style w:type="character" w:customStyle="1" w:styleId="246">
    <w:name w:val="普通文字 Char3"/>
    <w:qFormat/>
    <w:uiPriority w:val="99"/>
    <w:rPr>
      <w:rFonts w:ascii="宋体" w:hAnsi="Courier New" w:eastAsia="宋体"/>
      <w:kern w:val="2"/>
      <w:sz w:val="21"/>
      <w:lang w:val="en-US" w:eastAsia="zh-CN"/>
    </w:rPr>
  </w:style>
  <w:style w:type="character" w:customStyle="1" w:styleId="247">
    <w:name w:val="公文正文 Char"/>
    <w:qFormat/>
    <w:uiPriority w:val="99"/>
    <w:rPr>
      <w:rFonts w:ascii="仿宋_GB2312" w:eastAsia="仿宋_GB2312"/>
      <w:kern w:val="2"/>
      <w:sz w:val="24"/>
      <w:lang w:val="en-US" w:eastAsia="zh-CN"/>
    </w:rPr>
  </w:style>
  <w:style w:type="character" w:customStyle="1" w:styleId="248">
    <w:name w:val="正文首行缩进 Char Char Char Char Char"/>
    <w:qFormat/>
    <w:uiPriority w:val="99"/>
    <w:rPr>
      <w:rFonts w:ascii="宋体"/>
      <w:kern w:val="2"/>
      <w:sz w:val="24"/>
      <w:lang w:val="zh-CN"/>
    </w:rPr>
  </w:style>
  <w:style w:type="character" w:customStyle="1" w:styleId="249">
    <w:name w:val="PI Char"/>
    <w:qFormat/>
    <w:uiPriority w:val="99"/>
    <w:rPr>
      <w:rFonts w:ascii="宋体" w:hAnsi="宋体" w:eastAsia="宋体"/>
      <w:kern w:val="2"/>
      <w:sz w:val="24"/>
      <w:lang w:val="en-US" w:eastAsia="zh-CN"/>
    </w:rPr>
  </w:style>
  <w:style w:type="character" w:customStyle="1" w:styleId="250">
    <w:name w:val="Default Char"/>
    <w:link w:val="251"/>
    <w:qFormat/>
    <w:locked/>
    <w:uiPriority w:val="99"/>
    <w:rPr>
      <w:rFonts w:ascii="仿宋_GB2312" w:eastAsia="仿宋_GB2312"/>
      <w:color w:val="000000"/>
      <w:sz w:val="24"/>
      <w:lang w:val="en-US" w:eastAsia="zh-CN"/>
    </w:rPr>
  </w:style>
  <w:style w:type="paragraph" w:customStyle="1" w:styleId="251">
    <w:name w:val="Default"/>
    <w:link w:val="250"/>
    <w:qFormat/>
    <w:uiPriority w:val="99"/>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character" w:customStyle="1" w:styleId="252">
    <w:name w:val="style91"/>
    <w:qFormat/>
    <w:uiPriority w:val="99"/>
    <w:rPr>
      <w:color w:val="333333"/>
    </w:rPr>
  </w:style>
  <w:style w:type="character" w:customStyle="1" w:styleId="253">
    <w:name w:val="列出段落 Char2"/>
    <w:qFormat/>
    <w:uiPriority w:val="99"/>
    <w:rPr>
      <w:rFonts w:ascii="Calibri" w:hAnsi="Calibri"/>
      <w:kern w:val="2"/>
      <w:sz w:val="28"/>
    </w:rPr>
  </w:style>
  <w:style w:type="character" w:customStyle="1" w:styleId="254">
    <w:name w:val="mdeck"/>
    <w:qFormat/>
    <w:uiPriority w:val="99"/>
    <w:rPr>
      <w:rFonts w:ascii="仿宋_GB2312" w:eastAsia="微软雅黑"/>
      <w:b/>
      <w:kern w:val="2"/>
      <w:sz w:val="32"/>
      <w:lang w:val="en-US" w:eastAsia="zh-CN"/>
    </w:rPr>
  </w:style>
  <w:style w:type="character" w:customStyle="1" w:styleId="255">
    <w:name w:val="unnamed11"/>
    <w:qFormat/>
    <w:uiPriority w:val="99"/>
    <w:rPr>
      <w:sz w:val="20"/>
    </w:rPr>
  </w:style>
  <w:style w:type="character" w:customStyle="1" w:styleId="256">
    <w:name w:val="正文文本 Char2"/>
    <w:semiHidden/>
    <w:qFormat/>
    <w:uiPriority w:val="99"/>
    <w:rPr>
      <w:rFonts w:ascii="Times New Roman" w:hAnsi="Times New Roman" w:eastAsia="宋体"/>
      <w:snapToGrid w:val="0"/>
      <w:kern w:val="0"/>
      <w:sz w:val="24"/>
    </w:rPr>
  </w:style>
  <w:style w:type="character" w:customStyle="1" w:styleId="257">
    <w:name w:val="标书正文格式 Char"/>
    <w:qFormat/>
    <w:uiPriority w:val="99"/>
    <w:rPr>
      <w:rFonts w:eastAsia="楷体_GB2312"/>
      <w:kern w:val="2"/>
      <w:sz w:val="24"/>
    </w:rPr>
  </w:style>
  <w:style w:type="character" w:customStyle="1" w:styleId="258">
    <w:name w:val="Char Char11"/>
    <w:qFormat/>
    <w:locked/>
    <w:uiPriority w:val="99"/>
    <w:rPr>
      <w:rFonts w:ascii="宋体" w:hAnsi="宋体" w:eastAsia="宋体"/>
      <w:b/>
      <w:kern w:val="2"/>
      <w:sz w:val="24"/>
      <w:lang w:val="en-US" w:eastAsia="zh-CN"/>
    </w:rPr>
  </w:style>
  <w:style w:type="character" w:customStyle="1" w:styleId="259">
    <w:name w:val="ca-131"/>
    <w:qFormat/>
    <w:uiPriority w:val="99"/>
    <w:rPr>
      <w:rFonts w:ascii="仿宋_GB2312" w:eastAsia="仿宋_GB2312"/>
      <w:b/>
      <w:color w:val="000000"/>
      <w:spacing w:val="-20"/>
      <w:sz w:val="24"/>
    </w:rPr>
  </w:style>
  <w:style w:type="character" w:customStyle="1" w:styleId="260">
    <w:name w:val="tw4winMark"/>
    <w:qFormat/>
    <w:uiPriority w:val="99"/>
    <w:rPr>
      <w:rFonts w:ascii="Courier New" w:hAnsi="Courier New"/>
      <w:vanish/>
      <w:color w:val="800080"/>
      <w:sz w:val="24"/>
      <w:vertAlign w:val="subscript"/>
    </w:rPr>
  </w:style>
  <w:style w:type="character" w:customStyle="1" w:styleId="261">
    <w:name w:val="正文样式 Char"/>
    <w:link w:val="262"/>
    <w:qFormat/>
    <w:locked/>
    <w:uiPriority w:val="99"/>
    <w:rPr>
      <w:rFonts w:ascii="Calibri" w:hAnsi="Calibri"/>
      <w:sz w:val="24"/>
    </w:rPr>
  </w:style>
  <w:style w:type="paragraph" w:customStyle="1" w:styleId="262">
    <w:name w:val="正文样式"/>
    <w:basedOn w:val="1"/>
    <w:link w:val="261"/>
    <w:qFormat/>
    <w:uiPriority w:val="99"/>
    <w:pPr>
      <w:adjustRightInd/>
      <w:spacing w:line="360" w:lineRule="auto"/>
      <w:ind w:firstLine="480" w:firstLineChars="200"/>
    </w:pPr>
    <w:rPr>
      <w:rFonts w:ascii="Calibri" w:hAnsi="Calibri"/>
      <w:kern w:val="0"/>
      <w:sz w:val="24"/>
    </w:rPr>
  </w:style>
  <w:style w:type="character" w:customStyle="1" w:styleId="263">
    <w:name w:val="表正文 Char3"/>
    <w:qFormat/>
    <w:uiPriority w:val="99"/>
    <w:rPr>
      <w:rFonts w:eastAsia="宋体"/>
    </w:rPr>
  </w:style>
  <w:style w:type="character" w:customStyle="1" w:styleId="264">
    <w:name w:val="H5 Char"/>
    <w:qFormat/>
    <w:uiPriority w:val="99"/>
    <w:rPr>
      <w:b/>
      <w:kern w:val="2"/>
      <w:sz w:val="28"/>
    </w:rPr>
  </w:style>
  <w:style w:type="character" w:customStyle="1" w:styleId="265">
    <w:name w:val="Char Char3"/>
    <w:qFormat/>
    <w:uiPriority w:val="99"/>
    <w:rPr>
      <w:rFonts w:eastAsia="宋体"/>
      <w:kern w:val="2"/>
      <w:sz w:val="24"/>
      <w:lang w:val="en-US" w:eastAsia="zh-CN"/>
    </w:rPr>
  </w:style>
  <w:style w:type="character" w:customStyle="1" w:styleId="266">
    <w:name w:val="正文 编号 Char"/>
    <w:qFormat/>
    <w:uiPriority w:val="99"/>
    <w:rPr>
      <w:rFonts w:ascii="仿宋_GB2312" w:hAnsi="仿宋_GB2312" w:eastAsia="仿宋_GB2312"/>
      <w:kern w:val="2"/>
      <w:sz w:val="24"/>
    </w:rPr>
  </w:style>
  <w:style w:type="character" w:customStyle="1" w:styleId="267">
    <w:name w:val="question-title2"/>
    <w:qFormat/>
    <w:uiPriority w:val="99"/>
    <w:rPr>
      <w:rFonts w:ascii="Arial" w:hAnsi="Arial" w:eastAsia="黑体"/>
      <w:snapToGrid w:val="0"/>
      <w:kern w:val="0"/>
      <w:sz w:val="21"/>
    </w:rPr>
  </w:style>
  <w:style w:type="character" w:customStyle="1" w:styleId="268">
    <w:name w:val="gf正文1 Char Char"/>
    <w:link w:val="269"/>
    <w:qFormat/>
    <w:locked/>
    <w:uiPriority w:val="99"/>
    <w:rPr>
      <w:rFonts w:ascii="宋体" w:eastAsia="宋体"/>
      <w:kern w:val="2"/>
      <w:sz w:val="24"/>
    </w:rPr>
  </w:style>
  <w:style w:type="paragraph" w:customStyle="1" w:styleId="269">
    <w:name w:val="gf正文1"/>
    <w:basedOn w:val="1"/>
    <w:link w:val="268"/>
    <w:qFormat/>
    <w:uiPriority w:val="99"/>
    <w:pPr>
      <w:tabs>
        <w:tab w:val="left" w:pos="3240"/>
        <w:tab w:val="left" w:pos="3960"/>
      </w:tabs>
      <w:snapToGrid w:val="0"/>
      <w:spacing w:line="360" w:lineRule="auto"/>
      <w:ind w:firstLine="480" w:firstLineChars="200"/>
    </w:pPr>
    <w:rPr>
      <w:rFonts w:ascii="宋体" w:hAnsi="宋体"/>
      <w:sz w:val="24"/>
    </w:rPr>
  </w:style>
  <w:style w:type="character" w:customStyle="1" w:styleId="270">
    <w:name w:val="Char Char15"/>
    <w:qFormat/>
    <w:uiPriority w:val="99"/>
    <w:rPr>
      <w:rFonts w:ascii="宋体" w:eastAsia="宋体"/>
      <w:kern w:val="1"/>
      <w:sz w:val="21"/>
    </w:rPr>
  </w:style>
  <w:style w:type="character" w:customStyle="1" w:styleId="271">
    <w:name w:val="正文缩进 Char3"/>
    <w:qFormat/>
    <w:uiPriority w:val="99"/>
    <w:rPr>
      <w:rFonts w:ascii="宋体" w:eastAsia="宋体"/>
      <w:snapToGrid w:val="0"/>
      <w:color w:val="000000"/>
      <w:kern w:val="28"/>
      <w:sz w:val="28"/>
      <w:lang w:val="en-US" w:eastAsia="zh-CN"/>
    </w:rPr>
  </w:style>
  <w:style w:type="character" w:customStyle="1" w:styleId="272">
    <w:name w:val="列出段落 Char1"/>
    <w:link w:val="273"/>
    <w:qFormat/>
    <w:locked/>
    <w:uiPriority w:val="99"/>
    <w:rPr>
      <w:rFonts w:ascii="Calibri" w:hAnsi="Calibri"/>
      <w:sz w:val="24"/>
      <w:lang w:eastAsia="en-US"/>
    </w:rPr>
  </w:style>
  <w:style w:type="paragraph" w:customStyle="1" w:styleId="273">
    <w:name w:val="列表1"/>
    <w:basedOn w:val="1"/>
    <w:next w:val="274"/>
    <w:link w:val="272"/>
    <w:qFormat/>
    <w:uiPriority w:val="99"/>
    <w:pPr>
      <w:widowControl/>
      <w:adjustRightInd/>
      <w:spacing w:after="200" w:line="360" w:lineRule="auto"/>
      <w:ind w:left="720" w:firstLine="200" w:firstLineChars="200"/>
      <w:jc w:val="left"/>
    </w:pPr>
    <w:rPr>
      <w:rFonts w:ascii="Calibri" w:hAnsi="Calibri"/>
      <w:kern w:val="0"/>
      <w:sz w:val="24"/>
      <w:szCs w:val="20"/>
      <w:lang w:eastAsia="en-US"/>
    </w:rPr>
  </w:style>
  <w:style w:type="paragraph" w:styleId="274">
    <w:name w:val="List Paragraph"/>
    <w:basedOn w:val="1"/>
    <w:qFormat/>
    <w:uiPriority w:val="99"/>
    <w:pPr>
      <w:spacing w:line="360" w:lineRule="auto"/>
      <w:ind w:firstLine="200" w:firstLineChars="200"/>
    </w:pPr>
    <w:rPr>
      <w:rFonts w:eastAsia="楷体_GB2312" w:cs="Lucida Sans"/>
      <w:sz w:val="24"/>
    </w:rPr>
  </w:style>
  <w:style w:type="character" w:customStyle="1" w:styleId="275">
    <w:name w:val="Char Char8"/>
    <w:qFormat/>
    <w:uiPriority w:val="99"/>
    <w:rPr>
      <w:rFonts w:eastAsia="宋体"/>
      <w:b/>
      <w:sz w:val="24"/>
      <w:lang w:val="en-GB" w:eastAsia="zh-CN"/>
    </w:rPr>
  </w:style>
  <w:style w:type="character" w:customStyle="1" w:styleId="276">
    <w:name w:val="Normal Indent Char Char"/>
    <w:qFormat/>
    <w:uiPriority w:val="99"/>
    <w:rPr>
      <w:rFonts w:eastAsia="宋体"/>
      <w:kern w:val="2"/>
      <w:sz w:val="21"/>
      <w:lang w:val="en-US" w:eastAsia="zh-CN"/>
    </w:rPr>
  </w:style>
  <w:style w:type="character" w:customStyle="1" w:styleId="277">
    <w:name w:val="列表段落 字符"/>
    <w:qFormat/>
    <w:uiPriority w:val="99"/>
  </w:style>
  <w:style w:type="character" w:customStyle="1" w:styleId="278">
    <w:name w:val="Ò³Ã¼ Char Char1"/>
    <w:qFormat/>
    <w:uiPriority w:val="99"/>
    <w:rPr>
      <w:rFonts w:eastAsia="宋体"/>
      <w:kern w:val="2"/>
      <w:sz w:val="18"/>
      <w:lang w:val="en-US" w:eastAsia="zh-CN"/>
    </w:rPr>
  </w:style>
  <w:style w:type="character" w:customStyle="1" w:styleId="279">
    <w:name w:val="方案正文 Char"/>
    <w:qFormat/>
    <w:uiPriority w:val="99"/>
    <w:rPr>
      <w:rFonts w:ascii="仿宋_GB2312" w:eastAsia="仿宋_GB2312"/>
      <w:b/>
      <w:color w:val="000000"/>
      <w:kern w:val="2"/>
      <w:sz w:val="24"/>
      <w:lang w:val="en-US" w:eastAsia="zh-CN"/>
    </w:rPr>
  </w:style>
  <w:style w:type="character" w:customStyle="1" w:styleId="280">
    <w:name w:val="Char Char30"/>
    <w:qFormat/>
    <w:uiPriority w:val="99"/>
    <w:rPr>
      <w:rFonts w:ascii="Arial" w:hAnsi="Arial" w:eastAsia="黑体"/>
      <w:kern w:val="1"/>
      <w:sz w:val="21"/>
    </w:rPr>
  </w:style>
  <w:style w:type="character" w:customStyle="1" w:styleId="281">
    <w:name w:val="font01"/>
    <w:qFormat/>
    <w:uiPriority w:val="99"/>
    <w:rPr>
      <w:rFonts w:ascii="微软雅黑" w:hAnsi="微软雅黑" w:eastAsia="微软雅黑"/>
      <w:color w:val="000000"/>
      <w:sz w:val="20"/>
      <w:u w:val="none"/>
    </w:rPr>
  </w:style>
  <w:style w:type="character" w:customStyle="1" w:styleId="282">
    <w:name w:val="Char Char20"/>
    <w:qFormat/>
    <w:uiPriority w:val="99"/>
    <w:rPr>
      <w:kern w:val="1"/>
      <w:sz w:val="24"/>
    </w:rPr>
  </w:style>
  <w:style w:type="character" w:customStyle="1" w:styleId="283">
    <w:name w:val="tw4winExternal"/>
    <w:qFormat/>
    <w:uiPriority w:val="99"/>
    <w:rPr>
      <w:rFonts w:ascii="Courier New" w:hAnsi="Courier New"/>
      <w:color w:val="808080"/>
      <w:lang w:val="en-US" w:eastAsia="zh-CN"/>
    </w:rPr>
  </w:style>
  <w:style w:type="character" w:customStyle="1" w:styleId="284">
    <w:name w:val="标题 4 Char1"/>
    <w:qFormat/>
    <w:uiPriority w:val="99"/>
    <w:rPr>
      <w:rFonts w:ascii="Cambria" w:hAnsi="Cambria" w:eastAsia="宋体"/>
      <w:b/>
      <w:kern w:val="2"/>
      <w:sz w:val="28"/>
    </w:rPr>
  </w:style>
  <w:style w:type="character" w:customStyle="1" w:styleId="285">
    <w:name w:val="批注文字 Char2"/>
    <w:qFormat/>
    <w:uiPriority w:val="99"/>
    <w:rPr>
      <w:rFonts w:ascii="Times New Roman" w:hAnsi="Times New Roman" w:eastAsia="宋体"/>
      <w:snapToGrid w:val="0"/>
      <w:kern w:val="0"/>
      <w:sz w:val="24"/>
    </w:rPr>
  </w:style>
  <w:style w:type="character" w:customStyle="1" w:styleId="286">
    <w:name w:val="正文文本 2 Char"/>
    <w:qFormat/>
    <w:uiPriority w:val="99"/>
    <w:rPr>
      <w:rFonts w:eastAsia="宋体"/>
      <w:kern w:val="2"/>
      <w:sz w:val="24"/>
      <w:lang w:val="en-US" w:eastAsia="zh-CN"/>
    </w:rPr>
  </w:style>
  <w:style w:type="character" w:customStyle="1" w:styleId="287">
    <w:name w:val="Ò³Ã¼ Char Char"/>
    <w:qFormat/>
    <w:uiPriority w:val="99"/>
    <w:rPr>
      <w:rFonts w:eastAsia="宋体"/>
      <w:kern w:val="2"/>
      <w:sz w:val="18"/>
      <w:lang w:val="en-US" w:eastAsia="zh-CN"/>
    </w:rPr>
  </w:style>
  <w:style w:type="character" w:customStyle="1" w:styleId="288">
    <w:name w:val="message1"/>
    <w:qFormat/>
    <w:uiPriority w:val="99"/>
    <w:rPr>
      <w:rFonts w:ascii="Tahoma" w:hAnsi="Tahoma"/>
      <w:sz w:val="18"/>
    </w:rPr>
  </w:style>
  <w:style w:type="character" w:customStyle="1" w:styleId="289">
    <w:name w:val="Char Char23"/>
    <w:qFormat/>
    <w:uiPriority w:val="99"/>
    <w:rPr>
      <w:color w:val="0000FF"/>
      <w:sz w:val="21"/>
    </w:rPr>
  </w:style>
  <w:style w:type="character" w:customStyle="1" w:styleId="290">
    <w:name w:val="批注框文本 字符"/>
    <w:qFormat/>
    <w:uiPriority w:val="99"/>
    <w:rPr>
      <w:rFonts w:ascii="Arial" w:hAnsi="Arial" w:eastAsia="黑体"/>
      <w:snapToGrid w:val="0"/>
      <w:kern w:val="0"/>
      <w:sz w:val="18"/>
    </w:rPr>
  </w:style>
  <w:style w:type="character" w:customStyle="1" w:styleId="291">
    <w:name w:val="纯文本 Char2"/>
    <w:semiHidden/>
    <w:qFormat/>
    <w:uiPriority w:val="99"/>
    <w:rPr>
      <w:rFonts w:ascii="宋体" w:hAnsi="Courier New" w:eastAsia="宋体"/>
    </w:rPr>
  </w:style>
  <w:style w:type="character" w:customStyle="1" w:styleId="292">
    <w:name w:val="Char Char25"/>
    <w:qFormat/>
    <w:uiPriority w:val="99"/>
    <w:rPr>
      <w:rFonts w:ascii="宋体" w:eastAsia="宋体"/>
      <w:kern w:val="1"/>
      <w:sz w:val="24"/>
      <w:lang w:val="zh-CN"/>
    </w:rPr>
  </w:style>
  <w:style w:type="character" w:customStyle="1" w:styleId="293">
    <w:name w:val="Char Char411"/>
    <w:qFormat/>
    <w:uiPriority w:val="99"/>
    <w:rPr>
      <w:rFonts w:eastAsia="宋体"/>
      <w:b/>
      <w:sz w:val="24"/>
      <w:lang w:val="en-GB" w:eastAsia="zh-CN"/>
    </w:rPr>
  </w:style>
  <w:style w:type="character" w:customStyle="1" w:styleId="294">
    <w:name w:val="此正文 Char"/>
    <w:link w:val="295"/>
    <w:qFormat/>
    <w:locked/>
    <w:uiPriority w:val="99"/>
    <w:rPr>
      <w:kern w:val="2"/>
      <w:sz w:val="24"/>
    </w:rPr>
  </w:style>
  <w:style w:type="paragraph" w:customStyle="1" w:styleId="295">
    <w:name w:val="此正文"/>
    <w:basedOn w:val="1"/>
    <w:link w:val="294"/>
    <w:qFormat/>
    <w:uiPriority w:val="99"/>
    <w:pPr>
      <w:adjustRightInd/>
      <w:spacing w:line="360" w:lineRule="auto"/>
      <w:ind w:firstLine="200" w:firstLineChars="200"/>
    </w:pPr>
    <w:rPr>
      <w:sz w:val="24"/>
    </w:rPr>
  </w:style>
  <w:style w:type="character" w:customStyle="1" w:styleId="296">
    <w:name w:val="Char Char2"/>
    <w:qFormat/>
    <w:uiPriority w:val="99"/>
    <w:rPr>
      <w:rFonts w:eastAsia="宋体"/>
      <w:b/>
      <w:kern w:val="2"/>
      <w:sz w:val="24"/>
      <w:lang w:val="en-US" w:eastAsia="zh-CN"/>
    </w:rPr>
  </w:style>
  <w:style w:type="character" w:customStyle="1" w:styleId="297">
    <w:name w:val="Heading 1 Char1"/>
    <w:link w:val="3"/>
    <w:qFormat/>
    <w:locked/>
    <w:uiPriority w:val="99"/>
    <w:rPr>
      <w:b/>
      <w:kern w:val="44"/>
      <w:sz w:val="44"/>
    </w:rPr>
  </w:style>
  <w:style w:type="character" w:customStyle="1" w:styleId="298">
    <w:name w:val="Footer-Even Char1"/>
    <w:qFormat/>
    <w:uiPriority w:val="99"/>
    <w:rPr>
      <w:rFonts w:eastAsia="宋体"/>
      <w:kern w:val="2"/>
      <w:sz w:val="18"/>
      <w:lang w:val="en-US" w:eastAsia="zh-CN"/>
    </w:rPr>
  </w:style>
  <w:style w:type="character" w:customStyle="1" w:styleId="299">
    <w:name w:val="Char Char29"/>
    <w:qFormat/>
    <w:uiPriority w:val="99"/>
    <w:rPr>
      <w:rFonts w:ascii="Arial" w:hAnsi="Arial" w:eastAsia="微软雅黑"/>
      <w:b/>
      <w:kern w:val="1"/>
      <w:sz w:val="32"/>
      <w:lang w:val="en-US" w:eastAsia="zh-CN"/>
    </w:rPr>
  </w:style>
  <w:style w:type="character" w:customStyle="1" w:styleId="300">
    <w:name w:val="font81"/>
    <w:qFormat/>
    <w:uiPriority w:val="99"/>
    <w:rPr>
      <w:rFonts w:ascii="微软雅黑" w:hAnsi="微软雅黑" w:eastAsia="微软雅黑"/>
      <w:color w:val="000000"/>
      <w:sz w:val="20"/>
      <w:u w:val="none"/>
    </w:rPr>
  </w:style>
  <w:style w:type="character" w:customStyle="1" w:styleId="301">
    <w:name w:val="Char Char312"/>
    <w:qFormat/>
    <w:uiPriority w:val="99"/>
    <w:rPr>
      <w:rFonts w:ascii="Times New Roman" w:hAnsi="Times New Roman" w:eastAsia="宋体"/>
      <w:b/>
      <w:kern w:val="2"/>
      <w:sz w:val="24"/>
      <w:lang w:val="en-US" w:eastAsia="zh-CN"/>
    </w:rPr>
  </w:style>
  <w:style w:type="character" w:customStyle="1" w:styleId="302">
    <w:name w:val="t21"/>
    <w:qFormat/>
    <w:uiPriority w:val="99"/>
    <w:rPr>
      <w:rFonts w:ascii="仿宋_GB2312" w:eastAsia="微软雅黑"/>
      <w:b/>
      <w:kern w:val="2"/>
      <w:sz w:val="23"/>
      <w:lang w:val="en-US" w:eastAsia="zh-CN"/>
    </w:rPr>
  </w:style>
  <w:style w:type="character" w:customStyle="1" w:styleId="303">
    <w:name w:val="样式8 Char"/>
    <w:qFormat/>
    <w:uiPriority w:val="99"/>
    <w:rPr>
      <w:rFonts w:ascii="仿宋_GB2312" w:hAnsi="宋体" w:eastAsia="仿宋_GB2312"/>
      <w:b/>
      <w:kern w:val="2"/>
      <w:sz w:val="24"/>
    </w:rPr>
  </w:style>
  <w:style w:type="character" w:customStyle="1" w:styleId="304">
    <w:name w:val="表格 Char Char"/>
    <w:qFormat/>
    <w:uiPriority w:val="99"/>
    <w:rPr>
      <w:rFonts w:ascii="宋体" w:hAnsi="宋体" w:eastAsia="宋体"/>
    </w:rPr>
  </w:style>
  <w:style w:type="character" w:customStyle="1" w:styleId="305">
    <w:name w:val="正文文本 字符1"/>
    <w:qFormat/>
    <w:uiPriority w:val="99"/>
    <w:rPr>
      <w:rFonts w:ascii="Calibri" w:hAnsi="Calibri" w:eastAsia="黑体"/>
      <w:snapToGrid w:val="0"/>
      <w:kern w:val="2"/>
      <w:sz w:val="21"/>
    </w:rPr>
  </w:style>
  <w:style w:type="character" w:customStyle="1" w:styleId="306">
    <w:name w:val="标题 6 Char1"/>
    <w:qFormat/>
    <w:uiPriority w:val="99"/>
    <w:rPr>
      <w:rFonts w:ascii="Arial" w:hAnsi="Arial" w:eastAsia="黑体"/>
      <w:b/>
      <w:sz w:val="20"/>
    </w:rPr>
  </w:style>
  <w:style w:type="character" w:customStyle="1" w:styleId="307">
    <w:name w:val="带编号样式 Char"/>
    <w:qFormat/>
    <w:uiPriority w:val="99"/>
    <w:rPr>
      <w:rFonts w:ascii="仿宋_GB2312" w:eastAsia="仿宋_GB2312"/>
      <w:color w:val="000000"/>
      <w:sz w:val="24"/>
    </w:rPr>
  </w:style>
  <w:style w:type="character" w:customStyle="1" w:styleId="308">
    <w:name w:val="unnamed31"/>
    <w:qFormat/>
    <w:uiPriority w:val="99"/>
    <w:rPr>
      <w:rFonts w:ascii="Tahoma" w:hAnsi="Tahoma" w:eastAsia="宋体"/>
      <w:b/>
      <w:kern w:val="2"/>
      <w:sz w:val="32"/>
      <w:u w:val="none"/>
      <w:lang w:val="en-US" w:eastAsia="zh-CN"/>
    </w:rPr>
  </w:style>
  <w:style w:type="character" w:customStyle="1" w:styleId="309">
    <w:name w:val="正文首行缩进 Char Char Char Char Char Char1"/>
    <w:qFormat/>
    <w:uiPriority w:val="99"/>
    <w:rPr>
      <w:rFonts w:ascii="宋体" w:eastAsia="宋体"/>
      <w:kern w:val="2"/>
      <w:sz w:val="24"/>
      <w:lang w:val="zh-CN"/>
    </w:rPr>
  </w:style>
  <w:style w:type="character" w:customStyle="1" w:styleId="310">
    <w:name w:val="文本正文 Char Char"/>
    <w:qFormat/>
    <w:locked/>
    <w:uiPriority w:val="99"/>
    <w:rPr>
      <w:sz w:val="24"/>
    </w:rPr>
  </w:style>
  <w:style w:type="character" w:customStyle="1" w:styleId="311">
    <w:name w:val="正文缩进 字符"/>
    <w:qFormat/>
    <w:uiPriority w:val="99"/>
    <w:rPr>
      <w:rFonts w:ascii="宋体" w:eastAsia="宋体"/>
      <w:snapToGrid w:val="0"/>
      <w:color w:val="000000"/>
      <w:kern w:val="28"/>
      <w:sz w:val="28"/>
      <w:lang w:val="en-US" w:eastAsia="zh-CN"/>
    </w:rPr>
  </w:style>
  <w:style w:type="character" w:customStyle="1" w:styleId="312">
    <w:name w:val="样式 样式 标题 4h4H4Fab-4T5Ref Heading 1rh1Heading sqlsect 1.2.3.... +... Char"/>
    <w:link w:val="313"/>
    <w:qFormat/>
    <w:locked/>
    <w:uiPriority w:val="99"/>
    <w:rPr>
      <w:rFonts w:ascii="微软雅黑" w:hAnsi="微软雅黑" w:eastAsia="微软雅黑"/>
      <w:b/>
      <w:kern w:val="2"/>
      <w:sz w:val="28"/>
    </w:rPr>
  </w:style>
  <w:style w:type="paragraph" w:customStyle="1" w:styleId="313">
    <w:name w:val="样式 样式 标题 4h4H4Fab-4T5Ref Heading 1rh1Heading sqlsect 1.2.3.... +..."/>
    <w:basedOn w:val="314"/>
    <w:link w:val="312"/>
    <w:qFormat/>
    <w:uiPriority w:val="99"/>
    <w:pPr>
      <w:tabs>
        <w:tab w:val="left" w:pos="2356"/>
      </w:tabs>
    </w:pPr>
  </w:style>
  <w:style w:type="paragraph" w:customStyle="1" w:styleId="314">
    <w:name w:val="样式 标题 4h4H4Fab-4T5Ref Heading 1rh1Heading sqlsect 1.2.3...."/>
    <w:basedOn w:val="7"/>
    <w:link w:val="414"/>
    <w:qFormat/>
    <w:uiPriority w:val="99"/>
    <w:pPr>
      <w:tabs>
        <w:tab w:val="left" w:pos="2356"/>
        <w:tab w:val="clear" w:pos="864"/>
      </w:tabs>
      <w:adjustRightInd/>
      <w:spacing w:line="360" w:lineRule="auto"/>
      <w:ind w:left="1984" w:leftChars="75" w:hanging="708" w:firstLineChars="200"/>
    </w:pPr>
    <w:rPr>
      <w:rFonts w:ascii="微软雅黑" w:hAnsi="微软雅黑" w:eastAsia="微软雅黑"/>
      <w:sz w:val="24"/>
      <w:lang w:val="en-US"/>
    </w:rPr>
  </w:style>
  <w:style w:type="character" w:customStyle="1" w:styleId="315">
    <w:name w:val="正文非缩进 Char"/>
    <w:qFormat/>
    <w:uiPriority w:val="99"/>
    <w:rPr>
      <w:rFonts w:ascii="宋体" w:eastAsia="宋体"/>
      <w:snapToGrid w:val="0"/>
      <w:color w:val="000000"/>
      <w:kern w:val="28"/>
      <w:sz w:val="28"/>
      <w:lang w:val="en-US" w:eastAsia="zh-CN"/>
    </w:rPr>
  </w:style>
  <w:style w:type="character" w:customStyle="1" w:styleId="316">
    <w:name w:val="Heading 7 Char1"/>
    <w:link w:val="10"/>
    <w:qFormat/>
    <w:locked/>
    <w:uiPriority w:val="99"/>
    <w:rPr>
      <w:b/>
      <w:kern w:val="2"/>
      <w:sz w:val="24"/>
    </w:rPr>
  </w:style>
  <w:style w:type="character" w:customStyle="1" w:styleId="317">
    <w:name w:val="Char Char5"/>
    <w:qFormat/>
    <w:uiPriority w:val="99"/>
    <w:rPr>
      <w:rFonts w:ascii="宋体" w:hAnsi="Courier New" w:eastAsia="宋体"/>
      <w:kern w:val="2"/>
      <w:sz w:val="21"/>
      <w:lang w:val="en-US" w:eastAsia="zh-CN"/>
    </w:rPr>
  </w:style>
  <w:style w:type="character" w:customStyle="1" w:styleId="318">
    <w:name w:val="称呼 Char1"/>
    <w:qFormat/>
    <w:uiPriority w:val="99"/>
    <w:rPr>
      <w:rFonts w:ascii="Times New Roman" w:hAnsi="Times New Roman" w:eastAsia="宋体"/>
      <w:sz w:val="24"/>
    </w:rPr>
  </w:style>
  <w:style w:type="character" w:customStyle="1" w:styleId="319">
    <w:name w:val="正文1 Char"/>
    <w:qFormat/>
    <w:uiPriority w:val="99"/>
    <w:rPr>
      <w:rFonts w:ascii="宋体" w:eastAsia="宋体"/>
      <w:snapToGrid w:val="0"/>
      <w:color w:val="000000"/>
      <w:kern w:val="28"/>
      <w:sz w:val="28"/>
      <w:lang w:val="en-US" w:eastAsia="zh-CN"/>
    </w:rPr>
  </w:style>
  <w:style w:type="character" w:customStyle="1" w:styleId="320">
    <w:name w:val="正文缩进 Char1"/>
    <w:qFormat/>
    <w:uiPriority w:val="99"/>
    <w:rPr>
      <w:rFonts w:ascii="宋体" w:eastAsia="宋体"/>
      <w:snapToGrid w:val="0"/>
      <w:color w:val="000000"/>
      <w:kern w:val="28"/>
      <w:sz w:val="28"/>
      <w:lang w:val="en-US" w:eastAsia="zh-CN"/>
    </w:rPr>
  </w:style>
  <w:style w:type="character" w:customStyle="1" w:styleId="321">
    <w:name w:val="font21"/>
    <w:qFormat/>
    <w:uiPriority w:val="99"/>
    <w:rPr>
      <w:rFonts w:ascii="宋体" w:hAnsi="宋体" w:eastAsia="宋体"/>
      <w:kern w:val="2"/>
      <w:sz w:val="28"/>
      <w:lang w:val="en-US" w:eastAsia="zh-CN"/>
    </w:rPr>
  </w:style>
  <w:style w:type="character" w:customStyle="1" w:styleId="322">
    <w:name w:val="Char Char26"/>
    <w:qFormat/>
    <w:uiPriority w:val="99"/>
    <w:rPr>
      <w:kern w:val="1"/>
      <w:sz w:val="24"/>
    </w:rPr>
  </w:style>
  <w:style w:type="character" w:customStyle="1" w:styleId="323">
    <w:name w:val="Item List Char"/>
    <w:link w:val="324"/>
    <w:qFormat/>
    <w:locked/>
    <w:uiPriority w:val="99"/>
    <w:rPr>
      <w:rFonts w:ascii="Arial" w:eastAsia="宋体"/>
      <w:sz w:val="21"/>
      <w:lang w:val="en-US" w:eastAsia="zh-CN"/>
    </w:rPr>
  </w:style>
  <w:style w:type="paragraph" w:customStyle="1" w:styleId="324">
    <w:name w:val="Item List"/>
    <w:link w:val="323"/>
    <w:qFormat/>
    <w:uiPriority w:val="99"/>
    <w:pPr>
      <w:spacing w:after="156" w:line="360" w:lineRule="auto"/>
      <w:ind w:firstLine="424" w:firstLineChars="202"/>
      <w:jc w:val="both"/>
    </w:pPr>
    <w:rPr>
      <w:rFonts w:ascii="Arial" w:hAnsi="Times New Roman" w:eastAsia="宋体" w:cs="Times New Roman"/>
      <w:bCs/>
      <w:kern w:val="0"/>
      <w:sz w:val="21"/>
      <w:szCs w:val="21"/>
      <w:lang w:val="en-US" w:eastAsia="zh-CN" w:bidi="ar-SA"/>
    </w:rPr>
  </w:style>
  <w:style w:type="character" w:customStyle="1" w:styleId="325">
    <w:name w:val="批注框文本 Char1"/>
    <w:qFormat/>
    <w:uiPriority w:val="99"/>
    <w:rPr>
      <w:rFonts w:ascii="Times New Roman" w:hAnsi="Times New Roman" w:eastAsia="宋体"/>
      <w:sz w:val="18"/>
    </w:rPr>
  </w:style>
  <w:style w:type="character" w:customStyle="1" w:styleId="326">
    <w:name w:val="纯文本 Char1"/>
    <w:link w:val="327"/>
    <w:qFormat/>
    <w:locked/>
    <w:uiPriority w:val="99"/>
    <w:rPr>
      <w:rFonts w:ascii="宋体" w:hAnsi="Courier New"/>
    </w:rPr>
  </w:style>
  <w:style w:type="paragraph" w:customStyle="1" w:styleId="327">
    <w:name w:val="纯文本1"/>
    <w:basedOn w:val="1"/>
    <w:link w:val="326"/>
    <w:qFormat/>
    <w:uiPriority w:val="99"/>
    <w:pPr>
      <w:adjustRightInd/>
    </w:pPr>
    <w:rPr>
      <w:rFonts w:ascii="宋体" w:hAnsi="Courier New"/>
      <w:kern w:val="0"/>
      <w:sz w:val="20"/>
      <w:szCs w:val="20"/>
    </w:rPr>
  </w:style>
  <w:style w:type="character" w:customStyle="1" w:styleId="328">
    <w:name w:val="h3 Char"/>
    <w:qFormat/>
    <w:uiPriority w:val="99"/>
    <w:rPr>
      <w:rFonts w:eastAsia="宋体"/>
      <w:b/>
      <w:kern w:val="2"/>
      <w:sz w:val="32"/>
      <w:lang w:val="en-US" w:eastAsia="zh-CN"/>
    </w:rPr>
  </w:style>
  <w:style w:type="character" w:customStyle="1" w:styleId="329">
    <w:name w:val="dandyren_title1"/>
    <w:qFormat/>
    <w:uiPriority w:val="99"/>
    <w:rPr>
      <w:b/>
      <w:color w:val="FF6633"/>
      <w:sz w:val="18"/>
    </w:rPr>
  </w:style>
  <w:style w:type="character" w:customStyle="1" w:styleId="330">
    <w:name w:val="Char Char31"/>
    <w:qFormat/>
    <w:uiPriority w:val="99"/>
    <w:rPr>
      <w:rFonts w:ascii="Arial" w:hAnsi="Arial" w:eastAsia="黑体"/>
      <w:kern w:val="1"/>
      <w:sz w:val="24"/>
    </w:rPr>
  </w:style>
  <w:style w:type="character" w:customStyle="1" w:styleId="331">
    <w:name w:val="h Char1"/>
    <w:qFormat/>
    <w:uiPriority w:val="99"/>
    <w:rPr>
      <w:sz w:val="18"/>
    </w:rPr>
  </w:style>
  <w:style w:type="character" w:customStyle="1" w:styleId="332">
    <w:name w:val="solutionfonts"/>
    <w:qFormat/>
    <w:uiPriority w:val="99"/>
  </w:style>
  <w:style w:type="character" w:customStyle="1" w:styleId="333">
    <w:name w:val="首行缩进 Char"/>
    <w:qFormat/>
    <w:uiPriority w:val="99"/>
    <w:rPr>
      <w:rFonts w:ascii="宋体" w:eastAsia="宋体"/>
      <w:kern w:val="2"/>
      <w:sz w:val="24"/>
      <w:lang w:val="en-US" w:eastAsia="zh-CN"/>
    </w:rPr>
  </w:style>
  <w:style w:type="character" w:customStyle="1" w:styleId="334">
    <w:name w:val="Char Char52"/>
    <w:qFormat/>
    <w:uiPriority w:val="99"/>
    <w:rPr>
      <w:rFonts w:ascii="宋体" w:hAnsi="Courier New" w:eastAsia="宋体"/>
      <w:kern w:val="2"/>
      <w:sz w:val="21"/>
      <w:lang w:val="en-US" w:eastAsia="zh-CN"/>
    </w:rPr>
  </w:style>
  <w:style w:type="character" w:customStyle="1" w:styleId="335">
    <w:name w:val="font31"/>
    <w:qFormat/>
    <w:uiPriority w:val="99"/>
    <w:rPr>
      <w:rFonts w:ascii="仿宋" w:hAnsi="仿宋" w:eastAsia="仿宋"/>
      <w:color w:val="000000"/>
      <w:sz w:val="20"/>
      <w:u w:val="none"/>
    </w:rPr>
  </w:style>
  <w:style w:type="character" w:customStyle="1" w:styleId="336">
    <w:name w:val="正文说明 Char"/>
    <w:link w:val="337"/>
    <w:qFormat/>
    <w:locked/>
    <w:uiPriority w:val="99"/>
    <w:rPr>
      <w:sz w:val="24"/>
    </w:rPr>
  </w:style>
  <w:style w:type="paragraph" w:customStyle="1" w:styleId="337">
    <w:name w:val="正文说明"/>
    <w:basedOn w:val="1"/>
    <w:link w:val="336"/>
    <w:qFormat/>
    <w:uiPriority w:val="99"/>
    <w:pPr>
      <w:adjustRightInd/>
      <w:spacing w:line="360" w:lineRule="auto"/>
    </w:pPr>
    <w:rPr>
      <w:kern w:val="0"/>
      <w:sz w:val="24"/>
    </w:rPr>
  </w:style>
  <w:style w:type="character" w:customStyle="1" w:styleId="338">
    <w:name w:val="脚注文本 Char1"/>
    <w:qFormat/>
    <w:uiPriority w:val="99"/>
    <w:rPr>
      <w:rFonts w:ascii="Times New Roman" w:hAnsi="Times New Roman" w:eastAsia="宋体"/>
      <w:sz w:val="18"/>
    </w:rPr>
  </w:style>
  <w:style w:type="character" w:customStyle="1" w:styleId="339">
    <w:name w:val="Char Char1211"/>
    <w:qFormat/>
    <w:uiPriority w:val="99"/>
    <w:rPr>
      <w:rFonts w:ascii="仿宋_GB2312" w:eastAsia="仿宋_GB2312"/>
      <w:b/>
      <w:kern w:val="2"/>
      <w:sz w:val="24"/>
      <w:lang w:val="zh-CN" w:eastAsia="zh-CN"/>
    </w:rPr>
  </w:style>
  <w:style w:type="character" w:customStyle="1" w:styleId="340">
    <w:name w:val="标题 Char"/>
    <w:qFormat/>
    <w:uiPriority w:val="99"/>
    <w:rPr>
      <w:rFonts w:eastAsia="宋体"/>
      <w:b/>
      <w:sz w:val="24"/>
      <w:lang w:val="en-GB" w:eastAsia="zh-CN"/>
    </w:rPr>
  </w:style>
  <w:style w:type="character" w:customStyle="1" w:styleId="341">
    <w:name w:val="Char Char35"/>
    <w:qFormat/>
    <w:uiPriority w:val="99"/>
    <w:rPr>
      <w:rFonts w:ascii="Arial" w:hAnsi="Arial" w:eastAsia="黑体"/>
      <w:b/>
      <w:kern w:val="1"/>
      <w:sz w:val="28"/>
      <w:lang w:val="zh-CN"/>
    </w:rPr>
  </w:style>
  <w:style w:type="character" w:customStyle="1" w:styleId="342">
    <w:name w:val="纯文本 Char Char Char"/>
    <w:qFormat/>
    <w:uiPriority w:val="99"/>
    <w:rPr>
      <w:rFonts w:ascii="宋体" w:hAnsi="Courier New" w:eastAsia="宋体"/>
      <w:kern w:val="2"/>
      <w:sz w:val="21"/>
      <w:lang w:val="en-US" w:eastAsia="zh-CN"/>
    </w:rPr>
  </w:style>
  <w:style w:type="character" w:customStyle="1" w:styleId="343">
    <w:name w:val="Table Text Char"/>
    <w:link w:val="344"/>
    <w:qFormat/>
    <w:locked/>
    <w:uiPriority w:val="99"/>
    <w:rPr>
      <w:sz w:val="24"/>
    </w:rPr>
  </w:style>
  <w:style w:type="paragraph" w:customStyle="1" w:styleId="344">
    <w:name w:val="Table Text"/>
    <w:basedOn w:val="1"/>
    <w:link w:val="343"/>
    <w:qFormat/>
    <w:uiPriority w:val="99"/>
    <w:pPr>
      <w:widowControl/>
      <w:spacing w:before="60" w:after="60"/>
      <w:jc w:val="left"/>
    </w:pPr>
    <w:rPr>
      <w:kern w:val="0"/>
      <w:sz w:val="24"/>
    </w:rPr>
  </w:style>
  <w:style w:type="character" w:customStyle="1" w:styleId="345">
    <w:name w:val="正文1 Char1"/>
    <w:qFormat/>
    <w:uiPriority w:val="99"/>
    <w:rPr>
      <w:rFonts w:ascii="仿宋_GB2312" w:hAnsi="Courier New" w:eastAsia="仿宋_GB2312"/>
      <w:kern w:val="28"/>
      <w:sz w:val="24"/>
      <w:lang w:val="en-US" w:eastAsia="zh-CN"/>
    </w:rPr>
  </w:style>
  <w:style w:type="character" w:customStyle="1" w:styleId="346">
    <w:name w:val="页脚 Char1"/>
    <w:qFormat/>
    <w:uiPriority w:val="99"/>
    <w:rPr>
      <w:rFonts w:eastAsia="宋体"/>
      <w:kern w:val="2"/>
      <w:sz w:val="18"/>
      <w:lang w:val="en-US" w:eastAsia="zh-CN"/>
    </w:rPr>
  </w:style>
  <w:style w:type="character" w:customStyle="1" w:styleId="347">
    <w:name w:val="Bold"/>
    <w:qFormat/>
    <w:uiPriority w:val="99"/>
    <w:rPr>
      <w:rFonts w:ascii="Arial" w:hAnsi="Arial" w:eastAsia="黑体"/>
      <w:b/>
      <w:kern w:val="2"/>
      <w:sz w:val="32"/>
      <w:lang w:val="en-US" w:eastAsia="zh-CN"/>
    </w:rPr>
  </w:style>
  <w:style w:type="character" w:customStyle="1" w:styleId="348">
    <w:name w:val="Comment Text Char1"/>
    <w:link w:val="20"/>
    <w:qFormat/>
    <w:locked/>
    <w:uiPriority w:val="99"/>
    <w:rPr>
      <w:kern w:val="2"/>
      <w:sz w:val="24"/>
    </w:rPr>
  </w:style>
  <w:style w:type="character" w:customStyle="1" w:styleId="349">
    <w:name w:val="hui3"/>
    <w:qFormat/>
    <w:uiPriority w:val="99"/>
    <w:rPr>
      <w:color w:val="333333"/>
    </w:rPr>
  </w:style>
  <w:style w:type="character" w:customStyle="1" w:styleId="350">
    <w:name w:val="Char Char17"/>
    <w:qFormat/>
    <w:uiPriority w:val="99"/>
    <w:rPr>
      <w:rFonts w:eastAsia="仿宋_GB2312"/>
      <w:sz w:val="24"/>
    </w:rPr>
  </w:style>
  <w:style w:type="character" w:customStyle="1" w:styleId="351">
    <w:name w:val="标题 4 字符"/>
    <w:qFormat/>
    <w:uiPriority w:val="99"/>
    <w:rPr>
      <w:rFonts w:ascii="等线 Light" w:hAnsi="等线 Light" w:eastAsia="等线 Light"/>
      <w:b/>
      <w:snapToGrid w:val="0"/>
      <w:kern w:val="0"/>
      <w:sz w:val="28"/>
    </w:rPr>
  </w:style>
  <w:style w:type="character" w:customStyle="1" w:styleId="352">
    <w:name w:val="Char Char37"/>
    <w:qFormat/>
    <w:uiPriority w:val="99"/>
    <w:rPr>
      <w:b/>
      <w:kern w:val="1"/>
      <w:sz w:val="44"/>
    </w:rPr>
  </w:style>
  <w:style w:type="character" w:customStyle="1" w:styleId="353">
    <w:name w:val="列出段落 Char"/>
    <w:qFormat/>
    <w:uiPriority w:val="99"/>
    <w:rPr>
      <w:rFonts w:eastAsia="楷体_GB2312"/>
      <w:kern w:val="2"/>
      <w:sz w:val="24"/>
      <w:lang w:val="en-US" w:eastAsia="zh-CN"/>
    </w:rPr>
  </w:style>
  <w:style w:type="character" w:customStyle="1" w:styleId="354">
    <w:name w:val="正文文本缩进 3 Char1"/>
    <w:semiHidden/>
    <w:qFormat/>
    <w:uiPriority w:val="99"/>
    <w:rPr>
      <w:rFonts w:ascii="Times New Roman" w:hAnsi="Times New Roman" w:eastAsia="宋体"/>
      <w:sz w:val="16"/>
    </w:rPr>
  </w:style>
  <w:style w:type="character" w:customStyle="1" w:styleId="355">
    <w:name w:val="公文正文 Char Char"/>
    <w:link w:val="356"/>
    <w:qFormat/>
    <w:locked/>
    <w:uiPriority w:val="99"/>
    <w:rPr>
      <w:rFonts w:ascii="仿宋_GB2312" w:eastAsia="仿宋_GB2312"/>
      <w:kern w:val="2"/>
      <w:sz w:val="24"/>
    </w:rPr>
  </w:style>
  <w:style w:type="paragraph" w:customStyle="1" w:styleId="356">
    <w:name w:val="公文正文"/>
    <w:basedOn w:val="1"/>
    <w:link w:val="355"/>
    <w:qFormat/>
    <w:uiPriority w:val="99"/>
    <w:pPr>
      <w:adjustRightInd/>
      <w:spacing w:before="156" w:line="360" w:lineRule="auto"/>
      <w:ind w:firstLine="360" w:firstLineChars="200"/>
    </w:pPr>
    <w:rPr>
      <w:rFonts w:ascii="仿宋_GB2312" w:eastAsia="仿宋_GB2312"/>
      <w:sz w:val="24"/>
    </w:rPr>
  </w:style>
  <w:style w:type="character" w:customStyle="1" w:styleId="357">
    <w:name w:val="Table Text Char1"/>
    <w:qFormat/>
    <w:uiPriority w:val="99"/>
    <w:rPr>
      <w:rFonts w:eastAsia="宋体"/>
      <w:sz w:val="24"/>
      <w:lang w:val="en-US" w:eastAsia="zh-CN"/>
    </w:rPr>
  </w:style>
  <w:style w:type="character" w:customStyle="1" w:styleId="358">
    <w:name w:val="标题 1 Char Char"/>
    <w:qFormat/>
    <w:uiPriority w:val="99"/>
    <w:rPr>
      <w:rFonts w:ascii="宋体" w:hAnsi="宋体" w:eastAsia="宋体"/>
      <w:b/>
      <w:spacing w:val="-2"/>
      <w:sz w:val="24"/>
      <w:lang w:val="en-US" w:eastAsia="zh-CN"/>
    </w:rPr>
  </w:style>
  <w:style w:type="character" w:customStyle="1" w:styleId="359">
    <w:name w:val="正文（缩进2汉字） Char"/>
    <w:link w:val="360"/>
    <w:qFormat/>
    <w:locked/>
    <w:uiPriority w:val="99"/>
    <w:rPr>
      <w:rFonts w:ascii="宋体"/>
    </w:rPr>
  </w:style>
  <w:style w:type="paragraph" w:customStyle="1" w:styleId="360">
    <w:name w:val="正文（缩进2汉字）"/>
    <w:basedOn w:val="1"/>
    <w:link w:val="359"/>
    <w:qFormat/>
    <w:uiPriority w:val="99"/>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1">
    <w:name w:val="标书表格字体格式 Char"/>
    <w:qFormat/>
    <w:uiPriority w:val="99"/>
    <w:rPr>
      <w:kern w:val="2"/>
      <w:sz w:val="24"/>
    </w:rPr>
  </w:style>
  <w:style w:type="character" w:customStyle="1" w:styleId="362">
    <w:name w:val="tw4winError"/>
    <w:qFormat/>
    <w:uiPriority w:val="99"/>
    <w:rPr>
      <w:rFonts w:ascii="Courier New" w:hAnsi="Courier New"/>
      <w:color w:val="00FF00"/>
      <w:sz w:val="40"/>
    </w:rPr>
  </w:style>
  <w:style w:type="character" w:customStyle="1" w:styleId="363">
    <w:name w:val="Body Text(ch) Char Char"/>
    <w:qFormat/>
    <w:uiPriority w:val="99"/>
    <w:rPr>
      <w:rFonts w:ascii="宋体"/>
      <w:kern w:val="2"/>
      <w:sz w:val="21"/>
      <w:lang w:val="zh-CN"/>
    </w:rPr>
  </w:style>
  <w:style w:type="character" w:customStyle="1" w:styleId="364">
    <w:name w:val="正文首行缩进两字 Char"/>
    <w:qFormat/>
    <w:uiPriority w:val="99"/>
    <w:rPr>
      <w:sz w:val="24"/>
      <w:lang w:val="en-US" w:eastAsia="zh-CN"/>
    </w:rPr>
  </w:style>
  <w:style w:type="character" w:customStyle="1" w:styleId="365">
    <w:name w:val="正文文本 Char"/>
    <w:qFormat/>
    <w:uiPriority w:val="99"/>
    <w:rPr>
      <w:rFonts w:eastAsia="宋体"/>
      <w:kern w:val="2"/>
      <w:sz w:val="24"/>
      <w:lang w:val="en-US" w:eastAsia="zh-CN"/>
    </w:rPr>
  </w:style>
  <w:style w:type="character" w:customStyle="1" w:styleId="366">
    <w:name w:val="文档结构图 字符1"/>
    <w:qFormat/>
    <w:uiPriority w:val="99"/>
    <w:rPr>
      <w:rFonts w:ascii="宋体" w:hAnsi="Calibri" w:eastAsia="黑体"/>
      <w:snapToGrid w:val="0"/>
      <w:kern w:val="2"/>
      <w:sz w:val="18"/>
    </w:rPr>
  </w:style>
  <w:style w:type="character" w:customStyle="1" w:styleId="367">
    <w:name w:val="content"/>
    <w:qFormat/>
    <w:uiPriority w:val="99"/>
  </w:style>
  <w:style w:type="character" w:customStyle="1" w:styleId="368">
    <w:name w:val="tw4winPopup"/>
    <w:qFormat/>
    <w:uiPriority w:val="99"/>
    <w:rPr>
      <w:rFonts w:ascii="Courier New" w:hAnsi="Courier New"/>
      <w:color w:val="008000"/>
      <w:lang w:val="en-US" w:eastAsia="zh-CN"/>
    </w:rPr>
  </w:style>
  <w:style w:type="character" w:customStyle="1" w:styleId="369">
    <w:name w:val="param-name"/>
    <w:qFormat/>
    <w:uiPriority w:val="99"/>
    <w:rPr>
      <w:rFonts w:ascii="Arial" w:hAnsi="Arial" w:eastAsia="黑体"/>
      <w:snapToGrid w:val="0"/>
      <w:kern w:val="0"/>
      <w:sz w:val="21"/>
    </w:rPr>
  </w:style>
  <w:style w:type="character" w:customStyle="1" w:styleId="370">
    <w:name w:val="标准正文格式 Char"/>
    <w:qFormat/>
    <w:uiPriority w:val="99"/>
    <w:rPr>
      <w:rFonts w:ascii="宋体" w:eastAsia="仿宋_GB2312"/>
      <w:color w:val="000000"/>
      <w:sz w:val="24"/>
      <w:lang w:val="en-US" w:eastAsia="zh-CN"/>
    </w:rPr>
  </w:style>
  <w:style w:type="character" w:customStyle="1" w:styleId="371">
    <w:name w:val="Char Char212"/>
    <w:qFormat/>
    <w:uiPriority w:val="99"/>
    <w:rPr>
      <w:rFonts w:eastAsia="宋体"/>
      <w:b/>
      <w:kern w:val="2"/>
      <w:sz w:val="24"/>
      <w:lang w:val="en-US" w:eastAsia="zh-CN"/>
    </w:rPr>
  </w:style>
  <w:style w:type="character" w:customStyle="1" w:styleId="372">
    <w:name w:val="文档结构图 Char"/>
    <w:qFormat/>
    <w:uiPriority w:val="99"/>
    <w:rPr>
      <w:rFonts w:eastAsia="宋体"/>
      <w:kern w:val="2"/>
      <w:sz w:val="24"/>
      <w:lang w:val="en-US" w:eastAsia="zh-CN"/>
    </w:rPr>
  </w:style>
  <w:style w:type="character" w:customStyle="1" w:styleId="373">
    <w:name w:val="zbggmain style9"/>
    <w:qFormat/>
    <w:uiPriority w:val="99"/>
  </w:style>
  <w:style w:type="character" w:customStyle="1" w:styleId="374">
    <w:name w:val="Char Char16"/>
    <w:qFormat/>
    <w:uiPriority w:val="99"/>
    <w:rPr>
      <w:kern w:val="1"/>
      <w:sz w:val="18"/>
    </w:rPr>
  </w:style>
  <w:style w:type="character" w:customStyle="1" w:styleId="375">
    <w:name w:val="font51"/>
    <w:qFormat/>
    <w:uiPriority w:val="99"/>
    <w:rPr>
      <w:rFonts w:ascii="仿宋" w:hAnsi="仿宋" w:eastAsia="仿宋"/>
      <w:color w:val="000000"/>
      <w:sz w:val="20"/>
      <w:u w:val="none"/>
    </w:rPr>
  </w:style>
  <w:style w:type="character" w:customStyle="1" w:styleId="376">
    <w:name w:val="Char Char82"/>
    <w:qFormat/>
    <w:uiPriority w:val="99"/>
    <w:rPr>
      <w:rFonts w:eastAsia="宋体"/>
      <w:b/>
      <w:sz w:val="24"/>
      <w:lang w:val="en-GB" w:eastAsia="zh-CN"/>
    </w:rPr>
  </w:style>
  <w:style w:type="character" w:customStyle="1" w:styleId="377">
    <w:name w:val="日期 Char1"/>
    <w:semiHidden/>
    <w:qFormat/>
    <w:uiPriority w:val="99"/>
    <w:rPr>
      <w:rFonts w:ascii="Times New Roman" w:hAnsi="Times New Roman" w:eastAsia="宋体"/>
      <w:sz w:val="24"/>
    </w:rPr>
  </w:style>
  <w:style w:type="character" w:customStyle="1" w:styleId="378">
    <w:name w:val="页眉 字符"/>
    <w:qFormat/>
    <w:uiPriority w:val="99"/>
    <w:rPr>
      <w:kern w:val="2"/>
      <w:sz w:val="18"/>
    </w:rPr>
  </w:style>
  <w:style w:type="character" w:customStyle="1" w:styleId="379">
    <w:name w:val="Char Char33"/>
    <w:qFormat/>
    <w:uiPriority w:val="99"/>
    <w:rPr>
      <w:rFonts w:ascii="Arial" w:hAnsi="Arial" w:eastAsia="黑体"/>
      <w:b/>
      <w:kern w:val="1"/>
      <w:sz w:val="24"/>
    </w:rPr>
  </w:style>
  <w:style w:type="character" w:customStyle="1" w:styleId="380">
    <w:name w:val="b11_01b Char"/>
    <w:link w:val="381"/>
    <w:qFormat/>
    <w:locked/>
    <w:uiPriority w:val="99"/>
    <w:rPr>
      <w:rFonts w:ascii="Verdana" w:hAnsi="Verdana"/>
      <w:b/>
      <w:color w:val="4A82CA"/>
      <w:sz w:val="17"/>
    </w:rPr>
  </w:style>
  <w:style w:type="paragraph" w:customStyle="1" w:styleId="381">
    <w:name w:val="b11_01b"/>
    <w:basedOn w:val="1"/>
    <w:next w:val="1"/>
    <w:link w:val="380"/>
    <w:qFormat/>
    <w:uiPriority w:val="99"/>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2">
    <w:name w:val="Char Char121"/>
    <w:qFormat/>
    <w:uiPriority w:val="99"/>
    <w:rPr>
      <w:rFonts w:ascii="仿宋_GB2312" w:eastAsia="仿宋_GB2312"/>
      <w:b/>
      <w:kern w:val="2"/>
      <w:sz w:val="24"/>
      <w:lang w:val="zh-CN" w:eastAsia="zh-CN"/>
    </w:rPr>
  </w:style>
  <w:style w:type="character" w:customStyle="1" w:styleId="383">
    <w:name w:val="Footer-Even Char"/>
    <w:qFormat/>
    <w:uiPriority w:val="99"/>
    <w:rPr>
      <w:rFonts w:eastAsia="宋体"/>
      <w:kern w:val="2"/>
      <w:sz w:val="18"/>
      <w:lang w:val="en-US" w:eastAsia="zh-CN"/>
    </w:rPr>
  </w:style>
  <w:style w:type="character" w:customStyle="1" w:styleId="384">
    <w:name w:val="Footer Char1"/>
    <w:link w:val="42"/>
    <w:qFormat/>
    <w:locked/>
    <w:uiPriority w:val="99"/>
    <w:rPr>
      <w:kern w:val="2"/>
      <w:sz w:val="18"/>
    </w:rPr>
  </w:style>
  <w:style w:type="character" w:customStyle="1" w:styleId="385">
    <w:name w:val="Char Char36"/>
    <w:qFormat/>
    <w:uiPriority w:val="99"/>
    <w:rPr>
      <w:rFonts w:ascii="仿宋_GB2312" w:hAnsi="仿宋_GB2312" w:eastAsia="仿宋_GB2312"/>
      <w:b/>
      <w:kern w:val="1"/>
      <w:sz w:val="32"/>
      <w:lang w:val="zh-CN" w:eastAsia="zh-CN"/>
    </w:rPr>
  </w:style>
  <w:style w:type="character" w:customStyle="1" w:styleId="386">
    <w:name w:val="Char Char61"/>
    <w:qFormat/>
    <w:uiPriority w:val="99"/>
    <w:rPr>
      <w:rFonts w:eastAsia="宋体"/>
      <w:kern w:val="2"/>
      <w:sz w:val="24"/>
      <w:lang w:val="en-US" w:eastAsia="zh-CN"/>
    </w:rPr>
  </w:style>
  <w:style w:type="character" w:customStyle="1" w:styleId="387">
    <w:name w:val="正文文字缩进 2 Char Char"/>
    <w:qFormat/>
    <w:uiPriority w:val="99"/>
    <w:rPr>
      <w:rFonts w:ascii="宋体"/>
      <w:sz w:val="28"/>
    </w:rPr>
  </w:style>
  <w:style w:type="character" w:customStyle="1" w:styleId="388">
    <w:name w:val="f141"/>
    <w:qFormat/>
    <w:uiPriority w:val="99"/>
    <w:rPr>
      <w:rFonts w:ascii="Tahoma" w:hAnsi="Tahoma" w:eastAsia="宋体"/>
      <w:b/>
      <w:kern w:val="2"/>
      <w:sz w:val="21"/>
      <w:lang w:val="en-US" w:eastAsia="zh-CN"/>
    </w:rPr>
  </w:style>
  <w:style w:type="character" w:customStyle="1" w:styleId="389">
    <w:name w:val="段落 Char Char"/>
    <w:link w:val="390"/>
    <w:qFormat/>
    <w:locked/>
    <w:uiPriority w:val="99"/>
    <w:rPr>
      <w:rFonts w:ascii="宋体" w:eastAsia="宋体"/>
      <w:sz w:val="24"/>
    </w:rPr>
  </w:style>
  <w:style w:type="paragraph" w:customStyle="1" w:styleId="390">
    <w:name w:val="段落"/>
    <w:basedOn w:val="1"/>
    <w:link w:val="389"/>
    <w:qFormat/>
    <w:uiPriority w:val="99"/>
    <w:pPr>
      <w:adjustRightInd/>
      <w:spacing w:line="360" w:lineRule="auto"/>
      <w:ind w:firstLine="480" w:firstLineChars="200"/>
    </w:pPr>
    <w:rPr>
      <w:rFonts w:ascii="宋体" w:hAnsi="宋体"/>
      <w:kern w:val="0"/>
      <w:sz w:val="24"/>
      <w:szCs w:val="20"/>
    </w:rPr>
  </w:style>
  <w:style w:type="character" w:customStyle="1" w:styleId="391">
    <w:name w:val="标题 3 Char2"/>
    <w:qFormat/>
    <w:uiPriority w:val="99"/>
    <w:rPr>
      <w:rFonts w:eastAsia="宋体"/>
      <w:b/>
      <w:kern w:val="2"/>
      <w:sz w:val="32"/>
      <w:lang w:val="en-US" w:eastAsia="zh-CN"/>
    </w:rPr>
  </w:style>
  <w:style w:type="character" w:customStyle="1" w:styleId="392">
    <w:name w:val="apple-converted-space"/>
    <w:qFormat/>
    <w:uiPriority w:val="99"/>
  </w:style>
  <w:style w:type="character" w:customStyle="1" w:styleId="393">
    <w:name w:val="Header Char1"/>
    <w:link w:val="43"/>
    <w:qFormat/>
    <w:locked/>
    <w:uiPriority w:val="99"/>
    <w:rPr>
      <w:kern w:val="2"/>
      <w:sz w:val="18"/>
    </w:rPr>
  </w:style>
  <w:style w:type="character" w:customStyle="1" w:styleId="394">
    <w:name w:val="Char Char9"/>
    <w:qFormat/>
    <w:uiPriority w:val="99"/>
    <w:rPr>
      <w:rFonts w:eastAsia="宋体"/>
      <w:kern w:val="2"/>
      <w:sz w:val="18"/>
      <w:lang w:val="en-US" w:eastAsia="zh-CN"/>
    </w:rPr>
  </w:style>
  <w:style w:type="character" w:customStyle="1" w:styleId="395">
    <w:name w:val="Char Char41"/>
    <w:qFormat/>
    <w:uiPriority w:val="99"/>
    <w:rPr>
      <w:rFonts w:eastAsia="宋体"/>
      <w:b/>
      <w:sz w:val="24"/>
      <w:lang w:val="en-GB" w:eastAsia="zh-CN"/>
    </w:rPr>
  </w:style>
  <w:style w:type="character" w:customStyle="1" w:styleId="396">
    <w:name w:val="large1"/>
    <w:qFormat/>
    <w:uiPriority w:val="99"/>
    <w:rPr>
      <w:rFonts w:ascii="宋体" w:hAnsi="宋体" w:eastAsia="宋体"/>
      <w:sz w:val="21"/>
    </w:rPr>
  </w:style>
  <w:style w:type="character" w:customStyle="1" w:styleId="397">
    <w:name w:val="正文段 Char"/>
    <w:link w:val="398"/>
    <w:qFormat/>
    <w:locked/>
    <w:uiPriority w:val="99"/>
    <w:rPr>
      <w:sz w:val="24"/>
    </w:rPr>
  </w:style>
  <w:style w:type="paragraph" w:customStyle="1" w:styleId="398">
    <w:name w:val="正文段"/>
    <w:basedOn w:val="1"/>
    <w:link w:val="397"/>
    <w:qFormat/>
    <w:uiPriority w:val="99"/>
    <w:pPr>
      <w:widowControl/>
      <w:snapToGrid w:val="0"/>
      <w:spacing w:afterLines="50"/>
      <w:ind w:firstLine="200" w:firstLineChars="200"/>
    </w:pPr>
    <w:rPr>
      <w:kern w:val="0"/>
      <w:sz w:val="24"/>
      <w:szCs w:val="20"/>
    </w:rPr>
  </w:style>
  <w:style w:type="character" w:customStyle="1" w:styleId="399">
    <w:name w:val="Char Char13"/>
    <w:qFormat/>
    <w:uiPriority w:val="99"/>
    <w:rPr>
      <w:rFonts w:ascii="宋体" w:eastAsia="宋体"/>
      <w:kern w:val="1"/>
      <w:sz w:val="24"/>
    </w:rPr>
  </w:style>
  <w:style w:type="character" w:customStyle="1" w:styleId="400">
    <w:name w:val="Char Char92"/>
    <w:qFormat/>
    <w:uiPriority w:val="99"/>
    <w:rPr>
      <w:rFonts w:ascii="Times New Roman" w:hAnsi="Times New Roman" w:eastAsia="宋体"/>
      <w:b/>
      <w:kern w:val="2"/>
      <w:sz w:val="32"/>
      <w:lang w:val="en-US" w:eastAsia="zh-CN"/>
    </w:rPr>
  </w:style>
  <w:style w:type="character" w:customStyle="1" w:styleId="401">
    <w:name w:val="冯广丽 Char"/>
    <w:link w:val="402"/>
    <w:qFormat/>
    <w:locked/>
    <w:uiPriority w:val="99"/>
    <w:rPr>
      <w:rFonts w:ascii="宋体" w:eastAsia="宋体"/>
      <w:kern w:val="2"/>
      <w:sz w:val="22"/>
    </w:rPr>
  </w:style>
  <w:style w:type="paragraph" w:customStyle="1" w:styleId="402">
    <w:name w:val="冯广丽"/>
    <w:basedOn w:val="1"/>
    <w:link w:val="401"/>
    <w:qFormat/>
    <w:uiPriority w:val="99"/>
    <w:pPr>
      <w:adjustRightInd/>
      <w:spacing w:line="360" w:lineRule="auto"/>
      <w:ind w:firstLine="480" w:firstLineChars="200"/>
    </w:pPr>
    <w:rPr>
      <w:rFonts w:ascii="宋体" w:hAnsi="宋体"/>
      <w:sz w:val="24"/>
      <w:szCs w:val="22"/>
    </w:rPr>
  </w:style>
  <w:style w:type="character" w:customStyle="1" w:styleId="403">
    <w:name w:val="批注文字 字符"/>
    <w:qFormat/>
    <w:uiPriority w:val="99"/>
    <w:rPr>
      <w:rFonts w:ascii="Arial" w:hAnsi="Arial" w:eastAsia="黑体"/>
      <w:snapToGrid w:val="0"/>
      <w:kern w:val="0"/>
      <w:sz w:val="21"/>
    </w:rPr>
  </w:style>
  <w:style w:type="character" w:customStyle="1" w:styleId="404">
    <w:name w:val="Char Char161"/>
    <w:qFormat/>
    <w:uiPriority w:val="99"/>
    <w:rPr>
      <w:rFonts w:eastAsia="宋体"/>
      <w:b/>
      <w:kern w:val="2"/>
      <w:sz w:val="32"/>
      <w:lang w:val="en-US" w:eastAsia="zh-CN"/>
    </w:rPr>
  </w:style>
  <w:style w:type="character" w:customStyle="1" w:styleId="405">
    <w:name w:val="javascript"/>
    <w:qFormat/>
    <w:uiPriority w:val="99"/>
  </w:style>
  <w:style w:type="character" w:customStyle="1" w:styleId="406">
    <w:name w:val="图名 Char"/>
    <w:qFormat/>
    <w:uiPriority w:val="99"/>
    <w:rPr>
      <w:rFonts w:ascii="Arial" w:hAnsi="Arial" w:eastAsia="黑体"/>
      <w:kern w:val="2"/>
      <w:sz w:val="24"/>
      <w:lang w:val="en-US" w:eastAsia="zh-CN"/>
    </w:rPr>
  </w:style>
  <w:style w:type="character" w:customStyle="1" w:styleId="407">
    <w:name w:val="Used by Word for text of Help footnotes Char Char"/>
    <w:qFormat/>
    <w:uiPriority w:val="99"/>
    <w:rPr>
      <w:rFonts w:ascii="Times New Roman" w:hAnsi="Times New Roman" w:eastAsia="宋体"/>
      <w:sz w:val="20"/>
    </w:rPr>
  </w:style>
  <w:style w:type="character" w:customStyle="1" w:styleId="408">
    <w:name w:val="编号，小四 Char"/>
    <w:link w:val="409"/>
    <w:qFormat/>
    <w:locked/>
    <w:uiPriority w:val="99"/>
    <w:rPr>
      <w:rFonts w:ascii="Arial" w:hAnsi="Arial"/>
      <w:sz w:val="24"/>
    </w:rPr>
  </w:style>
  <w:style w:type="paragraph" w:customStyle="1" w:styleId="409">
    <w:name w:val="编号，小四"/>
    <w:basedOn w:val="1"/>
    <w:link w:val="408"/>
    <w:qFormat/>
    <w:uiPriority w:val="99"/>
    <w:pPr>
      <w:tabs>
        <w:tab w:val="left" w:pos="432"/>
      </w:tabs>
      <w:adjustRightInd/>
      <w:spacing w:line="360" w:lineRule="auto"/>
      <w:ind w:left="432" w:hanging="432"/>
    </w:pPr>
    <w:rPr>
      <w:rFonts w:ascii="Arial" w:hAnsi="Arial"/>
      <w:kern w:val="0"/>
      <w:sz w:val="24"/>
      <w:szCs w:val="20"/>
    </w:rPr>
  </w:style>
  <w:style w:type="character" w:customStyle="1" w:styleId="410">
    <w:name w:val="Font Style82"/>
    <w:qFormat/>
    <w:uiPriority w:val="99"/>
    <w:rPr>
      <w:rFonts w:ascii="宋体" w:eastAsia="宋体"/>
      <w:color w:val="000000"/>
      <w:sz w:val="14"/>
    </w:rPr>
  </w:style>
  <w:style w:type="character" w:customStyle="1" w:styleId="411">
    <w:name w:val="标题 2 Char Char"/>
    <w:qFormat/>
    <w:uiPriority w:val="99"/>
    <w:rPr>
      <w:rFonts w:ascii="楷体_GB2312" w:hAnsi="Arial" w:eastAsia="楷体_GB2312"/>
      <w:b/>
      <w:kern w:val="2"/>
      <w:sz w:val="32"/>
      <w:lang w:val="en-US" w:eastAsia="zh-CN"/>
    </w:rPr>
  </w:style>
  <w:style w:type="character" w:customStyle="1" w:styleId="412">
    <w:name w:val="未用 Char"/>
    <w:qFormat/>
    <w:uiPriority w:val="99"/>
    <w:rPr>
      <w:rFonts w:ascii="Arial" w:hAnsi="Arial" w:eastAsia="黑体"/>
      <w:kern w:val="2"/>
      <w:sz w:val="21"/>
      <w:lang w:val="en-US" w:eastAsia="zh-CN"/>
    </w:rPr>
  </w:style>
  <w:style w:type="character" w:customStyle="1" w:styleId="413">
    <w:name w:val="myp1111"/>
    <w:qFormat/>
    <w:uiPriority w:val="99"/>
    <w:rPr>
      <w:rFonts w:ascii="??" w:hAnsi="??"/>
      <w:color w:val="000000"/>
      <w:sz w:val="20"/>
      <w:u w:val="none"/>
    </w:rPr>
  </w:style>
  <w:style w:type="character" w:customStyle="1" w:styleId="414">
    <w:name w:val="样式 标题 4h4H4Fab-4T5Ref Heading 1rh1Heading sqlsect 1.2.3.... Char"/>
    <w:link w:val="314"/>
    <w:qFormat/>
    <w:locked/>
    <w:uiPriority w:val="99"/>
    <w:rPr>
      <w:rFonts w:ascii="微软雅黑" w:hAnsi="微软雅黑" w:eastAsia="微软雅黑"/>
      <w:b/>
      <w:kern w:val="2"/>
      <w:sz w:val="28"/>
    </w:rPr>
  </w:style>
  <w:style w:type="character" w:customStyle="1" w:styleId="415">
    <w:name w:val="h Char Char"/>
    <w:qFormat/>
    <w:uiPriority w:val="99"/>
    <w:rPr>
      <w:rFonts w:eastAsia="宋体"/>
      <w:kern w:val="2"/>
      <w:sz w:val="18"/>
      <w:lang w:val="en-US" w:eastAsia="zh-CN"/>
    </w:rPr>
  </w:style>
  <w:style w:type="character" w:customStyle="1" w:styleId="416">
    <w:name w:val="仿宋正文 Char"/>
    <w:link w:val="417"/>
    <w:qFormat/>
    <w:locked/>
    <w:uiPriority w:val="99"/>
    <w:rPr>
      <w:rFonts w:ascii="仿宋_GB2312" w:eastAsia="仿宋_GB2312"/>
      <w:kern w:val="2"/>
      <w:sz w:val="24"/>
      <w:lang w:val="en-US" w:eastAsia="zh-CN"/>
    </w:rPr>
  </w:style>
  <w:style w:type="paragraph" w:customStyle="1" w:styleId="417">
    <w:name w:val="仿宋正文"/>
    <w:basedOn w:val="1"/>
    <w:link w:val="416"/>
    <w:qFormat/>
    <w:uiPriority w:val="99"/>
    <w:pPr>
      <w:adjustRightInd/>
      <w:spacing w:line="360" w:lineRule="auto"/>
      <w:ind w:firstLine="480" w:firstLineChars="200"/>
    </w:pPr>
    <w:rPr>
      <w:rFonts w:ascii="仿宋_GB2312" w:eastAsia="仿宋_GB2312"/>
      <w:sz w:val="24"/>
      <w:szCs w:val="20"/>
    </w:rPr>
  </w:style>
  <w:style w:type="character" w:customStyle="1" w:styleId="418">
    <w:name w:val="正文首行缩进 Char Char Char Char Char Char"/>
    <w:qFormat/>
    <w:uiPriority w:val="99"/>
    <w:rPr>
      <w:rFonts w:ascii="宋体" w:eastAsia="宋体"/>
      <w:kern w:val="2"/>
      <w:sz w:val="24"/>
      <w:lang w:val="zh-CN"/>
    </w:rPr>
  </w:style>
  <w:style w:type="character" w:customStyle="1" w:styleId="419">
    <w:name w:val="样式 宋体"/>
    <w:qFormat/>
    <w:uiPriority w:val="99"/>
    <w:rPr>
      <w:rFonts w:ascii="宋体" w:eastAsia="宋体"/>
      <w:sz w:val="24"/>
    </w:rPr>
  </w:style>
  <w:style w:type="character" w:customStyle="1" w:styleId="420">
    <w:name w:val="tw4winJump"/>
    <w:qFormat/>
    <w:uiPriority w:val="99"/>
    <w:rPr>
      <w:rFonts w:ascii="Courier New" w:hAnsi="Courier New"/>
      <w:color w:val="008080"/>
      <w:lang w:val="en-US" w:eastAsia="zh-CN"/>
    </w:rPr>
  </w:style>
  <w:style w:type="character" w:customStyle="1" w:styleId="421">
    <w:name w:val="标题 1 字符"/>
    <w:qFormat/>
    <w:uiPriority w:val="99"/>
    <w:rPr>
      <w:rFonts w:ascii="Arial" w:hAnsi="Arial" w:eastAsia="黑体"/>
      <w:b/>
      <w:snapToGrid w:val="0"/>
      <w:kern w:val="44"/>
      <w:sz w:val="44"/>
    </w:rPr>
  </w:style>
  <w:style w:type="character" w:customStyle="1" w:styleId="422">
    <w:name w:val="style36"/>
    <w:basedOn w:val="69"/>
    <w:qFormat/>
    <w:uiPriority w:val="99"/>
    <w:rPr>
      <w:rFonts w:ascii="Arial" w:hAnsi="Arial" w:eastAsia="黑体" w:cs="Arial"/>
      <w:snapToGrid w:val="0"/>
      <w:kern w:val="0"/>
      <w:sz w:val="21"/>
      <w:szCs w:val="21"/>
    </w:rPr>
  </w:style>
  <w:style w:type="character" w:customStyle="1" w:styleId="423">
    <w:name w:val="pt9"/>
    <w:qFormat/>
    <w:uiPriority w:val="99"/>
    <w:rPr>
      <w:rFonts w:ascii="仿宋_GB2312" w:eastAsia="微软雅黑"/>
      <w:b/>
      <w:kern w:val="2"/>
      <w:sz w:val="32"/>
      <w:lang w:val="en-US" w:eastAsia="zh-CN"/>
    </w:rPr>
  </w:style>
  <w:style w:type="character" w:customStyle="1" w:styleId="424">
    <w:name w:val="DO_NOT_TRANSLATE"/>
    <w:qFormat/>
    <w:uiPriority w:val="99"/>
    <w:rPr>
      <w:rFonts w:ascii="Courier New" w:hAnsi="Courier New"/>
      <w:color w:val="800000"/>
      <w:lang w:val="en-US" w:eastAsia="zh-CN"/>
    </w:rPr>
  </w:style>
  <w:style w:type="character" w:customStyle="1" w:styleId="425">
    <w:name w:val="标书1 Char1"/>
    <w:qFormat/>
    <w:uiPriority w:val="99"/>
    <w:rPr>
      <w:rFonts w:eastAsia="宋体"/>
      <w:b/>
      <w:kern w:val="44"/>
      <w:sz w:val="44"/>
      <w:lang w:val="en-US" w:eastAsia="zh-CN"/>
    </w:rPr>
  </w:style>
  <w:style w:type="character" w:customStyle="1" w:styleId="426">
    <w:name w:val="页脚 字符"/>
    <w:qFormat/>
    <w:uiPriority w:val="99"/>
    <w:rPr>
      <w:kern w:val="2"/>
      <w:sz w:val="18"/>
    </w:rPr>
  </w:style>
  <w:style w:type="character" w:customStyle="1" w:styleId="427">
    <w:name w:val="正文2 Char"/>
    <w:qFormat/>
    <w:uiPriority w:val="99"/>
    <w:rPr>
      <w:rFonts w:eastAsia="宋体"/>
      <w:kern w:val="2"/>
      <w:sz w:val="24"/>
      <w:lang w:val="en-US" w:eastAsia="zh-CN"/>
    </w:rPr>
  </w:style>
  <w:style w:type="character" w:customStyle="1" w:styleId="428">
    <w:name w:val="Char Char21"/>
    <w:qFormat/>
    <w:uiPriority w:val="99"/>
    <w:rPr>
      <w:rFonts w:ascii="宋体" w:eastAsia="宋体"/>
      <w:kern w:val="1"/>
      <w:sz w:val="21"/>
      <w:lang w:val="zh-CN"/>
    </w:rPr>
  </w:style>
  <w:style w:type="character" w:customStyle="1" w:styleId="429">
    <w:name w:val="样式 正文缩进 + 首行缩进:  2 字符 Char Char"/>
    <w:link w:val="430"/>
    <w:qFormat/>
    <w:locked/>
    <w:uiPriority w:val="99"/>
    <w:rPr>
      <w:kern w:val="2"/>
      <w:sz w:val="24"/>
    </w:rPr>
  </w:style>
  <w:style w:type="paragraph" w:customStyle="1" w:styleId="430">
    <w:name w:val="样式 正文缩进 + 首行缩进:  2 字符"/>
    <w:basedOn w:val="6"/>
    <w:link w:val="429"/>
    <w:qFormat/>
    <w:uiPriority w:val="99"/>
    <w:pPr>
      <w:widowControl w:val="0"/>
      <w:adjustRightInd/>
      <w:snapToGrid/>
      <w:spacing w:line="360" w:lineRule="auto"/>
      <w:ind w:firstLine="200" w:firstLineChars="200"/>
    </w:pPr>
    <w:rPr>
      <w:rFonts w:ascii="Times New Roman"/>
      <w:color w:val="auto"/>
      <w:kern w:val="2"/>
      <w:sz w:val="24"/>
    </w:rPr>
  </w:style>
  <w:style w:type="character" w:customStyle="1" w:styleId="431">
    <w:name w:val="gray6"/>
    <w:basedOn w:val="69"/>
    <w:qFormat/>
    <w:uiPriority w:val="99"/>
    <w:rPr>
      <w:rFonts w:ascii="Arial" w:hAnsi="Arial" w:eastAsia="黑体" w:cs="Arial"/>
      <w:snapToGrid w:val="0"/>
      <w:kern w:val="0"/>
      <w:sz w:val="21"/>
      <w:szCs w:val="21"/>
    </w:rPr>
  </w:style>
  <w:style w:type="character" w:customStyle="1" w:styleId="432">
    <w:name w:val="hui"/>
    <w:basedOn w:val="69"/>
    <w:qFormat/>
    <w:uiPriority w:val="99"/>
    <w:rPr>
      <w:rFonts w:ascii="Arial" w:hAnsi="Arial" w:eastAsia="黑体" w:cs="Arial"/>
      <w:snapToGrid w:val="0"/>
      <w:kern w:val="0"/>
      <w:sz w:val="21"/>
      <w:szCs w:val="21"/>
    </w:rPr>
  </w:style>
  <w:style w:type="character" w:customStyle="1" w:styleId="433">
    <w:name w:val="哈哈正文 Char Char"/>
    <w:qFormat/>
    <w:uiPriority w:val="99"/>
    <w:rPr>
      <w:rFonts w:ascii="宋体" w:hAnsi="宋体" w:eastAsia="宋体"/>
      <w:kern w:val="2"/>
      <w:sz w:val="24"/>
      <w:lang w:val="en-US" w:eastAsia="zh-CN"/>
    </w:rPr>
  </w:style>
  <w:style w:type="paragraph" w:customStyle="1" w:styleId="434">
    <w:name w:val="样式 正文文本缩进 + 左侧:  2 字符 首行缩进:  2 字符"/>
    <w:basedOn w:val="26"/>
    <w:qFormat/>
    <w:uiPriority w:val="99"/>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99"/>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99"/>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99"/>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99"/>
    <w:pPr>
      <w:spacing w:after="120" w:line="300" w:lineRule="exact"/>
    </w:pPr>
    <w:rPr>
      <w:rFonts w:ascii="Arial" w:hAnsi="Arial" w:eastAsia="宋体" w:cs="Times New Roman"/>
      <w:b/>
      <w:kern w:val="0"/>
      <w:sz w:val="26"/>
      <w:szCs w:val="20"/>
      <w:lang w:val="en-US" w:eastAsia="en-US" w:bidi="ar-SA"/>
    </w:rPr>
  </w:style>
  <w:style w:type="paragraph" w:customStyle="1" w:styleId="440">
    <w:name w:val="样式 宋体 三号 加粗 居中"/>
    <w:basedOn w:val="1"/>
    <w:qFormat/>
    <w:uiPriority w:val="99"/>
    <w:pPr>
      <w:adjustRightInd/>
      <w:spacing w:line="360" w:lineRule="auto"/>
      <w:jc w:val="center"/>
    </w:pPr>
    <w:rPr>
      <w:rFonts w:ascii="宋体" w:hAnsi="宋体" w:cs="宋体"/>
      <w:b/>
      <w:bCs/>
      <w:sz w:val="24"/>
      <w:szCs w:val="20"/>
    </w:rPr>
  </w:style>
  <w:style w:type="paragraph" w:customStyle="1" w:styleId="441">
    <w:name w:val="标题4_自定义"/>
    <w:basedOn w:val="7"/>
    <w:qFormat/>
    <w:uiPriority w:val="99"/>
    <w:pPr>
      <w:adjustRightInd/>
      <w:spacing w:before="0" w:after="0" w:line="360" w:lineRule="auto"/>
    </w:pPr>
    <w:rPr>
      <w:rFonts w:ascii="Verdana" w:eastAsia="Times New Roman"/>
      <w:sz w:val="21"/>
      <w:lang w:val="en-US"/>
    </w:rPr>
  </w:style>
  <w:style w:type="paragraph" w:customStyle="1" w:styleId="442">
    <w:name w:val="正文 内标 序号标"/>
    <w:basedOn w:val="443"/>
    <w:qFormat/>
    <w:uiPriority w:val="99"/>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99"/>
    <w:pPr>
      <w:spacing w:before="120" w:line="360" w:lineRule="auto"/>
      <w:ind w:firstLine="567"/>
    </w:pPr>
    <w:rPr>
      <w:rFonts w:ascii="Arial" w:hAnsi="Arial"/>
      <w:sz w:val="20"/>
      <w:szCs w:val="20"/>
    </w:rPr>
  </w:style>
  <w:style w:type="paragraph" w:customStyle="1" w:styleId="444">
    <w:name w:val="彩色底纹 - 强调文字颜色 11"/>
    <w:qFormat/>
    <w:uiPriority w:val="99"/>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99"/>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99"/>
    <w:rPr>
      <w:rFonts w:ascii="Times New Roman" w:hAnsi="Times New Roman" w:eastAsia="宋体" w:cs="Times New Roman"/>
      <w:kern w:val="2"/>
      <w:sz w:val="21"/>
      <w:szCs w:val="20"/>
      <w:lang w:val="en-US" w:eastAsia="zh-CN" w:bidi="ar-SA"/>
    </w:rPr>
  </w:style>
  <w:style w:type="paragraph" w:customStyle="1" w:styleId="448">
    <w:name w:val="Char Char11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449">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99"/>
    <w:pPr>
      <w:spacing w:beforeLines="800" w:afterLines="100"/>
      <w:jc w:val="center"/>
    </w:pPr>
    <w:rPr>
      <w:rFonts w:ascii="Arial" w:hAnsi="Arial" w:eastAsia="黑体" w:cs="宋体"/>
      <w:bCs/>
      <w:kern w:val="2"/>
      <w:sz w:val="52"/>
      <w:szCs w:val="20"/>
      <w:lang w:val="en-US" w:eastAsia="zh-CN" w:bidi="ar-SA"/>
    </w:rPr>
  </w:style>
  <w:style w:type="paragraph" w:customStyle="1" w:styleId="451">
    <w:name w:val="封面公司名"/>
    <w:qFormat/>
    <w:uiPriority w:val="99"/>
    <w:pPr>
      <w:jc w:val="center"/>
    </w:pPr>
    <w:rPr>
      <w:rFonts w:ascii="Arial" w:hAnsi="Arial" w:eastAsia="楷体_GB2312" w:cs="宋体"/>
      <w:bCs/>
      <w:kern w:val="2"/>
      <w:sz w:val="28"/>
      <w:szCs w:val="20"/>
      <w:lang w:val="en-US" w:eastAsia="zh-CN" w:bidi="ar-SA"/>
    </w:rPr>
  </w:style>
  <w:style w:type="paragraph" w:customStyle="1" w:styleId="452">
    <w:name w:val="Char1 Char Char Char5"/>
    <w:basedOn w:val="1"/>
    <w:qFormat/>
    <w:uiPriority w:val="99"/>
    <w:pPr>
      <w:adjustRightInd/>
      <w:ind w:firstLine="200" w:firstLineChars="200"/>
    </w:pPr>
    <w:rPr>
      <w:rFonts w:ascii="Tahoma" w:hAnsi="Tahoma"/>
      <w:sz w:val="24"/>
      <w:szCs w:val="20"/>
    </w:rPr>
  </w:style>
  <w:style w:type="paragraph" w:customStyle="1" w:styleId="453">
    <w:name w:val="style82 f9a f9a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99"/>
    <w:pPr>
      <w:tabs>
        <w:tab w:val="left" w:pos="360"/>
      </w:tabs>
    </w:pPr>
    <w:rPr>
      <w:sz w:val="24"/>
      <w:szCs w:val="20"/>
    </w:rPr>
  </w:style>
  <w:style w:type="paragraph" w:customStyle="1" w:styleId="456">
    <w:name w:val="Char Char11 Char Char Char"/>
    <w:basedOn w:val="1"/>
    <w:qFormat/>
    <w:uiPriority w:val="99"/>
    <w:pPr>
      <w:spacing w:line="360" w:lineRule="auto"/>
    </w:pPr>
    <w:rPr>
      <w:szCs w:val="20"/>
    </w:rPr>
  </w:style>
  <w:style w:type="paragraph" w:customStyle="1" w:styleId="457">
    <w:name w:val="gjt_3"/>
    <w:next w:val="1"/>
    <w:qFormat/>
    <w:uiPriority w:val="99"/>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99"/>
    <w:pPr>
      <w:adjustRightInd/>
      <w:spacing w:line="500" w:lineRule="exact"/>
      <w:ind w:firstLine="560" w:firstLineChars="200"/>
    </w:pPr>
    <w:rPr>
      <w:rFonts w:eastAsia="仿宋_GB2312"/>
      <w:sz w:val="28"/>
      <w:szCs w:val="20"/>
    </w:rPr>
  </w:style>
  <w:style w:type="paragraph" w:customStyle="1" w:styleId="459">
    <w:name w:val="样式3"/>
    <w:basedOn w:val="460"/>
    <w:qFormat/>
    <w:uiPriority w:val="99"/>
    <w:pPr>
      <w:tabs>
        <w:tab w:val="left" w:pos="2790"/>
        <w:tab w:val="left" w:pos="4230"/>
      </w:tabs>
      <w:spacing w:beforeLines="100"/>
      <w:jc w:val="left"/>
    </w:pPr>
  </w:style>
  <w:style w:type="paragraph" w:customStyle="1" w:styleId="460">
    <w:name w:val="样式2"/>
    <w:basedOn w:val="1"/>
    <w:qFormat/>
    <w:uiPriority w:val="99"/>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99"/>
    <w:pPr>
      <w:tabs>
        <w:tab w:val="left" w:pos="840"/>
      </w:tabs>
      <w:ind w:left="840" w:hanging="420"/>
    </w:pPr>
    <w:rPr>
      <w:rFonts w:ascii="Tahoma" w:hAnsi="Tahoma"/>
      <w:sz w:val="24"/>
    </w:rPr>
  </w:style>
  <w:style w:type="paragraph" w:customStyle="1" w:styleId="462">
    <w:name w:val="Z5"/>
    <w:basedOn w:val="1"/>
    <w:next w:val="1"/>
    <w:qFormat/>
    <w:uiPriority w:val="99"/>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4"/>
    <w:qFormat/>
    <w:uiPriority w:val="99"/>
    <w:pPr>
      <w:keepLines w:val="0"/>
      <w:widowControl/>
      <w:tabs>
        <w:tab w:val="left" w:pos="840"/>
        <w:tab w:val="clear" w:pos="432"/>
      </w:tabs>
      <w:adjustRightInd w:val="0"/>
      <w:snapToGrid w:val="0"/>
      <w:spacing w:beforeLines="50" w:after="60" w:line="300" w:lineRule="auto"/>
      <w:ind w:left="840" w:hanging="420"/>
    </w:pPr>
    <w:rPr>
      <w:rFonts w:ascii="Arial Narrow" w:hAnsi="Arial Narrow"/>
      <w:kern w:val="0"/>
      <w:szCs w:val="20"/>
      <w:lang w:val="en-US"/>
    </w:rPr>
  </w:style>
  <w:style w:type="paragraph" w:customStyle="1" w:styleId="464">
    <w:name w:val="样式 仿宋_GB2312 三号 加粗 黑色 居中 行距: 1.5 倍行距"/>
    <w:basedOn w:val="1"/>
    <w:qFormat/>
    <w:uiPriority w:val="99"/>
    <w:pPr>
      <w:spacing w:line="360" w:lineRule="auto"/>
      <w:jc w:val="center"/>
    </w:pPr>
    <w:rPr>
      <w:rFonts w:ascii="仿宋_GB2312" w:eastAsia="仿宋_GB2312" w:cs="宋体"/>
      <w:b/>
      <w:bCs/>
      <w:color w:val="000000"/>
      <w:sz w:val="28"/>
      <w:szCs w:val="20"/>
    </w:rPr>
  </w:style>
  <w:style w:type="paragraph" w:customStyle="1" w:styleId="465">
    <w:name w:val="正文21"/>
    <w:basedOn w:val="1"/>
    <w:qFormat/>
    <w:uiPriority w:val="99"/>
    <w:pPr>
      <w:adjustRightInd/>
      <w:spacing w:before="156" w:line="360" w:lineRule="auto"/>
      <w:ind w:firstLine="510" w:firstLineChars="200"/>
    </w:pPr>
    <w:rPr>
      <w:sz w:val="24"/>
      <w:szCs w:val="20"/>
    </w:rPr>
  </w:style>
  <w:style w:type="paragraph" w:customStyle="1" w:styleId="466">
    <w:name w:val="Test2"/>
    <w:basedOn w:val="4"/>
    <w:qFormat/>
    <w:uiPriority w:val="99"/>
    <w:pPr>
      <w:widowControl/>
      <w:adjustRightInd w:val="0"/>
      <w:snapToGrid w:val="0"/>
      <w:spacing w:before="360" w:after="360" w:line="240" w:lineRule="atLeast"/>
    </w:pPr>
    <w:rPr>
      <w:rFonts w:ascii="宋体" w:hAnsi="Arial" w:eastAsia="宋体"/>
      <w:kern w:val="0"/>
      <w:sz w:val="28"/>
      <w:lang w:val="en-US"/>
    </w:rPr>
  </w:style>
  <w:style w:type="paragraph" w:customStyle="1" w:styleId="467">
    <w:name w:val="xl3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qFormat/>
    <w:uiPriority w:val="99"/>
    <w:rPr>
      <w:rFonts w:ascii="仿宋_GB2312" w:eastAsia="仿宋_GB2312"/>
      <w:b/>
      <w:sz w:val="32"/>
      <w:szCs w:val="32"/>
    </w:rPr>
  </w:style>
  <w:style w:type="paragraph" w:customStyle="1" w:styleId="469">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qFormat/>
    <w:uiPriority w:val="99"/>
    <w:pPr>
      <w:spacing w:line="360" w:lineRule="auto"/>
    </w:pPr>
    <w:rPr>
      <w:kern w:val="0"/>
      <w:sz w:val="24"/>
      <w:szCs w:val="20"/>
    </w:rPr>
  </w:style>
  <w:style w:type="paragraph" w:customStyle="1" w:styleId="471">
    <w:name w:val="样式 宋体 行距: 1.5 倍行距 首行缩进:  2 字符"/>
    <w:basedOn w:val="1"/>
    <w:qFormat/>
    <w:uiPriority w:val="99"/>
    <w:pPr>
      <w:adjustRightInd/>
      <w:spacing w:line="360" w:lineRule="auto"/>
      <w:ind w:firstLine="420" w:firstLineChars="200"/>
    </w:pPr>
    <w:rPr>
      <w:rFonts w:ascii="宋体" w:hAnsi="宋体"/>
      <w:sz w:val="24"/>
      <w:szCs w:val="20"/>
    </w:rPr>
  </w:style>
  <w:style w:type="paragraph" w:customStyle="1" w:styleId="472">
    <w:name w:val="xl6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qFormat/>
    <w:uiPriority w:val="99"/>
    <w:pPr>
      <w:keepNext/>
      <w:tabs>
        <w:tab w:val="left" w:pos="360"/>
      </w:tabs>
      <w:outlineLvl w:val="5"/>
    </w:pPr>
  </w:style>
  <w:style w:type="paragraph" w:customStyle="1" w:styleId="474">
    <w:name w:val="5级标题"/>
    <w:basedOn w:val="475"/>
    <w:qFormat/>
    <w:uiPriority w:val="99"/>
    <w:pPr>
      <w:keepLines w:val="0"/>
      <w:tabs>
        <w:tab w:val="left" w:pos="360"/>
      </w:tabs>
      <w:spacing w:beforeLines="10" w:afterLines="10"/>
      <w:outlineLvl w:val="4"/>
    </w:pPr>
    <w:rPr>
      <w:rFonts w:ascii="Times New Roman" w:hAnsi="Times New Roman" w:eastAsia="仿宋"/>
      <w:b/>
      <w:kern w:val="2"/>
      <w:szCs w:val="20"/>
      <w:lang w:eastAsia="zh-CN"/>
    </w:rPr>
  </w:style>
  <w:style w:type="paragraph" w:customStyle="1" w:styleId="475">
    <w:name w:val="4级标题"/>
    <w:basedOn w:val="274"/>
    <w:qFormat/>
    <w:uiPriority w:val="99"/>
    <w:pPr>
      <w:keepLines/>
      <w:adjustRightInd/>
      <w:ind w:firstLine="0" w:firstLineChars="0"/>
      <w:jc w:val="left"/>
      <w:outlineLvl w:val="3"/>
    </w:pPr>
    <w:rPr>
      <w:rFonts w:ascii="黑体" w:hAnsi="黑体" w:eastAsia="黑体" w:cs="Times New Roman"/>
      <w:kern w:val="0"/>
      <w:sz w:val="28"/>
      <w:lang w:eastAsia="en-US"/>
    </w:rPr>
  </w:style>
  <w:style w:type="paragraph" w:customStyle="1" w:styleId="476">
    <w:name w:val="样式 正文文本缩进 + 段前: 2 字符"/>
    <w:basedOn w:val="1"/>
    <w:qFormat/>
    <w:uiPriority w:val="99"/>
    <w:pPr>
      <w:adjustRightInd/>
      <w:ind w:left="420" w:leftChars="200"/>
      <w:jc w:val="left"/>
    </w:pPr>
    <w:rPr>
      <w:sz w:val="28"/>
      <w:szCs w:val="20"/>
      <w:lang w:eastAsia="zh-TW"/>
    </w:rPr>
  </w:style>
  <w:style w:type="paragraph" w:customStyle="1" w:styleId="477">
    <w:name w:val="Char2 Char Char"/>
    <w:basedOn w:val="1"/>
    <w:qFormat/>
    <w:uiPriority w:val="99"/>
    <w:pPr>
      <w:adjustRightInd/>
    </w:pPr>
    <w:rPr>
      <w:rFonts w:ascii="Tahoma" w:hAnsi="Tahoma"/>
      <w:sz w:val="24"/>
      <w:szCs w:val="20"/>
    </w:rPr>
  </w:style>
  <w:style w:type="paragraph" w:customStyle="1" w:styleId="478">
    <w:name w:val="_Style 11"/>
    <w:basedOn w:val="1"/>
    <w:qFormat/>
    <w:uiPriority w:val="99"/>
    <w:pPr>
      <w:adjustRightInd/>
      <w:ind w:firstLine="420" w:firstLineChars="200"/>
    </w:pPr>
    <w:rPr>
      <w:rFonts w:eastAsia="仿宋_GB2312"/>
      <w:sz w:val="28"/>
    </w:rPr>
  </w:style>
  <w:style w:type="paragraph" w:customStyle="1" w:styleId="479">
    <w:name w:val="xl8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qFormat/>
    <w:uiPriority w:val="99"/>
    <w:rPr>
      <w:rFonts w:ascii="Tahoma" w:hAnsi="Tahoma"/>
      <w:sz w:val="24"/>
      <w:szCs w:val="20"/>
    </w:rPr>
  </w:style>
  <w:style w:type="paragraph" w:customStyle="1" w:styleId="481">
    <w:name w:val="数字标题6"/>
    <w:basedOn w:val="9"/>
    <w:next w:val="1"/>
    <w:qFormat/>
    <w:uiPriority w:val="99"/>
    <w:pPr>
      <w:tabs>
        <w:tab w:val="left" w:pos="1080"/>
      </w:tabs>
      <w:ind w:left="1080" w:hanging="1080"/>
    </w:pPr>
    <w:rPr>
      <w:rFonts w:ascii="Times New Roman" w:hAnsi="Times New Roman" w:eastAsia="宋体"/>
      <w:i/>
    </w:rPr>
  </w:style>
  <w:style w:type="paragraph" w:customStyle="1" w:styleId="482">
    <w:name w:val="Table Cell"/>
    <w:qFormat/>
    <w:uiPriority w:val="99"/>
    <w:pPr>
      <w:adjustRightInd w:val="0"/>
      <w:snapToGrid w:val="0"/>
      <w:spacing w:before="20" w:after="20"/>
    </w:pPr>
    <w:rPr>
      <w:rFonts w:ascii="Courier New" w:hAnsi="Courier New" w:eastAsia="宋体" w:cs="Times New Roman"/>
      <w:kern w:val="0"/>
      <w:sz w:val="24"/>
      <w:szCs w:val="20"/>
      <w:lang w:val="en-US" w:eastAsia="zh-CN" w:bidi="ar-SA"/>
    </w:rPr>
  </w:style>
  <w:style w:type="paragraph" w:styleId="483">
    <w:name w:val="No Spacing"/>
    <w:basedOn w:val="1"/>
    <w:link w:val="932"/>
    <w:qFormat/>
    <w:uiPriority w:val="99"/>
    <w:rPr>
      <w:szCs w:val="22"/>
    </w:rPr>
  </w:style>
  <w:style w:type="paragraph" w:customStyle="1" w:styleId="484">
    <w:name w:val="??"/>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szCs w:val="20"/>
      <w:lang w:val="en-US" w:eastAsia="en-US" w:bidi="ar-SA"/>
    </w:rPr>
  </w:style>
  <w:style w:type="paragraph" w:customStyle="1" w:styleId="485">
    <w:name w:val="Char Char Char Char Char Char Char Char Char Char Char Char1 Char1"/>
    <w:basedOn w:val="1"/>
    <w:qFormat/>
    <w:uiPriority w:val="99"/>
    <w:rPr>
      <w:rFonts w:ascii="Tahoma" w:hAnsi="Tahoma" w:cs="仿宋_GB2312"/>
      <w:sz w:val="24"/>
      <w:szCs w:val="20"/>
    </w:rPr>
  </w:style>
  <w:style w:type="paragraph" w:customStyle="1" w:styleId="486">
    <w:name w:val="xl6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qFormat/>
    <w:uiPriority w:val="99"/>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4"/>
    <w:qFormat/>
    <w:uiPriority w:val="99"/>
    <w:pPr>
      <w:tabs>
        <w:tab w:val="left" w:pos="1260"/>
      </w:tabs>
      <w:ind w:left="1260" w:hanging="420"/>
    </w:pPr>
    <w:rPr>
      <w:rFonts w:ascii="Arial" w:hAnsi="Arial" w:eastAsia="黑体"/>
      <w:lang w:val="en-US"/>
    </w:rPr>
  </w:style>
  <w:style w:type="paragraph" w:customStyle="1" w:styleId="490">
    <w:name w:val="五级无标题条"/>
    <w:basedOn w:val="1"/>
    <w:qFormat/>
    <w:uiPriority w:val="99"/>
    <w:pPr>
      <w:adjustRightInd/>
    </w:pPr>
  </w:style>
  <w:style w:type="paragraph" w:customStyle="1" w:styleId="491">
    <w:name w:val="Char5"/>
    <w:basedOn w:val="1"/>
    <w:qFormat/>
    <w:uiPriority w:val="99"/>
    <w:rPr>
      <w:rFonts w:ascii="仿宋_GB2312" w:eastAsia="仿宋_GB2312"/>
      <w:b/>
      <w:sz w:val="32"/>
      <w:szCs w:val="32"/>
    </w:rPr>
  </w:style>
  <w:style w:type="paragraph" w:customStyle="1" w:styleId="492">
    <w:name w:val="TOC 标题1"/>
    <w:basedOn w:val="3"/>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qFormat/>
    <w:uiPriority w:val="99"/>
    <w:pPr>
      <w:adjustRightInd/>
      <w:ind w:firstLine="420" w:firstLineChars="200"/>
    </w:pPr>
    <w:rPr>
      <w:rFonts w:ascii="Calibri" w:hAnsi="Calibri"/>
      <w:szCs w:val="22"/>
    </w:rPr>
  </w:style>
  <w:style w:type="paragraph" w:customStyle="1" w:styleId="494">
    <w:name w:val="Char Char11 Char Char Char Char Char Char Char Char Char Char Char11"/>
    <w:basedOn w:val="1"/>
    <w:qFormat/>
    <w:uiPriority w:val="99"/>
    <w:pPr>
      <w:adjustRightInd/>
      <w:spacing w:line="360" w:lineRule="auto"/>
    </w:pPr>
    <w:rPr>
      <w:rFonts w:ascii="Arial" w:hAnsi="Arial" w:eastAsia="黑体" w:cs="Arial"/>
      <w:kern w:val="0"/>
      <w:szCs w:val="21"/>
    </w:rPr>
  </w:style>
  <w:style w:type="paragraph" w:customStyle="1" w:styleId="495">
    <w:name w:val="Char2"/>
    <w:basedOn w:val="1"/>
    <w:qFormat/>
    <w:uiPriority w:val="99"/>
    <w:rPr>
      <w:rFonts w:ascii="仿宋_GB2312" w:eastAsia="仿宋_GB2312"/>
      <w:b/>
      <w:sz w:val="32"/>
      <w:szCs w:val="32"/>
    </w:rPr>
  </w:style>
  <w:style w:type="paragraph" w:customStyle="1" w:styleId="496">
    <w:name w:val="数字标题3"/>
    <w:basedOn w:val="5"/>
    <w:next w:val="1"/>
    <w:qFormat/>
    <w:uiPriority w:val="99"/>
    <w:pPr>
      <w:spacing w:line="240" w:lineRule="auto"/>
    </w:pPr>
    <w:rPr>
      <w:sz w:val="28"/>
      <w:szCs w:val="28"/>
    </w:rPr>
  </w:style>
  <w:style w:type="paragraph" w:customStyle="1" w:styleId="497">
    <w:name w:val="FA正文"/>
    <w:basedOn w:val="1"/>
    <w:qFormat/>
    <w:uiPriority w:val="99"/>
    <w:pPr>
      <w:spacing w:line="360" w:lineRule="auto"/>
      <w:ind w:firstLine="480" w:firstLineChars="200"/>
    </w:pPr>
    <w:rPr>
      <w:rFonts w:hAnsi="宋体"/>
      <w:sz w:val="24"/>
      <w:szCs w:val="20"/>
    </w:rPr>
  </w:style>
  <w:style w:type="paragraph" w:customStyle="1" w:styleId="498">
    <w:name w:val="MM Topic 5"/>
    <w:basedOn w:val="8"/>
    <w:qFormat/>
    <w:uiPriority w:val="99"/>
    <w:pPr>
      <w:tabs>
        <w:tab w:val="left" w:pos="2520"/>
      </w:tabs>
      <w:adjustRightInd/>
      <w:ind w:left="2520" w:hanging="420"/>
    </w:pPr>
  </w:style>
  <w:style w:type="paragraph" w:customStyle="1" w:styleId="499">
    <w:name w:val="Char Char Char Char Char Char Char Char Char Char1"/>
    <w:basedOn w:val="1"/>
    <w:qFormat/>
    <w:uiPriority w:val="99"/>
    <w:rPr>
      <w:rFonts w:ascii="仿宋_GB2312" w:eastAsia="仿宋_GB2312"/>
      <w:b/>
      <w:sz w:val="32"/>
      <w:szCs w:val="32"/>
    </w:rPr>
  </w:style>
  <w:style w:type="paragraph" w:customStyle="1" w:styleId="500">
    <w:name w:val="xl38"/>
    <w:basedOn w:val="1"/>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qFormat/>
    <w:uiPriority w:val="99"/>
    <w:rPr>
      <w:rFonts w:ascii="Times New Roman" w:hAnsi="Times New Roman" w:eastAsia="宋体" w:cs="Times New Roman"/>
      <w:color w:val="000000"/>
      <w:kern w:val="1"/>
      <w:sz w:val="21"/>
      <w:szCs w:val="20"/>
      <w:lang w:val="en-US" w:eastAsia="zh-CN" w:bidi="ar-SA"/>
    </w:rPr>
  </w:style>
  <w:style w:type="paragraph" w:customStyle="1" w:styleId="502">
    <w:name w:val="Char2 Char Char Char"/>
    <w:basedOn w:val="1"/>
    <w:qFormat/>
    <w:uiPriority w:val="99"/>
    <w:rPr>
      <w:rFonts w:ascii="仿宋_GB2312" w:eastAsia="仿宋_GB2312"/>
      <w:b/>
      <w:sz w:val="32"/>
      <w:szCs w:val="32"/>
    </w:rPr>
  </w:style>
  <w:style w:type="paragraph" w:customStyle="1" w:styleId="503">
    <w:name w:val="Char2 Char Char Char1"/>
    <w:basedOn w:val="1"/>
    <w:qFormat/>
    <w:uiPriority w:val="99"/>
    <w:rPr>
      <w:rFonts w:ascii="仿宋_GB2312" w:eastAsia="仿宋_GB2312"/>
      <w:b/>
      <w:sz w:val="32"/>
      <w:szCs w:val="32"/>
    </w:rPr>
  </w:style>
  <w:style w:type="paragraph" w:customStyle="1" w:styleId="504">
    <w:name w:val="默认段落样式"/>
    <w:basedOn w:val="156"/>
    <w:qFormat/>
    <w:uiPriority w:val="99"/>
    <w:pPr>
      <w:spacing w:before="0"/>
      <w:ind w:firstLine="480"/>
      <w:outlineLvl w:val="2"/>
    </w:pPr>
    <w:rPr>
      <w:rFonts w:ascii="仿宋_GB2312" w:hAnsi="宋体" w:eastAsia="仿宋_GB2312"/>
      <w:color w:val="000000"/>
      <w:szCs w:val="24"/>
    </w:rPr>
  </w:style>
  <w:style w:type="paragraph" w:customStyle="1" w:styleId="505">
    <w:name w:val="图中文字"/>
    <w:basedOn w:val="1"/>
    <w:qFormat/>
    <w:uiPriority w:val="99"/>
    <w:pPr>
      <w:snapToGrid w:val="0"/>
      <w:spacing w:line="240" w:lineRule="atLeast"/>
      <w:ind w:firstLine="200" w:firstLineChars="200"/>
      <w:jc w:val="center"/>
    </w:pPr>
    <w:rPr>
      <w:sz w:val="24"/>
      <w:szCs w:val="20"/>
    </w:rPr>
  </w:style>
  <w:style w:type="paragraph" w:customStyle="1" w:styleId="506">
    <w:name w:val="xl3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5"/>
    <w:qFormat/>
    <w:uiPriority w:val="99"/>
    <w:pPr>
      <w:tabs>
        <w:tab w:val="left" w:pos="1680"/>
      </w:tabs>
      <w:adjustRightInd/>
      <w:ind w:left="1680" w:hanging="420"/>
    </w:pPr>
  </w:style>
  <w:style w:type="paragraph" w:customStyle="1" w:styleId="508">
    <w:name w:val="标准小四"/>
    <w:basedOn w:val="1"/>
    <w:qFormat/>
    <w:uiPriority w:val="99"/>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4"/>
    <w:qFormat/>
    <w:uiPriority w:val="99"/>
    <w:pPr>
      <w:spacing w:before="120" w:after="120"/>
      <w:ind w:left="425" w:hanging="425"/>
    </w:pPr>
    <w:rPr>
      <w:rFonts w:ascii="微软雅黑" w:hAnsi="微软雅黑" w:eastAsia="微软雅黑" w:cs="宋体"/>
      <w:szCs w:val="20"/>
      <w:lang w:val="en-US"/>
    </w:rPr>
  </w:style>
  <w:style w:type="paragraph" w:customStyle="1" w:styleId="510">
    <w:name w:val="表格（小）"/>
    <w:basedOn w:val="1"/>
    <w:qFormat/>
    <w:uiPriority w:val="99"/>
    <w:pPr>
      <w:adjustRightInd/>
      <w:snapToGrid w:val="0"/>
      <w:spacing w:line="300" w:lineRule="auto"/>
    </w:pPr>
    <w:rPr>
      <w:rFonts w:eastAsia="仿宋"/>
      <w:szCs w:val="21"/>
    </w:rPr>
  </w:style>
  <w:style w:type="paragraph" w:customStyle="1" w:styleId="511">
    <w:name w:val="Char Char Char Char Char Char1 Char"/>
    <w:basedOn w:val="1"/>
    <w:qFormat/>
    <w:uiPriority w:val="99"/>
    <w:pPr>
      <w:widowControl/>
      <w:spacing w:after="160" w:line="240" w:lineRule="exact"/>
      <w:jc w:val="left"/>
    </w:pPr>
    <w:rPr>
      <w:rFonts w:ascii="Verdana" w:hAnsi="Verdana"/>
      <w:kern w:val="0"/>
      <w:szCs w:val="20"/>
      <w:lang w:eastAsia="en-US"/>
    </w:rPr>
  </w:style>
  <w:style w:type="paragraph" w:customStyle="1" w:styleId="512">
    <w:name w:val="Char2 Char Char1"/>
    <w:basedOn w:val="1"/>
    <w:qFormat/>
    <w:uiPriority w:val="99"/>
    <w:pPr>
      <w:adjustRightInd/>
    </w:pPr>
    <w:rPr>
      <w:rFonts w:ascii="Tahoma" w:hAnsi="Tahoma"/>
      <w:sz w:val="24"/>
      <w:szCs w:val="20"/>
    </w:rPr>
  </w:style>
  <w:style w:type="paragraph" w:customStyle="1" w:styleId="513">
    <w:name w:val="列出段落5"/>
    <w:basedOn w:val="1"/>
    <w:qFormat/>
    <w:uiPriority w:val="99"/>
    <w:pPr>
      <w:spacing w:line="360" w:lineRule="auto"/>
      <w:ind w:firstLine="200" w:firstLineChars="200"/>
    </w:pPr>
    <w:rPr>
      <w:rFonts w:eastAsia="楷体_GB2312" w:cs="Lucida Sans"/>
      <w:sz w:val="24"/>
    </w:rPr>
  </w:style>
  <w:style w:type="paragraph" w:customStyle="1" w:styleId="514">
    <w:name w:val="font7"/>
    <w:basedOn w:val="1"/>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6"/>
    <w:qFormat/>
    <w:uiPriority w:val="99"/>
    <w:pPr>
      <w:adjustRightInd/>
      <w:ind w:firstLine="200" w:firstLineChars="200"/>
    </w:pPr>
    <w:rPr>
      <w:rFonts w:ascii="Arial" w:hAnsi="Arial"/>
      <w:spacing w:val="-5"/>
      <w:kern w:val="0"/>
      <w:sz w:val="24"/>
      <w:szCs w:val="20"/>
    </w:rPr>
  </w:style>
  <w:style w:type="paragraph" w:customStyle="1" w:styleId="516">
    <w:name w:val="Item Step in Table"/>
    <w:qFormat/>
    <w:uiPriority w:val="99"/>
    <w:pPr>
      <w:tabs>
        <w:tab w:val="left" w:pos="397"/>
        <w:tab w:val="left" w:pos="840"/>
      </w:tabs>
      <w:spacing w:before="40" w:after="40"/>
      <w:ind w:left="840" w:hanging="420"/>
      <w:jc w:val="both"/>
    </w:pPr>
    <w:rPr>
      <w:rFonts w:ascii="Arial" w:hAnsi="Arial" w:eastAsia="宋体" w:cs="Arial"/>
      <w:kern w:val="0"/>
      <w:sz w:val="18"/>
      <w:szCs w:val="18"/>
      <w:lang w:val="en-US" w:eastAsia="zh-CN" w:bidi="ar-SA"/>
    </w:rPr>
  </w:style>
  <w:style w:type="paragraph" w:customStyle="1" w:styleId="517">
    <w:name w:val="TOC 标题111"/>
    <w:basedOn w:val="3"/>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qFormat/>
    <w:uiPriority w:val="99"/>
    <w:pPr>
      <w:adjustRightInd/>
      <w:spacing w:line="360" w:lineRule="auto"/>
      <w:ind w:firstLine="482"/>
    </w:pPr>
    <w:rPr>
      <w:rFonts w:cs="宋体"/>
      <w:sz w:val="24"/>
      <w:szCs w:val="20"/>
    </w:rPr>
  </w:style>
  <w:style w:type="paragraph" w:customStyle="1" w:styleId="520">
    <w:name w:val="Char3 Char Char"/>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521">
    <w:name w:val="_Style 3"/>
    <w:basedOn w:val="1"/>
    <w:qFormat/>
    <w:uiPriority w:val="99"/>
    <w:pPr>
      <w:adjustRightInd/>
      <w:ind w:firstLine="420" w:firstLineChars="200"/>
    </w:pPr>
    <w:rPr>
      <w:rFonts w:eastAsia="仿宋_GB2312"/>
      <w:sz w:val="28"/>
    </w:rPr>
  </w:style>
  <w:style w:type="paragraph" w:customStyle="1" w:styleId="522">
    <w:name w:val="xl39"/>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25"/>
    <w:qFormat/>
    <w:uiPriority w:val="99"/>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qFormat/>
    <w:uiPriority w:val="99"/>
    <w:pPr>
      <w:adjustRightInd/>
      <w:ind w:firstLine="200" w:firstLineChars="200"/>
      <w:jc w:val="right"/>
    </w:pPr>
  </w:style>
  <w:style w:type="paragraph" w:customStyle="1" w:styleId="525">
    <w:name w:val="Char Char11 Char Char Char Char Char Char Char Char Char"/>
    <w:basedOn w:val="1"/>
    <w:qFormat/>
    <w:uiPriority w:val="99"/>
    <w:pPr>
      <w:spacing w:line="360" w:lineRule="auto"/>
    </w:pPr>
    <w:rPr>
      <w:szCs w:val="20"/>
    </w:rPr>
  </w:style>
  <w:style w:type="paragraph" w:customStyle="1" w:styleId="526">
    <w:name w:val="正文1.25"/>
    <w:basedOn w:val="1"/>
    <w:qFormat/>
    <w:uiPriority w:val="99"/>
    <w:pPr>
      <w:adjustRightInd/>
      <w:spacing w:line="300" w:lineRule="auto"/>
      <w:ind w:firstLine="480" w:firstLineChars="200"/>
    </w:pPr>
    <w:rPr>
      <w:sz w:val="24"/>
      <w:szCs w:val="20"/>
    </w:rPr>
  </w:style>
  <w:style w:type="paragraph" w:customStyle="1" w:styleId="527">
    <w:name w:val="1正文"/>
    <w:basedOn w:val="1"/>
    <w:qFormat/>
    <w:uiPriority w:val="99"/>
    <w:pPr>
      <w:adjustRightInd/>
      <w:spacing w:line="360" w:lineRule="auto"/>
      <w:ind w:firstLine="200" w:firstLineChars="200"/>
    </w:pPr>
    <w:rPr>
      <w:rFonts w:ascii="仿宋_GB2312" w:hAnsi="Arial" w:eastAsia="仿宋"/>
      <w:sz w:val="28"/>
      <w:szCs w:val="28"/>
    </w:rPr>
  </w:style>
  <w:style w:type="paragraph" w:customStyle="1" w:styleId="528">
    <w:name w:val="Bul Text 9/14"/>
    <w:qFormat/>
    <w:uiPriority w:val="99"/>
    <w:pPr>
      <w:widowControl w:val="0"/>
      <w:tabs>
        <w:tab w:val="left" w:pos="840"/>
      </w:tabs>
      <w:spacing w:line="280" w:lineRule="atLeast"/>
      <w:ind w:left="160" w:hanging="160"/>
    </w:pPr>
    <w:rPr>
      <w:rFonts w:ascii="Times New Roman" w:hAnsi="Times New Roman" w:eastAsia="宋体" w:cs="Times New Roman"/>
      <w:color w:val="000000"/>
      <w:kern w:val="0"/>
      <w:sz w:val="18"/>
      <w:szCs w:val="20"/>
      <w:lang w:val="en-US" w:eastAsia="zh-CN" w:bidi="ar-SA"/>
    </w:rPr>
  </w:style>
  <w:style w:type="paragraph" w:customStyle="1" w:styleId="529">
    <w:name w:val="xl7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qFormat/>
    <w:uiPriority w:val="99"/>
    <w:rPr>
      <w:rFonts w:ascii="仿宋_GB2312" w:eastAsia="仿宋_GB2312"/>
      <w:b/>
      <w:sz w:val="32"/>
      <w:szCs w:val="20"/>
    </w:rPr>
  </w:style>
  <w:style w:type="paragraph" w:customStyle="1" w:styleId="531">
    <w:name w:val="列出段落2"/>
    <w:basedOn w:val="1"/>
    <w:qFormat/>
    <w:uiPriority w:val="99"/>
    <w:pPr>
      <w:adjustRightInd/>
      <w:ind w:firstLine="420" w:firstLineChars="200"/>
    </w:pPr>
    <w:rPr>
      <w:rFonts w:ascii="宋体" w:hAnsi="宋体"/>
      <w:sz w:val="24"/>
    </w:rPr>
  </w:style>
  <w:style w:type="paragraph" w:customStyle="1" w:styleId="532">
    <w:name w:val="默认段落字体 Para Char Char Char Char Char Char Char"/>
    <w:basedOn w:val="1"/>
    <w:qFormat/>
    <w:uiPriority w:val="99"/>
    <w:rPr>
      <w:rFonts w:eastAsia="仿宋_GB2312"/>
      <w:sz w:val="28"/>
      <w:szCs w:val="20"/>
    </w:rPr>
  </w:style>
  <w:style w:type="paragraph" w:customStyle="1" w:styleId="533">
    <w:name w:val="xl74"/>
    <w:basedOn w:val="1"/>
    <w:qFormat/>
    <w:uiPriority w:val="99"/>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7"/>
    <w:qFormat/>
    <w:uiPriority w:val="99"/>
    <w:pPr>
      <w:widowControl/>
      <w:jc w:val="left"/>
    </w:pPr>
    <w:rPr>
      <w:rFonts w:cs="宋体"/>
      <w:sz w:val="24"/>
      <w:szCs w:val="20"/>
    </w:rPr>
  </w:style>
  <w:style w:type="paragraph" w:customStyle="1" w:styleId="535">
    <w:name w:val="彩色列表 - 强调文字颜色 11"/>
    <w:basedOn w:val="1"/>
    <w:qFormat/>
    <w:uiPriority w:val="99"/>
    <w:pPr>
      <w:adjustRightInd/>
      <w:ind w:firstLine="420" w:firstLineChars="200"/>
    </w:pPr>
    <w:rPr>
      <w:rFonts w:ascii="Calibri" w:hAnsi="Calibri"/>
      <w:szCs w:val="22"/>
    </w:rPr>
  </w:style>
  <w:style w:type="paragraph" w:customStyle="1" w:styleId="536">
    <w:name w:val="加粗正文"/>
    <w:basedOn w:val="1"/>
    <w:qFormat/>
    <w:uiPriority w:val="99"/>
    <w:pPr>
      <w:adjustRightInd/>
      <w:spacing w:beforeLines="50" w:afterLines="50" w:line="360" w:lineRule="auto"/>
      <w:ind w:firstLine="422" w:firstLineChars="200"/>
    </w:pPr>
    <w:rPr>
      <w:b/>
      <w:bCs/>
      <w:szCs w:val="21"/>
    </w:rPr>
  </w:style>
  <w:style w:type="paragraph" w:customStyle="1" w:styleId="537">
    <w:name w:val="xl94"/>
    <w:basedOn w:val="1"/>
    <w:qFormat/>
    <w:uiPriority w:val="99"/>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qFormat/>
    <w:uiPriority w:val="99"/>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qFormat/>
    <w:uiPriority w:val="99"/>
    <w:rPr>
      <w:szCs w:val="20"/>
    </w:rPr>
  </w:style>
  <w:style w:type="paragraph" w:customStyle="1" w:styleId="540">
    <w:name w:val="xl2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4"/>
    <w:qFormat/>
    <w:uiPriority w:val="99"/>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qFormat/>
    <w:uiPriority w:val="99"/>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qFormat/>
    <w:uiPriority w:val="99"/>
    <w:pPr>
      <w:adjustRightInd/>
      <w:spacing w:line="360" w:lineRule="auto"/>
    </w:pPr>
    <w:rPr>
      <w:rFonts w:ascii="Arial" w:hAnsi="Arial" w:eastAsia="黑体" w:cs="Arial"/>
      <w:kern w:val="0"/>
      <w:szCs w:val="21"/>
    </w:rPr>
  </w:style>
  <w:style w:type="paragraph" w:customStyle="1" w:styleId="544">
    <w:name w:val="xl3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51"/>
    <w:next w:val="251"/>
    <w:qFormat/>
    <w:uiPriority w:val="99"/>
    <w:pPr>
      <w:spacing w:after="68"/>
    </w:pPr>
    <w:rPr>
      <w:rFonts w:ascii="FHLHE E+ Futura Bk" w:eastAsia="FHLHE E+ Futura Bk" w:cs="Times New Roman"/>
      <w:color w:val="auto"/>
    </w:rPr>
  </w:style>
  <w:style w:type="paragraph" w:customStyle="1" w:styleId="546">
    <w:name w:val="xl8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qFormat/>
    <w:uiPriority w:val="99"/>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qFormat/>
    <w:uiPriority w:val="99"/>
    <w:pPr>
      <w:tabs>
        <w:tab w:val="left" w:pos="0"/>
      </w:tabs>
      <w:adjustRightInd/>
      <w:ind w:firstLine="200" w:firstLineChars="200"/>
    </w:pPr>
    <w:rPr>
      <w:rFonts w:ascii="宋体" w:hAnsi="宋体" w:eastAsia="仿宋_GB2312"/>
      <w:sz w:val="28"/>
    </w:rPr>
  </w:style>
  <w:style w:type="paragraph" w:customStyle="1" w:styleId="549">
    <w:name w:val="正文文字 2"/>
    <w:basedOn w:val="251"/>
    <w:next w:val="251"/>
    <w:qFormat/>
    <w:uiPriority w:val="99"/>
    <w:rPr>
      <w:rFonts w:ascii="宋体" w:eastAsia="宋体" w:cs="Times New Roman"/>
      <w:color w:val="auto"/>
    </w:rPr>
  </w:style>
  <w:style w:type="paragraph" w:customStyle="1" w:styleId="550">
    <w:name w:val="正文首行缩进两字"/>
    <w:qFormat/>
    <w:uiPriority w:val="99"/>
    <w:pPr>
      <w:spacing w:afterLines="50" w:line="300" w:lineRule="auto"/>
      <w:ind w:right="210" w:rightChars="100" w:firstLine="523" w:firstLineChars="218"/>
    </w:pPr>
    <w:rPr>
      <w:rFonts w:ascii="Times New Roman" w:hAnsi="Times New Roman" w:eastAsia="宋体" w:cs="Times New Roman"/>
      <w:kern w:val="0"/>
      <w:sz w:val="24"/>
      <w:szCs w:val="24"/>
      <w:lang w:val="en-US" w:eastAsia="zh-CN" w:bidi="ar-SA"/>
    </w:rPr>
  </w:style>
  <w:style w:type="paragraph" w:customStyle="1" w:styleId="551">
    <w:name w:val="Char Char1 Char"/>
    <w:basedOn w:val="1"/>
    <w:qFormat/>
    <w:uiPriority w:val="99"/>
    <w:rPr>
      <w:rFonts w:ascii="仿宋_GB2312" w:eastAsia="仿宋_GB2312"/>
      <w:b/>
      <w:sz w:val="32"/>
      <w:szCs w:val="32"/>
    </w:rPr>
  </w:style>
  <w:style w:type="paragraph" w:customStyle="1" w:styleId="552">
    <w:name w:val="xl7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554">
    <w:name w:val="Char Char111"/>
    <w:basedOn w:val="1"/>
    <w:qFormat/>
    <w:uiPriority w:val="99"/>
    <w:pPr>
      <w:spacing w:line="360" w:lineRule="auto"/>
    </w:pPr>
    <w:rPr>
      <w:szCs w:val="20"/>
    </w:rPr>
  </w:style>
  <w:style w:type="paragraph" w:customStyle="1" w:styleId="555">
    <w:name w:val="Char"/>
    <w:basedOn w:val="1"/>
    <w:qFormat/>
    <w:uiPriority w:val="99"/>
    <w:rPr>
      <w:rFonts w:ascii="仿宋_GB2312" w:eastAsia="仿宋_GB2312"/>
      <w:b/>
      <w:sz w:val="32"/>
      <w:szCs w:val="32"/>
    </w:rPr>
  </w:style>
  <w:style w:type="paragraph" w:customStyle="1" w:styleId="556">
    <w:name w:val="RFI Heading 2nd Level"/>
    <w:basedOn w:val="1"/>
    <w:qFormat/>
    <w:uiPriority w:val="99"/>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558">
    <w:name w:val="Char Char Char1 Char"/>
    <w:basedOn w:val="1"/>
    <w:qFormat/>
    <w:uiPriority w:val="99"/>
    <w:rPr>
      <w:szCs w:val="20"/>
    </w:rPr>
  </w:style>
  <w:style w:type="paragraph" w:customStyle="1" w:styleId="559">
    <w:name w:val="正文标准"/>
    <w:basedOn w:val="1"/>
    <w:qFormat/>
    <w:uiPriority w:val="99"/>
    <w:pPr>
      <w:adjustRightInd/>
      <w:spacing w:line="360" w:lineRule="auto"/>
      <w:ind w:firstLine="200" w:firstLineChars="200"/>
    </w:pPr>
    <w:rPr>
      <w:rFonts w:ascii="宋体" w:hAnsi="Calibri"/>
      <w:sz w:val="24"/>
    </w:rPr>
  </w:style>
  <w:style w:type="paragraph" w:customStyle="1" w:styleId="560">
    <w:name w:val="正文格式"/>
    <w:basedOn w:val="1"/>
    <w:qFormat/>
    <w:uiPriority w:val="99"/>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562">
    <w:name w:val="Th"/>
    <w:qFormat/>
    <w:uiPriority w:val="99"/>
    <w:pPr>
      <w:keepNext/>
      <w:keepLines/>
      <w:spacing w:before="20" w:after="60" w:line="220" w:lineRule="exact"/>
      <w:ind w:left="240"/>
    </w:pPr>
    <w:rPr>
      <w:rFonts w:ascii="Times New Roman" w:hAnsi="Times New Roman" w:eastAsia="宋体" w:cs="Times New Roman"/>
      <w:b/>
      <w:kern w:val="0"/>
      <w:sz w:val="19"/>
      <w:szCs w:val="20"/>
      <w:lang w:val="en-US" w:eastAsia="en-US" w:bidi="ar-SA"/>
    </w:rPr>
  </w:style>
  <w:style w:type="paragraph" w:customStyle="1" w:styleId="563">
    <w:name w:val="规范正文"/>
    <w:basedOn w:val="1"/>
    <w:qFormat/>
    <w:uiPriority w:val="99"/>
    <w:pPr>
      <w:tabs>
        <w:tab w:val="left" w:pos="840"/>
      </w:tabs>
      <w:spacing w:beforeLines="50" w:line="360" w:lineRule="auto"/>
      <w:ind w:left="840" w:hanging="420"/>
      <w:textAlignment w:val="baseline"/>
    </w:pPr>
    <w:rPr>
      <w:szCs w:val="20"/>
    </w:rPr>
  </w:style>
  <w:style w:type="paragraph" w:customStyle="1" w:styleId="564">
    <w:name w:val="font12"/>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67">
    <w:name w:val="xl42"/>
    <w:basedOn w:val="1"/>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qFormat/>
    <w:uiPriority w:val="99"/>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qFormat/>
    <w:uiPriority w:val="99"/>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6"/>
    <w:qFormat/>
    <w:uiPriority w:val="99"/>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572">
    <w:name w:val="Char Char Char Char Char Char Char Char Char Char"/>
    <w:basedOn w:val="1"/>
    <w:qFormat/>
    <w:uiPriority w:val="99"/>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qFormat/>
    <w:uiPriority w:val="99"/>
    <w:pPr>
      <w:spacing w:line="360" w:lineRule="auto"/>
    </w:pPr>
    <w:rPr>
      <w:kern w:val="0"/>
      <w:sz w:val="24"/>
      <w:szCs w:val="20"/>
    </w:rPr>
  </w:style>
  <w:style w:type="paragraph" w:customStyle="1" w:styleId="574">
    <w:name w:val="_正文段落"/>
    <w:basedOn w:val="1"/>
    <w:qFormat/>
    <w:uiPriority w:val="99"/>
    <w:pPr>
      <w:adjustRightInd/>
      <w:ind w:firstLine="560"/>
    </w:pPr>
    <w:rPr>
      <w:rFonts w:ascii="仿宋_GB2312" w:hAnsi="仿宋" w:eastAsia="仿宋_GB2312"/>
      <w:kern w:val="0"/>
      <w:sz w:val="28"/>
      <w:szCs w:val="28"/>
    </w:rPr>
  </w:style>
  <w:style w:type="paragraph" w:customStyle="1" w:styleId="575">
    <w:name w:val="列出段落4"/>
    <w:basedOn w:val="1"/>
    <w:qFormat/>
    <w:uiPriority w:val="99"/>
    <w:pPr>
      <w:adjustRightInd/>
      <w:spacing w:line="360" w:lineRule="auto"/>
      <w:ind w:firstLine="420" w:firstLineChars="200"/>
    </w:pPr>
    <w:rPr>
      <w:rFonts w:ascii="Calibri" w:hAnsi="Calibri"/>
      <w:sz w:val="24"/>
      <w:szCs w:val="22"/>
    </w:rPr>
  </w:style>
  <w:style w:type="paragraph" w:customStyle="1" w:styleId="576">
    <w:name w:val="前言、引言标题"/>
    <w:next w:val="1"/>
    <w:qFormat/>
    <w:uiPriority w:val="99"/>
    <w:pPr>
      <w:shd w:val="clear" w:color="FFFFFF" w:fill="FFFFFF"/>
      <w:tabs>
        <w:tab w:val="left" w:pos="840"/>
      </w:tabs>
      <w:spacing w:before="640" w:after="560"/>
      <w:ind w:left="840" w:hanging="420"/>
      <w:jc w:val="center"/>
      <w:outlineLvl w:val="0"/>
    </w:pPr>
    <w:rPr>
      <w:rFonts w:ascii="黑体" w:hAnsi="Times New Roman" w:eastAsia="黑体" w:cs="Times New Roman"/>
      <w:kern w:val="0"/>
      <w:sz w:val="32"/>
      <w:szCs w:val="20"/>
      <w:lang w:val="en-US" w:eastAsia="zh-CN" w:bidi="ar-SA"/>
    </w:rPr>
  </w:style>
  <w:style w:type="paragraph" w:customStyle="1" w:styleId="577">
    <w:name w:val="正文（首行缩进）"/>
    <w:basedOn w:val="26"/>
    <w:qFormat/>
    <w:uiPriority w:val="99"/>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qFormat/>
    <w:uiPriority w:val="99"/>
    <w:pPr>
      <w:adjustRightInd/>
      <w:spacing w:line="360" w:lineRule="auto"/>
    </w:pPr>
    <w:rPr>
      <w:rFonts w:ascii="Arial" w:hAnsi="Arial" w:eastAsia="黑体" w:cs="Arial"/>
      <w:kern w:val="0"/>
      <w:szCs w:val="21"/>
    </w:rPr>
  </w:style>
  <w:style w:type="paragraph" w:customStyle="1" w:styleId="579">
    <w:name w:val="font9"/>
    <w:basedOn w:val="1"/>
    <w:qFormat/>
    <w:uiPriority w:val="99"/>
    <w:pPr>
      <w:widowControl/>
      <w:adjustRightInd/>
      <w:spacing w:before="100" w:beforeAutospacing="1" w:after="100" w:afterAutospacing="1"/>
      <w:jc w:val="left"/>
    </w:pPr>
    <w:rPr>
      <w:rFonts w:ascii="宋体" w:hAnsi="宋体"/>
      <w:kern w:val="0"/>
      <w:sz w:val="20"/>
      <w:szCs w:val="20"/>
    </w:rPr>
  </w:style>
  <w:style w:type="paragraph" w:customStyle="1" w:styleId="580">
    <w:name w:val="方案正文无缩进"/>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qFormat/>
    <w:uiPriority w:val="99"/>
    <w:rPr>
      <w:szCs w:val="20"/>
    </w:rPr>
  </w:style>
  <w:style w:type="paragraph" w:customStyle="1" w:styleId="582">
    <w:name w:val="Char Char11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583">
    <w:name w:val="默认段落字体 Para Char"/>
    <w:basedOn w:val="1"/>
    <w:qFormat/>
    <w:uiPriority w:val="99"/>
    <w:rPr>
      <w:rFonts w:ascii="Tahoma" w:hAnsi="Tahoma"/>
      <w:sz w:val="24"/>
      <w:szCs w:val="20"/>
    </w:rPr>
  </w:style>
  <w:style w:type="paragraph" w:customStyle="1" w:styleId="584">
    <w:name w:val="标题五"/>
    <w:basedOn w:val="1"/>
    <w:qFormat/>
    <w:uiPriority w:val="99"/>
    <w:pPr>
      <w:adjustRightInd/>
      <w:spacing w:beforeLines="50" w:line="360" w:lineRule="auto"/>
    </w:pPr>
    <w:rPr>
      <w:b/>
      <w:sz w:val="24"/>
    </w:rPr>
  </w:style>
  <w:style w:type="paragraph" w:customStyle="1" w:styleId="585">
    <w:name w:val="Char Char1101"/>
    <w:basedOn w:val="1"/>
    <w:qFormat/>
    <w:uiPriority w:val="99"/>
    <w:pPr>
      <w:spacing w:line="360" w:lineRule="auto"/>
    </w:pPr>
    <w:rPr>
      <w:rFonts w:ascii="Tahoma" w:hAnsi="Tahoma"/>
      <w:sz w:val="24"/>
      <w:szCs w:val="20"/>
    </w:rPr>
  </w:style>
  <w:style w:type="paragraph" w:customStyle="1" w:styleId="586">
    <w:name w:val="Char Char Char Char Char Char Char Char1"/>
    <w:basedOn w:val="1"/>
    <w:qFormat/>
    <w:uiPriority w:val="99"/>
    <w:pPr>
      <w:tabs>
        <w:tab w:val="left" w:pos="360"/>
      </w:tabs>
    </w:pPr>
    <w:rPr>
      <w:sz w:val="24"/>
      <w:szCs w:val="20"/>
    </w:rPr>
  </w:style>
  <w:style w:type="paragraph" w:customStyle="1" w:styleId="587">
    <w:name w:val="Char Char Char 字元 字元"/>
    <w:basedOn w:val="1"/>
    <w:qFormat/>
    <w:uiPriority w:val="99"/>
    <w:pPr>
      <w:adjustRightInd/>
      <w:spacing w:line="360" w:lineRule="auto"/>
      <w:ind w:firstLine="200" w:firstLineChars="200"/>
    </w:pPr>
    <w:rPr>
      <w:szCs w:val="20"/>
    </w:rPr>
  </w:style>
  <w:style w:type="paragraph" w:customStyle="1" w:styleId="588">
    <w:name w:val="xl70"/>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qFormat/>
    <w:uiPriority w:val="99"/>
    <w:rPr>
      <w:rFonts w:ascii="仿宋_GB2312" w:eastAsia="仿宋_GB2312"/>
      <w:b/>
      <w:sz w:val="32"/>
      <w:szCs w:val="32"/>
    </w:rPr>
  </w:style>
  <w:style w:type="paragraph" w:customStyle="1" w:styleId="590">
    <w:name w:val="文章附标题"/>
    <w:basedOn w:val="1"/>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4"/>
    <w:next w:val="1"/>
    <w:qFormat/>
    <w:uiPriority w:val="99"/>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5"/>
    <w:qFormat/>
    <w:uiPriority w:val="99"/>
    <w:pPr>
      <w:spacing w:line="460" w:lineRule="exact"/>
      <w:outlineLvl w:val="2"/>
    </w:pPr>
    <w:rPr>
      <w:rFonts w:ascii="仿宋_GB2312" w:hAnsi="宋体" w:eastAsia="仿宋_GB2312"/>
      <w:b/>
      <w:bCs/>
      <w:sz w:val="24"/>
      <w:szCs w:val="24"/>
    </w:rPr>
  </w:style>
  <w:style w:type="paragraph" w:customStyle="1" w:styleId="594">
    <w:name w:val="批注框文本 Char Char"/>
    <w:basedOn w:val="1"/>
    <w:qFormat/>
    <w:uiPriority w:val="99"/>
    <w:pPr>
      <w:adjustRightInd/>
    </w:pPr>
    <w:rPr>
      <w:sz w:val="18"/>
      <w:szCs w:val="20"/>
    </w:rPr>
  </w:style>
  <w:style w:type="paragraph" w:customStyle="1" w:styleId="595">
    <w:name w:val="封面华为技术"/>
    <w:basedOn w:val="1"/>
    <w:qFormat/>
    <w:uiPriority w:val="99"/>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qFormat/>
    <w:uiPriority w:val="99"/>
    <w:pPr>
      <w:adjustRightInd/>
      <w:spacing w:line="360" w:lineRule="auto"/>
    </w:pPr>
    <w:rPr>
      <w:rFonts w:ascii="Arial" w:hAnsi="Arial" w:eastAsia="黑体"/>
      <w:kern w:val="0"/>
      <w:sz w:val="20"/>
      <w:szCs w:val="21"/>
    </w:rPr>
  </w:style>
  <w:style w:type="paragraph" w:customStyle="1" w:styleId="598">
    <w:name w:val="gjt_2"/>
    <w:next w:val="1"/>
    <w:qFormat/>
    <w:uiPriority w:val="99"/>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qFormat/>
    <w:uiPriority w:val="99"/>
    <w:pPr>
      <w:adjustRightInd/>
      <w:spacing w:line="360" w:lineRule="auto"/>
    </w:pPr>
    <w:rPr>
      <w:rFonts w:ascii="仿宋_GB2312" w:eastAsia="仿宋_GB2312"/>
      <w:sz w:val="24"/>
      <w:szCs w:val="20"/>
    </w:rPr>
  </w:style>
  <w:style w:type="paragraph" w:customStyle="1" w:styleId="600">
    <w:name w:val="xl6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qFormat/>
    <w:uiPriority w:val="99"/>
    <w:pPr>
      <w:autoSpaceDE w:val="0"/>
      <w:autoSpaceDN w:val="0"/>
      <w:snapToGrid w:val="0"/>
      <w:spacing w:before="120" w:after="120" w:line="360" w:lineRule="auto"/>
    </w:pPr>
    <w:rPr>
      <w:rFonts w:ascii="宋体"/>
      <w:sz w:val="24"/>
      <w:szCs w:val="20"/>
    </w:rPr>
  </w:style>
  <w:style w:type="paragraph" w:customStyle="1" w:styleId="602">
    <w:name w:val="正文文字缩进项目"/>
    <w:basedOn w:val="26"/>
    <w:qFormat/>
    <w:uiPriority w:val="99"/>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qFormat/>
    <w:uiPriority w:val="99"/>
    <w:pPr>
      <w:spacing w:line="480" w:lineRule="atLeast"/>
      <w:ind w:firstLine="567"/>
      <w:textAlignment w:val="baseline"/>
    </w:pPr>
    <w:rPr>
      <w:kern w:val="0"/>
      <w:sz w:val="24"/>
      <w:szCs w:val="20"/>
    </w:rPr>
  </w:style>
  <w:style w:type="paragraph" w:customStyle="1" w:styleId="604">
    <w:name w:val="正文文字表格居中"/>
    <w:basedOn w:val="1"/>
    <w:next w:val="58"/>
    <w:qFormat/>
    <w:uiPriority w:val="99"/>
    <w:pPr>
      <w:snapToGrid w:val="0"/>
      <w:spacing w:line="360" w:lineRule="auto"/>
    </w:pPr>
    <w:rPr>
      <w:rFonts w:ascii="宋体"/>
      <w:b/>
      <w:sz w:val="24"/>
      <w:szCs w:val="20"/>
    </w:rPr>
  </w:style>
  <w:style w:type="paragraph" w:customStyle="1" w:styleId="605">
    <w:name w:val="规划正文"/>
    <w:basedOn w:val="1"/>
    <w:qFormat/>
    <w:uiPriority w:val="99"/>
    <w:pPr>
      <w:adjustRightInd/>
      <w:spacing w:beforeLines="100" w:line="360" w:lineRule="auto"/>
      <w:jc w:val="left"/>
    </w:pPr>
    <w:rPr>
      <w:rFonts w:ascii="Arial" w:hAnsi="Arial" w:eastAsia="仿宋_GB2312"/>
      <w:bCs/>
      <w:sz w:val="28"/>
    </w:rPr>
  </w:style>
  <w:style w:type="paragraph" w:customStyle="1" w:styleId="606">
    <w:name w:val="小节"/>
    <w:basedOn w:val="5"/>
    <w:qFormat/>
    <w:uiPriority w:val="99"/>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qFormat/>
    <w:uiPriority w:val="99"/>
    <w:pPr>
      <w:adjustRightInd/>
    </w:pPr>
    <w:rPr>
      <w:rFonts w:ascii="宋体" w:hAnsi="Courier New"/>
    </w:rPr>
  </w:style>
  <w:style w:type="paragraph" w:customStyle="1" w:styleId="608">
    <w:name w:val="Char3"/>
    <w:basedOn w:val="1"/>
    <w:qFormat/>
    <w:uiPriority w:val="99"/>
    <w:pPr>
      <w:adjustRightInd/>
    </w:pPr>
    <w:rPr>
      <w:rFonts w:ascii="仿宋_GB2312" w:eastAsia="仿宋_GB2312"/>
      <w:b/>
      <w:sz w:val="32"/>
      <w:szCs w:val="32"/>
    </w:rPr>
  </w:style>
  <w:style w:type="paragraph" w:customStyle="1" w:styleId="609">
    <w:name w:val="xl2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ÁÐÐËõ½ø"/>
    <w:basedOn w:val="1"/>
    <w:qFormat/>
    <w:uiPriority w:val="99"/>
    <w:pPr>
      <w:widowControl/>
      <w:overflowPunct w:val="0"/>
      <w:autoSpaceDE w:val="0"/>
      <w:autoSpaceDN w:val="0"/>
      <w:spacing w:line="360" w:lineRule="auto"/>
      <w:ind w:left="1134"/>
      <w:textAlignment w:val="baseline"/>
    </w:pPr>
    <w:rPr>
      <w:kern w:val="0"/>
      <w:szCs w:val="20"/>
    </w:rPr>
  </w:style>
  <w:style w:type="paragraph" w:customStyle="1" w:styleId="611">
    <w:name w:val="标题2"/>
    <w:basedOn w:val="4"/>
    <w:next w:val="1"/>
    <w:qFormat/>
    <w:uiPriority w:val="99"/>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qFormat/>
    <w:uiPriority w:val="99"/>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5"/>
    <w:qFormat/>
    <w:uiPriority w:val="99"/>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qFormat/>
    <w:uiPriority w:val="99"/>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qFormat/>
    <w:uiPriority w:val="99"/>
    <w:pPr>
      <w:widowControl/>
      <w:adjustRightInd/>
      <w:spacing w:after="160" w:line="240" w:lineRule="exact"/>
      <w:jc w:val="left"/>
    </w:pPr>
    <w:rPr>
      <w:szCs w:val="20"/>
    </w:rPr>
  </w:style>
  <w:style w:type="paragraph" w:customStyle="1" w:styleId="617">
    <w:name w:val="表格标题2"/>
    <w:basedOn w:val="618"/>
    <w:qFormat/>
    <w:uiPriority w:val="99"/>
    <w:rPr>
      <w:b/>
    </w:rPr>
  </w:style>
  <w:style w:type="paragraph" w:customStyle="1" w:styleId="618">
    <w:name w:val="表格内文"/>
    <w:basedOn w:val="1"/>
    <w:qFormat/>
    <w:uiPriority w:val="99"/>
    <w:pPr>
      <w:adjustRightInd/>
      <w:spacing w:line="360" w:lineRule="auto"/>
    </w:pPr>
    <w:rPr>
      <w:rFonts w:ascii="宋体" w:hAnsi="宋体" w:cs="宋体"/>
      <w:color w:val="000000"/>
      <w:szCs w:val="20"/>
    </w:rPr>
  </w:style>
  <w:style w:type="paragraph" w:customStyle="1" w:styleId="619">
    <w:name w:val="Char Char Char Char Char Char Char Char Char Char2"/>
    <w:basedOn w:val="1"/>
    <w:qFormat/>
    <w:uiPriority w:val="99"/>
    <w:rPr>
      <w:rFonts w:ascii="仿宋_GB2312" w:eastAsia="仿宋_GB2312"/>
      <w:b/>
      <w:sz w:val="32"/>
      <w:szCs w:val="32"/>
    </w:rPr>
  </w:style>
  <w:style w:type="paragraph" w:customStyle="1" w:styleId="620">
    <w:name w:val="正文，首行缩进:  2 字符"/>
    <w:qFormat/>
    <w:uiPriority w:val="99"/>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622">
    <w:name w:val="Char Char11 Char Char Char Char Char Char Char Char Char11"/>
    <w:basedOn w:val="1"/>
    <w:qFormat/>
    <w:uiPriority w:val="99"/>
    <w:pPr>
      <w:spacing w:line="360" w:lineRule="auto"/>
    </w:pPr>
    <w:rPr>
      <w:szCs w:val="20"/>
    </w:rPr>
  </w:style>
  <w:style w:type="paragraph" w:customStyle="1" w:styleId="623">
    <w:name w:val="正文 大标"/>
    <w:basedOn w:val="1"/>
    <w:qFormat/>
    <w:uiPriority w:val="99"/>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qFormat/>
    <w:uiPriority w:val="99"/>
    <w:pPr>
      <w:adjustRightInd/>
      <w:spacing w:before="60" w:after="60" w:line="360" w:lineRule="auto"/>
      <w:ind w:firstLine="200" w:firstLineChars="200"/>
    </w:pPr>
    <w:rPr>
      <w:sz w:val="28"/>
      <w:szCs w:val="20"/>
    </w:rPr>
  </w:style>
  <w:style w:type="paragraph" w:customStyle="1" w:styleId="625">
    <w:name w:val="MM Topic 1"/>
    <w:basedOn w:val="3"/>
    <w:qFormat/>
    <w:uiPriority w:val="99"/>
    <w:pPr>
      <w:tabs>
        <w:tab w:val="left" w:pos="840"/>
      </w:tabs>
      <w:adjustRightInd/>
      <w:ind w:left="840" w:hanging="420"/>
    </w:pPr>
  </w:style>
  <w:style w:type="paragraph" w:customStyle="1" w:styleId="626">
    <w:name w:val="样式 标题 2标题2H2Heading 2 HiddenHeading 2 CCBSheading 22nd lev..."/>
    <w:basedOn w:val="4"/>
    <w:qFormat/>
    <w:uiPriority w:val="99"/>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qFormat/>
    <w:uiPriority w:val="99"/>
    <w:pPr>
      <w:spacing w:line="360" w:lineRule="auto"/>
      <w:ind w:firstLine="200" w:firstLineChars="200"/>
    </w:pPr>
    <w:rPr>
      <w:kern w:val="0"/>
      <w:sz w:val="24"/>
      <w:szCs w:val="20"/>
    </w:rPr>
  </w:style>
  <w:style w:type="paragraph" w:customStyle="1" w:styleId="628">
    <w:name w:val="表格"/>
    <w:basedOn w:val="1"/>
    <w:qFormat/>
    <w:uiPriority w:val="99"/>
    <w:pPr>
      <w:snapToGrid w:val="0"/>
      <w:ind w:firstLine="42" w:firstLineChars="21"/>
    </w:pPr>
    <w:rPr>
      <w:rFonts w:ascii="宋体" w:hAnsi="宋体"/>
      <w:kern w:val="0"/>
      <w:sz w:val="20"/>
      <w:szCs w:val="20"/>
    </w:rPr>
  </w:style>
  <w:style w:type="paragraph" w:customStyle="1" w:styleId="629">
    <w:name w:val="标书标题4"/>
    <w:basedOn w:val="7"/>
    <w:qFormat/>
    <w:uiPriority w:val="99"/>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qFormat/>
    <w:uiPriority w:val="99"/>
    <w:pPr>
      <w:tabs>
        <w:tab w:val="left" w:pos="3780"/>
      </w:tabs>
      <w:spacing w:afterLines="100"/>
      <w:ind w:left="1089" w:hanging="369"/>
      <w:jc w:val="center"/>
    </w:pPr>
    <w:rPr>
      <w:rFonts w:ascii="Arial" w:hAnsi="Arial" w:eastAsia="宋体" w:cs="Times New Roman"/>
      <w:kern w:val="0"/>
      <w:sz w:val="18"/>
      <w:szCs w:val="18"/>
      <w:lang w:val="en-US" w:eastAsia="zh-CN" w:bidi="ar-SA"/>
    </w:rPr>
  </w:style>
  <w:style w:type="paragraph" w:customStyle="1" w:styleId="631">
    <w:name w:val="xl9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31"/>
    <w:qFormat/>
    <w:uiPriority w:val="99"/>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qFormat/>
    <w:uiPriority w:val="99"/>
    <w:pPr>
      <w:adjustRightInd/>
      <w:spacing w:line="300" w:lineRule="auto"/>
      <w:jc w:val="center"/>
    </w:pPr>
  </w:style>
  <w:style w:type="paragraph" w:customStyle="1" w:styleId="634">
    <w:name w:val="_Style 6"/>
    <w:basedOn w:val="1"/>
    <w:qFormat/>
    <w:uiPriority w:val="99"/>
    <w:pPr>
      <w:adjustRightInd/>
      <w:ind w:firstLine="420" w:firstLineChars="200"/>
    </w:pPr>
    <w:rPr>
      <w:rFonts w:eastAsia="仿宋_GB2312"/>
      <w:sz w:val="28"/>
    </w:rPr>
  </w:style>
  <w:style w:type="paragraph" w:customStyle="1" w:styleId="635">
    <w:name w:val="zTableCellBody"/>
    <w:basedOn w:val="1"/>
    <w:qFormat/>
    <w:uiPriority w:val="99"/>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qFormat/>
    <w:uiPriority w:val="99"/>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4"/>
    <w:qFormat/>
    <w:uiPriority w:val="99"/>
    <w:pPr>
      <w:spacing w:before="260" w:after="260" w:line="415" w:lineRule="auto"/>
      <w:ind w:left="420" w:hanging="420"/>
    </w:pPr>
    <w:rPr>
      <w:rFonts w:ascii="Arial" w:hAnsi="Arial" w:eastAsia="微软雅黑"/>
      <w:lang w:val="en-US"/>
    </w:rPr>
  </w:style>
  <w:style w:type="paragraph" w:customStyle="1" w:styleId="638">
    <w:name w:val="正文文本 22"/>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qFormat/>
    <w:uiPriority w:val="99"/>
    <w:pPr>
      <w:tabs>
        <w:tab w:val="left" w:pos="840"/>
      </w:tabs>
      <w:ind w:left="840" w:hanging="420"/>
      <w:jc w:val="center"/>
    </w:pPr>
    <w:rPr>
      <w:rFonts w:ascii="黑体" w:hAnsi="Times New Roman" w:eastAsia="黑体" w:cs="Times New Roman"/>
      <w:kern w:val="0"/>
      <w:sz w:val="21"/>
      <w:szCs w:val="20"/>
      <w:lang w:val="en-US" w:eastAsia="zh-CN" w:bidi="ar-SA"/>
    </w:rPr>
  </w:style>
  <w:style w:type="paragraph" w:customStyle="1" w:styleId="640">
    <w:name w:val="段"/>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641">
    <w:name w:val="Char Char Char Char Char Char"/>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642">
    <w:name w:val="trademark"/>
    <w:qFormat/>
    <w:uiPriority w:val="99"/>
    <w:pPr>
      <w:spacing w:after="60"/>
    </w:pPr>
    <w:rPr>
      <w:rFonts w:ascii="Futura Bk" w:hAnsi="Futura Bk" w:eastAsia="宋体" w:cs="Times New Roman"/>
      <w:kern w:val="0"/>
      <w:sz w:val="15"/>
      <w:szCs w:val="20"/>
      <w:lang w:val="en-US" w:eastAsia="en-US" w:bidi="ar-SA"/>
    </w:rPr>
  </w:style>
  <w:style w:type="paragraph" w:customStyle="1" w:styleId="643">
    <w:name w:val="Bullet with text 4"/>
    <w:basedOn w:val="1"/>
    <w:qFormat/>
    <w:uiPriority w:val="99"/>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qFormat/>
    <w:uiPriority w:val="99"/>
    <w:rPr>
      <w:rFonts w:ascii="仿宋_GB2312" w:eastAsia="仿宋_GB2312"/>
      <w:b/>
      <w:sz w:val="32"/>
      <w:szCs w:val="20"/>
    </w:rPr>
  </w:style>
  <w:style w:type="paragraph" w:customStyle="1" w:styleId="645">
    <w:name w:val="大汉方案正文"/>
    <w:basedOn w:val="1"/>
    <w:qFormat/>
    <w:uiPriority w:val="99"/>
    <w:pPr>
      <w:adjustRightInd/>
      <w:spacing w:line="360" w:lineRule="auto"/>
      <w:ind w:firstLine="200" w:firstLineChars="200"/>
    </w:pPr>
    <w:rPr>
      <w:rFonts w:ascii="Arial" w:hAnsi="Arial"/>
      <w:sz w:val="24"/>
      <w:szCs w:val="20"/>
    </w:rPr>
  </w:style>
  <w:style w:type="paragraph" w:customStyle="1" w:styleId="646">
    <w:name w:val="Char1 Char Char Char1"/>
    <w:basedOn w:val="1"/>
    <w:qFormat/>
    <w:uiPriority w:val="99"/>
    <w:pPr>
      <w:adjustRightInd/>
      <w:ind w:firstLine="200" w:firstLineChars="200"/>
    </w:pPr>
    <w:rPr>
      <w:rFonts w:ascii="Tahoma" w:hAnsi="Tahoma"/>
      <w:sz w:val="24"/>
      <w:szCs w:val="20"/>
    </w:rPr>
  </w:style>
  <w:style w:type="paragraph" w:customStyle="1" w:styleId="647">
    <w:name w:val="a1"/>
    <w:basedOn w:val="1"/>
    <w:qFormat/>
    <w:uiPriority w:val="99"/>
    <w:pPr>
      <w:widowControl/>
      <w:spacing w:line="300" w:lineRule="atLeast"/>
      <w:jc w:val="left"/>
    </w:pPr>
    <w:rPr>
      <w:rFonts w:ascii="宋体" w:hAnsi="宋体"/>
      <w:kern w:val="0"/>
      <w:sz w:val="18"/>
      <w:szCs w:val="20"/>
    </w:rPr>
  </w:style>
  <w:style w:type="paragraph" w:customStyle="1" w:styleId="648">
    <w:name w:val="样式7"/>
    <w:basedOn w:val="649"/>
    <w:next w:val="1"/>
    <w:qFormat/>
    <w:uiPriority w:val="99"/>
    <w:pPr>
      <w:spacing w:afterLines="50"/>
      <w:jc w:val="left"/>
      <w:outlineLvl w:val="3"/>
    </w:pPr>
    <w:rPr>
      <w:sz w:val="24"/>
      <w:szCs w:val="24"/>
    </w:rPr>
  </w:style>
  <w:style w:type="paragraph" w:customStyle="1" w:styleId="649">
    <w:name w:val="样式4"/>
    <w:basedOn w:val="1"/>
    <w:qFormat/>
    <w:uiPriority w:val="99"/>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651">
    <w:name w:val="main"/>
    <w:basedOn w:val="1"/>
    <w:qFormat/>
    <w:uiPriority w:val="99"/>
    <w:pPr>
      <w:widowControl/>
      <w:adjustRightInd/>
      <w:spacing w:before="100" w:beforeAutospacing="1" w:after="100" w:afterAutospacing="1" w:line="320" w:lineRule="atLeast"/>
      <w:ind w:firstLine="200" w:firstLineChars="200"/>
      <w:jc w:val="left"/>
    </w:pPr>
    <w:rPr>
      <w:rFonts w:ascii="微软雅黑" w:eastAsia="微软雅黑" w:cs="Arial Unicode MS"/>
      <w:kern w:val="0"/>
      <w:sz w:val="23"/>
      <w:szCs w:val="23"/>
    </w:rPr>
  </w:style>
  <w:style w:type="paragraph" w:customStyle="1" w:styleId="652">
    <w:name w:val="样式 样式2 + 左侧:  1 字符 右侧:  1 字符"/>
    <w:basedOn w:val="460"/>
    <w:qFormat/>
    <w:uiPriority w:val="99"/>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qFormat/>
    <w:uiPriority w:val="99"/>
    <w:pPr>
      <w:adjustRightInd/>
    </w:pPr>
    <w:rPr>
      <w:rFonts w:ascii="Tahoma" w:hAnsi="Tahoma"/>
      <w:sz w:val="24"/>
      <w:szCs w:val="20"/>
    </w:rPr>
  </w:style>
  <w:style w:type="paragraph" w:customStyle="1" w:styleId="654">
    <w:name w:val="Char1 Char Char Char"/>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qFormat/>
    <w:uiPriority w:val="99"/>
    <w:pPr>
      <w:tabs>
        <w:tab w:val="left" w:pos="1260"/>
        <w:tab w:val="left" w:pos="1680"/>
        <w:tab w:val="left" w:pos="2100"/>
        <w:tab w:val="left" w:pos="2520"/>
      </w:tabs>
      <w:ind w:left="2520"/>
      <w:outlineLvl w:val="4"/>
    </w:pPr>
  </w:style>
  <w:style w:type="paragraph" w:customStyle="1" w:styleId="656">
    <w:name w:val="二级条标题"/>
    <w:basedOn w:val="657"/>
    <w:next w:val="640"/>
    <w:qFormat/>
    <w:uiPriority w:val="99"/>
    <w:pPr>
      <w:tabs>
        <w:tab w:val="left" w:pos="1260"/>
        <w:tab w:val="left" w:pos="1680"/>
        <w:tab w:val="left" w:pos="2100"/>
      </w:tabs>
      <w:ind w:left="0"/>
      <w:outlineLvl w:val="3"/>
    </w:pPr>
  </w:style>
  <w:style w:type="paragraph" w:customStyle="1" w:styleId="657">
    <w:name w:val="一级条标题"/>
    <w:basedOn w:val="658"/>
    <w:next w:val="640"/>
    <w:qFormat/>
    <w:uiPriority w:val="99"/>
    <w:pPr>
      <w:tabs>
        <w:tab w:val="left" w:pos="1260"/>
        <w:tab w:val="left" w:pos="1680"/>
      </w:tabs>
      <w:spacing w:beforeLines="0" w:afterLines="0"/>
      <w:ind w:left="1680"/>
      <w:outlineLvl w:val="2"/>
    </w:pPr>
  </w:style>
  <w:style w:type="paragraph" w:customStyle="1" w:styleId="658">
    <w:name w:val="章标题"/>
    <w:next w:val="640"/>
    <w:qFormat/>
    <w:uiPriority w:val="99"/>
    <w:pPr>
      <w:tabs>
        <w:tab w:val="left" w:pos="1260"/>
      </w:tabs>
      <w:spacing w:beforeLines="50" w:afterLines="50"/>
      <w:ind w:left="1260" w:hanging="420"/>
      <w:jc w:val="both"/>
      <w:outlineLvl w:val="1"/>
    </w:pPr>
    <w:rPr>
      <w:rFonts w:ascii="黑体" w:hAnsi="Times New Roman" w:eastAsia="黑体" w:cs="Times New Roman"/>
      <w:kern w:val="0"/>
      <w:sz w:val="21"/>
      <w:szCs w:val="20"/>
      <w:lang w:val="en-US" w:eastAsia="zh-CN" w:bidi="ar-SA"/>
    </w:rPr>
  </w:style>
  <w:style w:type="paragraph" w:customStyle="1" w:styleId="659">
    <w:name w:val="数字标题2"/>
    <w:basedOn w:val="4"/>
    <w:next w:val="1"/>
    <w:qFormat/>
    <w:uiPriority w:val="99"/>
    <w:pPr>
      <w:tabs>
        <w:tab w:val="left" w:pos="480"/>
      </w:tabs>
      <w:ind w:left="480" w:hanging="480"/>
    </w:pPr>
    <w:rPr>
      <w:rFonts w:ascii="Times New Roman" w:eastAsia="宋体"/>
      <w:i/>
      <w:sz w:val="36"/>
      <w:szCs w:val="36"/>
      <w:lang w:val="en-US"/>
    </w:rPr>
  </w:style>
  <w:style w:type="paragraph" w:customStyle="1" w:styleId="660">
    <w:name w:val="tabletext"/>
    <w:basedOn w:val="1"/>
    <w:qFormat/>
    <w:uiPriority w:val="99"/>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3"/>
    <w:qFormat/>
    <w:uiPriority w:val="99"/>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3"/>
    <w:qFormat/>
    <w:uiPriority w:val="99"/>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qFormat/>
    <w:uiPriority w:val="99"/>
    <w:pPr>
      <w:widowControl/>
      <w:pBdr>
        <w:left w:val="single" w:color="auto" w:sz="4" w:space="0"/>
        <w:right w:val="single" w:color="auto" w:sz="4" w:space="0"/>
      </w:pBdr>
      <w:adjustRightInd/>
      <w:spacing w:before="100" w:beforeAutospacing="1" w:after="100" w:afterAutospacing="1"/>
      <w:jc w:val="center"/>
    </w:pPr>
    <w:rPr>
      <w:kern w:val="0"/>
      <w:szCs w:val="21"/>
    </w:rPr>
  </w:style>
  <w:style w:type="paragraph" w:customStyle="1" w:styleId="665">
    <w:name w:val="正文 项目2"/>
    <w:basedOn w:val="666"/>
    <w:qFormat/>
    <w:uiPriority w:val="99"/>
    <w:pPr>
      <w:tabs>
        <w:tab w:val="left" w:pos="840"/>
      </w:tabs>
      <w:spacing w:after="0"/>
      <w:ind w:left="900"/>
    </w:pPr>
  </w:style>
  <w:style w:type="paragraph" w:customStyle="1" w:styleId="666">
    <w:name w:val="正文 项目"/>
    <w:basedOn w:val="1"/>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qFormat/>
    <w:uiPriority w:val="99"/>
    <w:pPr>
      <w:widowControl/>
      <w:adjustRightInd/>
      <w:ind w:left="720" w:hanging="720"/>
    </w:pPr>
    <w:rPr>
      <w:color w:val="000000"/>
      <w:kern w:val="0"/>
      <w:sz w:val="24"/>
      <w:szCs w:val="20"/>
      <w:lang w:val="en-GB"/>
    </w:rPr>
  </w:style>
  <w:style w:type="paragraph" w:customStyle="1" w:styleId="668">
    <w:name w:val="表1"/>
    <w:basedOn w:val="1"/>
    <w:qFormat/>
    <w:uiPriority w:val="99"/>
    <w:pPr>
      <w:tabs>
        <w:tab w:val="left" w:pos="703"/>
      </w:tabs>
      <w:adjustRightInd/>
      <w:spacing w:line="360" w:lineRule="auto"/>
      <w:ind w:left="703"/>
      <w:jc w:val="center"/>
    </w:pPr>
  </w:style>
  <w:style w:type="paragraph" w:customStyle="1" w:styleId="669">
    <w:name w:val="_Style 27"/>
    <w:qFormat/>
    <w:uiPriority w:val="99"/>
    <w:pPr>
      <w:widowControl w:val="0"/>
      <w:tabs>
        <w:tab w:val="left" w:pos="480"/>
      </w:tabs>
      <w:autoSpaceDE w:val="0"/>
      <w:autoSpaceDN w:val="0"/>
      <w:adjustRightInd w:val="0"/>
      <w:snapToGrid w:val="0"/>
    </w:pPr>
    <w:rPr>
      <w:rFonts w:ascii="Calibri" w:hAnsi="Calibri" w:eastAsia="宋体" w:cs="Times New Roman"/>
      <w:kern w:val="0"/>
      <w:sz w:val="20"/>
      <w:szCs w:val="24"/>
      <w:lang w:val="en-US" w:eastAsia="zh-CN" w:bidi="ar-SA"/>
    </w:rPr>
  </w:style>
  <w:style w:type="paragraph" w:customStyle="1" w:styleId="670">
    <w:name w:val="样式 样式 标题 4 + 非加粗 + (中文) 黑体 段前: 0 磅 段后: 0 磅 行距: 固定值 22 磅"/>
    <w:basedOn w:val="1"/>
    <w:qFormat/>
    <w:uiPriority w:val="99"/>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qFormat/>
    <w:uiPriority w:val="99"/>
    <w:pPr>
      <w:adjustRightInd/>
      <w:spacing w:beforeLines="50" w:after="120" w:line="300" w:lineRule="auto"/>
      <w:ind w:firstLine="480" w:firstLineChars="200"/>
    </w:pPr>
    <w:rPr>
      <w:rFonts w:ascii="Helvetica" w:hAnsi="Helvetica"/>
      <w:kern w:val="0"/>
      <w:sz w:val="24"/>
    </w:rPr>
  </w:style>
  <w:style w:type="paragraph" w:customStyle="1" w:styleId="672">
    <w:name w:val="2级标题"/>
    <w:basedOn w:val="673"/>
    <w:qFormat/>
    <w:uiPriority w:val="99"/>
    <w:pPr>
      <w:jc w:val="left"/>
      <w:outlineLvl w:val="1"/>
    </w:pPr>
    <w:rPr>
      <w:rFonts w:ascii="Times New Roman" w:hAnsi="Times New Roman" w:eastAsia="仿宋"/>
      <w:sz w:val="30"/>
    </w:rPr>
  </w:style>
  <w:style w:type="paragraph" w:customStyle="1" w:styleId="673">
    <w:name w:val="1级标题"/>
    <w:basedOn w:val="1"/>
    <w:qFormat/>
    <w:uiPriority w:val="99"/>
    <w:pPr>
      <w:adjustRightInd/>
      <w:spacing w:beforeLines="10" w:afterLines="10" w:line="360" w:lineRule="auto"/>
      <w:jc w:val="center"/>
      <w:outlineLvl w:val="0"/>
    </w:pPr>
    <w:rPr>
      <w:rFonts w:ascii="Calibri" w:hAnsi="Calibri"/>
      <w:b/>
      <w:sz w:val="44"/>
      <w:szCs w:val="22"/>
    </w:rPr>
  </w:style>
  <w:style w:type="paragraph" w:customStyle="1" w:styleId="674">
    <w:name w:val="正文 New New New New"/>
    <w:qFormat/>
    <w:uiPriority w:val="99"/>
    <w:pPr>
      <w:widowControl w:val="0"/>
      <w:jc w:val="both"/>
    </w:pPr>
    <w:rPr>
      <w:rFonts w:ascii="Times New Roman" w:hAnsi="Times New Roman" w:eastAsia="宋体" w:cs="Times New Roman"/>
      <w:color w:val="000000"/>
      <w:kern w:val="0"/>
      <w:sz w:val="20"/>
      <w:szCs w:val="24"/>
      <w:lang w:val="en-US" w:eastAsia="zh-CN" w:bidi="ar-SA"/>
    </w:rPr>
  </w:style>
  <w:style w:type="paragraph" w:customStyle="1" w:styleId="675">
    <w:name w:val="样式 微软雅黑 行距: 1.5 倍行距"/>
    <w:basedOn w:val="1"/>
    <w:qFormat/>
    <w:uiPriority w:val="99"/>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qFormat/>
    <w:uiPriority w:val="99"/>
    <w:pPr>
      <w:tabs>
        <w:tab w:val="left" w:pos="840"/>
      </w:tabs>
      <w:adjustRightInd/>
      <w:ind w:left="840" w:hanging="420"/>
    </w:pPr>
  </w:style>
  <w:style w:type="paragraph" w:customStyle="1" w:styleId="679">
    <w:name w:val="f9a style88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qFormat/>
    <w:uiPriority w:val="99"/>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qFormat/>
    <w:uiPriority w:val="99"/>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qFormat/>
    <w:uiPriority w:val="99"/>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qFormat/>
    <w:uiPriority w:val="99"/>
    <w:pPr>
      <w:suppressAutoHyphens/>
      <w:adjustRightInd/>
      <w:ind w:firstLine="200" w:firstLineChars="200"/>
    </w:pPr>
    <w:rPr>
      <w:rFonts w:ascii="Cumberland" w:hAnsi="Cumberland"/>
      <w:kern w:val="1"/>
      <w:sz w:val="20"/>
      <w:szCs w:val="20"/>
      <w:lang w:eastAsia="ar-SA"/>
    </w:rPr>
  </w:style>
  <w:style w:type="paragraph" w:customStyle="1" w:styleId="684">
    <w:name w:val="xl25"/>
    <w:basedOn w:val="1"/>
    <w:qFormat/>
    <w:uiPriority w:val="99"/>
    <w:pPr>
      <w:widowControl/>
      <w:spacing w:before="100" w:beforeAutospacing="1" w:after="100" w:afterAutospacing="1"/>
      <w:jc w:val="center"/>
      <w:textAlignment w:val="center"/>
    </w:pPr>
    <w:rPr>
      <w:rFonts w:ascii="楷体_GB2312" w:hAnsi="宋体" w:eastAsia="楷体_GB2312"/>
      <w:kern w:val="0"/>
      <w:sz w:val="24"/>
    </w:rPr>
  </w:style>
  <w:style w:type="paragraph" w:customStyle="1" w:styleId="685">
    <w:name w:val="xl73"/>
    <w:basedOn w:val="1"/>
    <w:qFormat/>
    <w:uiPriority w:val="99"/>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7"/>
    <w:qFormat/>
    <w:uiPriority w:val="99"/>
    <w:pPr>
      <w:tabs>
        <w:tab w:val="left" w:pos="2100"/>
      </w:tabs>
      <w:adjustRightInd/>
      <w:ind w:left="2100" w:hanging="420"/>
    </w:pPr>
    <w:rPr>
      <w:lang w:val="en-US"/>
    </w:rPr>
  </w:style>
  <w:style w:type="paragraph" w:customStyle="1" w:styleId="687">
    <w:name w:val="Char11"/>
    <w:basedOn w:val="1"/>
    <w:qFormat/>
    <w:uiPriority w:val="99"/>
    <w:pPr>
      <w:tabs>
        <w:tab w:val="left" w:pos="432"/>
      </w:tabs>
      <w:adjustRightInd/>
      <w:spacing w:beforeLines="50" w:afterLines="50"/>
      <w:ind w:left="432" w:hanging="432" w:firstLineChars="200"/>
    </w:pPr>
    <w:rPr>
      <w:sz w:val="24"/>
    </w:rPr>
  </w:style>
  <w:style w:type="paragraph" w:customStyle="1" w:styleId="688">
    <w:name w:val="gjt_正文"/>
    <w:qFormat/>
    <w:uiPriority w:val="99"/>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qFormat/>
    <w:uiPriority w:val="99"/>
    <w:pPr>
      <w:spacing w:line="360" w:lineRule="auto"/>
    </w:pPr>
    <w:rPr>
      <w:szCs w:val="20"/>
    </w:rPr>
  </w:style>
  <w:style w:type="paragraph" w:customStyle="1" w:styleId="690">
    <w:name w:val="金宏发行正文 Char"/>
    <w:basedOn w:val="1"/>
    <w:qFormat/>
    <w:uiPriority w:val="99"/>
    <w:pPr>
      <w:adjustRightInd/>
      <w:spacing w:line="500" w:lineRule="exact"/>
      <w:ind w:firstLine="560" w:firstLineChars="200"/>
    </w:pPr>
    <w:rPr>
      <w:rFonts w:eastAsia="仿宋_GB2312"/>
      <w:sz w:val="28"/>
      <w:szCs w:val="20"/>
    </w:rPr>
  </w:style>
  <w:style w:type="paragraph" w:customStyle="1" w:styleId="691">
    <w:name w:val="批注框文本1"/>
    <w:basedOn w:val="1"/>
    <w:qFormat/>
    <w:uiPriority w:val="99"/>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4"/>
    <w:qFormat/>
    <w:uiPriority w:val="99"/>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qFormat/>
    <w:uiPriority w:val="99"/>
    <w:pPr>
      <w:adjustRightInd/>
      <w:spacing w:line="460" w:lineRule="exact"/>
      <w:ind w:firstLine="505"/>
      <w:jc w:val="left"/>
    </w:pPr>
    <w:rPr>
      <w:rFonts w:ascii="宋体"/>
      <w:kern w:val="24"/>
      <w:sz w:val="24"/>
      <w:szCs w:val="20"/>
    </w:rPr>
  </w:style>
  <w:style w:type="paragraph" w:customStyle="1" w:styleId="696">
    <w:name w:val="xl3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qFormat/>
    <w:uiPriority w:val="99"/>
    <w:pPr>
      <w:adjustRightInd/>
      <w:spacing w:line="360" w:lineRule="auto"/>
      <w:jc w:val="center"/>
    </w:pPr>
    <w:rPr>
      <w:sz w:val="24"/>
    </w:rPr>
  </w:style>
  <w:style w:type="paragraph" w:customStyle="1" w:styleId="700">
    <w:name w:val="正文3"/>
    <w:basedOn w:val="1"/>
    <w:qFormat/>
    <w:uiPriority w:val="99"/>
    <w:pPr>
      <w:adjustRightInd/>
      <w:spacing w:beforeLines="50"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qFormat/>
    <w:uiPriority w:val="99"/>
    <w:rPr>
      <w:rFonts w:ascii="仿宋_GB2312" w:eastAsia="仿宋_GB2312"/>
      <w:b/>
      <w:sz w:val="32"/>
      <w:szCs w:val="32"/>
    </w:rPr>
  </w:style>
  <w:style w:type="paragraph" w:customStyle="1" w:styleId="702">
    <w:name w:val="正文缩进1"/>
    <w:basedOn w:val="1"/>
    <w:next w:val="26"/>
    <w:qFormat/>
    <w:uiPriority w:val="99"/>
    <w:pPr>
      <w:autoSpaceDE w:val="0"/>
      <w:autoSpaceDN w:val="0"/>
      <w:snapToGrid w:val="0"/>
      <w:spacing w:after="120" w:line="360" w:lineRule="auto"/>
      <w:ind w:left="420" w:leftChars="200" w:firstLine="480" w:firstLineChars="200"/>
    </w:pPr>
    <w:rPr>
      <w:sz w:val="24"/>
      <w:szCs w:val="21"/>
    </w:rPr>
  </w:style>
  <w:style w:type="paragraph" w:customStyle="1" w:styleId="703">
    <w:name w:val="Ñ¨´"/>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kern w:val="0"/>
      <w:sz w:val="24"/>
      <w:szCs w:val="20"/>
      <w:lang w:val="en-US" w:eastAsia="zh-CN" w:bidi="ar-SA"/>
    </w:rPr>
  </w:style>
  <w:style w:type="paragraph" w:customStyle="1" w:styleId="704">
    <w:name w:val="Char3 Char Char Char11"/>
    <w:basedOn w:val="1"/>
    <w:qFormat/>
    <w:uiPriority w:val="99"/>
    <w:pPr>
      <w:widowControl/>
      <w:adjustRightInd/>
      <w:spacing w:after="160" w:line="240" w:lineRule="exact"/>
      <w:jc w:val="left"/>
    </w:pPr>
    <w:rPr>
      <w:szCs w:val="20"/>
    </w:rPr>
  </w:style>
  <w:style w:type="paragraph" w:customStyle="1" w:styleId="705">
    <w:name w:val="Char Char1121"/>
    <w:basedOn w:val="1"/>
    <w:qFormat/>
    <w:uiPriority w:val="99"/>
    <w:pPr>
      <w:spacing w:line="360" w:lineRule="auto"/>
    </w:pPr>
    <w:rPr>
      <w:szCs w:val="20"/>
    </w:rPr>
  </w:style>
  <w:style w:type="paragraph" w:customStyle="1" w:styleId="706">
    <w:name w:val="小项目标题"/>
    <w:basedOn w:val="1"/>
    <w:qFormat/>
    <w:uiPriority w:val="99"/>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qFormat/>
    <w:uiPriority w:val="99"/>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qFormat/>
    <w:uiPriority w:val="99"/>
    <w:rPr>
      <w:rFonts w:ascii="Times New Roman" w:hAnsi="Times New Roman" w:eastAsia="宋体" w:cs="Times New Roman"/>
      <w:kern w:val="0"/>
      <w:sz w:val="20"/>
      <w:szCs w:val="20"/>
      <w:lang w:val="en-US" w:eastAsia="en-US" w:bidi="ar-SA"/>
    </w:rPr>
  </w:style>
  <w:style w:type="paragraph" w:customStyle="1" w:styleId="709">
    <w:name w:val="带编号样式"/>
    <w:basedOn w:val="627"/>
    <w:qFormat/>
    <w:uiPriority w:val="99"/>
    <w:pPr>
      <w:tabs>
        <w:tab w:val="left" w:pos="840"/>
      </w:tabs>
      <w:snapToGrid w:val="0"/>
      <w:ind w:left="840" w:hanging="420" w:firstLineChars="0"/>
    </w:pPr>
    <w:rPr>
      <w:rFonts w:ascii="仿宋_GB2312" w:eastAsia="仿宋_GB2312"/>
      <w:color w:val="000000"/>
    </w:rPr>
  </w:style>
  <w:style w:type="paragraph" w:customStyle="1" w:styleId="710">
    <w:name w:val="msonormal"/>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qFormat/>
    <w:uiPriority w:val="99"/>
    <w:pPr>
      <w:spacing w:line="360" w:lineRule="atLeast"/>
      <w:jc w:val="right"/>
      <w:textAlignment w:val="baseline"/>
    </w:pPr>
    <w:rPr>
      <w:rFonts w:ascii="Symbol" w:hAnsi="Symbol"/>
      <w:kern w:val="0"/>
      <w:szCs w:val="20"/>
    </w:rPr>
  </w:style>
  <w:style w:type="paragraph" w:customStyle="1" w:styleId="713">
    <w:name w:val="__正文"/>
    <w:qFormat/>
    <w:uiPriority w:val="99"/>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qFormat/>
    <w:uiPriority w:val="99"/>
    <w:pPr>
      <w:widowControl/>
      <w:adjustRightInd/>
      <w:spacing w:before="100" w:beforeAutospacing="1" w:after="100" w:afterAutospacing="1" w:line="360" w:lineRule="auto"/>
      <w:ind w:firstLine="200" w:firstLineChars="200"/>
      <w:jc w:val="left"/>
    </w:pPr>
    <w:rPr>
      <w:rFonts w:ascii="宋体" w:hAnsi="宋体"/>
      <w:kern w:val="0"/>
      <w:sz w:val="18"/>
      <w:szCs w:val="18"/>
    </w:rPr>
  </w:style>
  <w:style w:type="paragraph" w:customStyle="1" w:styleId="715">
    <w:name w:val="默认段落字体 Para Char Char Char1 Char"/>
    <w:basedOn w:val="1"/>
    <w:qFormat/>
    <w:uiPriority w:val="99"/>
    <w:pPr>
      <w:spacing w:line="240" w:lineRule="atLeast"/>
      <w:ind w:left="420" w:firstLine="420"/>
    </w:pPr>
    <w:rPr>
      <w:sz w:val="24"/>
    </w:rPr>
  </w:style>
  <w:style w:type="paragraph" w:customStyle="1" w:styleId="716">
    <w:name w:val="WW-正文文字缩进 2"/>
    <w:basedOn w:val="1"/>
    <w:qFormat/>
    <w:uiPriority w:val="99"/>
    <w:pPr>
      <w:suppressAutoHyphens/>
      <w:adjustRightInd/>
      <w:ind w:firstLine="420"/>
    </w:pPr>
    <w:rPr>
      <w:kern w:val="1"/>
      <w:szCs w:val="20"/>
    </w:rPr>
  </w:style>
  <w:style w:type="paragraph" w:customStyle="1" w:styleId="717">
    <w:name w:val="xl41"/>
    <w:basedOn w:val="1"/>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4"/>
    <w:qFormat/>
    <w:uiPriority w:val="99"/>
    <w:pPr>
      <w:spacing w:before="120" w:after="120"/>
      <w:ind w:left="0" w:firstLine="0"/>
      <w:jc w:val="both"/>
    </w:pPr>
    <w:rPr>
      <w:rFonts w:ascii="宋体" w:hAnsi="Arial" w:eastAsia="宋体"/>
      <w:sz w:val="28"/>
      <w:lang w:val="en-US"/>
    </w:rPr>
  </w:style>
  <w:style w:type="paragraph" w:customStyle="1" w:styleId="719">
    <w:name w:val="有符号正文"/>
    <w:basedOn w:val="1"/>
    <w:qFormat/>
    <w:uiPriority w:val="99"/>
    <w:pPr>
      <w:adjustRightInd/>
      <w:spacing w:line="400" w:lineRule="exact"/>
      <w:ind w:firstLine="200" w:firstLineChars="200"/>
    </w:pPr>
    <w:rPr>
      <w:rFonts w:ascii="Arial" w:hAnsi="Arial"/>
    </w:rPr>
  </w:style>
  <w:style w:type="paragraph" w:customStyle="1" w:styleId="720">
    <w:name w:val="font10"/>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qFormat/>
    <w:uiPriority w:val="99"/>
    <w:pPr>
      <w:spacing w:line="360" w:lineRule="auto"/>
      <w:ind w:firstLine="480" w:firstLineChars="200"/>
    </w:pPr>
    <w:rPr>
      <w:rFonts w:ascii="仿宋_GB2312" w:eastAsia="新宋体"/>
      <w:sz w:val="24"/>
      <w:szCs w:val="20"/>
    </w:rPr>
  </w:style>
  <w:style w:type="paragraph" w:customStyle="1" w:styleId="722">
    <w:name w:val="4"/>
    <w:basedOn w:val="1"/>
    <w:next w:val="39"/>
    <w:qFormat/>
    <w:uiPriority w:val="99"/>
    <w:pPr>
      <w:spacing w:after="120" w:line="480" w:lineRule="auto"/>
      <w:ind w:left="420" w:leftChars="200"/>
    </w:pPr>
    <w:rPr>
      <w:sz w:val="24"/>
      <w:szCs w:val="20"/>
    </w:rPr>
  </w:style>
  <w:style w:type="paragraph" w:customStyle="1" w:styleId="723">
    <w:name w:val="tableheading"/>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qFormat/>
    <w:uiPriority w:val="99"/>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5"/>
    <w:qFormat/>
    <w:uiPriority w:val="99"/>
    <w:pPr>
      <w:keepLines w:val="0"/>
      <w:spacing w:before="0" w:after="0" w:line="240" w:lineRule="auto"/>
      <w:jc w:val="left"/>
    </w:pPr>
    <w:rPr>
      <w:rFonts w:cs="宋体"/>
      <w:sz w:val="21"/>
      <w:szCs w:val="20"/>
    </w:rPr>
  </w:style>
  <w:style w:type="paragraph" w:customStyle="1" w:styleId="726">
    <w:name w:val="样式 仿宋_GB2312 小三 左侧:  1.06 厘米"/>
    <w:basedOn w:val="1"/>
    <w:qFormat/>
    <w:uiPriority w:val="99"/>
    <w:pPr>
      <w:spacing w:line="360" w:lineRule="auto"/>
      <w:ind w:left="601"/>
    </w:pPr>
    <w:rPr>
      <w:rFonts w:ascii="仿宋_GB2312" w:eastAsia="仿宋_GB2312"/>
      <w:sz w:val="24"/>
      <w:szCs w:val="20"/>
    </w:rPr>
  </w:style>
  <w:style w:type="paragraph" w:customStyle="1" w:styleId="727">
    <w:name w:val="小标题"/>
    <w:basedOn w:val="1"/>
    <w:qFormat/>
    <w:uiPriority w:val="99"/>
    <w:pPr>
      <w:spacing w:before="120" w:line="360" w:lineRule="atLeast"/>
      <w:ind w:left="1134"/>
      <w:jc w:val="left"/>
      <w:textAlignment w:val="baseline"/>
    </w:pPr>
    <w:rPr>
      <w:rFonts w:eastAsia="黑体"/>
      <w:kern w:val="0"/>
      <w:szCs w:val="20"/>
    </w:rPr>
  </w:style>
  <w:style w:type="paragraph" w:customStyle="1" w:styleId="728">
    <w:name w:val="节标题"/>
    <w:basedOn w:val="1"/>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qFormat/>
    <w:uiPriority w:val="99"/>
    <w:pPr>
      <w:adjustRightInd/>
      <w:spacing w:beforeLines="50" w:afterLines="50" w:line="360" w:lineRule="auto"/>
      <w:jc w:val="center"/>
    </w:pPr>
    <w:rPr>
      <w:rFonts w:ascii="微软雅黑" w:hAnsi="Calibri" w:eastAsia="微软雅黑"/>
      <w:b/>
      <w:sz w:val="28"/>
      <w:szCs w:val="20"/>
    </w:rPr>
  </w:style>
  <w:style w:type="paragraph" w:customStyle="1" w:styleId="730">
    <w:name w:val="xl7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qFormat/>
    <w:uiPriority w:val="99"/>
    <w:rPr>
      <w:rFonts w:ascii="仿宋_GB2312" w:eastAsia="仿宋_GB2312"/>
      <w:b/>
      <w:sz w:val="32"/>
      <w:szCs w:val="20"/>
    </w:rPr>
  </w:style>
  <w:style w:type="paragraph" w:customStyle="1" w:styleId="732">
    <w:name w:val="表格题注"/>
    <w:next w:val="1"/>
    <w:qFormat/>
    <w:uiPriority w:val="99"/>
    <w:pPr>
      <w:keepLines/>
      <w:tabs>
        <w:tab w:val="left" w:pos="4200"/>
      </w:tabs>
      <w:spacing w:beforeLines="100"/>
      <w:ind w:left="1089" w:hanging="369"/>
      <w:jc w:val="center"/>
    </w:pPr>
    <w:rPr>
      <w:rFonts w:ascii="Arial" w:hAnsi="Arial" w:eastAsia="宋体" w:cs="Times New Roman"/>
      <w:kern w:val="0"/>
      <w:sz w:val="18"/>
      <w:szCs w:val="18"/>
      <w:lang w:val="en-US" w:eastAsia="zh-CN" w:bidi="ar-SA"/>
    </w:rPr>
  </w:style>
  <w:style w:type="paragraph" w:customStyle="1" w:styleId="733">
    <w:name w:val="Char Char11 Char Char Char Char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734">
    <w:name w:val="Picture"/>
    <w:basedOn w:val="1"/>
    <w:next w:val="17"/>
    <w:qFormat/>
    <w:uiPriority w:val="99"/>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qFormat/>
    <w:uiPriority w:val="99"/>
    <w:rPr>
      <w:rFonts w:ascii="仿宋_GB2312" w:eastAsia="仿宋_GB2312"/>
      <w:b/>
      <w:sz w:val="32"/>
      <w:szCs w:val="32"/>
    </w:rPr>
  </w:style>
  <w:style w:type="paragraph" w:customStyle="1" w:styleId="736">
    <w:name w:val="Char3 Char Char Char1"/>
    <w:basedOn w:val="1"/>
    <w:qFormat/>
    <w:uiPriority w:val="99"/>
    <w:pPr>
      <w:widowControl/>
      <w:adjustRightInd/>
      <w:spacing w:after="160" w:line="240" w:lineRule="exact"/>
      <w:jc w:val="left"/>
    </w:pPr>
    <w:rPr>
      <w:szCs w:val="20"/>
    </w:rPr>
  </w:style>
  <w:style w:type="paragraph" w:customStyle="1" w:styleId="737">
    <w:name w:val="Char1 Char Char Char21"/>
    <w:basedOn w:val="1"/>
    <w:qFormat/>
    <w:uiPriority w:val="99"/>
    <w:rPr>
      <w:rFonts w:ascii="Tahoma" w:hAnsi="Tahoma"/>
      <w:sz w:val="24"/>
      <w:szCs w:val="20"/>
    </w:rPr>
  </w:style>
  <w:style w:type="paragraph" w:customStyle="1" w:styleId="738">
    <w:name w:val="Char3 Char Char Char Char Char Char11"/>
    <w:basedOn w:val="1"/>
    <w:qFormat/>
    <w:uiPriority w:val="99"/>
    <w:pPr>
      <w:adjustRightInd/>
      <w:spacing w:line="360" w:lineRule="auto"/>
    </w:pPr>
    <w:rPr>
      <w:rFonts w:ascii="Arial" w:hAnsi="Arial" w:eastAsia="黑体" w:cs="Arial"/>
      <w:kern w:val="0"/>
      <w:szCs w:val="21"/>
    </w:rPr>
  </w:style>
  <w:style w:type="paragraph" w:customStyle="1" w:styleId="739">
    <w:name w:val="正文（标题三）"/>
    <w:basedOn w:val="1"/>
    <w:qFormat/>
    <w:uiPriority w:val="99"/>
    <w:pPr>
      <w:spacing w:line="360" w:lineRule="auto"/>
      <w:ind w:firstLine="200" w:firstLineChars="200"/>
    </w:pPr>
    <w:rPr>
      <w:sz w:val="24"/>
    </w:rPr>
  </w:style>
  <w:style w:type="paragraph" w:customStyle="1" w:styleId="740">
    <w:name w:val="样式 正1 + 首行缩进:  2 字符"/>
    <w:basedOn w:val="1"/>
    <w:qFormat/>
    <w:uiPriority w:val="99"/>
    <w:pPr>
      <w:adjustRightInd/>
      <w:spacing w:line="360" w:lineRule="auto"/>
      <w:ind w:firstLine="480" w:firstLineChars="200"/>
    </w:pPr>
    <w:rPr>
      <w:rFonts w:ascii="仿宋_GB2312" w:eastAsia="仿宋_GB2312"/>
      <w:sz w:val="24"/>
    </w:rPr>
  </w:style>
  <w:style w:type="paragraph" w:customStyle="1" w:styleId="741">
    <w:name w:val="xl66"/>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qFormat/>
    <w:uiPriority w:val="99"/>
    <w:pPr>
      <w:adjustRightInd/>
      <w:spacing w:line="360" w:lineRule="auto"/>
      <w:ind w:firstLine="480" w:firstLineChars="200"/>
    </w:pPr>
    <w:rPr>
      <w:rFonts w:ascii="宋体" w:hAnsi="宋体" w:cs="宋体"/>
      <w:sz w:val="24"/>
      <w:szCs w:val="20"/>
    </w:rPr>
  </w:style>
  <w:style w:type="paragraph" w:customStyle="1" w:styleId="743">
    <w:name w:val="Default Text"/>
    <w:basedOn w:val="1"/>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qFormat/>
    <w:uiPriority w:val="99"/>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qFormat/>
    <w:uiPriority w:val="99"/>
    <w:pPr>
      <w:adjustRightInd/>
      <w:ind w:firstLine="200" w:firstLineChars="200"/>
    </w:pPr>
    <w:rPr>
      <w:rFonts w:ascii="Tahoma" w:hAnsi="Tahoma"/>
      <w:sz w:val="24"/>
      <w:szCs w:val="20"/>
    </w:rPr>
  </w:style>
  <w:style w:type="paragraph" w:customStyle="1" w:styleId="746">
    <w:name w:val="_标题2"/>
    <w:basedOn w:val="713"/>
    <w:next w:val="713"/>
    <w:qFormat/>
    <w:uiPriority w:val="99"/>
    <w:pPr>
      <w:widowControl w:val="0"/>
      <w:tabs>
        <w:tab w:val="left" w:pos="480"/>
      </w:tabs>
      <w:spacing w:beforeLines="50" w:afterLines="50"/>
      <w:ind w:left="50" w:leftChars="50" w:hanging="420" w:firstLineChars="0"/>
      <w:outlineLvl w:val="1"/>
    </w:pPr>
    <w:rPr>
      <w:b/>
      <w:sz w:val="36"/>
    </w:rPr>
  </w:style>
  <w:style w:type="paragraph" w:customStyle="1" w:styleId="747">
    <w:name w:val="样式1 + (中宋体"/>
    <w:basedOn w:val="724"/>
    <w:qFormat/>
    <w:uiPriority w:val="99"/>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qFormat/>
    <w:uiPriority w:val="99"/>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qFormat/>
    <w:uiPriority w:val="99"/>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qFormat/>
    <w:uiPriority w:val="99"/>
    <w:pPr>
      <w:adjustRightInd/>
      <w:spacing w:line="360" w:lineRule="auto"/>
    </w:pPr>
    <w:rPr>
      <w:rFonts w:ascii="宋体" w:hAnsi="宋体"/>
      <w:szCs w:val="20"/>
    </w:rPr>
  </w:style>
  <w:style w:type="paragraph" w:customStyle="1" w:styleId="752">
    <w:name w:val="深色列表 - 强调文字颜色 51"/>
    <w:basedOn w:val="1"/>
    <w:qFormat/>
    <w:uiPriority w:val="99"/>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qFormat/>
    <w:uiPriority w:val="99"/>
    <w:pPr>
      <w:adjustRightInd/>
    </w:pPr>
    <w:rPr>
      <w:rFonts w:ascii="Tahoma" w:hAnsi="Tahoma"/>
      <w:sz w:val="24"/>
    </w:rPr>
  </w:style>
  <w:style w:type="paragraph" w:customStyle="1" w:styleId="754">
    <w:name w:val="Char Char Char Char11"/>
    <w:basedOn w:val="1"/>
    <w:qFormat/>
    <w:uiPriority w:val="99"/>
    <w:rPr>
      <w:rFonts w:ascii="Tahoma" w:hAnsi="Tahoma"/>
      <w:sz w:val="24"/>
      <w:szCs w:val="20"/>
    </w:rPr>
  </w:style>
  <w:style w:type="paragraph" w:customStyle="1" w:styleId="755">
    <w:name w:val="封面文档标题"/>
    <w:basedOn w:val="1"/>
    <w:qFormat/>
    <w:uiPriority w:val="99"/>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qFormat/>
    <w:uiPriority w:val="99"/>
    <w:rPr>
      <w:rFonts w:ascii="Tahoma" w:hAnsi="Tahoma"/>
      <w:sz w:val="24"/>
      <w:szCs w:val="20"/>
    </w:rPr>
  </w:style>
  <w:style w:type="paragraph" w:customStyle="1" w:styleId="757">
    <w:name w:val="标1"/>
    <w:basedOn w:val="1"/>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qFormat/>
    <w:uiPriority w:val="99"/>
    <w:pPr>
      <w:adjustRightInd/>
    </w:pPr>
    <w:rPr>
      <w:szCs w:val="20"/>
    </w:rPr>
  </w:style>
  <w:style w:type="paragraph" w:customStyle="1" w:styleId="759">
    <w:name w:val="标书正文格式"/>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qFormat/>
    <w:uiPriority w:val="99"/>
    <w:pPr>
      <w:spacing w:beforeLines="50" w:afterLines="50"/>
      <w:ind w:firstLine="200" w:firstLineChars="200"/>
      <w:outlineLvl w:val="4"/>
    </w:pPr>
    <w:rPr>
      <w:rFonts w:ascii="仿宋_GB2312" w:hAnsi="宋体" w:eastAsia="仿宋_GB2312"/>
      <w:b/>
      <w:bCs/>
      <w:sz w:val="24"/>
    </w:rPr>
  </w:style>
  <w:style w:type="paragraph" w:customStyle="1" w:styleId="761">
    <w:name w:val="_Style 5"/>
    <w:basedOn w:val="1"/>
    <w:qFormat/>
    <w:uiPriority w:val="99"/>
    <w:pPr>
      <w:adjustRightInd/>
      <w:ind w:firstLine="420" w:firstLineChars="200"/>
    </w:pPr>
    <w:rPr>
      <w:rFonts w:eastAsia="仿宋_GB2312"/>
      <w:sz w:val="28"/>
    </w:rPr>
  </w:style>
  <w:style w:type="paragraph" w:customStyle="1" w:styleId="762">
    <w:name w:val="正文文字缩进"/>
    <w:basedOn w:val="1"/>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qFormat/>
    <w:uiPriority w:val="99"/>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qFormat/>
    <w:uiPriority w:val="99"/>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qFormat/>
    <w:uiPriority w:val="99"/>
    <w:rPr>
      <w:rFonts w:ascii="Times New Roman" w:hAnsi="Times New Roman" w:eastAsia="宋体" w:cs="Times New Roman"/>
      <w:kern w:val="2"/>
      <w:sz w:val="21"/>
      <w:szCs w:val="24"/>
      <w:lang w:val="en-US" w:eastAsia="zh-CN" w:bidi="ar-SA"/>
    </w:rPr>
  </w:style>
  <w:style w:type="paragraph" w:customStyle="1" w:styleId="766">
    <w:name w:val="Char22"/>
    <w:basedOn w:val="1"/>
    <w:qFormat/>
    <w:uiPriority w:val="99"/>
    <w:pPr>
      <w:adjustRightInd/>
      <w:spacing w:line="360" w:lineRule="auto"/>
      <w:ind w:firstLine="480" w:firstLineChars="200"/>
    </w:pPr>
    <w:rPr>
      <w:rFonts w:ascii="仿宋_GB2312" w:eastAsia="仿宋_GB2312"/>
      <w:b/>
      <w:sz w:val="32"/>
      <w:szCs w:val="32"/>
    </w:rPr>
  </w:style>
  <w:style w:type="paragraph" w:customStyle="1" w:styleId="767">
    <w:name w:val="Char1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qFormat/>
    <w:uiPriority w:val="99"/>
    <w:rPr>
      <w:rFonts w:ascii="Times New Roman" w:hAnsi="Times New Roman" w:eastAsia="宋体" w:cs="Times New Roman"/>
      <w:kern w:val="2"/>
      <w:sz w:val="21"/>
      <w:szCs w:val="20"/>
      <w:lang w:val="en-US" w:eastAsia="zh-CN" w:bidi="ar-SA"/>
    </w:rPr>
  </w:style>
  <w:style w:type="paragraph" w:customStyle="1" w:styleId="769">
    <w:name w:val="CSS1级正文 Char"/>
    <w:basedOn w:val="24"/>
    <w:qFormat/>
    <w:uiPriority w:val="99"/>
    <w:pPr>
      <w:autoSpaceDE/>
      <w:autoSpaceDN/>
      <w:snapToGrid w:val="0"/>
      <w:ind w:firstLine="480" w:firstLineChars="200"/>
    </w:pPr>
    <w:rPr>
      <w:rFonts w:ascii="Times New Roman"/>
      <w:szCs w:val="24"/>
      <w:lang w:val="en-US"/>
    </w:rPr>
  </w:style>
  <w:style w:type="paragraph" w:customStyle="1" w:styleId="770">
    <w:name w:val="无间隔2"/>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qFormat/>
    <w:uiPriority w:val="99"/>
    <w:rPr>
      <w:rFonts w:ascii="宋体" w:hAnsi="Times New Roman" w:eastAsia="宋体" w:cs="Times New Roman"/>
      <w:kern w:val="2"/>
      <w:sz w:val="20"/>
      <w:szCs w:val="20"/>
      <w:lang w:val="en-US" w:eastAsia="zh-CN" w:bidi="ar-SA"/>
    </w:rPr>
  </w:style>
  <w:style w:type="paragraph" w:customStyle="1" w:styleId="772">
    <w:name w:val="MM Title"/>
    <w:basedOn w:val="2"/>
    <w:qFormat/>
    <w:uiPriority w:val="99"/>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qFormat/>
    <w:uiPriority w:val="99"/>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qFormat/>
    <w:uiPriority w:val="99"/>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qFormat/>
    <w:uiPriority w:val="99"/>
    <w:pPr>
      <w:tabs>
        <w:tab w:val="left" w:pos="360"/>
      </w:tabs>
    </w:pPr>
    <w:rPr>
      <w:sz w:val="24"/>
      <w:szCs w:val="20"/>
    </w:rPr>
  </w:style>
  <w:style w:type="paragraph" w:customStyle="1" w:styleId="776">
    <w:name w:val="表内文字"/>
    <w:basedOn w:val="1"/>
    <w:qFormat/>
    <w:uiPriority w:val="99"/>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6"/>
    <w:qFormat/>
    <w:uiPriority w:val="99"/>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781">
    <w:name w:val="正文－恩普"/>
    <w:basedOn w:val="6"/>
    <w:qFormat/>
    <w:uiPriority w:val="99"/>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782">
    <w:name w:val="Char Char11 Char Char Char Char Char Char Char Char Char Char Char Char Char12"/>
    <w:basedOn w:val="1"/>
    <w:qFormat/>
    <w:uiPriority w:val="99"/>
    <w:pPr>
      <w:adjustRightInd/>
      <w:spacing w:line="360" w:lineRule="auto"/>
    </w:pPr>
    <w:rPr>
      <w:rFonts w:ascii="Arial" w:hAnsi="Arial" w:eastAsia="黑体" w:cs="Arial"/>
      <w:kern w:val="0"/>
      <w:szCs w:val="21"/>
    </w:rPr>
  </w:style>
  <w:style w:type="paragraph" w:customStyle="1" w:styleId="783">
    <w:name w:val="Char4"/>
    <w:basedOn w:val="1"/>
    <w:qFormat/>
    <w:uiPriority w:val="99"/>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4">
    <w:name w:val="p0"/>
    <w:basedOn w:val="1"/>
    <w:qFormat/>
    <w:uiPriority w:val="99"/>
    <w:pPr>
      <w:widowControl/>
      <w:adjustRightInd/>
    </w:pPr>
    <w:rPr>
      <w:kern w:val="0"/>
      <w:szCs w:val="21"/>
    </w:rPr>
  </w:style>
  <w:style w:type="paragraph" w:customStyle="1" w:styleId="785">
    <w:name w:val="Char6"/>
    <w:basedOn w:val="1"/>
    <w:qFormat/>
    <w:uiPriority w:val="99"/>
    <w:rPr>
      <w:rFonts w:ascii="仿宋_GB2312" w:eastAsia="仿宋_GB2312"/>
      <w:b/>
      <w:sz w:val="32"/>
      <w:szCs w:val="32"/>
    </w:rPr>
  </w:style>
  <w:style w:type="paragraph" w:customStyle="1" w:styleId="786">
    <w:name w:val="Char111"/>
    <w:basedOn w:val="1"/>
    <w:qFormat/>
    <w:uiPriority w:val="99"/>
    <w:rPr>
      <w:rFonts w:ascii="仿宋_GB2312" w:eastAsia="仿宋_GB2312"/>
      <w:b/>
      <w:sz w:val="32"/>
      <w:szCs w:val="32"/>
    </w:rPr>
  </w:style>
  <w:style w:type="paragraph" w:customStyle="1" w:styleId="787">
    <w:name w:val="标题3"/>
    <w:basedOn w:val="5"/>
    <w:next w:val="55"/>
    <w:qFormat/>
    <w:uiPriority w:val="99"/>
    <w:pPr>
      <w:tabs>
        <w:tab w:val="clear" w:pos="900"/>
      </w:tabs>
      <w:spacing w:after="0" w:line="360" w:lineRule="auto"/>
    </w:pPr>
    <w:rPr>
      <w:rFonts w:ascii="仿宋" w:hAnsi="仿宋" w:eastAsia="仿宋" w:cs="仿宋"/>
    </w:rPr>
  </w:style>
  <w:style w:type="paragraph" w:customStyle="1" w:styleId="788">
    <w:name w:val="xl23"/>
    <w:basedOn w:val="1"/>
    <w:qFormat/>
    <w:uiPriority w:val="99"/>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qFormat/>
    <w:uiPriority w:val="99"/>
    <w:pPr>
      <w:adjustRightInd/>
      <w:ind w:firstLine="200" w:firstLineChars="200"/>
    </w:pPr>
    <w:rPr>
      <w:rFonts w:ascii="Tahoma" w:hAnsi="Tahoma"/>
      <w:sz w:val="24"/>
      <w:szCs w:val="20"/>
    </w:rPr>
  </w:style>
  <w:style w:type="paragraph" w:customStyle="1" w:styleId="791">
    <w:name w:val="列出段落1"/>
    <w:basedOn w:val="1"/>
    <w:qFormat/>
    <w:uiPriority w:val="99"/>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3"/>
    <w:qFormat/>
    <w:uiPriority w:val="99"/>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qFormat/>
    <w:uiPriority w:val="99"/>
    <w:rPr>
      <w:rFonts w:ascii="仿宋_GB2312" w:eastAsia="仿宋_GB2312"/>
      <w:b/>
      <w:sz w:val="32"/>
      <w:szCs w:val="32"/>
    </w:rPr>
  </w:style>
  <w:style w:type="paragraph" w:customStyle="1" w:styleId="794">
    <w:name w:val="五级条标题"/>
    <w:basedOn w:val="795"/>
    <w:next w:val="640"/>
    <w:qFormat/>
    <w:uiPriority w:val="99"/>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qFormat/>
    <w:uiPriority w:val="99"/>
    <w:pPr>
      <w:tabs>
        <w:tab w:val="left" w:pos="2940"/>
        <w:tab w:val="clear" w:pos="2520"/>
      </w:tabs>
      <w:ind w:left="2940"/>
      <w:outlineLvl w:val="5"/>
    </w:pPr>
  </w:style>
  <w:style w:type="paragraph" w:customStyle="1" w:styleId="796">
    <w:name w:val="目录3"/>
    <w:basedOn w:val="1"/>
    <w:qFormat/>
    <w:uiPriority w:val="99"/>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qFormat/>
    <w:uiPriority w:val="99"/>
    <w:rPr>
      <w:rFonts w:ascii="仿宋_GB2312" w:eastAsia="仿宋_GB2312"/>
      <w:b/>
      <w:sz w:val="32"/>
      <w:szCs w:val="32"/>
    </w:rPr>
  </w:style>
  <w:style w:type="paragraph" w:customStyle="1" w:styleId="798">
    <w:name w:val="style3"/>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qFormat/>
    <w:uiPriority w:val="99"/>
    <w:pPr>
      <w:adjustRightInd/>
      <w:spacing w:line="360" w:lineRule="auto"/>
      <w:ind w:firstLine="420" w:firstLineChars="200"/>
    </w:pPr>
    <w:rPr>
      <w:rFonts w:ascii="Calibri" w:hAnsi="Calibri"/>
      <w:sz w:val="24"/>
      <w:szCs w:val="22"/>
    </w:rPr>
  </w:style>
  <w:style w:type="paragraph" w:customStyle="1" w:styleId="800">
    <w:name w:val="首行缩进"/>
    <w:basedOn w:val="1"/>
    <w:qFormat/>
    <w:uiPriority w:val="99"/>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qFormat/>
    <w:uiPriority w:val="99"/>
    <w:rPr>
      <w:rFonts w:ascii="Tahoma" w:hAnsi="Tahoma"/>
      <w:sz w:val="24"/>
      <w:szCs w:val="20"/>
    </w:rPr>
  </w:style>
  <w:style w:type="paragraph" w:customStyle="1" w:styleId="802">
    <w:name w:val="单元格左对齐"/>
    <w:basedOn w:val="1"/>
    <w:qFormat/>
    <w:uiPriority w:val="99"/>
    <w:pPr>
      <w:adjustRightInd/>
      <w:spacing w:line="360" w:lineRule="auto"/>
    </w:pPr>
    <w:rPr>
      <w:sz w:val="24"/>
    </w:rPr>
  </w:style>
  <w:style w:type="paragraph" w:customStyle="1" w:styleId="803">
    <w:name w:val="正文主体"/>
    <w:basedOn w:val="624"/>
    <w:qFormat/>
    <w:uiPriority w:val="99"/>
  </w:style>
  <w:style w:type="paragraph" w:customStyle="1" w:styleId="804">
    <w:name w:val="font6"/>
    <w:basedOn w:val="1"/>
    <w:qFormat/>
    <w:uiPriority w:val="99"/>
    <w:pPr>
      <w:widowControl/>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05">
    <w:name w:val="Char3 Char Char Char Char Char Char1"/>
    <w:basedOn w:val="1"/>
    <w:qFormat/>
    <w:uiPriority w:val="99"/>
    <w:pPr>
      <w:adjustRightInd/>
      <w:spacing w:line="360" w:lineRule="auto"/>
    </w:pPr>
    <w:rPr>
      <w:rFonts w:ascii="Arial" w:hAnsi="Arial" w:eastAsia="黑体" w:cs="Arial"/>
      <w:kern w:val="0"/>
      <w:szCs w:val="21"/>
    </w:rPr>
  </w:style>
  <w:style w:type="paragraph" w:customStyle="1" w:styleId="806">
    <w:name w:val="样式 首行缩进:  2 字符"/>
    <w:basedOn w:val="1"/>
    <w:qFormat/>
    <w:uiPriority w:val="99"/>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qFormat/>
    <w:uiPriority w:val="99"/>
    <w:pPr>
      <w:adjustRightInd/>
      <w:spacing w:line="360" w:lineRule="auto"/>
      <w:ind w:firstLine="480" w:firstLineChars="200"/>
    </w:pPr>
    <w:rPr>
      <w:sz w:val="24"/>
      <w:szCs w:val="20"/>
    </w:rPr>
  </w:style>
  <w:style w:type="paragraph" w:customStyle="1" w:styleId="808">
    <w:name w:val="P1"/>
    <w:basedOn w:val="1"/>
    <w:qFormat/>
    <w:uiPriority w:val="99"/>
    <w:pPr>
      <w:adjustRightInd/>
      <w:spacing w:line="288" w:lineRule="auto"/>
      <w:ind w:firstLine="425" w:firstLineChars="200"/>
    </w:pPr>
  </w:style>
  <w:style w:type="paragraph" w:customStyle="1" w:styleId="809">
    <w:name w:val="列表内容"/>
    <w:basedOn w:val="1"/>
    <w:next w:val="1"/>
    <w:qFormat/>
    <w:uiPriority w:val="99"/>
    <w:pPr>
      <w:widowControl/>
      <w:tabs>
        <w:tab w:val="left" w:pos="840"/>
      </w:tabs>
      <w:ind w:left="840" w:hanging="420"/>
      <w:jc w:val="left"/>
    </w:pPr>
    <w:rPr>
      <w:kern w:val="0"/>
      <w:sz w:val="18"/>
    </w:rPr>
  </w:style>
  <w:style w:type="paragraph" w:customStyle="1" w:styleId="810">
    <w:name w:val="Char Char11 Char Char Char1"/>
    <w:basedOn w:val="1"/>
    <w:qFormat/>
    <w:uiPriority w:val="99"/>
    <w:pPr>
      <w:spacing w:line="360" w:lineRule="auto"/>
    </w:pPr>
    <w:rPr>
      <w:szCs w:val="20"/>
    </w:rPr>
  </w:style>
  <w:style w:type="paragraph" w:customStyle="1" w:styleId="811">
    <w:name w:val="默认段落字体 Para Char Char Char Char Char Char Char Char Char1 Char Char Char Char"/>
    <w:basedOn w:val="1"/>
    <w:qFormat/>
    <w:uiPriority w:val="99"/>
    <w:pPr>
      <w:adjustRightInd/>
    </w:pPr>
    <w:rPr>
      <w:rFonts w:ascii="Tahoma" w:hAnsi="Tahoma"/>
      <w:sz w:val="24"/>
      <w:szCs w:val="20"/>
    </w:rPr>
  </w:style>
  <w:style w:type="paragraph" w:customStyle="1" w:styleId="812">
    <w:name w:val="Char Char Char Char Char Char11"/>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13">
    <w:name w:val="标题 41"/>
    <w:basedOn w:val="1"/>
    <w:next w:val="1"/>
    <w:qFormat/>
    <w:uiPriority w:val="9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815">
    <w:name w:val="正文文字缩进2字"/>
    <w:basedOn w:val="24"/>
    <w:qFormat/>
    <w:uiPriority w:val="99"/>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qFormat/>
    <w:uiPriority w:val="99"/>
    <w:pPr>
      <w:spacing w:line="360" w:lineRule="auto"/>
    </w:pPr>
    <w:rPr>
      <w:szCs w:val="20"/>
    </w:rPr>
  </w:style>
  <w:style w:type="paragraph" w:customStyle="1" w:styleId="817">
    <w:name w:val="正文4"/>
    <w:basedOn w:val="1"/>
    <w:qFormat/>
    <w:uiPriority w:val="99"/>
    <w:pPr>
      <w:tabs>
        <w:tab w:val="left" w:pos="720"/>
      </w:tabs>
      <w:adjustRightInd/>
      <w:spacing w:before="60" w:after="60" w:line="360" w:lineRule="auto"/>
      <w:ind w:left="575" w:leftChars="400" w:hanging="175" w:hangingChars="175"/>
    </w:pPr>
    <w:rPr>
      <w:sz w:val="24"/>
    </w:rPr>
  </w:style>
  <w:style w:type="paragraph" w:customStyle="1" w:styleId="818">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qFormat/>
    <w:uiPriority w:val="99"/>
    <w:rPr>
      <w:rFonts w:ascii="仿宋_GB2312" w:eastAsia="仿宋_GB2312"/>
      <w:b/>
      <w:sz w:val="32"/>
      <w:szCs w:val="32"/>
    </w:rPr>
  </w:style>
  <w:style w:type="paragraph" w:customStyle="1" w:styleId="820">
    <w:name w:val="Char1 Char Char Char Char Char Char Char Char Char"/>
    <w:basedOn w:val="1"/>
    <w:qFormat/>
    <w:uiPriority w:val="99"/>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qFormat/>
    <w:uiPriority w:val="99"/>
    <w:pPr>
      <w:widowControl/>
      <w:spacing w:after="160" w:line="240" w:lineRule="exact"/>
      <w:jc w:val="left"/>
    </w:pPr>
    <w:rPr>
      <w:rFonts w:ascii="Arial" w:hAnsi="Arial" w:cs="Verdana"/>
      <w:b/>
      <w:kern w:val="0"/>
      <w:sz w:val="24"/>
      <w:szCs w:val="20"/>
      <w:lang w:eastAsia="en-US"/>
    </w:rPr>
  </w:style>
  <w:style w:type="paragraph" w:customStyle="1" w:styleId="822">
    <w:name w:val="正文 首行缩进:  2 字符 Char"/>
    <w:basedOn w:val="1"/>
    <w:qFormat/>
    <w:uiPriority w:val="99"/>
    <w:pPr>
      <w:adjustRightInd/>
      <w:spacing w:line="360" w:lineRule="auto"/>
      <w:ind w:firstLine="480"/>
    </w:pPr>
    <w:rPr>
      <w:rFonts w:cs="宋体"/>
      <w:sz w:val="24"/>
      <w:szCs w:val="20"/>
    </w:rPr>
  </w:style>
  <w:style w:type="paragraph" w:customStyle="1" w:styleId="823">
    <w:name w:val="Char Char4 Char Char"/>
    <w:basedOn w:val="1"/>
    <w:qFormat/>
    <w:uiPriority w:val="99"/>
    <w:pPr>
      <w:widowControl/>
      <w:adjustRightInd/>
      <w:spacing w:after="160" w:line="240" w:lineRule="exact"/>
      <w:jc w:val="left"/>
    </w:pPr>
  </w:style>
  <w:style w:type="paragraph" w:customStyle="1" w:styleId="824">
    <w:name w:val="目录2"/>
    <w:basedOn w:val="1"/>
    <w:qFormat/>
    <w:uiPriority w:val="99"/>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qFormat/>
    <w:uiPriority w:val="99"/>
    <w:pPr>
      <w:spacing w:line="360" w:lineRule="auto"/>
    </w:pPr>
    <w:rPr>
      <w:szCs w:val="20"/>
    </w:rPr>
  </w:style>
  <w:style w:type="paragraph" w:customStyle="1" w:styleId="826">
    <w:name w:val="9"/>
    <w:qFormat/>
    <w:uiPriority w:val="99"/>
    <w:pPr>
      <w:widowControl w:val="0"/>
      <w:autoSpaceDE w:val="0"/>
      <w:autoSpaceDN w:val="0"/>
      <w:adjustRightInd w:val="0"/>
      <w:jc w:val="both"/>
    </w:pPr>
    <w:rPr>
      <w:rFonts w:ascii="宋体" w:hAnsi="Times New Roman" w:eastAsia="宋体" w:cs="Times New Roman"/>
      <w:b/>
      <w:bCs/>
      <w:color w:val="000000"/>
      <w:spacing w:val="15"/>
      <w:kern w:val="0"/>
      <w:sz w:val="18"/>
      <w:szCs w:val="18"/>
      <w:lang w:val="en-US" w:eastAsia="zh-CN" w:bidi="ar-SA"/>
    </w:rPr>
  </w:style>
  <w:style w:type="paragraph" w:customStyle="1" w:styleId="827">
    <w:name w:val="Char3 Char Char2"/>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828">
    <w:name w:val="数字标题4"/>
    <w:basedOn w:val="7"/>
    <w:qFormat/>
    <w:uiPriority w:val="99"/>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qFormat/>
    <w:uiPriority w:val="99"/>
    <w:pPr>
      <w:adjustRightInd/>
      <w:spacing w:before="20" w:after="20"/>
      <w:ind w:firstLine="200" w:firstLineChars="200"/>
    </w:pPr>
    <w:rPr>
      <w:rFonts w:ascii="Century Gothic" w:hAnsi="Century Gothic"/>
      <w:sz w:val="24"/>
      <w:szCs w:val="20"/>
    </w:rPr>
  </w:style>
  <w:style w:type="paragraph" w:customStyle="1" w:styleId="830">
    <w:name w:val="插图说明"/>
    <w:basedOn w:val="1"/>
    <w:qFormat/>
    <w:uiPriority w:val="99"/>
    <w:pPr>
      <w:spacing w:after="240"/>
      <w:ind w:firstLine="200" w:firstLineChars="200"/>
      <w:jc w:val="center"/>
      <w:textAlignment w:val="baseline"/>
    </w:pPr>
    <w:rPr>
      <w:rFonts w:eastAsia="黑体"/>
      <w:sz w:val="24"/>
      <w:szCs w:val="20"/>
    </w:rPr>
  </w:style>
  <w:style w:type="paragraph" w:customStyle="1" w:styleId="831">
    <w:name w:val="chart text"/>
    <w:basedOn w:val="1"/>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qFormat/>
    <w:uiPriority w:val="99"/>
    <w:pPr>
      <w:adjustRightInd/>
      <w:ind w:firstLine="200" w:firstLineChars="200"/>
    </w:pPr>
    <w:rPr>
      <w:rFonts w:ascii="Tahoma" w:hAnsi="Tahoma"/>
      <w:sz w:val="24"/>
      <w:szCs w:val="20"/>
    </w:rPr>
  </w:style>
  <w:style w:type="paragraph" w:customStyle="1" w:styleId="833">
    <w:name w:val="正文文本 23"/>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834">
    <w:name w:val="dash bullet"/>
    <w:qFormat/>
    <w:uiPriority w:val="99"/>
    <w:pPr>
      <w:tabs>
        <w:tab w:val="left" w:pos="187"/>
        <w:tab w:val="left" w:pos="360"/>
      </w:tabs>
      <w:spacing w:after="20"/>
      <w:ind w:left="374" w:hanging="187"/>
    </w:pPr>
    <w:rPr>
      <w:rFonts w:ascii="Futura Bk" w:hAnsi="Futura Bk" w:eastAsia="宋体" w:cs="Times New Roman"/>
      <w:kern w:val="0"/>
      <w:sz w:val="18"/>
      <w:szCs w:val="20"/>
      <w:lang w:val="en-US" w:eastAsia="en-US" w:bidi="ar-SA"/>
    </w:rPr>
  </w:style>
  <w:style w:type="paragraph" w:customStyle="1" w:styleId="835">
    <w:name w:val="正文 内标"/>
    <w:basedOn w:val="750"/>
    <w:qFormat/>
    <w:uiPriority w:val="99"/>
    <w:pPr>
      <w:tabs>
        <w:tab w:val="left" w:pos="0"/>
      </w:tabs>
      <w:ind w:left="900" w:firstLine="0" w:firstLineChars="0"/>
    </w:pPr>
  </w:style>
  <w:style w:type="paragraph" w:customStyle="1" w:styleId="836">
    <w:name w:val="Bulleted List"/>
    <w:basedOn w:val="1"/>
    <w:qFormat/>
    <w:uiPriority w:val="99"/>
    <w:pPr>
      <w:tabs>
        <w:tab w:val="left" w:pos="1260"/>
      </w:tabs>
      <w:adjustRightInd/>
      <w:ind w:left="1260" w:hanging="420"/>
    </w:pPr>
  </w:style>
  <w:style w:type="paragraph" w:customStyle="1" w:styleId="837">
    <w:name w:val="样式 正文文本缩进 2 + 仿宋_GB2312 黑色 行距: 1.5 倍行距"/>
    <w:basedOn w:val="39"/>
    <w:qFormat/>
    <w:uiPriority w:val="99"/>
    <w:pPr>
      <w:adjustRightInd/>
      <w:ind w:firstLine="560" w:firstLineChars="200"/>
      <w:textAlignment w:val="auto"/>
    </w:pPr>
    <w:rPr>
      <w:rFonts w:hAnsi="宋体" w:cs="宋体"/>
      <w:color w:val="000000"/>
      <w:kern w:val="2"/>
      <w:sz w:val="24"/>
    </w:rPr>
  </w:style>
  <w:style w:type="paragraph" w:customStyle="1" w:styleId="838">
    <w:name w:val="样式 左侧:  0.85 厘米"/>
    <w:basedOn w:val="1"/>
    <w:qFormat/>
    <w:uiPriority w:val="99"/>
    <w:pPr>
      <w:adjustRightInd/>
      <w:spacing w:line="360" w:lineRule="auto"/>
    </w:pPr>
    <w:rPr>
      <w:rFonts w:cs="宋体"/>
      <w:sz w:val="24"/>
      <w:szCs w:val="20"/>
    </w:rPr>
  </w:style>
  <w:style w:type="paragraph" w:customStyle="1" w:styleId="839">
    <w:name w:val="Char Char Char Char Char Char Char Char Char Char Char Char1 Char"/>
    <w:basedOn w:val="1"/>
    <w:qFormat/>
    <w:uiPriority w:val="99"/>
    <w:rPr>
      <w:rFonts w:ascii="Tahoma" w:hAnsi="Tahoma" w:cs="仿宋_GB2312"/>
      <w:sz w:val="24"/>
      <w:szCs w:val="20"/>
    </w:rPr>
  </w:style>
  <w:style w:type="paragraph" w:customStyle="1" w:styleId="840">
    <w:name w:val="正文1"/>
    <w:basedOn w:val="34"/>
    <w:qFormat/>
    <w:uiPriority w:val="99"/>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qFormat/>
    <w:uiPriority w:val="99"/>
    <w:pPr>
      <w:adjustRightInd/>
      <w:spacing w:line="360" w:lineRule="auto"/>
    </w:pPr>
    <w:rPr>
      <w:rFonts w:ascii="Arial" w:hAnsi="Arial" w:eastAsia="黑体"/>
      <w:kern w:val="0"/>
      <w:sz w:val="20"/>
      <w:szCs w:val="21"/>
    </w:rPr>
  </w:style>
  <w:style w:type="paragraph" w:customStyle="1" w:styleId="842">
    <w:name w:val="xl8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6"/>
    <w:qFormat/>
    <w:uiPriority w:val="99"/>
    <w:pPr>
      <w:adjustRightInd/>
      <w:spacing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qFormat/>
    <w:uiPriority w:val="99"/>
    <w:rPr>
      <w:rFonts w:ascii="仿宋_GB2312" w:eastAsia="仿宋_GB2312"/>
      <w:b/>
      <w:sz w:val="32"/>
      <w:szCs w:val="20"/>
    </w:rPr>
  </w:style>
  <w:style w:type="paragraph" w:customStyle="1" w:styleId="845">
    <w:name w:val="font8"/>
    <w:basedOn w:val="1"/>
    <w:qFormat/>
    <w:uiPriority w:val="99"/>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qFormat/>
    <w:uiPriority w:val="99"/>
    <w:rPr>
      <w:rFonts w:ascii="仿宋_GB2312" w:eastAsia="仿宋_GB2312"/>
      <w:b/>
      <w:sz w:val="32"/>
      <w:szCs w:val="20"/>
    </w:rPr>
  </w:style>
  <w:style w:type="paragraph" w:customStyle="1" w:styleId="847">
    <w:name w:val="font13"/>
    <w:basedOn w:val="1"/>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qFormat/>
    <w:uiPriority w:val="99"/>
    <w:pPr>
      <w:adjustRightInd/>
    </w:pPr>
    <w:rPr>
      <w:rFonts w:ascii="Tahoma" w:hAnsi="Tahoma"/>
      <w:color w:val="000000"/>
      <w:sz w:val="24"/>
      <w:szCs w:val="20"/>
    </w:rPr>
  </w:style>
  <w:style w:type="paragraph" w:customStyle="1" w:styleId="849">
    <w:name w:val="legal"/>
    <w:basedOn w:val="1"/>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qFormat/>
    <w:uiPriority w:val="99"/>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qFormat/>
    <w:uiPriority w:val="99"/>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qFormat/>
    <w:uiPriority w:val="99"/>
    <w:pPr>
      <w:spacing w:line="360" w:lineRule="auto"/>
      <w:ind w:firstLine="200" w:firstLineChars="200"/>
    </w:pPr>
    <w:rPr>
      <w:rFonts w:eastAsia="楷体_GB2312" w:cs="Lucida Sans"/>
      <w:sz w:val="24"/>
    </w:rPr>
  </w:style>
  <w:style w:type="paragraph" w:customStyle="1" w:styleId="854">
    <w:name w:val="xl8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qFormat/>
    <w:uiPriority w:val="99"/>
    <w:pPr>
      <w:adjustRightInd/>
    </w:pPr>
    <w:rPr>
      <w:rFonts w:ascii="仿宋_GB2312" w:eastAsia="仿宋_GB2312"/>
      <w:b/>
      <w:sz w:val="32"/>
      <w:szCs w:val="32"/>
    </w:rPr>
  </w:style>
  <w:style w:type="paragraph" w:customStyle="1" w:styleId="857">
    <w:name w:val="样式 标题 3h33rd level3Heading 3 - oldH3l3CTheading 3Headin..."/>
    <w:basedOn w:val="5"/>
    <w:qFormat/>
    <w:uiPriority w:val="99"/>
    <w:pPr>
      <w:snapToGrid w:val="0"/>
      <w:ind w:left="0" w:firstLine="0"/>
      <w:jc w:val="left"/>
    </w:pPr>
    <w:rPr>
      <w:rFonts w:eastAsia="黑体" w:cs="宋体"/>
      <w:sz w:val="28"/>
      <w:szCs w:val="20"/>
    </w:rPr>
  </w:style>
  <w:style w:type="paragraph" w:customStyle="1" w:styleId="858">
    <w:name w:val="Char Char Char Char Char Char1"/>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qFormat/>
    <w:uiPriority w:val="99"/>
    <w:pPr>
      <w:widowControl/>
      <w:spacing w:after="160" w:line="240" w:lineRule="exact"/>
      <w:jc w:val="left"/>
    </w:pPr>
    <w:rPr>
      <w:rFonts w:eastAsia="仿宋_GB2312"/>
      <w:sz w:val="28"/>
    </w:rPr>
  </w:style>
  <w:style w:type="paragraph" w:customStyle="1" w:styleId="861">
    <w:name w:val="Char21"/>
    <w:basedOn w:val="1"/>
    <w:qFormat/>
    <w:uiPriority w:val="99"/>
    <w:pPr>
      <w:adjustRightInd/>
      <w:ind w:firstLine="200" w:firstLineChars="200"/>
    </w:pPr>
    <w:rPr>
      <w:rFonts w:ascii="仿宋_GB2312" w:eastAsia="仿宋_GB2312"/>
      <w:b/>
      <w:sz w:val="32"/>
      <w:szCs w:val="32"/>
    </w:rPr>
  </w:style>
  <w:style w:type="paragraph" w:customStyle="1" w:styleId="862">
    <w:name w:val="列表段落1"/>
    <w:basedOn w:val="1"/>
    <w:qFormat/>
    <w:uiPriority w:val="99"/>
    <w:pPr>
      <w:adjustRightInd/>
      <w:ind w:right="238" w:firstLine="420"/>
    </w:pPr>
    <w:rPr>
      <w:rFonts w:ascii="Calibri" w:hAnsi="Calibri"/>
      <w:sz w:val="24"/>
    </w:rPr>
  </w:style>
  <w:style w:type="paragraph" w:customStyle="1" w:styleId="863">
    <w:name w:val="Char Char110"/>
    <w:basedOn w:val="1"/>
    <w:qFormat/>
    <w:uiPriority w:val="99"/>
    <w:pPr>
      <w:spacing w:line="360" w:lineRule="auto"/>
    </w:pPr>
    <w:rPr>
      <w:rFonts w:ascii="Tahoma" w:hAnsi="Tahoma"/>
      <w:sz w:val="24"/>
      <w:szCs w:val="20"/>
    </w:rPr>
  </w:style>
  <w:style w:type="paragraph" w:customStyle="1" w:styleId="864">
    <w:name w:val="xl80"/>
    <w:basedOn w:val="1"/>
    <w:qFormat/>
    <w:uiPriority w:val="99"/>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866">
    <w:name w:val="表正文"/>
    <w:qFormat/>
    <w:uiPriority w:val="99"/>
    <w:pPr>
      <w:snapToGrid w:val="0"/>
      <w:spacing w:line="600" w:lineRule="atLeast"/>
      <w:ind w:firstLine="641"/>
      <w:jc w:val="both"/>
    </w:pPr>
    <w:rPr>
      <w:rFonts w:ascii="Times New Roman" w:hAnsi="Times New Roman" w:eastAsia="仿宋_GB2312" w:cs="Times New Roman"/>
      <w:kern w:val="0"/>
      <w:sz w:val="32"/>
      <w:szCs w:val="20"/>
      <w:lang w:val="en-US" w:eastAsia="zh-CN" w:bidi="ar-SA"/>
    </w:rPr>
  </w:style>
  <w:style w:type="paragraph" w:customStyle="1" w:styleId="867">
    <w:name w:val="浅色底纹 - 强调文字颜色 51"/>
    <w:qFormat/>
    <w:uiPriority w:val="99"/>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qFormat/>
    <w:uiPriority w:val="99"/>
    <w:rPr>
      <w:rFonts w:ascii="Tahoma" w:hAnsi="Tahoma" w:cs="仿宋_GB2312"/>
      <w:sz w:val="24"/>
      <w:szCs w:val="20"/>
    </w:rPr>
  </w:style>
  <w:style w:type="paragraph" w:customStyle="1" w:styleId="869">
    <w:name w:val="样式9"/>
    <w:basedOn w:val="1"/>
    <w:qFormat/>
    <w:uiPriority w:val="99"/>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qFormat/>
    <w:uiPriority w:val="99"/>
    <w:pPr>
      <w:adjustRightInd/>
      <w:snapToGrid w:val="0"/>
      <w:spacing w:line="360" w:lineRule="auto"/>
    </w:pPr>
    <w:rPr>
      <w:rFonts w:ascii="Arial" w:hAnsi="Arial" w:eastAsia="黑体"/>
      <w:kern w:val="0"/>
      <w:sz w:val="20"/>
      <w:szCs w:val="21"/>
    </w:rPr>
  </w:style>
  <w:style w:type="paragraph" w:customStyle="1" w:styleId="871">
    <w:name w:val="样式 列表编号 + 段后: 0.5 行"/>
    <w:basedOn w:val="16"/>
    <w:qFormat/>
    <w:uiPriority w:val="99"/>
    <w:pPr>
      <w:tabs>
        <w:tab w:val="clear" w:pos="390"/>
        <w:tab w:val="clear" w:pos="454"/>
      </w:tabs>
      <w:ind w:left="840" w:hanging="420"/>
      <w:contextualSpacing/>
    </w:pPr>
    <w:rPr>
      <w:rFonts w:cs="宋体"/>
    </w:rPr>
  </w:style>
  <w:style w:type="paragraph" w:customStyle="1" w:styleId="872">
    <w:name w:val="Char Char Char Char Char Char Char Char Char"/>
    <w:basedOn w:val="1"/>
    <w:qFormat/>
    <w:uiPriority w:val="99"/>
    <w:pPr>
      <w:adjustRightInd/>
      <w:ind w:firstLine="200" w:firstLineChars="200"/>
    </w:pPr>
    <w:rPr>
      <w:rFonts w:ascii="Tahoma" w:hAnsi="Tahoma"/>
      <w:sz w:val="24"/>
      <w:szCs w:val="20"/>
    </w:rPr>
  </w:style>
  <w:style w:type="paragraph" w:customStyle="1" w:styleId="873">
    <w:name w:val="_Style 12"/>
    <w:basedOn w:val="19"/>
    <w:qFormat/>
    <w:uiPriority w:val="99"/>
    <w:pPr>
      <w:snapToGrid w:val="0"/>
      <w:spacing w:line="360" w:lineRule="auto"/>
    </w:pPr>
  </w:style>
  <w:style w:type="paragraph" w:customStyle="1" w:styleId="874">
    <w:name w:val="样式 首行缩进:  0 字符"/>
    <w:basedOn w:val="1"/>
    <w:qFormat/>
    <w:uiPriority w:val="99"/>
    <w:pPr>
      <w:adjustRightInd/>
      <w:spacing w:line="360" w:lineRule="auto"/>
      <w:ind w:firstLine="200" w:firstLineChars="200"/>
    </w:pPr>
    <w:rPr>
      <w:rFonts w:ascii="Arial" w:hAnsi="Arial" w:cs="宋体"/>
      <w:sz w:val="24"/>
      <w:szCs w:val="20"/>
    </w:rPr>
  </w:style>
  <w:style w:type="paragraph" w:customStyle="1" w:styleId="875">
    <w:name w:val="Char1 Char Char Char6"/>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74"/>
    <w:qFormat/>
    <w:uiPriority w:val="99"/>
    <w:pPr>
      <w:adjustRightInd/>
      <w:spacing w:line="360" w:lineRule="auto"/>
      <w:ind w:firstLine="200" w:firstLineChars="200"/>
    </w:pPr>
    <w:rPr>
      <w:rFonts w:ascii="Calibri" w:hAnsi="Calibri"/>
      <w:sz w:val="28"/>
      <w:szCs w:val="20"/>
    </w:rPr>
  </w:style>
  <w:style w:type="paragraph" w:customStyle="1" w:styleId="877">
    <w:name w:val="方案正文"/>
    <w:basedOn w:val="1"/>
    <w:qFormat/>
    <w:uiPriority w:val="99"/>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qFormat/>
    <w:uiPriority w:val="99"/>
    <w:pPr>
      <w:widowControl w:val="0"/>
      <w:jc w:val="both"/>
    </w:pPr>
    <w:rPr>
      <w:rFonts w:ascii="Times New Roman" w:hAnsi="Times New Roman" w:eastAsia="宋体" w:cs="Arial Unicode MS"/>
      <w:color w:val="000000"/>
      <w:kern w:val="2"/>
      <w:sz w:val="21"/>
      <w:szCs w:val="21"/>
      <w:u w:color="000000"/>
      <w:lang w:val="en-US" w:eastAsia="zh-CN" w:bidi="ar-SA"/>
    </w:rPr>
  </w:style>
  <w:style w:type="paragraph" w:customStyle="1" w:styleId="879">
    <w:name w:val="正文 A 主体"/>
    <w:basedOn w:val="1"/>
    <w:qFormat/>
    <w:uiPriority w:val="99"/>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qFormat/>
    <w:uiPriority w:val="99"/>
    <w:pPr>
      <w:outlineLvl w:val="2"/>
    </w:pPr>
  </w:style>
  <w:style w:type="paragraph" w:customStyle="1" w:styleId="881">
    <w:name w:val="xl7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qFormat/>
    <w:uiPriority w:val="99"/>
    <w:pPr>
      <w:adjustRightInd/>
      <w:ind w:firstLine="200" w:firstLineChars="200"/>
    </w:pPr>
    <w:rPr>
      <w:rFonts w:ascii="Tahoma" w:hAnsi="Tahoma"/>
      <w:sz w:val="24"/>
      <w:szCs w:val="20"/>
    </w:rPr>
  </w:style>
  <w:style w:type="paragraph" w:customStyle="1" w:styleId="883">
    <w:name w:val="GP正文(首行缩进)"/>
    <w:basedOn w:val="1"/>
    <w:qFormat/>
    <w:uiPriority w:val="99"/>
    <w:pPr>
      <w:adjustRightInd/>
      <w:spacing w:line="360" w:lineRule="auto"/>
      <w:ind w:firstLine="200" w:firstLineChars="200"/>
    </w:pPr>
    <w:rPr>
      <w:rFonts w:eastAsia="仿宋_GB2312"/>
      <w:sz w:val="28"/>
      <w:szCs w:val="21"/>
    </w:rPr>
  </w:style>
  <w:style w:type="paragraph" w:customStyle="1" w:styleId="884">
    <w:name w:val="MM Empty"/>
    <w:basedOn w:val="1"/>
    <w:qFormat/>
    <w:uiPriority w:val="99"/>
    <w:pPr>
      <w:adjustRightInd/>
    </w:pPr>
  </w:style>
  <w:style w:type="paragraph" w:customStyle="1" w:styleId="885">
    <w:name w:val="Char24"/>
    <w:basedOn w:val="1"/>
    <w:qFormat/>
    <w:uiPriority w:val="99"/>
    <w:rPr>
      <w:rFonts w:ascii="仿宋_GB2312" w:eastAsia="仿宋_GB2312"/>
      <w:b/>
      <w:sz w:val="32"/>
      <w:szCs w:val="32"/>
    </w:rPr>
  </w:style>
  <w:style w:type="paragraph" w:customStyle="1" w:styleId="886">
    <w:name w:val="正文箭头"/>
    <w:basedOn w:val="538"/>
    <w:qFormat/>
    <w:uiPriority w:val="99"/>
  </w:style>
  <w:style w:type="paragraph" w:customStyle="1" w:styleId="887">
    <w:name w:val="U_编号2"/>
    <w:basedOn w:val="1"/>
    <w:qFormat/>
    <w:uiPriority w:val="99"/>
    <w:pPr>
      <w:tabs>
        <w:tab w:val="left" w:pos="785"/>
      </w:tabs>
      <w:adjustRightInd/>
      <w:spacing w:beforeLines="10" w:afterLines="10" w:line="300" w:lineRule="auto"/>
    </w:pPr>
    <w:rPr>
      <w:sz w:val="24"/>
    </w:rPr>
  </w:style>
  <w:style w:type="paragraph" w:customStyle="1" w:styleId="888">
    <w:name w:val="xl72"/>
    <w:basedOn w:val="1"/>
    <w:qFormat/>
    <w:uiPriority w:val="99"/>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5"/>
    <w:qFormat/>
    <w:uiPriority w:val="99"/>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3"/>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qFormat/>
    <w:uiPriority w:val="99"/>
    <w:pPr>
      <w:adjustRightInd/>
      <w:ind w:firstLine="420" w:firstLineChars="200"/>
    </w:pPr>
    <w:rPr>
      <w:rFonts w:eastAsia="仿宋_GB2312"/>
      <w:sz w:val="28"/>
    </w:rPr>
  </w:style>
  <w:style w:type="paragraph" w:customStyle="1" w:styleId="893">
    <w:name w:val="表格 内容"/>
    <w:basedOn w:val="729"/>
    <w:qFormat/>
    <w:uiPriority w:val="99"/>
    <w:rPr>
      <w:b w:val="0"/>
      <w:sz w:val="20"/>
    </w:rPr>
  </w:style>
  <w:style w:type="paragraph" w:customStyle="1" w:styleId="894">
    <w:name w:val="正文首行缩进1"/>
    <w:basedOn w:val="24"/>
    <w:qFormat/>
    <w:uiPriority w:val="99"/>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qFormat/>
    <w:uiPriority w:val="99"/>
    <w:pPr>
      <w:tabs>
        <w:tab w:val="left" w:pos="780"/>
      </w:tabs>
      <w:adjustRightInd/>
      <w:spacing w:line="360" w:lineRule="auto"/>
      <w:ind w:left="200" w:leftChars="200" w:firstLine="200" w:firstLineChars="200"/>
    </w:pPr>
    <w:rPr>
      <w:sz w:val="24"/>
    </w:rPr>
  </w:style>
  <w:style w:type="paragraph" w:customStyle="1" w:styleId="896">
    <w:name w:val="数字标题5"/>
    <w:basedOn w:val="8"/>
    <w:next w:val="1"/>
    <w:qFormat/>
    <w:uiPriority w:val="99"/>
    <w:pPr>
      <w:tabs>
        <w:tab w:val="left" w:pos="1080"/>
      </w:tabs>
      <w:ind w:left="1080" w:hanging="1080"/>
    </w:pPr>
  </w:style>
  <w:style w:type="paragraph" w:customStyle="1" w:styleId="897">
    <w:name w:val="数字标题1"/>
    <w:basedOn w:val="3"/>
    <w:next w:val="1"/>
    <w:qFormat/>
    <w:uiPriority w:val="99"/>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qFormat/>
    <w:uiPriority w:val="99"/>
    <w:pPr>
      <w:spacing w:line="360" w:lineRule="auto"/>
    </w:pPr>
    <w:rPr>
      <w:kern w:val="0"/>
      <w:sz w:val="24"/>
      <w:szCs w:val="20"/>
    </w:rPr>
  </w:style>
  <w:style w:type="paragraph" w:customStyle="1" w:styleId="899">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900">
    <w:name w:val="Body"/>
    <w:basedOn w:val="1"/>
    <w:qFormat/>
    <w:uiPriority w:val="99"/>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qFormat/>
    <w:uiPriority w:val="99"/>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qFormat/>
    <w:uiPriority w:val="99"/>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qFormat/>
    <w:uiPriority w:val="99"/>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qFormat/>
    <w:uiPriority w:val="99"/>
    <w:pPr>
      <w:widowControl/>
    </w:pPr>
    <w:rPr>
      <w:kern w:val="0"/>
      <w:sz w:val="24"/>
      <w:szCs w:val="20"/>
    </w:rPr>
  </w:style>
  <w:style w:type="paragraph" w:customStyle="1" w:styleId="905">
    <w:name w:val="Char Char113"/>
    <w:basedOn w:val="1"/>
    <w:qFormat/>
    <w:uiPriority w:val="99"/>
    <w:pPr>
      <w:widowControl/>
      <w:spacing w:after="160" w:line="240" w:lineRule="exact"/>
      <w:jc w:val="left"/>
    </w:pPr>
    <w:rPr>
      <w:rFonts w:eastAsia="仿宋_GB2312"/>
      <w:sz w:val="28"/>
    </w:rPr>
  </w:style>
  <w:style w:type="paragraph" w:customStyle="1" w:styleId="906">
    <w:name w:val="样式5"/>
    <w:basedOn w:val="1"/>
    <w:qFormat/>
    <w:uiPriority w:val="99"/>
    <w:pPr>
      <w:spacing w:line="440" w:lineRule="exact"/>
      <w:ind w:left="2" w:firstLine="480" w:firstLineChars="200"/>
    </w:pPr>
    <w:rPr>
      <w:rFonts w:ascii="仿宋_GB2312" w:hAnsi="仿宋" w:eastAsia="仿宋_GB2312"/>
      <w:sz w:val="24"/>
    </w:rPr>
  </w:style>
  <w:style w:type="paragraph" w:customStyle="1" w:styleId="907">
    <w:name w:val="_Style 8"/>
    <w:basedOn w:val="1"/>
    <w:qFormat/>
    <w:uiPriority w:val="99"/>
    <w:pPr>
      <w:adjustRightInd/>
      <w:ind w:firstLine="420" w:firstLineChars="200"/>
    </w:pPr>
    <w:rPr>
      <w:rFonts w:eastAsia="仿宋_GB2312"/>
      <w:sz w:val="28"/>
    </w:rPr>
  </w:style>
  <w:style w:type="paragraph" w:customStyle="1" w:styleId="908">
    <w:name w:val="xl9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qFormat/>
    <w:uiPriority w:val="99"/>
    <w:pPr>
      <w:adjustRightInd/>
      <w:spacing w:beforeLines="50" w:line="360" w:lineRule="auto"/>
      <w:ind w:firstLine="420"/>
    </w:pPr>
    <w:rPr>
      <w:rFonts w:cs="宋体"/>
      <w:sz w:val="24"/>
      <w:szCs w:val="20"/>
    </w:rPr>
  </w:style>
  <w:style w:type="paragraph" w:customStyle="1" w:styleId="910">
    <w:name w:val="xl2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qFormat/>
    <w:uiPriority w:val="99"/>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qFormat/>
    <w:uiPriority w:val="99"/>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qFormat/>
    <w:uiPriority w:val="99"/>
    <w:pPr>
      <w:widowControl/>
      <w:spacing w:after="160" w:line="240" w:lineRule="exact"/>
      <w:jc w:val="left"/>
    </w:pPr>
    <w:rPr>
      <w:rFonts w:eastAsia="仿宋_GB2312"/>
      <w:sz w:val="28"/>
    </w:rPr>
  </w:style>
  <w:style w:type="paragraph" w:customStyle="1" w:styleId="914">
    <w:name w:val="正文 图"/>
    <w:basedOn w:val="443"/>
    <w:qFormat/>
    <w:uiPriority w:val="99"/>
    <w:pPr>
      <w:adjustRightInd/>
      <w:spacing w:before="0"/>
      <w:ind w:firstLine="0"/>
      <w:jc w:val="center"/>
    </w:pPr>
    <w:rPr>
      <w:rFonts w:ascii="微软雅黑" w:hAnsi="微软雅黑"/>
    </w:rPr>
  </w:style>
  <w:style w:type="paragraph" w:customStyle="1" w:styleId="915">
    <w:name w:val="xl9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
    <w:basedOn w:val="1"/>
    <w:qFormat/>
    <w:uiPriority w:val="99"/>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2"/>
    <w:qFormat/>
    <w:uiPriority w:val="99"/>
    <w:pPr>
      <w:ind w:left="0"/>
    </w:pPr>
  </w:style>
  <w:style w:type="paragraph" w:customStyle="1" w:styleId="918">
    <w:name w:val="xl7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qFormat/>
    <w:uiPriority w:val="99"/>
    <w:pPr>
      <w:spacing w:after="60" w:line="240" w:lineRule="exact"/>
    </w:pPr>
    <w:rPr>
      <w:rFonts w:ascii="Arial" w:hAnsi="Arial" w:eastAsia="宋体" w:cs="Times New Roman"/>
      <w:b/>
      <w:kern w:val="0"/>
      <w:sz w:val="22"/>
      <w:szCs w:val="20"/>
      <w:lang w:val="en-US" w:eastAsia="en-US" w:bidi="ar-SA"/>
    </w:rPr>
  </w:style>
  <w:style w:type="paragraph" w:customStyle="1" w:styleId="920">
    <w:name w:val="注释"/>
    <w:basedOn w:val="1"/>
    <w:qFormat/>
    <w:uiPriority w:val="99"/>
    <w:pPr>
      <w:adjustRightInd/>
      <w:spacing w:line="360" w:lineRule="auto"/>
      <w:ind w:firstLine="480"/>
    </w:pPr>
    <w:rPr>
      <w:sz w:val="24"/>
    </w:rPr>
  </w:style>
  <w:style w:type="table" w:customStyle="1" w:styleId="921">
    <w:name w:val="网格型2"/>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qFormat/>
    <w:uiPriority w:val="99"/>
    <w:pPr>
      <w:ind w:firstLine="420" w:firstLineChars="200"/>
    </w:pPr>
  </w:style>
  <w:style w:type="character" w:customStyle="1" w:styleId="928">
    <w:name w:val="交叉引用"/>
    <w:qFormat/>
    <w:uiPriority w:val="99"/>
    <w:rPr>
      <w:rFonts w:ascii="Arial" w:hAnsi="Arial" w:eastAsia="黑体"/>
      <w:snapToGrid w:val="0"/>
      <w:color w:val="0000FF"/>
      <w:kern w:val="0"/>
      <w:sz w:val="21"/>
      <w:u w:val="single"/>
      <w:lang w:val="en-US" w:eastAsia="zh-CN"/>
    </w:rPr>
  </w:style>
  <w:style w:type="character" w:customStyle="1" w:styleId="929">
    <w:name w:val="正文缩进 字符1"/>
    <w:qFormat/>
    <w:uiPriority w:val="99"/>
    <w:rPr>
      <w:rFonts w:ascii="宋体" w:eastAsia="宋体"/>
      <w:snapToGrid w:val="0"/>
      <w:color w:val="000000"/>
      <w:kern w:val="28"/>
      <w:sz w:val="28"/>
      <w:lang w:val="en-US" w:eastAsia="zh-CN"/>
    </w:rPr>
  </w:style>
  <w:style w:type="character" w:customStyle="1" w:styleId="930">
    <w:name w:val="页脚 字符1"/>
    <w:qFormat/>
    <w:locked/>
    <w:uiPriority w:val="99"/>
    <w:rPr>
      <w:kern w:val="2"/>
      <w:sz w:val="18"/>
    </w:rPr>
  </w:style>
  <w:style w:type="character" w:customStyle="1" w:styleId="931">
    <w:name w:val="页眉 字符1"/>
    <w:qFormat/>
    <w:uiPriority w:val="99"/>
    <w:rPr>
      <w:kern w:val="2"/>
      <w:sz w:val="18"/>
    </w:rPr>
  </w:style>
  <w:style w:type="character" w:customStyle="1" w:styleId="932">
    <w:name w:val="No Spacing Char1"/>
    <w:link w:val="483"/>
    <w:qFormat/>
    <w:locked/>
    <w:uiPriority w:val="99"/>
    <w:rPr>
      <w:kern w:val="2"/>
      <w:sz w:val="22"/>
    </w:rPr>
  </w:style>
  <w:style w:type="character" w:customStyle="1" w:styleId="933">
    <w:name w:val="标准文本 Char Char"/>
    <w:link w:val="934"/>
    <w:qFormat/>
    <w:locked/>
    <w:uiPriority w:val="99"/>
    <w:rPr>
      <w:kern w:val="2"/>
      <w:sz w:val="24"/>
    </w:rPr>
  </w:style>
  <w:style w:type="paragraph" w:customStyle="1" w:styleId="934">
    <w:name w:val="标准文本"/>
    <w:basedOn w:val="1"/>
    <w:link w:val="933"/>
    <w:qFormat/>
    <w:uiPriority w:val="99"/>
    <w:pPr>
      <w:adjustRightInd/>
      <w:spacing w:line="360" w:lineRule="auto"/>
      <w:ind w:firstLine="480" w:firstLineChars="200"/>
    </w:pPr>
    <w:rPr>
      <w:sz w:val="24"/>
      <w:szCs w:val="20"/>
    </w:rPr>
  </w:style>
  <w:style w:type="character" w:customStyle="1" w:styleId="935">
    <w:name w:val="Char Char213"/>
    <w:qFormat/>
    <w:uiPriority w:val="99"/>
    <w:rPr>
      <w:rFonts w:eastAsia="Times New Roman"/>
      <w:b/>
      <w:kern w:val="44"/>
      <w:sz w:val="44"/>
      <w:lang w:val="en-US" w:eastAsia="zh-CN"/>
    </w:rPr>
  </w:style>
  <w:style w:type="character" w:customStyle="1" w:styleId="936">
    <w:name w:val="apple-style-span"/>
    <w:qFormat/>
    <w:uiPriority w:val="99"/>
    <w:rPr>
      <w:rFonts w:ascii="Arial" w:hAnsi="Arial" w:eastAsia="黑体"/>
      <w:snapToGrid w:val="0"/>
      <w:kern w:val="0"/>
      <w:sz w:val="21"/>
    </w:rPr>
  </w:style>
  <w:style w:type="character" w:customStyle="1" w:styleId="937">
    <w:name w:val="15"/>
    <w:qFormat/>
    <w:uiPriority w:val="99"/>
    <w:rPr>
      <w:rFonts w:ascii="Calibri" w:hAnsi="Calibri"/>
      <w:color w:val="0000FF"/>
      <w:u w:val="single"/>
    </w:rPr>
  </w:style>
  <w:style w:type="character" w:customStyle="1" w:styleId="938">
    <w:name w:val="16"/>
    <w:qFormat/>
    <w:uiPriority w:val="99"/>
    <w:rPr>
      <w:rFonts w:ascii="宋体" w:hAnsi="宋体" w:eastAsia="宋体"/>
      <w:color w:val="000000"/>
      <w:sz w:val="20"/>
    </w:rPr>
  </w:style>
  <w:style w:type="character" w:customStyle="1" w:styleId="939">
    <w:name w:val="edui-unclickable"/>
    <w:qFormat/>
    <w:uiPriority w:val="99"/>
    <w:rPr>
      <w:color w:val="808080"/>
    </w:rPr>
  </w:style>
  <w:style w:type="character" w:customStyle="1" w:styleId="940">
    <w:name w:val="tpc_content1"/>
    <w:qFormat/>
    <w:uiPriority w:val="99"/>
    <w:rPr>
      <w:sz w:val="20"/>
    </w:rPr>
  </w:style>
  <w:style w:type="character" w:customStyle="1" w:styleId="941">
    <w:name w:val="正文文本缩进 字符"/>
    <w:qFormat/>
    <w:uiPriority w:val="99"/>
    <w:rPr>
      <w:rFonts w:ascii="Century Gothic" w:hAnsi="Century Gothic" w:eastAsia="Times New Roman"/>
      <w:kern w:val="2"/>
      <w:sz w:val="24"/>
      <w:lang w:val="en-US" w:eastAsia="zh-CN"/>
    </w:rPr>
  </w:style>
  <w:style w:type="character" w:customStyle="1" w:styleId="942">
    <w:name w:val="正文文本 2 字符"/>
    <w:qFormat/>
    <w:uiPriority w:val="99"/>
    <w:rPr>
      <w:rFonts w:ascii="Arial" w:hAnsi="Arial" w:eastAsia="宋体"/>
      <w:kern w:val="2"/>
      <w:sz w:val="24"/>
      <w:lang w:val="en-US" w:eastAsia="zh-CN"/>
    </w:rPr>
  </w:style>
  <w:style w:type="character" w:customStyle="1" w:styleId="943">
    <w:name w:val="edui-clickable2"/>
    <w:qFormat/>
    <w:uiPriority w:val="99"/>
    <w:rPr>
      <w:color w:val="0000FF"/>
      <w:u w:val="single"/>
    </w:rPr>
  </w:style>
  <w:style w:type="character" w:customStyle="1" w:styleId="944">
    <w:name w:val="style1"/>
    <w:qFormat/>
    <w:uiPriority w:val="99"/>
    <w:rPr>
      <w:rFonts w:ascii="Arial" w:hAnsi="Arial" w:eastAsia="黑体"/>
      <w:snapToGrid w:val="0"/>
      <w:kern w:val="0"/>
      <w:sz w:val="21"/>
    </w:rPr>
  </w:style>
  <w:style w:type="character" w:customStyle="1" w:styleId="945">
    <w:name w:val="zbggtop11 style5"/>
    <w:qFormat/>
    <w:uiPriority w:val="99"/>
    <w:rPr>
      <w:rFonts w:ascii="Arial" w:hAnsi="Arial" w:eastAsia="黑体"/>
      <w:snapToGrid w:val="0"/>
      <w:kern w:val="0"/>
      <w:sz w:val="21"/>
    </w:rPr>
  </w:style>
  <w:style w:type="character" w:customStyle="1" w:styleId="946">
    <w:name w:val="纯文本 Char Char Char Char Char Char Char Char Char Char Char Char Char Char Char"/>
    <w:qFormat/>
    <w:uiPriority w:val="99"/>
    <w:rPr>
      <w:rFonts w:ascii="宋体" w:hAnsi="Courier New" w:eastAsia="宋体"/>
      <w:snapToGrid w:val="0"/>
      <w:sz w:val="21"/>
      <w:lang w:val="en-US" w:eastAsia="zh-CN"/>
    </w:rPr>
  </w:style>
  <w:style w:type="character" w:customStyle="1" w:styleId="947">
    <w:name w:val="bulletintext1"/>
    <w:qFormat/>
    <w:uiPriority w:val="99"/>
    <w:rPr>
      <w:color w:val="000000"/>
      <w:sz w:val="18"/>
    </w:rPr>
  </w:style>
  <w:style w:type="paragraph" w:customStyle="1" w:styleId="948">
    <w:name w:val="_Style 947"/>
    <w:basedOn w:val="1"/>
    <w:next w:val="274"/>
    <w:qFormat/>
    <w:uiPriority w:val="99"/>
    <w:pPr>
      <w:adjustRightInd/>
      <w:ind w:firstLine="420" w:firstLineChars="200"/>
    </w:pPr>
  </w:style>
  <w:style w:type="paragraph" w:customStyle="1" w:styleId="949">
    <w:name w:val="正文5"/>
    <w:qFormat/>
    <w:uiPriority w:val="99"/>
    <w:pPr>
      <w:jc w:val="both"/>
    </w:pPr>
    <w:rPr>
      <w:rFonts w:ascii="Times New Roman" w:hAnsi="Times New Roman" w:eastAsia="宋体" w:cs="宋体"/>
      <w:kern w:val="2"/>
      <w:sz w:val="21"/>
      <w:szCs w:val="21"/>
      <w:lang w:val="en-US" w:eastAsia="zh-CN" w:bidi="ar-SA"/>
    </w:rPr>
  </w:style>
  <w:style w:type="paragraph" w:customStyle="1" w:styleId="950">
    <w:name w:val="纯文本2"/>
    <w:basedOn w:val="1"/>
    <w:qFormat/>
    <w:uiPriority w:val="99"/>
    <w:pPr>
      <w:adjustRightInd/>
      <w:snapToGrid w:val="0"/>
      <w:jc w:val="left"/>
    </w:pPr>
    <w:rPr>
      <w:rFonts w:ascii="Century Gothic" w:hAnsi="楷体_GB2312" w:eastAsia="Times New Roman"/>
      <w:szCs w:val="20"/>
    </w:rPr>
  </w:style>
  <w:style w:type="paragraph" w:customStyle="1" w:styleId="951">
    <w:name w:val="*Body 1"/>
    <w:qFormat/>
    <w:uiPriority w:val="99"/>
    <w:pPr>
      <w:spacing w:after="240" w:line="360" w:lineRule="auto"/>
      <w:ind w:left="-1276" w:firstLine="454"/>
    </w:pPr>
    <w:rPr>
      <w:rFonts w:ascii="Times New Roman" w:hAnsi="Times New Roman" w:eastAsia="宋体" w:cs="Times New Roman"/>
      <w:kern w:val="0"/>
      <w:sz w:val="22"/>
      <w:szCs w:val="20"/>
      <w:lang w:val="en-US" w:eastAsia="en-US" w:bidi="ar-SA"/>
    </w:rPr>
  </w:style>
  <w:style w:type="paragraph" w:customStyle="1" w:styleId="952">
    <w:name w:val="font1"/>
    <w:basedOn w:val="1"/>
    <w:qFormat/>
    <w:uiPriority w:val="99"/>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4"/>
    <w:qFormat/>
    <w:uiPriority w:val="99"/>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qFormat/>
    <w:uiPriority w:val="99"/>
    <w:pPr>
      <w:autoSpaceDE w:val="0"/>
      <w:autoSpaceDN w:val="0"/>
      <w:spacing w:before="100" w:after="100"/>
      <w:ind w:left="360" w:right="360"/>
      <w:jc w:val="left"/>
    </w:pPr>
    <w:rPr>
      <w:kern w:val="0"/>
      <w:sz w:val="24"/>
      <w:szCs w:val="20"/>
    </w:rPr>
  </w:style>
  <w:style w:type="paragraph" w:customStyle="1" w:styleId="955">
    <w:name w:val="p1"/>
    <w:basedOn w:val="1"/>
    <w:qFormat/>
    <w:uiPriority w:val="99"/>
    <w:pPr>
      <w:widowControl/>
      <w:adjustRightInd/>
      <w:jc w:val="left"/>
    </w:pPr>
    <w:rPr>
      <w:rFonts w:ascii=".PingFang SC" w:eastAsia="Times New Roman"/>
      <w:color w:val="454545"/>
      <w:kern w:val="0"/>
      <w:sz w:val="18"/>
      <w:szCs w:val="18"/>
    </w:rPr>
  </w:style>
  <w:style w:type="paragraph" w:customStyle="1" w:styleId="956">
    <w:name w:val="Table Paragraph"/>
    <w:basedOn w:val="1"/>
    <w:qFormat/>
    <w:uiPriority w:val="99"/>
    <w:pPr>
      <w:adjustRightInd/>
      <w:jc w:val="left"/>
    </w:pPr>
    <w:rPr>
      <w:rFonts w:ascii="Calibri" w:hAnsi="Calibri"/>
      <w:kern w:val="0"/>
      <w:sz w:val="22"/>
      <w:szCs w:val="22"/>
      <w:lang w:eastAsia="en-US"/>
    </w:rPr>
  </w:style>
  <w:style w:type="paragraph" w:customStyle="1" w:styleId="957">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kern w:val="0"/>
      <w:sz w:val="24"/>
      <w:szCs w:val="20"/>
    </w:rPr>
  </w:style>
  <w:style w:type="paragraph" w:customStyle="1" w:styleId="95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qFormat/>
    <w:uiPriority w:val="99"/>
    <w:rPr>
      <w:rFonts w:cs="Times New Roman"/>
      <w:color w:val="000000"/>
      <w:shd w:val="clear" w:color="auto" w:fill="EFD200"/>
    </w:rPr>
  </w:style>
  <w:style w:type="character" w:customStyle="1" w:styleId="961">
    <w:name w:val="font71"/>
    <w:qFormat/>
    <w:uiPriority w:val="99"/>
    <w:rPr>
      <w:rFonts w:ascii="宋体" w:hAnsi="宋体" w:eastAsia="宋体"/>
      <w:color w:val="000000"/>
      <w:sz w:val="22"/>
      <w:u w:val="none"/>
    </w:rPr>
  </w:style>
  <w:style w:type="character" w:customStyle="1" w:styleId="962">
    <w:name w:val="font91"/>
    <w:qFormat/>
    <w:uiPriority w:val="99"/>
    <w:rPr>
      <w:rFonts w:ascii="仿宋" w:hAnsi="仿宋" w:eastAsia="仿宋"/>
      <w:color w:val="000000"/>
      <w:sz w:val="22"/>
      <w:u w:val="none"/>
    </w:rPr>
  </w:style>
  <w:style w:type="paragraph" w:customStyle="1" w:styleId="963">
    <w:name w:val="修订4"/>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杭州市国内经济合作办公室</Company>
  <Pages>95</Pages>
  <Words>46385</Words>
  <Characters>49582</Characters>
  <Lines>0</Lines>
  <Paragraphs>0</Paragraphs>
  <TotalTime>20</TotalTime>
  <ScaleCrop>false</ScaleCrop>
  <LinksUpToDate>false</LinksUpToDate>
  <CharactersWithSpaces>55282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2023-03-16T07:09:00Z</dcterms:created>
  <dc:creator>玥</dc:creator>
  <cp:lastModifiedBy>HD</cp:lastModifiedBy>
  <cp:lastPrinted>2023-04-21T01:05:00Z</cp:lastPrinted>
  <dcterms:modified xsi:type="dcterms:W3CDTF">2023-05-04T04:46:19Z</dcterms:modified>
  <dc:title>杭州市市民卡扩大发卡工程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