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ascii="宋体" w:hAnsi="宋体" w:cs="宋体"/>
          <w:b/>
          <w:color w:val="auto"/>
          <w:sz w:val="48"/>
          <w:szCs w:val="48"/>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五常街道城市管理综合养护四标段采购项目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编号:</w:t>
      </w:r>
      <w:r>
        <w:rPr>
          <w:rFonts w:hint="eastAsia" w:ascii="宋体" w:hAnsi="宋体" w:cs="宋体"/>
          <w:color w:val="auto"/>
          <w:sz w:val="30"/>
          <w:szCs w:val="30"/>
          <w:lang w:eastAsia="zh-CN"/>
        </w:rPr>
        <w:t>（ZJZFCG-YS2023-003）</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bookmarkStart w:id="410" w:name="_GoBack"/>
      <w:bookmarkEnd w:id="410"/>
    </w:p>
    <w:p>
      <w:pPr>
        <w:spacing w:line="360" w:lineRule="auto"/>
        <w:rPr>
          <w:rFonts w:ascii="宋体" w:hAnsi="宋体" w:cs="宋体"/>
          <w:color w:val="auto"/>
          <w:sz w:val="32"/>
          <w:szCs w:val="32"/>
        </w:rPr>
      </w:pPr>
    </w:p>
    <w:p>
      <w:pPr>
        <w:pStyle w:val="28"/>
        <w:spacing w:line="600" w:lineRule="atLeast"/>
        <w:ind w:left="0" w:leftChars="0" w:firstLine="0" w:firstLineChars="0"/>
        <w:jc w:val="center"/>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采购人：杭州市余杭区人民政府五常街道办事处</w:t>
      </w:r>
    </w:p>
    <w:p>
      <w:pPr>
        <w:pStyle w:val="27"/>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采购代理机构：</w:t>
      </w:r>
      <w:r>
        <w:rPr>
          <w:rFonts w:hint="eastAsia" w:ascii="宋体" w:hAnsi="宋体" w:cs="宋体"/>
          <w:b/>
          <w:bCs/>
          <w:color w:val="auto"/>
          <w:sz w:val="28"/>
          <w:szCs w:val="28"/>
          <w:highlight w:val="none"/>
          <w:lang w:eastAsia="zh-CN"/>
        </w:rPr>
        <w:t>杭州永圣工程咨询代理有限公司</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二〇二</w:t>
      </w:r>
      <w:r>
        <w:rPr>
          <w:rFonts w:hint="eastAsia" w:ascii="宋体" w:hAnsi="宋体" w:cs="宋体"/>
          <w:b/>
          <w:bCs/>
          <w:color w:val="auto"/>
          <w:sz w:val="28"/>
          <w:szCs w:val="28"/>
          <w:highlight w:val="none"/>
          <w:lang w:eastAsia="zh-CN"/>
        </w:rPr>
        <w:t>三</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月</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634"/>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五常街道城市管理综合养护四标段采购项目</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 xml:space="preserve"> 年 </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月</w:t>
      </w:r>
      <w:r>
        <w:rPr>
          <w:rStyle w:val="76"/>
          <w:rFonts w:hint="eastAsia" w:ascii="宋体" w:hAnsi="宋体" w:cs="宋体"/>
          <w:snapToGrid/>
          <w:color w:val="auto"/>
          <w:kern w:val="2"/>
          <w:sz w:val="24"/>
          <w:szCs w:val="24"/>
          <w:lang w:val="en-US" w:eastAsia="zh-CN"/>
        </w:rPr>
        <w:t>31</w:t>
      </w:r>
      <w:r>
        <w:rPr>
          <w:rStyle w:val="76"/>
          <w:rFonts w:hint="eastAsia" w:ascii="宋体" w:hAnsi="宋体" w:eastAsia="宋体" w:cs="宋体"/>
          <w:snapToGrid/>
          <w:color w:val="auto"/>
          <w:kern w:val="2"/>
          <w:sz w:val="24"/>
          <w:szCs w:val="24"/>
        </w:rPr>
        <w:t xml:space="preserve"> 日</w:t>
      </w:r>
      <w:r>
        <w:rPr>
          <w:rStyle w:val="76"/>
          <w:rFonts w:hint="eastAsia" w:ascii="宋体" w:hAnsi="宋体" w:cs="宋体"/>
          <w:snapToGrid/>
          <w:color w:val="auto"/>
          <w:kern w:val="2"/>
          <w:sz w:val="24"/>
          <w:szCs w:val="24"/>
          <w:lang w:val="en-US" w:eastAsia="zh-CN"/>
        </w:rPr>
        <w:t>14</w:t>
      </w:r>
      <w:r>
        <w:rPr>
          <w:rStyle w:val="76"/>
          <w:rFonts w:hint="eastAsia" w:ascii="宋体" w:hAnsi="宋体" w:eastAsia="宋体" w:cs="宋体"/>
          <w:snapToGrid/>
          <w:color w:val="auto"/>
          <w:kern w:val="2"/>
          <w:sz w:val="24"/>
          <w:szCs w:val="24"/>
        </w:rPr>
        <w:t xml:space="preserve"> 点 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eastAsia="zh-CN"/>
        </w:rPr>
        <w:t>（ZJZFCG-YS2023-003）</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五常街道城市管理综合养护四标段采购项目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ascii="宋体" w:hAnsi="宋体" w:cs="宋体"/>
          <w:color w:val="auto"/>
          <w:sz w:val="24"/>
        </w:rPr>
        <w:t xml:space="preserve"> </w:t>
      </w:r>
      <w:r>
        <w:rPr>
          <w:rFonts w:hint="eastAsia" w:ascii="宋体" w:hAnsi="宋体" w:cs="宋体"/>
          <w:b/>
          <w:bCs/>
          <w:color w:val="auto"/>
          <w:sz w:val="24"/>
          <w:highlight w:val="none"/>
          <w:u w:val="single"/>
          <w:lang w:val="en-US" w:eastAsia="zh-CN"/>
        </w:rPr>
        <w:t xml:space="preserve">25680000 </w:t>
      </w:r>
      <w:r>
        <w:rPr>
          <w:rFonts w:hint="eastAsia" w:ascii="宋体" w:hAnsi="宋体" w:eastAsia="宋体" w:cs="宋体"/>
          <w:color w:val="auto"/>
          <w:sz w:val="24"/>
          <w:highlight w:val="none"/>
          <w:u w:val="single"/>
        </w:rPr>
        <w:t>元</w:t>
      </w:r>
      <w:r>
        <w:rPr>
          <w:rFonts w:hint="eastAsia" w:ascii="宋体" w:hAnsi="宋体" w:eastAsia="宋体" w:cs="宋体"/>
          <w:color w:val="auto"/>
          <w:sz w:val="24"/>
          <w:highlight w:val="none"/>
        </w:rPr>
        <w:t xml:space="preserve"> </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ascii="宋体" w:hAnsi="宋体" w:cs="宋体"/>
          <w:color w:val="auto"/>
          <w:sz w:val="24"/>
        </w:rPr>
        <w:t xml:space="preserve"> </w:t>
      </w:r>
      <w:r>
        <w:rPr>
          <w:rFonts w:hint="eastAsia" w:ascii="宋体" w:hAnsi="宋体" w:cs="宋体"/>
          <w:b/>
          <w:bCs/>
          <w:color w:val="auto"/>
          <w:sz w:val="24"/>
          <w:highlight w:val="none"/>
          <w:u w:val="single"/>
          <w:lang w:val="en-US" w:eastAsia="zh-CN"/>
        </w:rPr>
        <w:t xml:space="preserve">25680000 </w:t>
      </w:r>
      <w:r>
        <w:rPr>
          <w:rFonts w:hint="eastAsia" w:ascii="宋体" w:hAnsi="宋体" w:eastAsia="宋体" w:cs="宋体"/>
          <w:color w:val="auto"/>
          <w:sz w:val="24"/>
          <w:highlight w:val="none"/>
          <w:u w:val="single"/>
        </w:rPr>
        <w:t>元</w:t>
      </w:r>
      <w:r>
        <w:rPr>
          <w:rFonts w:hint="eastAsia" w:ascii="宋体" w:hAnsi="宋体" w:eastAsia="宋体" w:cs="宋体"/>
          <w:color w:val="auto"/>
          <w:sz w:val="24"/>
          <w:highlight w:val="none"/>
        </w:rPr>
        <w:t xml:space="preserve"> </w:t>
      </w:r>
    </w:p>
    <w:p>
      <w:pPr>
        <w:pStyle w:val="6"/>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五常街道城市管理综合养护四标段采购项目</w:t>
      </w:r>
      <w:r>
        <w:rPr>
          <w:rFonts w:hint="eastAsia" w:hAnsi="宋体" w:cs="宋体"/>
          <w:bCs/>
          <w:snapToGrid/>
          <w:color w:val="auto"/>
          <w:kern w:val="2"/>
          <w:sz w:val="24"/>
          <w:szCs w:val="24"/>
        </w:rPr>
        <w:t>主要内容：</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spacing w:before="0" w:line="600" w:lineRule="exact"/>
        <w:ind w:firstLine="482"/>
        <w:outlineLvl w:val="2"/>
        <w:rPr>
          <w:rFonts w:ascii="宋体" w:hAnsi="宋体" w:cs="宋体"/>
          <w:b/>
          <w:bCs w:val="0"/>
          <w:color w:val="auto"/>
        </w:rPr>
      </w:pPr>
      <w:r>
        <w:rPr>
          <w:rFonts w:hint="eastAsia" w:ascii="宋体" w:hAnsi="宋体" w:cs="宋体"/>
          <w:b/>
          <w:color w:val="auto"/>
        </w:rPr>
        <w:t>合同履约期限：</w:t>
      </w:r>
      <w:r>
        <w:rPr>
          <w:rFonts w:ascii="宋体" w:hAnsi="宋体" w:cs="宋体"/>
          <w:color w:val="auto"/>
        </w:rPr>
        <w:t xml:space="preserve"> </w:t>
      </w:r>
      <w:r>
        <w:rPr>
          <w:rFonts w:hint="eastAsia" w:ascii="宋体" w:hAnsi="宋体" w:eastAsia="宋体" w:cs="宋体"/>
          <w:b/>
          <w:bCs w:val="0"/>
          <w:color w:val="auto"/>
          <w:szCs w:val="24"/>
          <w:highlight w:val="none"/>
          <w:u w:val="single"/>
        </w:rPr>
        <w:t>自合同签订之日起</w:t>
      </w:r>
      <w:r>
        <w:rPr>
          <w:rFonts w:hint="eastAsia" w:ascii="宋体" w:hAnsi="宋体" w:cs="宋体"/>
          <w:b/>
          <w:bCs w:val="0"/>
          <w:color w:val="auto"/>
          <w:szCs w:val="24"/>
          <w:highlight w:val="none"/>
          <w:u w:val="single"/>
          <w:lang w:eastAsia="zh-CN"/>
        </w:rPr>
        <w:t>二</w:t>
      </w:r>
      <w:r>
        <w:rPr>
          <w:rFonts w:hint="eastAsia" w:ascii="宋体" w:hAnsi="宋体" w:eastAsia="宋体" w:cs="宋体"/>
          <w:b/>
          <w:bCs w:val="0"/>
          <w:color w:val="auto"/>
          <w:szCs w:val="24"/>
          <w:highlight w:val="none"/>
          <w:u w:val="single"/>
        </w:rPr>
        <w:t>年</w:t>
      </w:r>
      <w:r>
        <w:rPr>
          <w:rFonts w:hint="eastAsia" w:ascii="宋体" w:hAnsi="宋体" w:eastAsia="宋体" w:cs="宋体"/>
          <w:b/>
          <w:bCs w:val="0"/>
          <w:color w:val="auto"/>
          <w:highlight w:val="none"/>
          <w:u w:val="single"/>
        </w:rPr>
        <w:t>（具体养护开始时间以甲方养护通知单为准）。具体单项养护工作以正式移交时间为准</w:t>
      </w:r>
      <w:r>
        <w:rPr>
          <w:rFonts w:hint="eastAsia" w:ascii="宋体" w:hAnsi="宋体" w:cs="宋体"/>
          <w:b/>
          <w:bCs w:val="0"/>
          <w:color w:val="auto"/>
          <w:highlight w:val="none"/>
          <w:u w:val="single"/>
          <w:lang w:eastAsia="zh-CN"/>
        </w:rPr>
        <w:t>，一年一考核一续签。</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color w:val="auto"/>
          <w:sz w:val="24"/>
        </w:rPr>
        <w:t>无；</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年</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月 </w:t>
      </w:r>
      <w:r>
        <w:rPr>
          <w:rFonts w:hint="eastAsia" w:ascii="宋体" w:hAnsi="宋体" w:cs="宋体"/>
          <w:color w:val="auto"/>
          <w:sz w:val="24"/>
          <w:u w:val="single"/>
          <w:lang w:val="en-US" w:eastAsia="zh-CN"/>
        </w:rPr>
        <w:t>31</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年</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月</w:t>
      </w:r>
      <w:r>
        <w:rPr>
          <w:rFonts w:hint="eastAsia" w:ascii="宋体" w:hAnsi="宋体" w:cs="宋体"/>
          <w:color w:val="auto"/>
          <w:sz w:val="24"/>
          <w:u w:val="single"/>
          <w:lang w:val="en-US" w:eastAsia="zh-CN"/>
        </w:rPr>
        <w:t>31</w:t>
      </w:r>
      <w:r>
        <w:rPr>
          <w:rFonts w:hint="eastAsia" w:ascii="宋体" w:hAnsi="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cs="宋体"/>
          <w:color w:val="auto"/>
          <w:sz w:val="24"/>
          <w:u w:val="single"/>
        </w:rPr>
        <w:t xml:space="preserve"> 点</w:t>
      </w:r>
      <w:r>
        <w:rPr>
          <w:rFonts w:hint="eastAsia" w:ascii="宋体" w:hAnsi="宋体" w:cs="宋体"/>
          <w:color w:val="auto"/>
          <w:sz w:val="24"/>
          <w:u w:val="single"/>
          <w:lang w:val="en-US" w:eastAsia="zh-CN"/>
        </w:rPr>
        <w:t>00</w:t>
      </w:r>
      <w:r>
        <w:rPr>
          <w:rFonts w:hint="eastAsia" w:ascii="宋体" w:hAnsi="宋体" w:cs="宋体"/>
          <w:color w:val="auto"/>
          <w:sz w:val="24"/>
          <w:u w:val="single"/>
        </w:rPr>
        <w:t xml:space="preserve"> 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年 </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31</w:t>
      </w:r>
      <w:r>
        <w:rPr>
          <w:rFonts w:hint="eastAsia" w:ascii="宋体" w:hAnsi="宋体" w:cs="宋体"/>
          <w:color w:val="auto"/>
          <w:sz w:val="24"/>
          <w:u w:val="single"/>
        </w:rPr>
        <w:t xml:space="preserve"> 日</w:t>
      </w:r>
      <w:r>
        <w:rPr>
          <w:rFonts w:hint="eastAsia" w:ascii="宋体" w:hAnsi="宋体" w:cs="宋体"/>
          <w:color w:val="auto"/>
          <w:sz w:val="24"/>
          <w:u w:val="single"/>
          <w:lang w:val="en-US" w:eastAsia="zh-CN"/>
        </w:rPr>
        <w:t>14</w:t>
      </w:r>
      <w:r>
        <w:rPr>
          <w:rFonts w:hint="eastAsia" w:ascii="宋体" w:hAnsi="宋体" w:cs="宋体"/>
          <w:color w:val="auto"/>
          <w:sz w:val="24"/>
          <w:u w:val="single"/>
        </w:rPr>
        <w:t xml:space="preserve"> 点</w:t>
      </w:r>
      <w:r>
        <w:rPr>
          <w:rFonts w:hint="eastAsia" w:ascii="宋体" w:hAnsi="宋体" w:cs="宋体"/>
          <w:color w:val="auto"/>
          <w:sz w:val="24"/>
          <w:u w:val="single"/>
          <w:lang w:val="en-US" w:eastAsia="zh-CN"/>
        </w:rPr>
        <w:t>00</w:t>
      </w:r>
      <w:r>
        <w:rPr>
          <w:rFonts w:hint="eastAsia" w:ascii="宋体" w:hAnsi="宋体" w:cs="宋体"/>
          <w:color w:val="auto"/>
          <w:sz w:val="24"/>
          <w:u w:val="single"/>
        </w:rPr>
        <w:t xml:space="preserve"> 分00秒</w:t>
      </w:r>
      <w:r>
        <w:rPr>
          <w:rFonts w:hint="eastAsia" w:ascii="宋体" w:hAnsi="宋体" w:cs="宋体"/>
          <w:bCs/>
          <w:color w:val="auto"/>
          <w:sz w:val="24"/>
          <w:u w:val="single"/>
        </w:rPr>
        <w:t xml:space="preserve"> </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lang w:eastAsia="zh-CN"/>
        </w:rPr>
        <w:t>采购代理机构</w:t>
      </w:r>
      <w:r>
        <w:rPr>
          <w:rFonts w:hint="eastAsia" w:ascii="宋体" w:hAnsi="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cs="宋体"/>
          <w:color w:val="auto"/>
          <w:sz w:val="24"/>
        </w:rPr>
        <w:t xml:space="preserve">    </w:t>
      </w:r>
      <w:r>
        <w:rPr>
          <w:rFonts w:hint="eastAsia" w:ascii="宋体" w:hAnsi="宋体" w:eastAsia="宋体" w:cs="宋体"/>
          <w:color w:val="auto"/>
          <w:sz w:val="24"/>
          <w:highlight w:val="none"/>
        </w:rPr>
        <w:t>1.采购人信息</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称：杭州市余杭区人民政府五常街道办事处</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址：浙江省杭州市余杭区西坝路59号</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项目联系人（询问）：施建洪</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项目联系方式（询问）：0571-88732318</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质疑联系人：张剑</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质疑联系方式：0571-88733113</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2.采购代理机构信息            </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cs="宋体"/>
          <w:color w:val="auto"/>
          <w:sz w:val="24"/>
          <w:highlight w:val="none"/>
          <w:lang w:eastAsia="zh-CN"/>
        </w:rPr>
        <w:t>杭州永圣工程咨询代理有限公司</w:t>
      </w:r>
    </w:p>
    <w:p>
      <w:pPr>
        <w:widowControl w:val="0"/>
        <w:wordWrap/>
        <w:adjustRightInd w:val="0"/>
        <w:snapToGrid/>
        <w:spacing w:line="560" w:lineRule="exact"/>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址：杭州市</w:t>
      </w:r>
      <w:r>
        <w:rPr>
          <w:rFonts w:hint="eastAsia" w:ascii="宋体" w:hAnsi="宋体" w:cs="宋体"/>
          <w:color w:val="auto"/>
          <w:sz w:val="24"/>
          <w:highlight w:val="none"/>
          <w:lang w:eastAsia="zh-CN"/>
        </w:rPr>
        <w:t>临平</w:t>
      </w:r>
      <w:r>
        <w:rPr>
          <w:rFonts w:hint="eastAsia" w:ascii="宋体" w:hAnsi="宋体" w:eastAsia="宋体" w:cs="宋体"/>
          <w:color w:val="auto"/>
          <w:sz w:val="24"/>
          <w:highlight w:val="none"/>
        </w:rPr>
        <w:t xml:space="preserve">区塘栖镇运溪路113号电商大楼507室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eastAsia="zh-CN"/>
        </w:rPr>
        <w:t>胡丹</w:t>
      </w:r>
      <w:r>
        <w:rPr>
          <w:rFonts w:hint="eastAsia" w:ascii="宋体" w:hAnsi="宋体" w:eastAsia="宋体" w:cs="宋体"/>
          <w:color w:val="auto"/>
          <w:sz w:val="24"/>
          <w:highlight w:val="none"/>
        </w:rPr>
        <w:t xml:space="preserve">        </w:t>
      </w:r>
    </w:p>
    <w:p>
      <w:pPr>
        <w:widowControl w:val="0"/>
        <w:wordWrap/>
        <w:adjustRightInd w:val="0"/>
        <w:snapToGrid/>
        <w:spacing w:line="56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w:t>
      </w:r>
      <w:r>
        <w:rPr>
          <w:rFonts w:hint="eastAsia" w:ascii="宋体" w:hAnsi="宋体" w:cs="宋体"/>
          <w:color w:val="auto"/>
          <w:sz w:val="24"/>
          <w:highlight w:val="none"/>
          <w:lang w:val="en-US" w:eastAsia="zh-CN"/>
        </w:rPr>
        <w:t>13805796510</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质疑联系人：宋启超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质疑联系方式：13588366887</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3.同级政府采购监督管理部门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名    称：杭州市余杭区财政局 </w:t>
      </w:r>
    </w:p>
    <w:p>
      <w:pPr>
        <w:widowControl w:val="0"/>
        <w:wordWrap/>
        <w:adjustRightInd w:val="0"/>
        <w:snapToGrid/>
        <w:spacing w:line="560" w:lineRule="exact"/>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地    址：杭州市余杭区文一西路1500号8号楼1201室</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传    真： </w:t>
      </w:r>
      <w:r>
        <w:rPr>
          <w:rFonts w:hint="eastAsia" w:ascii="宋体" w:hAnsi="宋体" w:eastAsia="宋体" w:cs="宋体"/>
          <w:color w:val="auto"/>
          <w:sz w:val="24"/>
          <w:highlight w:val="none"/>
          <w:lang w:val="en-US" w:eastAsia="zh-CN"/>
        </w:rPr>
        <w:t>/</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联系人 ：杜国强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 0571-88728858  </w:t>
      </w:r>
      <w:r>
        <w:rPr>
          <w:rFonts w:hint="eastAsia" w:ascii="仿宋" w:hAnsi="仿宋" w:eastAsia="仿宋" w:cs="仿宋"/>
          <w:color w:val="auto"/>
          <w:sz w:val="24"/>
          <w:highlight w:val="none"/>
        </w:rPr>
        <w:t xml:space="preserve">   </w:t>
      </w:r>
      <w:r>
        <w:rPr>
          <w:rFonts w:hint="eastAsia" w:ascii="宋体" w:hAnsi="宋体" w:eastAsia="宋体" w:cs="宋体"/>
          <w:color w:val="auto"/>
          <w:sz w:val="24"/>
          <w:highlight w:val="none"/>
        </w:rPr>
        <w:t xml:space="preserve">     </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val="0"/>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spacing w:line="360" w:lineRule="auto"/>
        <w:ind w:firstLine="480" w:firstLineChars="200"/>
        <w:rPr>
          <w:rFonts w:ascii="宋体" w:hAnsi="宋体" w:cs="宋体"/>
          <w:color w:val="auto"/>
          <w:sz w:val="24"/>
        </w:rPr>
      </w:pP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rPr>
                <w:rFonts w:ascii="宋体" w:hAnsi="宋体" w:eastAsia="宋体" w:cs="宋体"/>
                <w:color w:val="auto"/>
                <w:lang w:val="en-US"/>
              </w:rPr>
            </w:pPr>
            <w:r>
              <w:rPr>
                <w:rFonts w:hint="eastAsia" w:ascii="宋体" w:hAnsi="宋体" w:eastAsia="宋体" w:cs="宋体"/>
                <w:color w:val="auto"/>
                <w:sz w:val="24"/>
                <w:highlight w:val="none"/>
              </w:rPr>
              <w:t>（1）标的：</w:t>
            </w:r>
            <w:r>
              <w:rPr>
                <w:rFonts w:hint="eastAsia" w:ascii="宋体" w:hAnsi="宋体" w:eastAsia="宋体" w:cs="宋体"/>
                <w:color w:val="auto"/>
                <w:sz w:val="24"/>
                <w:highlight w:val="none"/>
                <w:u w:val="single"/>
              </w:rPr>
              <w:t>养护项目</w:t>
            </w:r>
            <w:r>
              <w:rPr>
                <w:rFonts w:hint="eastAsia" w:ascii="宋体" w:hAnsi="宋体" w:eastAsia="宋体" w:cs="宋体"/>
                <w:color w:val="auto"/>
                <w:sz w:val="24"/>
                <w:highlight w:val="none"/>
              </w:rPr>
              <w:t xml:space="preserve"> ，属于（十六）其他未列明行业；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w:t>
            </w:r>
            <w:r>
              <w:rPr>
                <w:rFonts w:hint="eastAsia" w:ascii="宋体" w:hAnsi="宋体" w:cs="宋体"/>
                <w:color w:val="auto"/>
                <w:sz w:val="24"/>
              </w:rPr>
              <w:t>非关键性的</w:t>
            </w:r>
            <w:r>
              <w:rPr>
                <w:rFonts w:hint="eastAsia" w:ascii="宋体" w:hAnsi="宋体" w:cs="宋体"/>
                <w:color w:val="auto"/>
                <w:sz w:val="24"/>
                <w:u w:val="single"/>
              </w:rPr>
              <w:t xml:space="preserve">             </w:t>
            </w:r>
            <w:r>
              <w:rPr>
                <w:rFonts w:hint="eastAsia" w:ascii="宋体" w:hAnsi="宋体" w:cs="宋体"/>
                <w:color w:val="auto"/>
                <w:sz w:val="24"/>
              </w:rPr>
              <w:t>工作分包</w:t>
            </w:r>
            <w:r>
              <w:rPr>
                <w:rFonts w:hint="eastAsia" w:ascii="宋体" w:hAnsi="宋体" w:cs="宋体"/>
                <w:color w:val="auto"/>
                <w:sz w:val="24"/>
              </w:rPr>
              <w:t>。</w:t>
            </w:r>
            <w:sdt>
              <w:sdtPr>
                <w:rPr>
                  <w:rFonts w:hint="eastAsia" w:ascii="宋体" w:hAnsi="宋体" w:cs="宋体"/>
                  <w:color w:val="auto"/>
                  <w:kern w:val="0"/>
                  <w:sz w:val="24"/>
                </w:rPr>
                <w:id w:val="-127633135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w:t>
            </w:r>
            <w:r>
              <w:rPr>
                <w:rFonts w:hint="eastAsia" w:ascii="宋体" w:hAnsi="宋体" w:cs="宋体"/>
                <w:color w:val="auto"/>
                <w:sz w:val="24"/>
                <w:lang w:eastAsia="zh-CN"/>
              </w:rPr>
              <w:t>采购代理机构</w:t>
            </w:r>
            <w:r>
              <w:rPr>
                <w:rFonts w:hint="eastAsia" w:ascii="宋体" w:hAnsi="宋体" w:cs="宋体"/>
                <w:color w:val="auto"/>
                <w:sz w:val="24"/>
              </w:rPr>
              <w:t>将通知未中标人在规定的时间内取回，逾期未取回的，采购人、</w:t>
            </w:r>
            <w:r>
              <w:rPr>
                <w:rFonts w:hint="eastAsia" w:ascii="宋体" w:hAnsi="宋体" w:cs="宋体"/>
                <w:color w:val="auto"/>
                <w:sz w:val="24"/>
                <w:lang w:eastAsia="zh-CN"/>
              </w:rPr>
              <w:t>采购代理机构</w:t>
            </w:r>
            <w:r>
              <w:rPr>
                <w:rFonts w:hint="eastAsia" w:ascii="宋体" w:hAnsi="宋体" w:cs="宋体"/>
                <w:color w:val="auto"/>
                <w:sz w:val="24"/>
              </w:rPr>
              <w:t>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rPr>
              <w:t>20</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rPr>
              <w:t>3</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kern w:val="0"/>
                <w:sz w:val="24"/>
                <w:u w:val="single"/>
              </w:rPr>
              <w:t xml:space="preserve">     </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530" w:lineRule="exact"/>
              <w:jc w:val="left"/>
              <w:textAlignment w:val="auto"/>
              <w:rPr>
                <w:rFonts w:hAnsi="宋体" w:cs="宋体"/>
                <w:color w:val="auto"/>
                <w:kern w:val="28"/>
                <w:sz w:val="24"/>
              </w:rPr>
            </w:pPr>
            <w:r>
              <w:rPr>
                <w:rFonts w:hint="eastAsia" w:ascii="宋体" w:hAnsi="宋体" w:eastAsia="宋体" w:cs="宋体"/>
                <w:color w:val="auto"/>
                <w:sz w:val="24"/>
                <w:highlight w:val="none"/>
              </w:rPr>
              <w:t>备份投标文件送达地点：杭州市余杭区塘栖镇运溪路113号电商大楼507室；备份投标文件签收人员联系电话：13588366887。</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tc>
        <w:tc>
          <w:tcPr>
            <w:tcW w:w="1843" w:type="dxa"/>
            <w:tcBorders>
              <w:top w:val="single" w:color="auto" w:sz="4"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vMerge w:val="restart"/>
            <w:tcBorders>
              <w:top w:val="single" w:color="auto" w:sz="4" w:space="0"/>
              <w:left w:val="single" w:color="000000" w:sz="2"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rPr>
            </w:pPr>
            <w:r>
              <w:rPr>
                <w:rFonts w:hint="eastAsia" w:ascii="宋体" w:hAnsi="宋体" w:eastAsia="宋体" w:cs="宋体"/>
                <w:color w:val="auto"/>
                <w:sz w:val="24"/>
                <w:highlight w:val="none"/>
              </w:rPr>
              <w:t>本次代理服务费由</w:t>
            </w:r>
            <w:r>
              <w:rPr>
                <w:rFonts w:hint="eastAsia" w:ascii="宋体" w:hAnsi="宋体" w:cs="宋体"/>
                <w:color w:val="auto"/>
                <w:sz w:val="24"/>
                <w:highlight w:val="none"/>
                <w:lang w:val="en-US" w:eastAsia="zh-CN"/>
              </w:rPr>
              <w:t>中标人</w:t>
            </w:r>
            <w:r>
              <w:rPr>
                <w:rFonts w:hint="eastAsia" w:ascii="宋体" w:hAnsi="宋体" w:eastAsia="宋体" w:cs="宋体"/>
                <w:color w:val="auto"/>
                <w:sz w:val="24"/>
                <w:highlight w:val="none"/>
              </w:rPr>
              <w:t>支付，代理服务费按照国家计委印发的《招标代理服务收费管理暂行办法》计价格[2002]1980号、发改办价格[2003]857号和《关于规范余杭区政府投资项目中介服务付费限额标准的通知》余财政〔2018〕24号</w:t>
            </w:r>
            <w:r>
              <w:rPr>
                <w:rFonts w:hint="eastAsia" w:ascii="宋体" w:hAnsi="宋体" w:eastAsia="宋体" w:cs="宋体"/>
                <w:color w:val="auto"/>
                <w:sz w:val="24"/>
                <w:highlight w:val="none"/>
                <w:lang w:val="en-US" w:eastAsia="zh-CN"/>
              </w:rPr>
              <w:t>文件</w:t>
            </w:r>
            <w:r>
              <w:rPr>
                <w:rFonts w:hint="eastAsia" w:ascii="宋体" w:hAnsi="宋体" w:eastAsia="宋体" w:cs="宋体"/>
                <w:color w:val="auto"/>
                <w:sz w:val="24"/>
                <w:highlight w:val="none"/>
              </w:rPr>
              <w:t>规定</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本项目</w:t>
            </w:r>
            <w:r>
              <w:rPr>
                <w:rFonts w:hint="eastAsia" w:ascii="宋体" w:hAnsi="宋体" w:eastAsia="宋体" w:cs="宋体"/>
                <w:color w:val="auto"/>
                <w:sz w:val="24"/>
                <w:highlight w:val="none"/>
              </w:rPr>
              <w:t>招标代理费</w:t>
            </w:r>
            <w:r>
              <w:rPr>
                <w:rFonts w:hint="eastAsia" w:ascii="宋体" w:hAnsi="宋体" w:cs="宋体"/>
                <w:color w:val="auto"/>
                <w:sz w:val="24"/>
                <w:highlight w:val="none"/>
                <w:lang w:eastAsia="zh-CN"/>
              </w:rPr>
              <w:t>最终不高于</w:t>
            </w:r>
            <w:r>
              <w:rPr>
                <w:rFonts w:hint="eastAsia" w:ascii="宋体" w:hAnsi="宋体" w:eastAsia="宋体" w:cs="宋体"/>
                <w:color w:val="auto"/>
                <w:sz w:val="24"/>
                <w:highlight w:val="none"/>
              </w:rPr>
              <w:t>人民币</w:t>
            </w:r>
            <w:r>
              <w:rPr>
                <w:rFonts w:hint="eastAsia" w:ascii="宋体" w:hAnsi="宋体" w:cs="宋体"/>
                <w:color w:val="auto"/>
                <w:sz w:val="24"/>
                <w:highlight w:val="none"/>
                <w:lang w:val="en-US" w:eastAsia="zh-CN"/>
              </w:rPr>
              <w:t>49000</w:t>
            </w:r>
            <w:r>
              <w:rPr>
                <w:rFonts w:hint="eastAsia" w:ascii="宋体" w:hAnsi="宋体" w:eastAsia="宋体" w:cs="宋体"/>
                <w:color w:val="auto"/>
                <w:sz w:val="24"/>
                <w:highlight w:val="none"/>
              </w:rPr>
              <w:t>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14</w:t>
            </w: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eastAsia="宋体" w:cs="宋体"/>
                <w:color w:val="auto"/>
                <w:sz w:val="24"/>
                <w:highlight w:val="none"/>
              </w:rPr>
              <w:t>招标代理服务费</w:t>
            </w:r>
          </w:p>
        </w:tc>
        <w:tc>
          <w:tcPr>
            <w:tcW w:w="6095" w:type="dxa"/>
            <w:vMerge w:val="continue"/>
            <w:tcBorders>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rPr>
            </w:pP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hint="eastAsia" w:ascii="宋体" w:hAnsi="宋体" w:cs="宋体"/>
          <w:b/>
          <w:color w:val="auto"/>
          <w:sz w:val="32"/>
          <w:szCs w:val="20"/>
        </w:rPr>
      </w:pPr>
      <w:bookmarkStart w:id="11" w:name="_Toc164416483"/>
      <w:bookmarkStart w:id="12" w:name="第三部分"/>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45" w:firstLineChars="1197"/>
        <w:outlineLvl w:val="0"/>
        <w:rPr>
          <w:rFonts w:hint="eastAsia" w:ascii="宋体" w:hAnsi="宋体" w:cs="宋体"/>
          <w:b/>
          <w:color w:val="auto"/>
          <w:sz w:val="32"/>
          <w:szCs w:val="20"/>
        </w:rPr>
      </w:pPr>
    </w:p>
    <w:p>
      <w:pPr>
        <w:adjustRightInd/>
        <w:spacing w:line="360" w:lineRule="auto"/>
        <w:ind w:firstLine="3855" w:firstLineChars="1200"/>
        <w:outlineLvl w:val="0"/>
        <w:rPr>
          <w:rFonts w:ascii="宋体" w:hAnsi="宋体" w:cs="宋体"/>
          <w:b/>
          <w:color w:val="auto"/>
          <w:sz w:val="32"/>
          <w:szCs w:val="20"/>
        </w:rPr>
      </w:pPr>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6"/>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6"/>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6"/>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6"/>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6"/>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6"/>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28"/>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6"/>
        <w:spacing w:line="360" w:lineRule="auto"/>
        <w:rPr>
          <w:rFonts w:hAnsi="宋体" w:cs="宋体"/>
          <w:b/>
          <w:color w:val="auto"/>
          <w:sz w:val="24"/>
          <w:szCs w:val="24"/>
        </w:rPr>
      </w:pPr>
      <w:r>
        <w:rPr>
          <w:rFonts w:hint="eastAsia" w:hAnsi="宋体" w:cs="宋体"/>
          <w:b/>
          <w:color w:val="auto"/>
          <w:sz w:val="24"/>
          <w:szCs w:val="24"/>
        </w:rPr>
        <w:t>5．招标文件的构成</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6"/>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6"/>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28"/>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28"/>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6"/>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6"/>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hAnsi="宋体" w:cs="宋体"/>
          <w:b/>
          <w:color w:val="auto"/>
          <w:szCs w:val="24"/>
        </w:rPr>
      </w:pPr>
      <w:r>
        <w:rPr>
          <w:rFonts w:hint="eastAsia" w:hAnsi="宋体" w:cs="宋体"/>
          <w:b/>
          <w:color w:val="auto"/>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6"/>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6"/>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w:t>
      </w:r>
      <w:r>
        <w:rPr>
          <w:rFonts w:hint="eastAsia" w:ascii="宋体" w:hAnsi="宋体" w:cs="宋体"/>
          <w:snapToGrid w:val="0"/>
          <w:color w:val="auto"/>
          <w:kern w:val="28"/>
          <w:sz w:val="24"/>
          <w:szCs w:val="20"/>
        </w:rPr>
        <w:t>（如果有)</w:t>
      </w:r>
      <w:r>
        <w:rPr>
          <w:rFonts w:hint="eastAsia" w:ascii="宋体" w:hAnsi="宋体" w:cs="宋体"/>
          <w:snapToGrid w:val="0"/>
          <w:color w:val="auto"/>
          <w:kern w:val="28"/>
          <w:sz w:val="24"/>
          <w:szCs w:val="20"/>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hint="eastAsia" w:ascii="宋体" w:hAnsi="宋体" w:cs="宋体"/>
          <w:color w:val="auto"/>
          <w:sz w:val="24"/>
          <w:lang w:val="en-US" w:eastAsia="zh-CN"/>
        </w:rPr>
      </w:pPr>
      <w:r>
        <w:rPr>
          <w:rFonts w:hint="eastAsia" w:ascii="宋体" w:hAnsi="宋体" w:cs="宋体"/>
          <w:color w:val="auto"/>
          <w:sz w:val="24"/>
          <w:lang w:val="en-US" w:eastAsia="zh-CN"/>
        </w:rPr>
        <w:t>11.3.2报价明细清单-分项报价表</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28"/>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28"/>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28"/>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28"/>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6"/>
        <w:spacing w:line="360" w:lineRule="auto"/>
        <w:rPr>
          <w:rFonts w:hAnsi="宋体" w:cs="宋体"/>
          <w:b/>
          <w:color w:val="auto"/>
          <w:sz w:val="24"/>
          <w:szCs w:val="24"/>
        </w:rPr>
      </w:pPr>
      <w:r>
        <w:rPr>
          <w:rFonts w:hint="eastAsia" w:hAnsi="宋体" w:cs="宋体"/>
          <w:b/>
          <w:color w:val="auto"/>
          <w:sz w:val="24"/>
          <w:szCs w:val="24"/>
        </w:rPr>
        <w:t>15.备份投标文件</w:t>
      </w:r>
    </w:p>
    <w:p>
      <w:pPr>
        <w:pStyle w:val="36"/>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6"/>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val="en-US" w:eastAsia="zh-CN"/>
        </w:rPr>
        <w:t>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6"/>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36"/>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7"/>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28"/>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28"/>
        <w:spacing w:before="0"/>
        <w:ind w:firstLine="480"/>
        <w:rPr>
          <w:rFonts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color w:val="auto"/>
          <w:sz w:val="32"/>
        </w:rPr>
      </w:pPr>
    </w:p>
    <w:p>
      <w:pPr>
        <w:pStyle w:val="128"/>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4"/>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4"/>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28"/>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color w:val="auto"/>
          <w:kern w:val="0"/>
          <w:szCs w:val="24"/>
        </w:rPr>
        <w:t>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28"/>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128"/>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28"/>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7"/>
        <w:spacing w:line="360" w:lineRule="auto"/>
        <w:ind w:left="479" w:hanging="479" w:hangingChars="199"/>
        <w:rPr>
          <w:rFonts w:cs="宋体"/>
          <w:b/>
          <w:color w:val="auto"/>
        </w:rPr>
      </w:pPr>
      <w:r>
        <w:rPr>
          <w:rFonts w:hint="eastAsia" w:cs="宋体"/>
          <w:b/>
          <w:color w:val="auto"/>
        </w:rPr>
        <w:t>22. 确定中标供应商</w:t>
      </w:r>
    </w:p>
    <w:p>
      <w:pPr>
        <w:pStyle w:val="128"/>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7"/>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7"/>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4"/>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rPr>
      </w:pP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28"/>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28"/>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28"/>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28"/>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28"/>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28"/>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28"/>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7"/>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07468"/>
      <w:bookmarkEnd w:id="15"/>
      <w:bookmarkStart w:id="16" w:name="_Hlt68072998"/>
      <w:bookmarkEnd w:id="16"/>
      <w:bookmarkStart w:id="17" w:name="_Hlt75236011"/>
      <w:bookmarkEnd w:id="17"/>
      <w:bookmarkStart w:id="18" w:name="_Hlt68403820"/>
      <w:bookmarkEnd w:id="18"/>
      <w:bookmarkStart w:id="19" w:name="_Hlt74730295"/>
      <w:bookmarkEnd w:id="19"/>
      <w:bookmarkStart w:id="20" w:name="_Hlt68057669"/>
      <w:bookmarkEnd w:id="20"/>
      <w:bookmarkStart w:id="21" w:name="_Hlt74729768"/>
      <w:bookmarkEnd w:id="21"/>
      <w:bookmarkStart w:id="22" w:name="_Hlt74714665"/>
      <w:bookmarkEnd w:id="22"/>
      <w:bookmarkStart w:id="23" w:name="_Hlt75236290"/>
      <w:bookmarkEnd w:id="23"/>
      <w:bookmarkStart w:id="24" w:name="_Hlt75236101"/>
      <w:bookmarkEnd w:id="24"/>
      <w:bookmarkStart w:id="25" w:name="_Hlt68073093"/>
      <w:bookmarkEnd w:id="25"/>
      <w:bookmarkStart w:id="26" w:name="_Hlt68072990"/>
      <w:bookmarkEnd w:id="26"/>
    </w:p>
    <w:bookmarkEnd w:id="11"/>
    <w:bookmarkEnd w:id="12"/>
    <w:p>
      <w:pPr>
        <w:spacing w:line="600" w:lineRule="exact"/>
        <w:jc w:val="center"/>
        <w:rPr>
          <w:rFonts w:hint="eastAsia" w:ascii="宋体" w:hAnsi="宋体" w:eastAsia="宋体" w:cs="宋体"/>
          <w:b/>
          <w:color w:val="auto"/>
          <w:sz w:val="28"/>
          <w:szCs w:val="28"/>
          <w:highlight w:val="none"/>
        </w:rPr>
      </w:pPr>
      <w:bookmarkStart w:id="27" w:name="第四部分"/>
      <w:r>
        <w:rPr>
          <w:rFonts w:hint="eastAsia" w:ascii="宋体" w:hAnsi="宋体" w:eastAsia="宋体" w:cs="宋体"/>
          <w:b/>
          <w:color w:val="auto"/>
          <w:sz w:val="28"/>
          <w:szCs w:val="28"/>
          <w:highlight w:val="none"/>
        </w:rPr>
        <w:t>第三部分   采购需求</w:t>
      </w:r>
    </w:p>
    <w:p>
      <w:pPr>
        <w:widowControl w:val="0"/>
        <w:wordWrap/>
        <w:adjustRightInd w:val="0"/>
        <w:snapToGrid/>
        <w:spacing w:line="500" w:lineRule="exact"/>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采购需求中带“●”条款为实质性内容，投标人须在投标文件中提供《采购需求实质性内容响应表》（格式见第五部分  应提交的有关格式范例），如有任意一条未响应或不满足，将被视为无效。</w:t>
      </w:r>
    </w:p>
    <w:p>
      <w:pPr>
        <w:widowControl w:val="0"/>
        <w:wordWrap/>
        <w:adjustRightInd w:val="0"/>
        <w:snapToGrid/>
        <w:spacing w:line="50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一、项目概况：</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本项目为“交钥匙”项目，采购内容主要包括</w:t>
      </w:r>
      <w:r>
        <w:rPr>
          <w:rFonts w:hint="eastAsia" w:ascii="宋体" w:hAnsi="宋体" w:eastAsia="宋体" w:cs="宋体"/>
          <w:bCs/>
          <w:color w:val="auto"/>
          <w:sz w:val="24"/>
          <w:highlight w:val="none"/>
          <w:lang w:val="en-US" w:eastAsia="zh-CN"/>
        </w:rPr>
        <w:t>道路</w:t>
      </w:r>
      <w:r>
        <w:rPr>
          <w:rFonts w:hint="eastAsia" w:ascii="宋体" w:hAnsi="宋体" w:eastAsia="宋体" w:cs="宋体"/>
          <w:bCs/>
          <w:color w:val="auto"/>
          <w:sz w:val="24"/>
          <w:highlight w:val="none"/>
        </w:rPr>
        <w:t>保洁、市政养护、绿化养护、河道保</w:t>
      </w:r>
      <w:r>
        <w:rPr>
          <w:rFonts w:hint="eastAsia" w:ascii="宋体" w:hAnsi="宋体" w:eastAsia="宋体" w:cs="宋体"/>
          <w:bCs/>
          <w:color w:val="auto"/>
          <w:sz w:val="24"/>
          <w:highlight w:val="none"/>
        </w:rPr>
        <w:t>洁养护、桥梁养护等其他养护工作。</w:t>
      </w:r>
      <w:r>
        <w:rPr>
          <w:rFonts w:hint="eastAsia" w:ascii="宋体" w:hAnsi="宋体" w:eastAsia="宋体" w:cs="宋体"/>
          <w:bCs/>
          <w:color w:val="auto"/>
          <w:sz w:val="24"/>
          <w:highlight w:val="none"/>
          <w:lang w:val="en-US" w:eastAsia="zh-CN"/>
        </w:rPr>
        <w:t>主要包括如下：</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1、道路路面、绿化带、城市家具、公交岗亭的保洁、清洗及垃圾处置；</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2、道路路面、人行道、排水、桥梁等各项设施的检查、小修；</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3、河道保洁、河岸3米线保洁、应急检查；</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4、道路范围内的绿化及公园河道绿化的浇水、施肥、除草、修剪、补种、预防病虫害等；</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5、时花的更换及养护</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6、市政道路、桥梁的巡查、养护等</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7、养护范围内的防汛防台、防雪防冻、突发事件的应急处理及重大活动保障的配合工作。</w:t>
      </w:r>
    </w:p>
    <w:p>
      <w:pPr>
        <w:pStyle w:val="4"/>
        <w:ind w:left="433" w:leftChars="202" w:hanging="9" w:hangingChars="4"/>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4"/>
          <w:highlight w:val="none"/>
          <w:lang w:val="en-US" w:eastAsia="zh-CN"/>
        </w:rPr>
        <w:t>8、养护范围内的景观灯、果壳箱、护栏（围栏）等所有设施的维修更换。</w:t>
      </w:r>
    </w:p>
    <w:p>
      <w:pPr>
        <w:widowControl w:val="0"/>
        <w:wordWrap/>
        <w:adjustRightInd w:val="0"/>
        <w:snapToGrid/>
        <w:spacing w:line="50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二、采购清单：</w:t>
      </w:r>
    </w:p>
    <w:tbl>
      <w:tblPr>
        <w:tblStyle w:val="62"/>
        <w:tblW w:w="8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4"/>
        <w:gridCol w:w="1696"/>
        <w:gridCol w:w="900"/>
        <w:gridCol w:w="1811"/>
        <w:gridCol w:w="3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序号</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ind w:right="-1625" w:rightChars="-774" w:firstLine="964" w:firstLineChars="400"/>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名称</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单位</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面积/</w:t>
            </w:r>
          </w:p>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数量</w:t>
            </w:r>
          </w:p>
        </w:tc>
        <w:tc>
          <w:tcPr>
            <w:tcW w:w="34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单项报价最高限价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1</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保洁</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cs="宋体"/>
                <w:b/>
                <w:bCs/>
                <w:color w:val="auto"/>
                <w:kern w:val="0"/>
                <w:sz w:val="21"/>
                <w:szCs w:val="21"/>
                <w:highlight w:val="none"/>
                <w:lang w:val="en-US" w:eastAsia="zh-CN"/>
              </w:rPr>
              <w:t>(㎡)</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fldChar w:fldCharType="begin"/>
            </w:r>
            <w:r>
              <w:rPr>
                <w:rFonts w:hint="eastAsia" w:ascii="宋体" w:hAnsi="宋体" w:eastAsia="宋体" w:cs="宋体"/>
                <w:b/>
                <w:bCs/>
                <w:i w:val="0"/>
                <w:iCs w:val="0"/>
                <w:color w:val="auto"/>
                <w:kern w:val="0"/>
                <w:sz w:val="24"/>
                <w:szCs w:val="24"/>
                <w:highlight w:val="none"/>
                <w:u w:val="none"/>
                <w:lang w:val="en-US" w:eastAsia="zh-CN" w:bidi="ar"/>
              </w:rPr>
              <w:instrText xml:space="preserve"> = sum(E3:E16) \* MERGEFORMAT </w:instrText>
            </w:r>
            <w:r>
              <w:rPr>
                <w:rFonts w:hint="eastAsia" w:ascii="宋体" w:hAnsi="宋体" w:eastAsia="宋体" w:cs="宋体"/>
                <w:b/>
                <w:bCs/>
                <w:i w:val="0"/>
                <w:iCs w:val="0"/>
                <w:color w:val="auto"/>
                <w:kern w:val="0"/>
                <w:sz w:val="24"/>
                <w:szCs w:val="24"/>
                <w:highlight w:val="none"/>
                <w:u w:val="none"/>
                <w:lang w:val="en-US" w:eastAsia="zh-CN" w:bidi="ar"/>
              </w:rPr>
              <w:fldChar w:fldCharType="separate"/>
            </w:r>
            <w:r>
              <w:rPr>
                <w:rFonts w:hint="eastAsia" w:ascii="宋体" w:hAnsi="宋体" w:eastAsia="宋体" w:cs="宋体"/>
                <w:b/>
                <w:bCs/>
                <w:i w:val="0"/>
                <w:iCs w:val="0"/>
                <w:color w:val="auto"/>
                <w:kern w:val="0"/>
                <w:sz w:val="24"/>
                <w:szCs w:val="24"/>
                <w:highlight w:val="none"/>
                <w:u w:val="none"/>
                <w:lang w:val="en-US" w:eastAsia="zh-CN" w:bidi="ar"/>
              </w:rPr>
              <w:t>196001.9</w:t>
            </w:r>
            <w:r>
              <w:rPr>
                <w:rFonts w:hint="eastAsia" w:ascii="宋体" w:hAnsi="宋体" w:eastAsia="宋体" w:cs="宋体"/>
                <w:b/>
                <w:bCs/>
                <w:i w:val="0"/>
                <w:iCs w:val="0"/>
                <w:color w:val="auto"/>
                <w:kern w:val="0"/>
                <w:sz w:val="24"/>
                <w:szCs w:val="24"/>
                <w:highlight w:val="none"/>
                <w:u w:val="none"/>
                <w:lang w:val="en-US" w:eastAsia="zh-CN" w:bidi="ar"/>
              </w:rPr>
              <w:fldChar w:fldCharType="end"/>
            </w:r>
          </w:p>
        </w:tc>
        <w:tc>
          <w:tcPr>
            <w:tcW w:w="34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最高限价为22.98元/㎡.年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2</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市政</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cs="宋体"/>
                <w:b/>
                <w:bCs/>
                <w:color w:val="auto"/>
                <w:kern w:val="0"/>
                <w:sz w:val="21"/>
                <w:szCs w:val="21"/>
                <w:highlight w:val="none"/>
                <w:lang w:val="en-US" w:eastAsia="zh-CN"/>
              </w:rPr>
              <w:t>(㎡)</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fldChar w:fldCharType="begin"/>
            </w:r>
            <w:r>
              <w:rPr>
                <w:rFonts w:hint="eastAsia" w:ascii="宋体" w:hAnsi="宋体" w:eastAsia="宋体" w:cs="宋体"/>
                <w:b/>
                <w:bCs/>
                <w:i w:val="0"/>
                <w:iCs w:val="0"/>
                <w:color w:val="auto"/>
                <w:kern w:val="0"/>
                <w:sz w:val="24"/>
                <w:szCs w:val="24"/>
                <w:highlight w:val="none"/>
                <w:u w:val="none"/>
                <w:lang w:val="en-US" w:eastAsia="zh-CN" w:bidi="ar"/>
              </w:rPr>
              <w:instrText xml:space="preserve"> = sum(E3:E16) \* MERGEFORMAT </w:instrText>
            </w:r>
            <w:r>
              <w:rPr>
                <w:rFonts w:hint="eastAsia" w:ascii="宋体" w:hAnsi="宋体" w:eastAsia="宋体" w:cs="宋体"/>
                <w:b/>
                <w:bCs/>
                <w:i w:val="0"/>
                <w:iCs w:val="0"/>
                <w:color w:val="auto"/>
                <w:kern w:val="0"/>
                <w:sz w:val="24"/>
                <w:szCs w:val="24"/>
                <w:highlight w:val="none"/>
                <w:u w:val="none"/>
                <w:lang w:val="en-US" w:eastAsia="zh-CN" w:bidi="ar"/>
              </w:rPr>
              <w:fldChar w:fldCharType="separate"/>
            </w:r>
            <w:r>
              <w:rPr>
                <w:rFonts w:hint="eastAsia" w:ascii="宋体" w:hAnsi="宋体" w:eastAsia="宋体" w:cs="宋体"/>
                <w:b/>
                <w:bCs/>
                <w:i w:val="0"/>
                <w:iCs w:val="0"/>
                <w:color w:val="auto"/>
                <w:kern w:val="0"/>
                <w:sz w:val="24"/>
                <w:szCs w:val="24"/>
                <w:highlight w:val="none"/>
                <w:u w:val="none"/>
                <w:lang w:val="en-US" w:eastAsia="zh-CN" w:bidi="ar"/>
              </w:rPr>
              <w:t>196001.9</w:t>
            </w:r>
            <w:r>
              <w:rPr>
                <w:rFonts w:hint="eastAsia" w:ascii="宋体" w:hAnsi="宋体" w:eastAsia="宋体" w:cs="宋体"/>
                <w:b/>
                <w:bCs/>
                <w:i w:val="0"/>
                <w:iCs w:val="0"/>
                <w:color w:val="auto"/>
                <w:kern w:val="0"/>
                <w:sz w:val="24"/>
                <w:szCs w:val="24"/>
                <w:highlight w:val="none"/>
                <w:u w:val="none"/>
                <w:lang w:val="en-US" w:eastAsia="zh-CN" w:bidi="ar"/>
              </w:rPr>
              <w:fldChar w:fldCharType="end"/>
            </w:r>
          </w:p>
        </w:tc>
        <w:tc>
          <w:tcPr>
            <w:tcW w:w="34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zh-CN"/>
              </w:rPr>
              <w:t>此部分暂定费用为</w:t>
            </w:r>
            <w:r>
              <w:rPr>
                <w:rFonts w:hint="eastAsia" w:ascii="宋体" w:hAnsi="宋体" w:cs="宋体"/>
                <w:b/>
                <w:bCs/>
                <w:color w:val="auto"/>
                <w:sz w:val="24"/>
                <w:highlight w:val="none"/>
                <w:lang w:val="en-US" w:eastAsia="zh-CN"/>
              </w:rPr>
              <w:t>195</w:t>
            </w:r>
            <w:r>
              <w:rPr>
                <w:rFonts w:hint="eastAsia" w:ascii="宋体" w:hAnsi="宋体" w:eastAsia="宋体" w:cs="宋体"/>
                <w:b/>
                <w:bCs/>
                <w:color w:val="auto"/>
                <w:sz w:val="24"/>
                <w:highlight w:val="none"/>
                <w:lang w:val="zh-CN"/>
              </w:rPr>
              <w:t>万元</w:t>
            </w:r>
            <w:r>
              <w:rPr>
                <w:rFonts w:hint="eastAsia" w:ascii="宋体" w:hAnsi="宋体" w:cs="宋体"/>
                <w:b/>
                <w:bCs/>
                <w:color w:val="auto"/>
                <w:sz w:val="24"/>
                <w:highlight w:val="none"/>
                <w:lang w:val="en-US" w:eastAsia="zh-CN"/>
              </w:rPr>
              <w:t>/年</w:t>
            </w:r>
            <w:r>
              <w:rPr>
                <w:rFonts w:hint="eastAsia" w:ascii="宋体" w:hAnsi="宋体" w:eastAsia="宋体" w:cs="宋体"/>
                <w:b/>
                <w:bCs/>
                <w:color w:val="auto"/>
                <w:sz w:val="24"/>
                <w:highlight w:val="none"/>
                <w:lang w:val="zh-CN"/>
              </w:rPr>
              <w:t>，实际工程量以审计单位审核结果结算（此部分费用不作为竞争性报价，否则作无效标处理）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3</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绿化</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cs="宋体"/>
                <w:b/>
                <w:bCs/>
                <w:color w:val="auto"/>
                <w:kern w:val="0"/>
                <w:sz w:val="21"/>
                <w:szCs w:val="21"/>
                <w:highlight w:val="none"/>
                <w:lang w:val="en-US" w:eastAsia="zh-CN"/>
              </w:rPr>
              <w:t>(㎡)</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297470.99</w:t>
            </w:r>
          </w:p>
        </w:tc>
        <w:tc>
          <w:tcPr>
            <w:tcW w:w="34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最高限价为10.03元/㎡.年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t>4</w:t>
            </w:r>
          </w:p>
        </w:tc>
        <w:tc>
          <w:tcPr>
            <w:tcW w:w="169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河道</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cs="宋体"/>
                <w:b/>
                <w:bCs/>
                <w:color w:val="auto"/>
                <w:kern w:val="0"/>
                <w:sz w:val="21"/>
                <w:szCs w:val="21"/>
                <w:highlight w:val="none"/>
                <w:lang w:val="en-US" w:eastAsia="zh-CN"/>
              </w:rPr>
              <w:t>(㎡)</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fldChar w:fldCharType="begin"/>
            </w:r>
            <w:r>
              <w:rPr>
                <w:rFonts w:hint="eastAsia" w:ascii="宋体" w:hAnsi="宋体" w:eastAsia="宋体" w:cs="宋体"/>
                <w:b/>
                <w:bCs/>
                <w:i w:val="0"/>
                <w:iCs w:val="0"/>
                <w:color w:val="auto"/>
                <w:kern w:val="0"/>
                <w:sz w:val="24"/>
                <w:szCs w:val="24"/>
                <w:highlight w:val="none"/>
                <w:u w:val="none"/>
                <w:lang w:val="en-US" w:eastAsia="zh-CN" w:bidi="ar"/>
              </w:rPr>
              <w:instrText xml:space="preserve"> = sum(C3:C16) \* MERGEFORMAT </w:instrText>
            </w:r>
            <w:r>
              <w:rPr>
                <w:rFonts w:hint="eastAsia" w:ascii="宋体" w:hAnsi="宋体" w:eastAsia="宋体" w:cs="宋体"/>
                <w:b/>
                <w:bCs/>
                <w:i w:val="0"/>
                <w:iCs w:val="0"/>
                <w:color w:val="auto"/>
                <w:kern w:val="0"/>
                <w:sz w:val="24"/>
                <w:szCs w:val="24"/>
                <w:highlight w:val="none"/>
                <w:u w:val="none"/>
                <w:lang w:val="en-US" w:eastAsia="zh-CN" w:bidi="ar"/>
              </w:rPr>
              <w:fldChar w:fldCharType="separate"/>
            </w:r>
            <w:r>
              <w:rPr>
                <w:rFonts w:hint="eastAsia" w:ascii="宋体" w:hAnsi="宋体" w:eastAsia="宋体" w:cs="宋体"/>
                <w:b/>
                <w:bCs/>
                <w:i w:val="0"/>
                <w:iCs w:val="0"/>
                <w:color w:val="auto"/>
                <w:kern w:val="0"/>
                <w:sz w:val="24"/>
                <w:szCs w:val="24"/>
                <w:highlight w:val="none"/>
                <w:u w:val="none"/>
                <w:lang w:val="en-US" w:eastAsia="zh-CN" w:bidi="ar"/>
              </w:rPr>
              <w:t>653560.5</w:t>
            </w:r>
            <w:r>
              <w:rPr>
                <w:rFonts w:hint="eastAsia" w:ascii="宋体" w:hAnsi="宋体" w:eastAsia="宋体" w:cs="宋体"/>
                <w:b/>
                <w:bCs/>
                <w:i w:val="0"/>
                <w:iCs w:val="0"/>
                <w:color w:val="auto"/>
                <w:kern w:val="0"/>
                <w:sz w:val="24"/>
                <w:szCs w:val="24"/>
                <w:highlight w:val="none"/>
                <w:u w:val="none"/>
                <w:lang w:val="en-US" w:eastAsia="zh-CN" w:bidi="ar"/>
              </w:rPr>
              <w:fldChar w:fldCharType="end"/>
            </w:r>
            <w:r>
              <w:rPr>
                <w:rFonts w:hint="eastAsia" w:ascii="宋体" w:hAnsi="宋体" w:eastAsia="宋体" w:cs="宋体"/>
                <w:b/>
                <w:bCs/>
                <w:color w:val="auto"/>
                <w:kern w:val="0"/>
                <w:sz w:val="21"/>
                <w:szCs w:val="21"/>
                <w:highlight w:val="none"/>
              </w:rPr>
              <w:t xml:space="preserve"> </w:t>
            </w:r>
          </w:p>
        </w:tc>
        <w:tc>
          <w:tcPr>
            <w:tcW w:w="34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最高限价为2.5元/㎡.年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dxa"/>
            <w:vMerge w:val="restart"/>
            <w:tcBorders>
              <w:top w:val="single" w:color="000000" w:sz="4" w:space="0"/>
              <w:left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5</w:t>
            </w:r>
          </w:p>
        </w:tc>
        <w:tc>
          <w:tcPr>
            <w:tcW w:w="1696" w:type="dxa"/>
            <w:vMerge w:val="restart"/>
            <w:tcBorders>
              <w:top w:val="single" w:color="000000" w:sz="4" w:space="0"/>
              <w:left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公厕</w:t>
            </w:r>
          </w:p>
        </w:tc>
        <w:tc>
          <w:tcPr>
            <w:tcW w:w="900" w:type="dxa"/>
            <w:vMerge w:val="restart"/>
            <w:tcBorders>
              <w:top w:val="single" w:color="000000" w:sz="4" w:space="0"/>
              <w:left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kern w:val="0"/>
                <w:sz w:val="24"/>
                <w:highlight w:val="none"/>
                <w:lang w:eastAsia="zh-CN"/>
              </w:rPr>
            </w:pPr>
            <w:r>
              <w:rPr>
                <w:rFonts w:hint="eastAsia" w:ascii="宋体" w:hAnsi="宋体" w:cs="宋体"/>
                <w:b/>
                <w:bCs/>
                <w:color w:val="auto"/>
                <w:kern w:val="0"/>
                <w:sz w:val="24"/>
                <w:highlight w:val="none"/>
                <w:lang w:eastAsia="zh-CN"/>
              </w:rPr>
              <w:t>座</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eastAsia="zh-CN"/>
              </w:rPr>
              <w:t>高标准</w:t>
            </w:r>
            <w:r>
              <w:rPr>
                <w:rFonts w:hint="eastAsia" w:ascii="宋体" w:hAnsi="宋体" w:cs="宋体"/>
                <w:b/>
                <w:bCs/>
                <w:color w:val="auto"/>
                <w:sz w:val="24"/>
                <w:highlight w:val="none"/>
                <w:lang w:val="en-US" w:eastAsia="zh-CN"/>
              </w:rPr>
              <w:t>7座</w:t>
            </w:r>
          </w:p>
        </w:tc>
        <w:tc>
          <w:tcPr>
            <w:tcW w:w="34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高标准20万/年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4" w:type="dxa"/>
            <w:vMerge w:val="continue"/>
            <w:tcBorders>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kern w:val="0"/>
                <w:sz w:val="24"/>
                <w:highlight w:val="none"/>
              </w:rPr>
            </w:pPr>
          </w:p>
        </w:tc>
        <w:tc>
          <w:tcPr>
            <w:tcW w:w="1696" w:type="dxa"/>
            <w:vMerge w:val="continue"/>
            <w:tcBorders>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cs="宋体"/>
                <w:b/>
                <w:bCs/>
                <w:color w:val="auto"/>
                <w:sz w:val="24"/>
                <w:highlight w:val="none"/>
                <w:lang w:val="en-US" w:eastAsia="zh-CN"/>
              </w:rPr>
            </w:pPr>
          </w:p>
        </w:tc>
        <w:tc>
          <w:tcPr>
            <w:tcW w:w="900" w:type="dxa"/>
            <w:vMerge w:val="continue"/>
            <w:tcBorders>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eastAsia" w:ascii="宋体" w:hAnsi="宋体" w:eastAsia="宋体" w:cs="宋体"/>
                <w:b/>
                <w:bCs/>
                <w:color w:val="auto"/>
                <w:kern w:val="0"/>
                <w:sz w:val="24"/>
                <w:highlight w:val="none"/>
              </w:rPr>
            </w:pP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eastAsia="zh-CN"/>
              </w:rPr>
              <w:t>标准</w:t>
            </w:r>
            <w:r>
              <w:rPr>
                <w:rFonts w:hint="eastAsia" w:ascii="宋体" w:hAnsi="宋体" w:cs="宋体"/>
                <w:b/>
                <w:bCs/>
                <w:color w:val="auto"/>
                <w:sz w:val="24"/>
                <w:highlight w:val="none"/>
                <w:lang w:val="en-US" w:eastAsia="zh-CN"/>
              </w:rPr>
              <w:t>3座</w:t>
            </w:r>
          </w:p>
        </w:tc>
        <w:tc>
          <w:tcPr>
            <w:tcW w:w="341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标准12万/年</w:t>
            </w:r>
          </w:p>
        </w:tc>
      </w:tr>
    </w:tbl>
    <w:p>
      <w:pPr>
        <w:spacing w:line="600" w:lineRule="exact"/>
        <w:rPr>
          <w:rFonts w:hint="eastAsia" w:ascii="宋体" w:hAnsi="宋体" w:eastAsia="宋体" w:cs="宋体"/>
          <w:b/>
          <w:color w:val="auto"/>
          <w:sz w:val="24"/>
          <w:highlight w:val="none"/>
        </w:rPr>
        <w:sectPr>
          <w:pgSz w:w="11905" w:h="16838"/>
          <w:pgMar w:top="1531" w:right="1304" w:bottom="1531" w:left="1361" w:header="851" w:footer="992" w:gutter="0"/>
          <w:pgBorders>
            <w:top w:val="none" w:sz="0" w:space="0"/>
            <w:left w:val="none" w:sz="0" w:space="0"/>
            <w:bottom w:val="none" w:sz="0" w:space="0"/>
            <w:right w:val="none" w:sz="0" w:space="0"/>
          </w:pgBorders>
          <w:pgNumType w:fmt="decimal"/>
          <w:cols w:space="720" w:num="1"/>
          <w:titlePg/>
          <w:docGrid w:linePitch="1" w:charSpace="0"/>
        </w:sectPr>
      </w:pPr>
    </w:p>
    <w:p>
      <w:pPr>
        <w:numPr>
          <w:ilvl w:val="0"/>
          <w:numId w:val="1"/>
        </w:numPr>
        <w:spacing w:line="60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具体服务</w:t>
      </w:r>
      <w:r>
        <w:rPr>
          <w:rFonts w:hint="eastAsia" w:ascii="宋体" w:hAnsi="宋体" w:eastAsia="宋体" w:cs="宋体"/>
          <w:b/>
          <w:color w:val="auto"/>
          <w:sz w:val="24"/>
          <w:highlight w:val="none"/>
          <w:lang w:val="en-US" w:eastAsia="zh-CN"/>
        </w:rPr>
        <w:t>范围</w:t>
      </w:r>
      <w:r>
        <w:rPr>
          <w:rFonts w:hint="eastAsia" w:ascii="宋体" w:hAnsi="宋体" w:eastAsia="宋体" w:cs="宋体"/>
          <w:b/>
          <w:color w:val="auto"/>
          <w:sz w:val="24"/>
          <w:highlight w:val="none"/>
        </w:rPr>
        <w:t>：</w:t>
      </w:r>
    </w:p>
    <w:p>
      <w:pPr>
        <w:pStyle w:val="4"/>
        <w:jc w:val="center"/>
        <w:rPr>
          <w:rFonts w:hint="eastAsia" w:ascii="宋体" w:hAnsi="宋体" w:eastAsia="宋体" w:cs="宋体"/>
          <w:color w:val="auto"/>
          <w:highlight w:val="none"/>
          <w:lang w:val="en-US"/>
        </w:rPr>
      </w:pPr>
      <w:bookmarkStart w:id="28" w:name="_Hlk96791657"/>
      <w:r>
        <w:rPr>
          <w:rFonts w:hint="eastAsia" w:ascii="宋体" w:hAnsi="宋体" w:eastAsia="宋体" w:cs="宋体"/>
          <w:color w:val="auto"/>
          <w:highlight w:val="none"/>
          <w:lang w:val="en-US"/>
        </w:rPr>
        <w:t>五常街道城市管理综合养护</w:t>
      </w: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lang w:val="en-US"/>
        </w:rPr>
        <w:t>标段</w:t>
      </w:r>
      <w:r>
        <w:rPr>
          <w:rFonts w:hint="eastAsia" w:ascii="宋体" w:hAnsi="宋体" w:eastAsia="宋体" w:cs="宋体"/>
          <w:color w:val="auto"/>
          <w:highlight w:val="none"/>
          <w:lang w:val="en-US" w:eastAsia="zh-CN"/>
        </w:rPr>
        <w:t>市政及保洁</w:t>
      </w:r>
      <w:r>
        <w:rPr>
          <w:rFonts w:hint="eastAsia" w:ascii="宋体" w:hAnsi="宋体" w:eastAsia="宋体" w:cs="宋体"/>
          <w:color w:val="auto"/>
          <w:highlight w:val="none"/>
          <w:lang w:val="en-US"/>
        </w:rPr>
        <w:t>明细表</w:t>
      </w:r>
    </w:p>
    <w:bookmarkEnd w:id="28"/>
    <w:tbl>
      <w:tblPr>
        <w:tblStyle w:val="62"/>
        <w:tblW w:w="137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1772"/>
        <w:gridCol w:w="2419"/>
        <w:gridCol w:w="870"/>
        <w:gridCol w:w="1710"/>
        <w:gridCol w:w="1770"/>
        <w:gridCol w:w="1650"/>
        <w:gridCol w:w="157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序号</w:t>
            </w:r>
          </w:p>
        </w:tc>
        <w:tc>
          <w:tcPr>
            <w:tcW w:w="177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道路名称</w:t>
            </w:r>
          </w:p>
        </w:tc>
        <w:tc>
          <w:tcPr>
            <w:tcW w:w="2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起止点</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长度</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（m）</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cs="宋体"/>
                <w:b/>
                <w:bCs/>
                <w:color w:val="auto"/>
                <w:kern w:val="0"/>
                <w:sz w:val="21"/>
                <w:szCs w:val="21"/>
                <w:highlight w:val="none"/>
                <w:lang w:eastAsia="zh-CN"/>
              </w:rPr>
              <w:t>车行道面积</w:t>
            </w:r>
            <w:r>
              <w:rPr>
                <w:rFonts w:hint="eastAsia" w:ascii="宋体" w:hAnsi="宋体" w:eastAsia="宋体" w:cs="宋体"/>
                <w:b/>
                <w:bCs/>
                <w:color w:val="auto"/>
                <w:kern w:val="0"/>
                <w:sz w:val="21"/>
                <w:szCs w:val="21"/>
                <w:highlight w:val="none"/>
              </w:rPr>
              <w:t>（㎡）</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保洁面积</w:t>
            </w:r>
            <w:r>
              <w:rPr>
                <w:rFonts w:hint="eastAsia" w:ascii="宋体" w:hAnsi="宋体" w:cs="宋体"/>
                <w:b/>
                <w:bCs/>
                <w:color w:val="auto"/>
                <w:kern w:val="0"/>
                <w:sz w:val="21"/>
                <w:szCs w:val="21"/>
                <w:highlight w:val="none"/>
                <w:lang w:val="en-US" w:eastAsia="zh-CN"/>
              </w:rPr>
              <w:t>(㎡)</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auto"/>
                <w:sz w:val="21"/>
                <w:szCs w:val="21"/>
                <w:highlight w:val="none"/>
                <w:lang w:eastAsia="zh-CN"/>
              </w:rPr>
            </w:pPr>
            <w:r>
              <w:rPr>
                <w:rFonts w:hint="eastAsia" w:ascii="宋体" w:hAnsi="宋体" w:cs="宋体"/>
                <w:b/>
                <w:bCs/>
                <w:color w:val="auto"/>
                <w:sz w:val="21"/>
                <w:szCs w:val="21"/>
                <w:highlight w:val="none"/>
                <w:lang w:eastAsia="zh-CN"/>
              </w:rPr>
              <w:t>市政养护面积</w:t>
            </w:r>
          </w:p>
          <w:p>
            <w:pPr>
              <w:widowControl/>
              <w:jc w:val="center"/>
              <w:textAlignment w:val="center"/>
              <w:rPr>
                <w:rFonts w:hint="eastAsia" w:ascii="宋体" w:hAnsi="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w:t>
            </w:r>
          </w:p>
        </w:tc>
        <w:tc>
          <w:tcPr>
            <w:tcW w:w="157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小区退让人行面积(㎡)</w:t>
            </w:r>
          </w:p>
        </w:tc>
        <w:tc>
          <w:tcPr>
            <w:tcW w:w="141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auto"/>
                <w:sz w:val="21"/>
                <w:szCs w:val="21"/>
                <w:highlight w:val="none"/>
                <w:lang w:eastAsia="zh-CN"/>
              </w:rPr>
            </w:pPr>
            <w:r>
              <w:rPr>
                <w:rFonts w:hint="eastAsia" w:ascii="宋体" w:hAnsi="宋体" w:cs="宋体"/>
                <w:b/>
                <w:bCs/>
                <w:color w:val="auto"/>
                <w:sz w:val="21"/>
                <w:szCs w:val="21"/>
                <w:highlight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远洋公馆</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荆长大道-金家塘港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349</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3654.44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4740.83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4740.83</w:t>
            </w:r>
          </w:p>
        </w:tc>
        <w:tc>
          <w:tcPr>
            <w:tcW w:w="157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2260.46 </w:t>
            </w:r>
          </w:p>
        </w:tc>
        <w:tc>
          <w:tcPr>
            <w:tcW w:w="141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岸汀街</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良睦路-高教路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677</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10420.91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14049.05</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14049.05</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3195.68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茶师庵路</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爱橙街-文二西路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584</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9052.55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12392.51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12392.51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1518.13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大华欣华支路</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聚橙路-文一西路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680</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5505.32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6292.17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6292.17</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4222.55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5</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地信路</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永寿街-文二西路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369</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6113.70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8077.9</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8077.9</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2234.15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6</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文福路</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文一西路-文二西路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935</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18219.73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23182.71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23182.71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2226.72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勤知路</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永寿街-文二西路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370</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5967.84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7924.77</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7924.77</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375.25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8</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爱橙街</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良睦路-聚橙路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1866</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38812.65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47066.06</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47066.06</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9023.67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9</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纬八路</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荆长大道-金家塘港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286</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2132.46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3406.32</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3406.32</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240.00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10</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永寿街</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贺翠路-聚橙路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1119</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19427.43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25422.48</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25422.48</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4522.96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11</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文茂街</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高教路-金钱港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1159</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13462.51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23694.53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23694.53</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1699.87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12</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贺翠路</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文一西路-永寿街</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577</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8854.26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11820.11</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11820.11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2.82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亲橙里支路</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高教路-聚橙路</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1008</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5979.23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5979.23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5979.23</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1407.79 </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14</w:t>
            </w:r>
          </w:p>
        </w:tc>
        <w:tc>
          <w:tcPr>
            <w:tcW w:w="1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阿里园区东门道路</w:t>
            </w:r>
          </w:p>
        </w:tc>
        <w:tc>
          <w:tcPr>
            <w:tcW w:w="2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阿里巴巴西溪A区-聚橙路</w:t>
            </w:r>
          </w:p>
        </w:tc>
        <w:tc>
          <w:tcPr>
            <w:tcW w:w="87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134</w:t>
            </w:r>
          </w:p>
        </w:tc>
        <w:tc>
          <w:tcPr>
            <w:tcW w:w="171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 xml:space="preserve">1649.87 </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1953.23</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1953.23</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643" w:type="dxa"/>
            <w:gridSpan w:val="4"/>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171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auto"/>
                <w:sz w:val="21"/>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fldChar w:fldCharType="begin"/>
            </w:r>
            <w:r>
              <w:rPr>
                <w:rFonts w:hint="eastAsia" w:ascii="宋体" w:hAnsi="宋体" w:eastAsia="宋体" w:cs="宋体"/>
                <w:i w:val="0"/>
                <w:iCs w:val="0"/>
                <w:color w:val="auto"/>
                <w:kern w:val="0"/>
                <w:sz w:val="24"/>
                <w:szCs w:val="24"/>
                <w:highlight w:val="none"/>
                <w:u w:val="none"/>
                <w:lang w:val="en-US" w:eastAsia="zh-CN" w:bidi="ar"/>
              </w:rPr>
              <w:instrText xml:space="preserve"> = sum(E3:E16) \* MERGEFORMAT </w:instrText>
            </w:r>
            <w:r>
              <w:rPr>
                <w:rFonts w:hint="eastAsia" w:ascii="宋体" w:hAnsi="宋体" w:eastAsia="宋体" w:cs="宋体"/>
                <w:i w:val="0"/>
                <w:iCs w:val="0"/>
                <w:color w:val="auto"/>
                <w:kern w:val="0"/>
                <w:sz w:val="24"/>
                <w:szCs w:val="24"/>
                <w:highlight w:val="none"/>
                <w:u w:val="none"/>
                <w:lang w:val="en-US" w:eastAsia="zh-CN" w:bidi="ar"/>
              </w:rPr>
              <w:fldChar w:fldCharType="separate"/>
            </w:r>
            <w:r>
              <w:rPr>
                <w:rFonts w:hint="eastAsia" w:ascii="宋体" w:hAnsi="宋体" w:eastAsia="宋体" w:cs="宋体"/>
                <w:i w:val="0"/>
                <w:iCs w:val="0"/>
                <w:color w:val="auto"/>
                <w:kern w:val="0"/>
                <w:sz w:val="24"/>
                <w:szCs w:val="24"/>
                <w:highlight w:val="none"/>
                <w:u w:val="none"/>
                <w:lang w:val="en-US" w:eastAsia="zh-CN" w:bidi="ar"/>
              </w:rPr>
              <w:t>196001.9</w:t>
            </w:r>
            <w:r>
              <w:rPr>
                <w:rFonts w:hint="eastAsia" w:ascii="宋体" w:hAnsi="宋体" w:eastAsia="宋体" w:cs="宋体"/>
                <w:i w:val="0"/>
                <w:iCs w:val="0"/>
                <w:color w:val="auto"/>
                <w:kern w:val="0"/>
                <w:sz w:val="24"/>
                <w:szCs w:val="24"/>
                <w:highlight w:val="none"/>
                <w:u w:val="none"/>
                <w:lang w:val="en-US" w:eastAsia="zh-CN" w:bidi="ar"/>
              </w:rPr>
              <w:fldChar w:fldCharType="end"/>
            </w: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fldChar w:fldCharType="begin"/>
            </w:r>
            <w:r>
              <w:rPr>
                <w:rFonts w:hint="eastAsia" w:ascii="宋体" w:hAnsi="宋体" w:eastAsia="宋体" w:cs="宋体"/>
                <w:i w:val="0"/>
                <w:iCs w:val="0"/>
                <w:color w:val="auto"/>
                <w:kern w:val="0"/>
                <w:sz w:val="24"/>
                <w:szCs w:val="24"/>
                <w:highlight w:val="none"/>
                <w:u w:val="none"/>
                <w:lang w:val="en-US" w:eastAsia="zh-CN" w:bidi="ar"/>
              </w:rPr>
              <w:instrText xml:space="preserve"> = sum(E3:E16) \* MERGEFORMAT </w:instrText>
            </w:r>
            <w:r>
              <w:rPr>
                <w:rFonts w:hint="eastAsia" w:ascii="宋体" w:hAnsi="宋体" w:eastAsia="宋体" w:cs="宋体"/>
                <w:i w:val="0"/>
                <w:iCs w:val="0"/>
                <w:color w:val="auto"/>
                <w:kern w:val="0"/>
                <w:sz w:val="24"/>
                <w:szCs w:val="24"/>
                <w:highlight w:val="none"/>
                <w:u w:val="none"/>
                <w:lang w:val="en-US" w:eastAsia="zh-CN" w:bidi="ar"/>
              </w:rPr>
              <w:fldChar w:fldCharType="separate"/>
            </w:r>
            <w:r>
              <w:rPr>
                <w:rFonts w:hint="eastAsia" w:ascii="宋体" w:hAnsi="宋体" w:eastAsia="宋体" w:cs="宋体"/>
                <w:i w:val="0"/>
                <w:iCs w:val="0"/>
                <w:color w:val="auto"/>
                <w:kern w:val="0"/>
                <w:sz w:val="24"/>
                <w:szCs w:val="24"/>
                <w:highlight w:val="none"/>
                <w:u w:val="none"/>
                <w:lang w:val="en-US" w:eastAsia="zh-CN" w:bidi="ar"/>
              </w:rPr>
              <w:t>196001.9</w:t>
            </w:r>
            <w:r>
              <w:rPr>
                <w:rFonts w:hint="eastAsia" w:ascii="宋体" w:hAnsi="宋体" w:eastAsia="宋体" w:cs="宋体"/>
                <w:i w:val="0"/>
                <w:iCs w:val="0"/>
                <w:color w:val="auto"/>
                <w:kern w:val="0"/>
                <w:sz w:val="24"/>
                <w:szCs w:val="24"/>
                <w:highlight w:val="none"/>
                <w:u w:val="none"/>
                <w:lang w:val="en-US" w:eastAsia="zh-CN" w:bidi="ar"/>
              </w:rPr>
              <w:fldChar w:fldCharType="end"/>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32930.05</w:t>
            </w:r>
          </w:p>
        </w:tc>
        <w:tc>
          <w:tcPr>
            <w:tcW w:w="1410"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3758" w:type="dxa"/>
            <w:gridSpan w:val="9"/>
            <w:tcBorders>
              <w:top w:val="single" w:color="000000" w:sz="4" w:space="0"/>
              <w:left w:val="single" w:color="000000" w:sz="4" w:space="0"/>
              <w:bottom w:val="single" w:color="000000" w:sz="4" w:space="0"/>
              <w:right w:val="single" w:color="auto" w:sz="4" w:space="0"/>
            </w:tcBorders>
            <w:vAlign w:val="center"/>
          </w:tcPr>
          <w:p>
            <w:pPr>
              <w:pStyle w:val="4"/>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一、市政养护总面积为</w:t>
            </w:r>
            <w:r>
              <w:rPr>
                <w:rFonts w:hint="eastAsia" w:ascii="宋体" w:hAnsi="宋体" w:eastAsia="宋体" w:cs="宋体"/>
                <w:i w:val="0"/>
                <w:iCs w:val="0"/>
                <w:color w:val="auto"/>
                <w:kern w:val="0"/>
                <w:sz w:val="24"/>
                <w:szCs w:val="24"/>
                <w:highlight w:val="none"/>
                <w:u w:val="none"/>
                <w:lang w:val="en-US" w:eastAsia="zh-CN" w:bidi="ar"/>
              </w:rPr>
              <w:fldChar w:fldCharType="begin"/>
            </w:r>
            <w:r>
              <w:rPr>
                <w:rFonts w:hint="eastAsia" w:ascii="宋体" w:hAnsi="宋体" w:eastAsia="宋体" w:cs="宋体"/>
                <w:i w:val="0"/>
                <w:iCs w:val="0"/>
                <w:color w:val="auto"/>
                <w:kern w:val="0"/>
                <w:sz w:val="24"/>
                <w:szCs w:val="24"/>
                <w:highlight w:val="none"/>
                <w:u w:val="none"/>
                <w:lang w:val="en-US" w:eastAsia="zh-CN" w:bidi="ar"/>
              </w:rPr>
              <w:instrText xml:space="preserve"> = sum(E3:E16) \* MERGEFORMAT </w:instrText>
            </w:r>
            <w:r>
              <w:rPr>
                <w:rFonts w:hint="eastAsia" w:ascii="宋体" w:hAnsi="宋体" w:eastAsia="宋体" w:cs="宋体"/>
                <w:i w:val="0"/>
                <w:iCs w:val="0"/>
                <w:color w:val="auto"/>
                <w:kern w:val="0"/>
                <w:sz w:val="24"/>
                <w:szCs w:val="24"/>
                <w:highlight w:val="none"/>
                <w:u w:val="none"/>
                <w:lang w:val="en-US" w:eastAsia="zh-CN" w:bidi="ar"/>
              </w:rPr>
              <w:fldChar w:fldCharType="separate"/>
            </w:r>
            <w:r>
              <w:rPr>
                <w:rFonts w:hint="eastAsia" w:ascii="宋体" w:hAnsi="宋体" w:eastAsia="宋体" w:cs="宋体"/>
                <w:i w:val="0"/>
                <w:iCs w:val="0"/>
                <w:color w:val="auto"/>
                <w:kern w:val="0"/>
                <w:sz w:val="24"/>
                <w:szCs w:val="24"/>
                <w:highlight w:val="none"/>
                <w:u w:val="none"/>
                <w:lang w:val="en-US" w:eastAsia="zh-CN" w:bidi="ar"/>
              </w:rPr>
              <w:t>196001.9</w:t>
            </w:r>
            <w:r>
              <w:rPr>
                <w:rFonts w:hint="eastAsia" w:ascii="宋体" w:hAnsi="宋体" w:eastAsia="宋体" w:cs="宋体"/>
                <w:i w:val="0"/>
                <w:iCs w:val="0"/>
                <w:color w:val="auto"/>
                <w:kern w:val="0"/>
                <w:sz w:val="24"/>
                <w:szCs w:val="24"/>
                <w:highlight w:val="none"/>
                <w:u w:val="none"/>
                <w:lang w:val="en-US" w:eastAsia="zh-CN" w:bidi="ar"/>
              </w:rPr>
              <w:fldChar w:fldCharType="end"/>
            </w:r>
            <w:r>
              <w:rPr>
                <w:rFonts w:hint="eastAsia" w:ascii="宋体" w:hAnsi="宋体" w:eastAsia="宋体" w:cs="宋体"/>
                <w:color w:val="auto"/>
                <w:sz w:val="24"/>
                <w:highlight w:val="none"/>
                <w:lang w:val="en-US" w:eastAsia="zh-CN"/>
              </w:rPr>
              <w:t>平方米，</w:t>
            </w:r>
            <w:r>
              <w:rPr>
                <w:rFonts w:hint="eastAsia" w:ascii="宋体" w:hAnsi="宋体" w:eastAsia="宋体" w:cs="宋体"/>
                <w:color w:val="auto"/>
                <w:sz w:val="24"/>
                <w:highlight w:val="none"/>
                <w:lang w:val="zh-CN"/>
              </w:rPr>
              <w:t>此部分暂定费用</w:t>
            </w:r>
            <w:r>
              <w:rPr>
                <w:rFonts w:hint="eastAsia" w:ascii="宋体" w:hAnsi="宋体" w:eastAsia="宋体" w:cs="宋体"/>
                <w:color w:val="auto"/>
                <w:sz w:val="24"/>
                <w:highlight w:val="none"/>
                <w:lang w:val="zh-CN"/>
              </w:rPr>
              <w:t>为</w:t>
            </w:r>
            <w:r>
              <w:rPr>
                <w:rFonts w:hint="eastAsia" w:ascii="宋体" w:hAnsi="宋体" w:eastAsia="宋体" w:cs="宋体"/>
                <w:color w:val="auto"/>
                <w:sz w:val="24"/>
                <w:highlight w:val="none"/>
                <w:lang w:val="en-US" w:eastAsia="zh-CN"/>
              </w:rPr>
              <w:t>195</w:t>
            </w:r>
            <w:r>
              <w:rPr>
                <w:rFonts w:hint="eastAsia" w:ascii="宋体" w:hAnsi="宋体" w:eastAsia="宋体" w:cs="宋体"/>
                <w:color w:val="auto"/>
                <w:sz w:val="24"/>
                <w:highlight w:val="none"/>
                <w:lang w:val="zh-CN"/>
              </w:rPr>
              <w:t>万元</w:t>
            </w:r>
            <w:r>
              <w:rPr>
                <w:rFonts w:hint="eastAsia" w:ascii="宋体" w:hAnsi="宋体" w:eastAsia="宋体" w:cs="宋体"/>
                <w:color w:val="auto"/>
                <w:sz w:val="24"/>
                <w:highlight w:val="none"/>
                <w:lang w:val="en-US" w:eastAsia="zh-CN"/>
              </w:rPr>
              <w:t>/年</w:t>
            </w:r>
            <w:r>
              <w:rPr>
                <w:rFonts w:hint="eastAsia" w:ascii="宋体" w:hAnsi="宋体" w:eastAsia="宋体" w:cs="宋体"/>
                <w:color w:val="auto"/>
                <w:sz w:val="24"/>
                <w:highlight w:val="none"/>
                <w:lang w:val="en-US" w:eastAsia="zh-CN"/>
              </w:rPr>
              <w:t>，最终按实结算，结算方式详见付款方式。小区退让人行道面积有</w:t>
            </w:r>
            <w:r>
              <w:rPr>
                <w:rFonts w:hint="eastAsia" w:ascii="宋体" w:hAnsi="宋体" w:eastAsia="宋体" w:cs="宋体"/>
                <w:i w:val="0"/>
                <w:iCs w:val="0"/>
                <w:color w:val="auto"/>
                <w:kern w:val="0"/>
                <w:sz w:val="24"/>
                <w:szCs w:val="24"/>
                <w:highlight w:val="none"/>
                <w:u w:val="none"/>
                <w:lang w:val="en-US" w:eastAsia="zh-CN" w:bidi="ar"/>
              </w:rPr>
              <w:t>32930.05</w:t>
            </w:r>
            <w:r>
              <w:rPr>
                <w:rFonts w:hint="eastAsia" w:ascii="宋体" w:hAnsi="宋体" w:eastAsia="宋体" w:cs="宋体"/>
                <w:color w:val="auto"/>
                <w:sz w:val="24"/>
                <w:highlight w:val="none"/>
                <w:lang w:val="en-US" w:eastAsia="zh-CN"/>
              </w:rPr>
              <w:t>平方米，该面积不计入市政养护预算范围，但市政养护时需包含该面积。</w:t>
            </w:r>
          </w:p>
          <w:p>
            <w:pPr>
              <w:pStyle w:val="4"/>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二、保洁总面积为 </w:t>
            </w:r>
            <w:r>
              <w:rPr>
                <w:rFonts w:hint="eastAsia" w:ascii="宋体" w:hAnsi="宋体" w:eastAsia="宋体" w:cs="宋体"/>
                <w:i w:val="0"/>
                <w:iCs w:val="0"/>
                <w:color w:val="auto"/>
                <w:kern w:val="0"/>
                <w:sz w:val="24"/>
                <w:szCs w:val="24"/>
                <w:highlight w:val="none"/>
                <w:u w:val="none"/>
                <w:lang w:val="en-US" w:eastAsia="zh-CN" w:bidi="ar"/>
              </w:rPr>
              <w:fldChar w:fldCharType="begin"/>
            </w:r>
            <w:r>
              <w:rPr>
                <w:rFonts w:hint="eastAsia" w:ascii="宋体" w:hAnsi="宋体" w:eastAsia="宋体" w:cs="宋体"/>
                <w:i w:val="0"/>
                <w:iCs w:val="0"/>
                <w:color w:val="auto"/>
                <w:kern w:val="0"/>
                <w:sz w:val="24"/>
                <w:szCs w:val="24"/>
                <w:highlight w:val="none"/>
                <w:u w:val="none"/>
                <w:lang w:val="en-US" w:eastAsia="zh-CN" w:bidi="ar"/>
              </w:rPr>
              <w:instrText xml:space="preserve"> = sum(E3:E16) \* MERGEFORMAT </w:instrText>
            </w:r>
            <w:r>
              <w:rPr>
                <w:rFonts w:hint="eastAsia" w:ascii="宋体" w:hAnsi="宋体" w:eastAsia="宋体" w:cs="宋体"/>
                <w:i w:val="0"/>
                <w:iCs w:val="0"/>
                <w:color w:val="auto"/>
                <w:kern w:val="0"/>
                <w:sz w:val="24"/>
                <w:szCs w:val="24"/>
                <w:highlight w:val="none"/>
                <w:u w:val="none"/>
                <w:lang w:val="en-US" w:eastAsia="zh-CN" w:bidi="ar"/>
              </w:rPr>
              <w:fldChar w:fldCharType="separate"/>
            </w:r>
            <w:r>
              <w:rPr>
                <w:rFonts w:hint="eastAsia" w:ascii="宋体" w:hAnsi="宋体" w:eastAsia="宋体" w:cs="宋体"/>
                <w:i w:val="0"/>
                <w:iCs w:val="0"/>
                <w:color w:val="auto"/>
                <w:kern w:val="0"/>
                <w:sz w:val="24"/>
                <w:szCs w:val="24"/>
                <w:highlight w:val="none"/>
                <w:u w:val="none"/>
                <w:lang w:val="en-US" w:eastAsia="zh-CN" w:bidi="ar"/>
              </w:rPr>
              <w:t>196001.9</w:t>
            </w:r>
            <w:r>
              <w:rPr>
                <w:rFonts w:hint="eastAsia" w:ascii="宋体" w:hAnsi="宋体" w:eastAsia="宋体" w:cs="宋体"/>
                <w:i w:val="0"/>
                <w:iCs w:val="0"/>
                <w:color w:val="auto"/>
                <w:kern w:val="0"/>
                <w:sz w:val="24"/>
                <w:szCs w:val="24"/>
                <w:highlight w:val="none"/>
                <w:u w:val="none"/>
                <w:lang w:val="en-US" w:eastAsia="zh-CN" w:bidi="ar"/>
              </w:rPr>
              <w:fldChar w:fldCharType="end"/>
            </w:r>
            <w:r>
              <w:rPr>
                <w:rFonts w:hint="eastAsia" w:ascii="宋体" w:hAnsi="宋体" w:eastAsia="宋体" w:cs="宋体"/>
                <w:color w:val="auto"/>
                <w:sz w:val="24"/>
                <w:highlight w:val="none"/>
                <w:lang w:val="en-US" w:eastAsia="zh-CN"/>
              </w:rPr>
              <w:t>平方米（人行道面积+车行道面积），</w:t>
            </w:r>
            <w:r>
              <w:rPr>
                <w:rFonts w:hint="eastAsia" w:ascii="宋体" w:hAnsi="宋体" w:eastAsia="宋体" w:cs="宋体"/>
                <w:color w:val="auto"/>
                <w:sz w:val="24"/>
                <w:highlight w:val="none"/>
                <w:lang w:val="zh-CN"/>
              </w:rPr>
              <w:t>最高限价为</w:t>
            </w:r>
            <w:r>
              <w:rPr>
                <w:rFonts w:hint="eastAsia" w:ascii="宋体" w:hAnsi="宋体" w:eastAsia="宋体" w:cs="宋体"/>
                <w:color w:val="auto"/>
                <w:sz w:val="24"/>
                <w:highlight w:val="none"/>
                <w:lang w:val="en-US" w:eastAsia="zh-CN"/>
              </w:rPr>
              <w:t xml:space="preserve">22.98 </w:t>
            </w:r>
            <w:r>
              <w:rPr>
                <w:rFonts w:hint="eastAsia" w:ascii="宋体" w:hAnsi="宋体" w:eastAsia="宋体" w:cs="宋体"/>
                <w:color w:val="auto"/>
                <w:sz w:val="24"/>
                <w:highlight w:val="none"/>
                <w:lang w:val="zh-CN"/>
              </w:rPr>
              <w:t>元/㎡</w:t>
            </w: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lang w:val="en-US" w:eastAsia="zh-CN"/>
              </w:rPr>
              <w:t>小区退让人行道面积有</w:t>
            </w:r>
            <w:r>
              <w:rPr>
                <w:rFonts w:hint="eastAsia" w:ascii="宋体" w:hAnsi="宋体" w:eastAsia="宋体" w:cs="宋体"/>
                <w:i w:val="0"/>
                <w:iCs w:val="0"/>
                <w:color w:val="auto"/>
                <w:kern w:val="0"/>
                <w:sz w:val="24"/>
                <w:szCs w:val="24"/>
                <w:highlight w:val="none"/>
                <w:u w:val="none"/>
                <w:lang w:val="en-US" w:eastAsia="zh-CN" w:bidi="ar"/>
              </w:rPr>
              <w:t>32930.05</w:t>
            </w:r>
            <w:r>
              <w:rPr>
                <w:rFonts w:hint="eastAsia" w:ascii="宋体" w:hAnsi="宋体" w:eastAsia="宋体" w:cs="宋体"/>
                <w:color w:val="auto"/>
                <w:sz w:val="24"/>
                <w:highlight w:val="none"/>
                <w:lang w:val="en-US" w:eastAsia="zh-CN"/>
              </w:rPr>
              <w:t>平方米，该面积不计入保洁预算范围内，但保洁时需包含该面积。</w:t>
            </w:r>
          </w:p>
          <w:p>
            <w:pPr>
              <w:widowControl/>
              <w:jc w:val="left"/>
              <w:textAlignment w:val="center"/>
              <w:rPr>
                <w:rFonts w:hint="eastAsia" w:ascii="宋体" w:hAnsi="宋体" w:eastAsia="宋体" w:cs="宋体"/>
                <w:color w:val="auto"/>
                <w:sz w:val="21"/>
                <w:szCs w:val="21"/>
                <w:highlight w:val="none"/>
              </w:rPr>
            </w:pPr>
            <w:r>
              <w:rPr>
                <w:rFonts w:hint="eastAsia" w:ascii="宋体" w:hAnsi="宋体" w:eastAsia="宋体" w:cs="宋体"/>
                <w:b/>
                <w:bCs/>
                <w:i w:val="0"/>
                <w:iCs w:val="0"/>
                <w:color w:val="auto"/>
                <w:kern w:val="0"/>
                <w:sz w:val="24"/>
                <w:szCs w:val="24"/>
                <w:highlight w:val="none"/>
                <w:u w:val="none"/>
                <w:lang w:val="en-US" w:eastAsia="zh-CN" w:bidi="ar"/>
              </w:rPr>
              <w:t>三、本项目综合养护内容还包括垃圾分类音乐线、牛皮藓清理、雨水篦清掏，该三项属保洁养护区域范围内的工作内容，相应的费用不在单独计取，含在投标报价内。</w:t>
            </w:r>
          </w:p>
        </w:tc>
      </w:tr>
    </w:tbl>
    <w:p>
      <w:pPr>
        <w:numPr>
          <w:ilvl w:val="0"/>
          <w:numId w:val="0"/>
        </w:numPr>
        <w:spacing w:line="600" w:lineRule="exact"/>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1"/>
          <w:szCs w:val="21"/>
          <w:highlight w:val="none"/>
        </w:rPr>
        <w:t>注：</w:t>
      </w:r>
      <w:r>
        <w:rPr>
          <w:rFonts w:hint="eastAsia" w:ascii="宋体" w:hAnsi="宋体" w:eastAsia="宋体" w:cs="宋体"/>
          <w:b/>
          <w:bCs/>
          <w:color w:val="auto"/>
          <w:sz w:val="24"/>
          <w:szCs w:val="24"/>
          <w:highlight w:val="none"/>
        </w:rPr>
        <w:t>1.新增</w:t>
      </w:r>
      <w:r>
        <w:rPr>
          <w:rFonts w:hint="eastAsia" w:ascii="宋体" w:hAnsi="宋体" w:cs="宋体"/>
          <w:b/>
          <w:bCs/>
          <w:color w:val="auto"/>
          <w:sz w:val="24"/>
          <w:szCs w:val="24"/>
          <w:highlight w:val="none"/>
          <w:lang w:val="en-US" w:eastAsia="zh-CN"/>
        </w:rPr>
        <w:t>养护面积</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超过招标面积3%以上的部分，按中标价计取（3%以内的不予计取）。</w:t>
      </w:r>
    </w:p>
    <w:p>
      <w:pPr>
        <w:numPr>
          <w:ilvl w:val="0"/>
          <w:numId w:val="2"/>
        </w:numPr>
        <w:spacing w:line="600" w:lineRule="exact"/>
        <w:ind w:left="63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以上面积为甲方提供的，各投标单位应根据现场实际踏测自行测量如面积不一致应充分考虑在投标报价内，今后不作调整。</w:t>
      </w:r>
    </w:p>
    <w:p>
      <w:pPr>
        <w:pStyle w:val="4"/>
        <w:ind w:left="0" w:leftChars="0" w:firstLine="0" w:firstLineChars="0"/>
        <w:rPr>
          <w:rFonts w:hint="eastAsia"/>
          <w:color w:val="auto"/>
          <w:highlight w:val="none"/>
        </w:rPr>
      </w:pPr>
    </w:p>
    <w:p>
      <w:pPr>
        <w:numPr>
          <w:ilvl w:val="0"/>
          <w:numId w:val="0"/>
        </w:numPr>
        <w:spacing w:line="600" w:lineRule="exact"/>
        <w:rPr>
          <w:rFonts w:hint="eastAsia" w:ascii="宋体" w:hAnsi="宋体" w:eastAsia="宋体" w:cs="宋体"/>
          <w:b/>
          <w:bCs/>
          <w:color w:val="auto"/>
          <w:sz w:val="21"/>
          <w:szCs w:val="21"/>
          <w:highlight w:val="none"/>
        </w:rPr>
      </w:pPr>
    </w:p>
    <w:p>
      <w:pPr>
        <w:pStyle w:val="4"/>
        <w:ind w:left="0" w:leftChars="0" w:firstLine="0" w:firstLineChars="0"/>
        <w:jc w:val="both"/>
        <w:rPr>
          <w:rFonts w:hint="eastAsia" w:ascii="宋体" w:hAnsi="宋体" w:eastAsia="宋体" w:cs="宋体"/>
          <w:color w:val="auto"/>
          <w:highlight w:val="none"/>
          <w:lang w:val="en-US"/>
        </w:rPr>
      </w:pPr>
    </w:p>
    <w:p>
      <w:pPr>
        <w:pStyle w:val="4"/>
        <w:ind w:left="808" w:leftChars="385" w:firstLine="2872" w:firstLineChars="894"/>
        <w:jc w:val="both"/>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五常街道城市管理综合养护</w:t>
      </w:r>
      <w:r>
        <w:rPr>
          <w:rFonts w:hint="eastAsia" w:ascii="宋体" w:hAnsi="宋体" w:eastAsia="宋体" w:cs="宋体"/>
          <w:color w:val="auto"/>
          <w:highlight w:val="none"/>
          <w:lang w:val="en-US" w:eastAsia="zh-CN"/>
        </w:rPr>
        <w:t>四标段绿化</w:t>
      </w:r>
      <w:r>
        <w:rPr>
          <w:rFonts w:hint="eastAsia" w:ascii="宋体" w:hAnsi="宋体" w:eastAsia="宋体" w:cs="宋体"/>
          <w:color w:val="auto"/>
          <w:highlight w:val="none"/>
          <w:lang w:val="en-US"/>
        </w:rPr>
        <w:t>养护明细表</w:t>
      </w:r>
    </w:p>
    <w:tbl>
      <w:tblPr>
        <w:tblStyle w:val="62"/>
        <w:tblW w:w="138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2077"/>
        <w:gridCol w:w="2325"/>
        <w:gridCol w:w="945"/>
        <w:gridCol w:w="1260"/>
        <w:gridCol w:w="1425"/>
        <w:gridCol w:w="1230"/>
        <w:gridCol w:w="1365"/>
        <w:gridCol w:w="1340"/>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序号</w:t>
            </w:r>
          </w:p>
        </w:tc>
        <w:tc>
          <w:tcPr>
            <w:tcW w:w="207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道路名称</w:t>
            </w:r>
          </w:p>
        </w:tc>
        <w:tc>
          <w:tcPr>
            <w:tcW w:w="23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起止点</w:t>
            </w:r>
          </w:p>
        </w:tc>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长度</w:t>
            </w:r>
          </w:p>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（m）</w:t>
            </w:r>
          </w:p>
        </w:tc>
        <w:tc>
          <w:tcPr>
            <w:tcW w:w="1260"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道路绿化面积</w:t>
            </w:r>
            <w:r>
              <w:rPr>
                <w:rFonts w:hint="eastAsia" w:ascii="宋体" w:hAnsi="宋体" w:eastAsia="宋体" w:cs="宋体"/>
                <w:b/>
                <w:bCs/>
                <w:color w:val="auto"/>
                <w:kern w:val="0"/>
                <w:sz w:val="21"/>
                <w:szCs w:val="21"/>
                <w:highlight w:val="none"/>
              </w:rPr>
              <w:t>（㎡）</w:t>
            </w:r>
          </w:p>
        </w:tc>
        <w:tc>
          <w:tcPr>
            <w:tcW w:w="1425"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公园绿化面积</w:t>
            </w:r>
            <w:r>
              <w:rPr>
                <w:rFonts w:hint="eastAsia" w:ascii="宋体" w:hAnsi="宋体" w:eastAsia="宋体" w:cs="宋体"/>
                <w:b/>
                <w:bCs/>
                <w:color w:val="auto"/>
                <w:kern w:val="0"/>
                <w:sz w:val="21"/>
                <w:szCs w:val="21"/>
                <w:highlight w:val="none"/>
              </w:rPr>
              <w:t>（㎡）</w:t>
            </w:r>
          </w:p>
        </w:tc>
        <w:tc>
          <w:tcPr>
            <w:tcW w:w="1230"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公园道路面积</w:t>
            </w:r>
            <w:r>
              <w:rPr>
                <w:rFonts w:hint="eastAsia" w:ascii="宋体" w:hAnsi="宋体" w:eastAsia="宋体" w:cs="宋体"/>
                <w:b/>
                <w:bCs/>
                <w:color w:val="auto"/>
                <w:kern w:val="0"/>
                <w:sz w:val="21"/>
                <w:szCs w:val="21"/>
                <w:highlight w:val="none"/>
              </w:rPr>
              <w:t>（㎡）</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公共设施</w:t>
            </w:r>
            <w:r>
              <w:rPr>
                <w:rFonts w:hint="eastAsia" w:ascii="宋体" w:hAnsi="宋体" w:cs="宋体"/>
                <w:b/>
                <w:bCs/>
                <w:color w:val="auto"/>
                <w:sz w:val="21"/>
                <w:szCs w:val="21"/>
                <w:highlight w:val="none"/>
                <w:lang w:eastAsia="zh-CN"/>
              </w:rPr>
              <w:t>面积</w:t>
            </w:r>
            <w:r>
              <w:rPr>
                <w:rFonts w:hint="eastAsia" w:ascii="宋体" w:hAnsi="宋体" w:eastAsia="宋体" w:cs="宋体"/>
                <w:b/>
                <w:bCs/>
                <w:color w:val="auto"/>
                <w:kern w:val="0"/>
                <w:sz w:val="21"/>
                <w:szCs w:val="21"/>
                <w:highlight w:val="none"/>
              </w:rPr>
              <w:t>（㎡）</w:t>
            </w:r>
          </w:p>
        </w:tc>
        <w:tc>
          <w:tcPr>
            <w:tcW w:w="1340" w:type="dxa"/>
            <w:vMerge w:val="restart"/>
            <w:tcBorders>
              <w:top w:val="single" w:color="000000" w:sz="4" w:space="0"/>
              <w:left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rPr>
              <w:t>已建成移交中绿化</w:t>
            </w:r>
            <w:r>
              <w:rPr>
                <w:rFonts w:hint="eastAsia" w:ascii="宋体" w:hAnsi="宋体" w:cs="宋体"/>
                <w:b/>
                <w:bCs/>
                <w:color w:val="auto"/>
                <w:kern w:val="0"/>
                <w:sz w:val="21"/>
                <w:szCs w:val="21"/>
                <w:highlight w:val="none"/>
                <w:lang w:eastAsia="zh-CN"/>
              </w:rPr>
              <w:t>面积</w:t>
            </w:r>
            <w:r>
              <w:rPr>
                <w:rFonts w:hint="eastAsia" w:ascii="宋体" w:hAnsi="宋体" w:eastAsia="宋体" w:cs="宋体"/>
                <w:b/>
                <w:bCs/>
                <w:color w:val="auto"/>
                <w:kern w:val="0"/>
                <w:sz w:val="21"/>
                <w:szCs w:val="21"/>
                <w:highlight w:val="none"/>
              </w:rPr>
              <w:t>（㎡）</w:t>
            </w:r>
          </w:p>
        </w:tc>
        <w:tc>
          <w:tcPr>
            <w:tcW w:w="1315"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小区退让人行面积(㎡)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1"/>
                <w:szCs w:val="21"/>
                <w:highlight w:val="none"/>
              </w:rPr>
            </w:pPr>
          </w:p>
        </w:tc>
        <w:tc>
          <w:tcPr>
            <w:tcW w:w="207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126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b/>
                <w:bCs/>
                <w:color w:val="auto"/>
                <w:sz w:val="21"/>
                <w:szCs w:val="21"/>
                <w:highlight w:val="none"/>
              </w:rPr>
            </w:pPr>
          </w:p>
        </w:tc>
        <w:tc>
          <w:tcPr>
            <w:tcW w:w="1425" w:type="dxa"/>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宋体" w:hAnsi="宋体" w:eastAsia="宋体" w:cs="宋体"/>
                <w:b/>
                <w:bCs/>
                <w:color w:val="auto"/>
                <w:sz w:val="21"/>
                <w:szCs w:val="21"/>
                <w:highlight w:val="none"/>
              </w:rPr>
            </w:pPr>
          </w:p>
        </w:tc>
        <w:tc>
          <w:tcPr>
            <w:tcW w:w="1230"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21"/>
                <w:szCs w:val="21"/>
                <w:highlight w:val="none"/>
              </w:rPr>
            </w:pPr>
          </w:p>
        </w:tc>
        <w:tc>
          <w:tcPr>
            <w:tcW w:w="1340" w:type="dxa"/>
            <w:vMerge w:val="continue"/>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b/>
                <w:bCs/>
                <w:color w:val="auto"/>
                <w:kern w:val="0"/>
                <w:sz w:val="21"/>
                <w:szCs w:val="21"/>
                <w:highlight w:val="none"/>
              </w:rPr>
            </w:pPr>
          </w:p>
        </w:tc>
        <w:tc>
          <w:tcPr>
            <w:tcW w:w="1315" w:type="dxa"/>
            <w:vMerge w:val="continue"/>
            <w:tcBorders>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远洋公馆</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荆长大道-金家塘港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349</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2259.18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岸汀街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良睦路-高教路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677</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178.19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2368.58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2077" w:type="dxa"/>
            <w:tcBorders>
              <w:top w:val="single" w:color="000000"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茶师庵路</w:t>
            </w:r>
          </w:p>
        </w:tc>
        <w:tc>
          <w:tcPr>
            <w:tcW w:w="232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爱橙街-文二西路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584</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191.12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1020.43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5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4</w:t>
            </w:r>
          </w:p>
        </w:tc>
        <w:tc>
          <w:tcPr>
            <w:tcW w:w="2077"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大华欣华支路</w:t>
            </w:r>
          </w:p>
        </w:tc>
        <w:tc>
          <w:tcPr>
            <w:tcW w:w="232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聚橙路-文一西路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680</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30.18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1734.87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5</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地信路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永寿街-文二西路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369</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107.78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786.14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6</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文福路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文一西路-文二西路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935</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234.23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1031.42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55.88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1412.09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7</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勤知路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永寿街-文二西路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370</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104.90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593.44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8</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爱橙街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良睦路-聚橙路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1866</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1874.88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19195.00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1645.30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147.72 </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7966.19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9</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纬八路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荆长大道-金家塘港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286</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444.99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10</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永寿街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贺翠路-聚橙路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1119</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317.58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1824.60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2200.80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11</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文茂街</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高教路-金钱港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1159</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283.09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3356.42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12</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贺翠路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文一西路-永寿街</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577</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140.83 </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348.25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13</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亲橙里支路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高教路-聚橙路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1008</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3132.69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14</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阿里园区东门道路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阿里巴巴西溪A区-聚橙路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134</w:t>
            </w: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15</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邱桥港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香樟港-金家塘港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2336.21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1973.36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16</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白庙港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白庙路桥头-沈家港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8854.64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1125.22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77.08 </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17</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沈家港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白庙港-吴家港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13392.09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2262.21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18</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吴家港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天竺港-沈家港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13216.01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2050.77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63.70 </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19</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天竺桥港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天竺港桥-五常港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7778.04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20</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金家塘港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天竺港桥-前进港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142352.45</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5424.69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2721.4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21</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金钱港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天竺港桥-永胜港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8088.70 </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22</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金钱港支河</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聚橙路-金钱港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14583.01 </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23</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永胜港</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闲林港-邱桥港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26089.59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5532.87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259.40 </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24</w:t>
            </w:r>
          </w:p>
        </w:tc>
        <w:tc>
          <w:tcPr>
            <w:tcW w:w="207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文福路与文二西路交叉口公园绿化</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良睦路-贺翠路</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14789.49 </w:t>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1813.23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18.89 </w:t>
            </w:r>
          </w:p>
        </w:tc>
        <w:tc>
          <w:tcPr>
            <w:tcW w:w="134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c>
          <w:tcPr>
            <w:tcW w:w="131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合计</w:t>
            </w:r>
          </w:p>
        </w:tc>
        <w:tc>
          <w:tcPr>
            <w:tcW w:w="2077"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lang w:val="en-US" w:eastAsia="zh-CN"/>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4"/>
                <w:szCs w:val="24"/>
                <w:highlight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4"/>
                <w:szCs w:val="24"/>
                <w:highlight w:val="none"/>
              </w:rPr>
            </w:pPr>
          </w:p>
        </w:tc>
        <w:tc>
          <w:tcPr>
            <w:tcW w:w="1260"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highlight w:val="none"/>
                <w:u w:val="none"/>
                <w:lang w:val="en-US" w:eastAsia="zh-CN" w:bidi="ar"/>
              </w:rPr>
            </w:pPr>
            <w:r>
              <w:rPr>
                <w:rFonts w:hint="default" w:ascii="宋体" w:hAnsi="宋体" w:cs="宋体"/>
                <w:i w:val="0"/>
                <w:iCs w:val="0"/>
                <w:color w:val="auto"/>
                <w:kern w:val="0"/>
                <w:sz w:val="24"/>
                <w:szCs w:val="24"/>
                <w:highlight w:val="none"/>
                <w:u w:val="none"/>
                <w:lang w:val="en-US" w:eastAsia="zh-CN" w:bidi="ar"/>
              </w:rPr>
              <w:fldChar w:fldCharType="begin"/>
            </w:r>
            <w:r>
              <w:rPr>
                <w:rFonts w:hint="default" w:ascii="宋体" w:hAnsi="宋体" w:cs="宋体"/>
                <w:i w:val="0"/>
                <w:iCs w:val="0"/>
                <w:color w:val="auto"/>
                <w:kern w:val="0"/>
                <w:sz w:val="24"/>
                <w:szCs w:val="24"/>
                <w:highlight w:val="none"/>
                <w:u w:val="none"/>
                <w:lang w:val="en-US" w:eastAsia="zh-CN" w:bidi="ar"/>
              </w:rPr>
              <w:instrText xml:space="preserve"> = sum(E3:E26) \* MERGEFORMAT </w:instrText>
            </w:r>
            <w:r>
              <w:rPr>
                <w:rFonts w:hint="default" w:ascii="宋体" w:hAnsi="宋体" w:cs="宋体"/>
                <w:i w:val="0"/>
                <w:iCs w:val="0"/>
                <w:color w:val="auto"/>
                <w:kern w:val="0"/>
                <w:sz w:val="24"/>
                <w:szCs w:val="24"/>
                <w:highlight w:val="none"/>
                <w:u w:val="none"/>
                <w:lang w:val="en-US" w:eastAsia="zh-CN" w:bidi="ar"/>
              </w:rPr>
              <w:fldChar w:fldCharType="separate"/>
            </w:r>
            <w:r>
              <w:rPr>
                <w:rFonts w:hint="default" w:ascii="宋体" w:hAnsi="宋体" w:cs="宋体"/>
                <w:i w:val="0"/>
                <w:iCs w:val="0"/>
                <w:color w:val="auto"/>
                <w:kern w:val="0"/>
                <w:sz w:val="24"/>
                <w:szCs w:val="24"/>
                <w:highlight w:val="none"/>
                <w:u w:val="none"/>
                <w:lang w:val="en-US" w:eastAsia="zh-CN" w:bidi="ar"/>
              </w:rPr>
              <w:t>3462.78</w:t>
            </w:r>
            <w:r>
              <w:rPr>
                <w:rFonts w:hint="default" w:ascii="宋体" w:hAnsi="宋体" w:cs="宋体"/>
                <w:i w:val="0"/>
                <w:iCs w:val="0"/>
                <w:color w:val="auto"/>
                <w:kern w:val="0"/>
                <w:sz w:val="24"/>
                <w:szCs w:val="24"/>
                <w:highlight w:val="none"/>
                <w:u w:val="none"/>
                <w:lang w:val="en-US" w:eastAsia="zh-CN" w:bidi="ar"/>
              </w:rPr>
              <w:fldChar w:fldCharType="end"/>
            </w:r>
          </w:p>
        </w:tc>
        <w:tc>
          <w:tcPr>
            <w:tcW w:w="1425"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highlight w:val="none"/>
                <w:u w:val="none"/>
                <w:lang w:val="en-US" w:eastAsia="zh-CN" w:bidi="ar"/>
              </w:rPr>
            </w:pPr>
            <w:r>
              <w:rPr>
                <w:rFonts w:hint="default" w:ascii="宋体" w:hAnsi="宋体" w:cs="宋体"/>
                <w:i w:val="0"/>
                <w:iCs w:val="0"/>
                <w:color w:val="auto"/>
                <w:kern w:val="0"/>
                <w:sz w:val="24"/>
                <w:szCs w:val="24"/>
                <w:highlight w:val="none"/>
                <w:u w:val="none"/>
                <w:lang w:val="en-US" w:eastAsia="zh-CN" w:bidi="ar"/>
              </w:rPr>
              <w:fldChar w:fldCharType="begin"/>
            </w:r>
            <w:r>
              <w:rPr>
                <w:rFonts w:hint="default" w:ascii="宋体" w:hAnsi="宋体" w:cs="宋体"/>
                <w:i w:val="0"/>
                <w:iCs w:val="0"/>
                <w:color w:val="auto"/>
                <w:kern w:val="0"/>
                <w:sz w:val="24"/>
                <w:szCs w:val="24"/>
                <w:highlight w:val="none"/>
                <w:u w:val="none"/>
                <w:lang w:val="en-US" w:eastAsia="zh-CN" w:bidi="ar"/>
              </w:rPr>
              <w:instrText xml:space="preserve"> = sum(F3:F26) \* MERGEFORMAT </w:instrText>
            </w:r>
            <w:r>
              <w:rPr>
                <w:rFonts w:hint="default" w:ascii="宋体" w:hAnsi="宋体" w:cs="宋体"/>
                <w:i w:val="0"/>
                <w:iCs w:val="0"/>
                <w:color w:val="auto"/>
                <w:kern w:val="0"/>
                <w:sz w:val="24"/>
                <w:szCs w:val="24"/>
                <w:highlight w:val="none"/>
                <w:u w:val="none"/>
                <w:lang w:val="en-US" w:eastAsia="zh-CN" w:bidi="ar"/>
              </w:rPr>
              <w:fldChar w:fldCharType="separate"/>
            </w:r>
            <w:r>
              <w:rPr>
                <w:rFonts w:hint="default" w:ascii="宋体" w:hAnsi="宋体" w:cs="宋体"/>
                <w:i w:val="0"/>
                <w:iCs w:val="0"/>
                <w:color w:val="auto"/>
                <w:kern w:val="0"/>
                <w:sz w:val="24"/>
                <w:szCs w:val="24"/>
                <w:highlight w:val="none"/>
                <w:u w:val="none"/>
                <w:lang w:val="en-US" w:eastAsia="zh-CN" w:bidi="ar"/>
              </w:rPr>
              <w:t>250859.54</w:t>
            </w:r>
            <w:r>
              <w:rPr>
                <w:rFonts w:hint="default" w:ascii="宋体" w:hAnsi="宋体" w:cs="宋体"/>
                <w:i w:val="0"/>
                <w:iCs w:val="0"/>
                <w:color w:val="auto"/>
                <w:kern w:val="0"/>
                <w:sz w:val="24"/>
                <w:szCs w:val="24"/>
                <w:highlight w:val="none"/>
                <w:u w:val="none"/>
                <w:lang w:val="en-US" w:eastAsia="zh-CN" w:bidi="ar"/>
              </w:rPr>
              <w:fldChar w:fldCharType="end"/>
            </w:r>
          </w:p>
        </w:tc>
        <w:tc>
          <w:tcPr>
            <w:tcW w:w="123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fldChar w:fldCharType="begin"/>
            </w:r>
            <w:r>
              <w:rPr>
                <w:rFonts w:hint="eastAsia" w:ascii="宋体" w:hAnsi="宋体" w:cs="宋体"/>
                <w:i w:val="0"/>
                <w:iCs w:val="0"/>
                <w:color w:val="auto"/>
                <w:kern w:val="0"/>
                <w:sz w:val="24"/>
                <w:szCs w:val="24"/>
                <w:highlight w:val="none"/>
                <w:u w:val="none"/>
                <w:lang w:val="en-US" w:eastAsia="zh-CN" w:bidi="ar"/>
              </w:rPr>
              <w:instrText xml:space="preserve"> = sum(G3:G26) \* MERGEFORMAT </w:instrText>
            </w:r>
            <w:r>
              <w:rPr>
                <w:rFonts w:hint="eastAsia" w:ascii="宋体" w:hAnsi="宋体" w:cs="宋体"/>
                <w:i w:val="0"/>
                <w:iCs w:val="0"/>
                <w:color w:val="auto"/>
                <w:kern w:val="0"/>
                <w:sz w:val="24"/>
                <w:szCs w:val="24"/>
                <w:highlight w:val="none"/>
                <w:u w:val="none"/>
                <w:lang w:val="en-US" w:eastAsia="zh-CN" w:bidi="ar"/>
              </w:rPr>
              <w:fldChar w:fldCharType="separate"/>
            </w:r>
            <w:r>
              <w:rPr>
                <w:rFonts w:hint="eastAsia" w:ascii="宋体" w:hAnsi="宋体" w:cs="宋体"/>
                <w:i w:val="0"/>
                <w:iCs w:val="0"/>
                <w:color w:val="auto"/>
                <w:kern w:val="0"/>
                <w:sz w:val="24"/>
                <w:szCs w:val="24"/>
                <w:highlight w:val="none"/>
                <w:u w:val="none"/>
                <w:lang w:val="en-US" w:eastAsia="zh-CN" w:bidi="ar"/>
              </w:rPr>
              <w:t>19910.17</w:t>
            </w:r>
            <w:r>
              <w:rPr>
                <w:rFonts w:hint="eastAsia" w:ascii="宋体" w:hAnsi="宋体" w:cs="宋体"/>
                <w:i w:val="0"/>
                <w:iCs w:val="0"/>
                <w:color w:val="auto"/>
                <w:kern w:val="0"/>
                <w:sz w:val="24"/>
                <w:szCs w:val="24"/>
                <w:highlight w:val="none"/>
                <w:u w:val="none"/>
                <w:lang w:val="en-US" w:eastAsia="zh-CN" w:bidi="ar"/>
              </w:rPr>
              <w:fldChar w:fldCharType="end"/>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fldChar w:fldCharType="begin"/>
            </w:r>
            <w:r>
              <w:rPr>
                <w:rFonts w:hint="eastAsia" w:ascii="宋体" w:hAnsi="宋体" w:cs="宋体"/>
                <w:i w:val="0"/>
                <w:iCs w:val="0"/>
                <w:color w:val="auto"/>
                <w:kern w:val="0"/>
                <w:sz w:val="24"/>
                <w:szCs w:val="24"/>
                <w:highlight w:val="none"/>
                <w:u w:val="none"/>
                <w:lang w:val="en-US" w:eastAsia="zh-CN" w:bidi="ar"/>
              </w:rPr>
              <w:instrText xml:space="preserve"> = sum(H3:H26) \* MERGEFORMAT </w:instrText>
            </w:r>
            <w:r>
              <w:rPr>
                <w:rFonts w:hint="eastAsia" w:ascii="宋体" w:hAnsi="宋体" w:cs="宋体"/>
                <w:i w:val="0"/>
                <w:iCs w:val="0"/>
                <w:color w:val="auto"/>
                <w:kern w:val="0"/>
                <w:sz w:val="24"/>
                <w:szCs w:val="24"/>
                <w:highlight w:val="none"/>
                <w:u w:val="none"/>
                <w:lang w:val="en-US" w:eastAsia="zh-CN" w:bidi="ar"/>
              </w:rPr>
              <w:fldChar w:fldCharType="separate"/>
            </w:r>
            <w:r>
              <w:rPr>
                <w:rFonts w:hint="eastAsia" w:ascii="宋体" w:hAnsi="宋体" w:cs="宋体"/>
                <w:i w:val="0"/>
                <w:iCs w:val="0"/>
                <w:color w:val="auto"/>
                <w:kern w:val="0"/>
                <w:sz w:val="24"/>
                <w:szCs w:val="24"/>
                <w:highlight w:val="none"/>
                <w:u w:val="none"/>
                <w:lang w:val="en-US" w:eastAsia="zh-CN" w:bidi="ar"/>
              </w:rPr>
              <w:t>566.79</w:t>
            </w:r>
            <w:r>
              <w:rPr>
                <w:rFonts w:hint="eastAsia" w:ascii="宋体" w:hAnsi="宋体" w:cs="宋体"/>
                <w:i w:val="0"/>
                <w:iCs w:val="0"/>
                <w:color w:val="auto"/>
                <w:kern w:val="0"/>
                <w:sz w:val="24"/>
                <w:szCs w:val="24"/>
                <w:highlight w:val="none"/>
                <w:u w:val="none"/>
                <w:lang w:val="en-US" w:eastAsia="zh-CN" w:bidi="ar"/>
              </w:rPr>
              <w:fldChar w:fldCharType="end"/>
            </w:r>
          </w:p>
        </w:tc>
        <w:tc>
          <w:tcPr>
            <w:tcW w:w="1340" w:type="dxa"/>
            <w:tcBorders>
              <w:top w:val="single" w:color="000000" w:sz="4" w:space="0"/>
              <w:left w:val="single" w:color="000000" w:sz="4" w:space="0"/>
              <w:bottom w:val="single" w:color="000000" w:sz="4" w:space="0"/>
              <w:right w:val="single" w:color="auto" w:sz="4" w:space="0"/>
            </w:tcBorders>
            <w:vAlign w:val="top"/>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fldChar w:fldCharType="begin"/>
            </w:r>
            <w:r>
              <w:rPr>
                <w:rFonts w:hint="eastAsia" w:ascii="宋体" w:hAnsi="宋体" w:cs="宋体"/>
                <w:i w:val="0"/>
                <w:iCs w:val="0"/>
                <w:color w:val="auto"/>
                <w:kern w:val="0"/>
                <w:sz w:val="24"/>
                <w:szCs w:val="24"/>
                <w:highlight w:val="none"/>
                <w:u w:val="none"/>
                <w:lang w:val="en-US" w:eastAsia="zh-CN" w:bidi="ar"/>
              </w:rPr>
              <w:instrText xml:space="preserve"> = sum(I3:I26) \* MERGEFORMAT </w:instrText>
            </w:r>
            <w:r>
              <w:rPr>
                <w:rFonts w:hint="eastAsia" w:ascii="宋体" w:hAnsi="宋体" w:cs="宋体"/>
                <w:i w:val="0"/>
                <w:iCs w:val="0"/>
                <w:color w:val="auto"/>
                <w:kern w:val="0"/>
                <w:sz w:val="24"/>
                <w:szCs w:val="24"/>
                <w:highlight w:val="none"/>
                <w:u w:val="none"/>
                <w:lang w:val="en-US" w:eastAsia="zh-CN" w:bidi="ar"/>
              </w:rPr>
              <w:fldChar w:fldCharType="separate"/>
            </w:r>
            <w:r>
              <w:rPr>
                <w:rFonts w:hint="eastAsia" w:ascii="宋体" w:hAnsi="宋体" w:cs="宋体"/>
                <w:i w:val="0"/>
                <w:iCs w:val="0"/>
                <w:color w:val="auto"/>
                <w:kern w:val="0"/>
                <w:sz w:val="24"/>
                <w:szCs w:val="24"/>
                <w:highlight w:val="none"/>
                <w:u w:val="none"/>
                <w:lang w:val="en-US" w:eastAsia="zh-CN" w:bidi="ar"/>
              </w:rPr>
              <w:t>22671.71</w:t>
            </w:r>
            <w:r>
              <w:rPr>
                <w:rFonts w:hint="eastAsia" w:ascii="宋体" w:hAnsi="宋体" w:cs="宋体"/>
                <w:i w:val="0"/>
                <w:iCs w:val="0"/>
                <w:color w:val="auto"/>
                <w:kern w:val="0"/>
                <w:sz w:val="24"/>
                <w:szCs w:val="24"/>
                <w:highlight w:val="none"/>
                <w:u w:val="none"/>
                <w:lang w:val="en-US" w:eastAsia="zh-CN" w:bidi="ar"/>
              </w:rPr>
              <w:fldChar w:fldCharType="end"/>
            </w:r>
          </w:p>
        </w:tc>
        <w:tc>
          <w:tcPr>
            <w:tcW w:w="1315" w:type="dxa"/>
            <w:tcBorders>
              <w:top w:val="single" w:color="000000" w:sz="4" w:space="0"/>
              <w:left w:val="single" w:color="auto"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fldChar w:fldCharType="begin"/>
            </w:r>
            <w:r>
              <w:rPr>
                <w:rFonts w:hint="eastAsia" w:ascii="宋体" w:hAnsi="宋体" w:cs="宋体"/>
                <w:i w:val="0"/>
                <w:iCs w:val="0"/>
                <w:color w:val="auto"/>
                <w:kern w:val="0"/>
                <w:sz w:val="24"/>
                <w:szCs w:val="24"/>
                <w:highlight w:val="none"/>
                <w:u w:val="none"/>
                <w:lang w:val="en-US" w:eastAsia="zh-CN" w:bidi="ar"/>
              </w:rPr>
              <w:instrText xml:space="preserve"> = sum(J3:J26) \* MERGEFORMAT </w:instrText>
            </w:r>
            <w:r>
              <w:rPr>
                <w:rFonts w:hint="eastAsia" w:ascii="宋体" w:hAnsi="宋体" w:cs="宋体"/>
                <w:i w:val="0"/>
                <w:iCs w:val="0"/>
                <w:color w:val="auto"/>
                <w:kern w:val="0"/>
                <w:sz w:val="24"/>
                <w:szCs w:val="24"/>
                <w:highlight w:val="none"/>
                <w:u w:val="none"/>
                <w:lang w:val="en-US" w:eastAsia="zh-CN" w:bidi="ar"/>
              </w:rPr>
              <w:fldChar w:fldCharType="separate"/>
            </w:r>
            <w:r>
              <w:rPr>
                <w:rFonts w:hint="eastAsia" w:ascii="宋体" w:hAnsi="宋体" w:cs="宋体"/>
                <w:i w:val="0"/>
                <w:iCs w:val="0"/>
                <w:color w:val="auto"/>
                <w:kern w:val="0"/>
                <w:sz w:val="24"/>
                <w:szCs w:val="24"/>
                <w:highlight w:val="none"/>
                <w:u w:val="none"/>
                <w:lang w:val="en-US" w:eastAsia="zh-CN" w:bidi="ar"/>
              </w:rPr>
              <w:t>32318.83</w:t>
            </w:r>
            <w:r>
              <w:rPr>
                <w:rFonts w:hint="eastAsia" w:ascii="宋体" w:hAnsi="宋体" w:cs="宋体"/>
                <w:i w:val="0"/>
                <w:iCs w:val="0"/>
                <w:color w:val="auto"/>
                <w:kern w:val="0"/>
                <w:sz w:val="24"/>
                <w:szCs w:val="24"/>
                <w:highlight w:val="none"/>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3864" w:type="dxa"/>
            <w:gridSpan w:val="10"/>
            <w:tcBorders>
              <w:top w:val="single" w:color="000000" w:sz="4" w:space="0"/>
              <w:left w:val="single" w:color="000000" w:sz="4" w:space="0"/>
              <w:bottom w:val="single" w:color="000000" w:sz="4" w:space="0"/>
              <w:right w:val="single" w:color="000000" w:sz="4" w:space="0"/>
            </w:tcBorders>
            <w:vAlign w:val="center"/>
          </w:tcPr>
          <w:p>
            <w:pPr>
              <w:pStyle w:val="4"/>
              <w:rPr>
                <w:rFonts w:hint="eastAsia"/>
                <w:color w:val="auto"/>
                <w:highlight w:val="none"/>
              </w:rPr>
            </w:pPr>
            <w:r>
              <w:rPr>
                <w:rFonts w:hint="eastAsia" w:ascii="宋体" w:hAnsi="宋体" w:eastAsia="宋体" w:cs="宋体"/>
                <w:b/>
                <w:bCs/>
                <w:i w:val="0"/>
                <w:iCs w:val="0"/>
                <w:color w:val="auto"/>
                <w:kern w:val="0"/>
                <w:sz w:val="24"/>
                <w:szCs w:val="24"/>
                <w:highlight w:val="none"/>
                <w:u w:val="none"/>
                <w:lang w:val="en-US" w:eastAsia="zh-CN" w:bidi="ar"/>
              </w:rPr>
              <w:t>一、绿化养护总面积为297470.99平方米（道路绿化+公园绿化+公园道路+公共设施+已建成移交中绿化），</w:t>
            </w:r>
            <w:r>
              <w:rPr>
                <w:rFonts w:hint="eastAsia" w:ascii="宋体" w:hAnsi="宋体" w:eastAsia="宋体" w:cs="宋体"/>
                <w:color w:val="auto"/>
                <w:sz w:val="24"/>
                <w:highlight w:val="none"/>
                <w:lang w:val="zh-CN"/>
              </w:rPr>
              <w:t>最高限价为</w:t>
            </w:r>
            <w:r>
              <w:rPr>
                <w:rFonts w:hint="eastAsia" w:ascii="宋体" w:hAnsi="宋体" w:eastAsia="宋体" w:cs="宋体"/>
                <w:color w:val="auto"/>
                <w:sz w:val="24"/>
                <w:highlight w:val="none"/>
                <w:lang w:val="en-US" w:eastAsia="zh-CN"/>
              </w:rPr>
              <w:t>10.03</w:t>
            </w:r>
            <w:r>
              <w:rPr>
                <w:rFonts w:hint="eastAsia" w:ascii="宋体" w:hAnsi="宋体" w:eastAsia="宋体" w:cs="宋体"/>
                <w:color w:val="auto"/>
                <w:sz w:val="24"/>
                <w:highlight w:val="none"/>
                <w:lang w:val="zh-CN"/>
              </w:rPr>
              <w:t>元/㎡，</w:t>
            </w:r>
            <w:r>
              <w:rPr>
                <w:rFonts w:hint="eastAsia" w:ascii="宋体" w:hAnsi="宋体" w:eastAsia="宋体" w:cs="宋体"/>
                <w:color w:val="auto"/>
                <w:sz w:val="24"/>
                <w:highlight w:val="none"/>
                <w:lang w:val="en-US" w:eastAsia="zh-CN"/>
              </w:rPr>
              <w:t>小区退让人行道面积有</w:t>
            </w:r>
            <w:r>
              <w:rPr>
                <w:rFonts w:hint="eastAsia" w:ascii="宋体" w:hAnsi="宋体" w:eastAsia="宋体" w:cs="宋体"/>
                <w:color w:val="auto"/>
                <w:sz w:val="24"/>
                <w:highlight w:val="none"/>
                <w:lang w:val="en-US" w:eastAsia="zh-CN"/>
              </w:rPr>
              <w:fldChar w:fldCharType="begin"/>
            </w:r>
            <w:r>
              <w:rPr>
                <w:rFonts w:hint="eastAsia" w:ascii="宋体" w:hAnsi="宋体" w:eastAsia="宋体" w:cs="宋体"/>
                <w:color w:val="auto"/>
                <w:sz w:val="24"/>
                <w:highlight w:val="none"/>
                <w:lang w:val="en-US" w:eastAsia="zh-CN"/>
              </w:rPr>
              <w:instrText xml:space="preserve"> = sum(J3:J26) \* MERGEFORMAT </w:instrText>
            </w:r>
            <w:r>
              <w:rPr>
                <w:rFonts w:hint="eastAsia" w:ascii="宋体" w:hAnsi="宋体" w:eastAsia="宋体" w:cs="宋体"/>
                <w:color w:val="auto"/>
                <w:sz w:val="24"/>
                <w:highlight w:val="none"/>
                <w:lang w:val="en-US" w:eastAsia="zh-CN"/>
              </w:rPr>
              <w:fldChar w:fldCharType="separate"/>
            </w:r>
            <w:r>
              <w:rPr>
                <w:rFonts w:hint="eastAsia" w:ascii="宋体" w:hAnsi="宋体" w:eastAsia="宋体" w:cs="宋体"/>
                <w:color w:val="auto"/>
                <w:sz w:val="24"/>
                <w:highlight w:val="none"/>
                <w:lang w:val="en-US" w:eastAsia="zh-CN"/>
              </w:rPr>
              <w:t>32318.83</w:t>
            </w:r>
            <w:r>
              <w:rPr>
                <w:rFonts w:hint="eastAsia" w:ascii="宋体" w:hAnsi="宋体" w:eastAsia="宋体" w:cs="宋体"/>
                <w:color w:val="auto"/>
                <w:sz w:val="24"/>
                <w:highlight w:val="none"/>
                <w:lang w:val="en-US" w:eastAsia="zh-CN"/>
              </w:rPr>
              <w:fldChar w:fldCharType="end"/>
            </w:r>
            <w:r>
              <w:rPr>
                <w:rFonts w:hint="eastAsia" w:ascii="宋体" w:hAnsi="宋体" w:eastAsia="宋体" w:cs="宋体"/>
                <w:color w:val="auto"/>
                <w:sz w:val="24"/>
                <w:highlight w:val="none"/>
                <w:lang w:val="en-US" w:eastAsia="zh-CN"/>
              </w:rPr>
              <w:t>平方米，该面积不计入绿化养护预算范围内，但绿化养护时时需包含该面积。</w:t>
            </w:r>
          </w:p>
        </w:tc>
      </w:tr>
    </w:tbl>
    <w:p>
      <w:pPr>
        <w:numPr>
          <w:ilvl w:val="0"/>
          <w:numId w:val="0"/>
        </w:numPr>
        <w:spacing w:line="600" w:lineRule="exact"/>
        <w:rPr>
          <w:rFonts w:hint="default" w:ascii="宋体" w:hAnsi="宋体" w:eastAsia="宋体" w:cs="宋体"/>
          <w:b/>
          <w:bCs/>
          <w:color w:val="auto"/>
          <w:sz w:val="24"/>
          <w:szCs w:val="24"/>
          <w:highlight w:val="none"/>
          <w:lang w:val="en-US" w:eastAsia="zh-CN"/>
        </w:rPr>
      </w:pPr>
      <w:r>
        <w:rPr>
          <w:rFonts w:hint="eastAsia"/>
          <w:color w:val="auto"/>
          <w:highlight w:val="none"/>
          <w:lang w:val="en-US" w:eastAsia="zh-CN"/>
        </w:rPr>
        <w:t xml:space="preserve">  </w:t>
      </w:r>
      <w:r>
        <w:rPr>
          <w:rFonts w:hint="eastAsia" w:ascii="宋体" w:hAnsi="宋体" w:eastAsia="宋体" w:cs="宋体"/>
          <w:b/>
          <w:bCs/>
          <w:color w:val="auto"/>
          <w:sz w:val="21"/>
          <w:szCs w:val="21"/>
          <w:highlight w:val="none"/>
        </w:rPr>
        <w:t>注：</w:t>
      </w:r>
      <w:r>
        <w:rPr>
          <w:rFonts w:hint="eastAsia" w:ascii="宋体" w:hAnsi="宋体" w:eastAsia="宋体" w:cs="宋体"/>
          <w:b/>
          <w:bCs/>
          <w:color w:val="auto"/>
          <w:sz w:val="24"/>
          <w:szCs w:val="24"/>
          <w:highlight w:val="none"/>
        </w:rPr>
        <w:t>1.新增</w:t>
      </w:r>
      <w:r>
        <w:rPr>
          <w:rFonts w:hint="eastAsia" w:ascii="宋体" w:hAnsi="宋体" w:cs="宋体"/>
          <w:b/>
          <w:bCs/>
          <w:color w:val="auto"/>
          <w:sz w:val="24"/>
          <w:szCs w:val="24"/>
          <w:highlight w:val="none"/>
          <w:lang w:val="en-US" w:eastAsia="zh-CN"/>
        </w:rPr>
        <w:t>养护面积</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超过招标面积3%以上的部分，按中标价计取（3%以内的不予计取）。</w:t>
      </w:r>
    </w:p>
    <w:p>
      <w:pPr>
        <w:numPr>
          <w:ilvl w:val="0"/>
          <w:numId w:val="0"/>
        </w:numPr>
        <w:spacing w:line="600" w:lineRule="exact"/>
        <w:ind w:left="630" w:leftChars="0"/>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以上面积为甲方提供的，各投标单位应根据现场实际踏测自行测量如面积不一致应充分考虑在投标报价内，今后不作调整。</w:t>
      </w:r>
    </w:p>
    <w:p>
      <w:pPr>
        <w:rPr>
          <w:rFonts w:hint="default" w:eastAsia="宋体"/>
          <w:color w:val="auto"/>
          <w:highlight w:val="none"/>
          <w:lang w:val="en-US" w:eastAsia="zh-CN"/>
        </w:rPr>
        <w:sectPr>
          <w:pgSz w:w="16838" w:h="11905" w:orient="landscape"/>
          <w:pgMar w:top="1361" w:right="1531" w:bottom="1304" w:left="1531" w:header="851" w:footer="992" w:gutter="0"/>
          <w:pgBorders>
            <w:top w:val="none" w:sz="0" w:space="0"/>
            <w:left w:val="none" w:sz="0" w:space="0"/>
            <w:bottom w:val="none" w:sz="0" w:space="0"/>
            <w:right w:val="none" w:sz="0" w:space="0"/>
          </w:pgBorders>
          <w:pgNumType w:fmt="decimal"/>
          <w:cols w:space="720" w:num="1"/>
          <w:titlePg/>
          <w:docGrid w:linePitch="1" w:charSpace="0"/>
        </w:sectPr>
      </w:pPr>
    </w:p>
    <w:p>
      <w:pPr>
        <w:spacing w:line="600" w:lineRule="exact"/>
        <w:ind w:firstLine="1285" w:firstLineChars="400"/>
        <w:jc w:val="both"/>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五常街道城市管理综合养护</w:t>
      </w:r>
      <w:r>
        <w:rPr>
          <w:rFonts w:hint="eastAsia" w:ascii="宋体" w:hAnsi="宋体" w:cs="宋体"/>
          <w:b/>
          <w:bCs/>
          <w:color w:val="auto"/>
          <w:sz w:val="32"/>
          <w:szCs w:val="32"/>
          <w:highlight w:val="none"/>
          <w:lang w:eastAsia="zh-CN"/>
        </w:rPr>
        <w:t>四</w:t>
      </w:r>
      <w:r>
        <w:rPr>
          <w:rFonts w:hint="eastAsia" w:ascii="宋体" w:hAnsi="宋体" w:eastAsia="宋体" w:cs="宋体"/>
          <w:b/>
          <w:bCs/>
          <w:color w:val="auto"/>
          <w:sz w:val="32"/>
          <w:szCs w:val="32"/>
          <w:highlight w:val="none"/>
        </w:rPr>
        <w:t>标段养护河道保洁明细表</w:t>
      </w:r>
    </w:p>
    <w:tbl>
      <w:tblPr>
        <w:tblStyle w:val="62"/>
        <w:tblW w:w="98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
        <w:gridCol w:w="1030"/>
        <w:gridCol w:w="1403"/>
        <w:gridCol w:w="1420"/>
        <w:gridCol w:w="1519"/>
        <w:gridCol w:w="977"/>
        <w:gridCol w:w="1349"/>
        <w:gridCol w:w="1174"/>
        <w:gridCol w:w="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3" w:type="dxa"/>
          <w:trHeight w:val="536" w:hRule="atLeast"/>
        </w:trPr>
        <w:tc>
          <w:tcPr>
            <w:tcW w:w="73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河道名称</w:t>
            </w:r>
          </w:p>
        </w:tc>
        <w:tc>
          <w:tcPr>
            <w:tcW w:w="140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水域总面积（㎡）</w:t>
            </w:r>
          </w:p>
        </w:tc>
        <w:tc>
          <w:tcPr>
            <w:tcW w:w="1420"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3米线总面积（㎡）</w:t>
            </w:r>
          </w:p>
        </w:tc>
        <w:tc>
          <w:tcPr>
            <w:tcW w:w="1519"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河道长度（m）</w:t>
            </w:r>
          </w:p>
        </w:tc>
        <w:tc>
          <w:tcPr>
            <w:tcW w:w="977"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起点</w:t>
            </w:r>
          </w:p>
        </w:tc>
        <w:tc>
          <w:tcPr>
            <w:tcW w:w="1349"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终点</w:t>
            </w:r>
          </w:p>
        </w:tc>
        <w:tc>
          <w:tcPr>
            <w:tcW w:w="1174"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水闸个数（座）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hint="eastAsia" w:ascii="宋体" w:hAnsi="宋体" w:eastAsia="宋体" w:cs="宋体"/>
                <w:color w:val="auto"/>
                <w:kern w:val="0"/>
                <w:sz w:val="21"/>
                <w:szCs w:val="21"/>
                <w:highlight w:val="none"/>
              </w:rPr>
            </w:pPr>
          </w:p>
        </w:tc>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hint="eastAsia" w:ascii="宋体" w:hAnsi="宋体" w:eastAsia="宋体" w:cs="宋体"/>
                <w:color w:val="auto"/>
                <w:kern w:val="0"/>
                <w:sz w:val="21"/>
                <w:szCs w:val="21"/>
                <w:highlight w:val="none"/>
              </w:rPr>
            </w:pPr>
          </w:p>
        </w:tc>
        <w:tc>
          <w:tcPr>
            <w:tcW w:w="140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hint="eastAsia" w:ascii="宋体" w:hAnsi="宋体" w:eastAsia="宋体" w:cs="宋体"/>
                <w:color w:val="auto"/>
                <w:kern w:val="0"/>
                <w:sz w:val="21"/>
                <w:szCs w:val="21"/>
                <w:highlight w:val="none"/>
              </w:rPr>
            </w:pPr>
          </w:p>
        </w:tc>
        <w:tc>
          <w:tcPr>
            <w:tcW w:w="142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hint="eastAsia" w:ascii="宋体" w:hAnsi="宋体" w:eastAsia="宋体" w:cs="宋体"/>
                <w:color w:val="auto"/>
                <w:kern w:val="0"/>
                <w:sz w:val="21"/>
                <w:szCs w:val="21"/>
                <w:highlight w:val="none"/>
              </w:rPr>
            </w:pPr>
          </w:p>
        </w:tc>
        <w:tc>
          <w:tcPr>
            <w:tcW w:w="1519"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hint="eastAsia" w:ascii="宋体" w:hAnsi="宋体" w:eastAsia="宋体" w:cs="宋体"/>
                <w:color w:val="auto"/>
                <w:kern w:val="0"/>
                <w:sz w:val="21"/>
                <w:szCs w:val="21"/>
                <w:highlight w:val="none"/>
              </w:rPr>
            </w:pPr>
          </w:p>
        </w:tc>
        <w:tc>
          <w:tcPr>
            <w:tcW w:w="977"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hint="eastAsia" w:ascii="宋体" w:hAnsi="宋体" w:eastAsia="宋体" w:cs="宋体"/>
                <w:color w:val="auto"/>
                <w:kern w:val="0"/>
                <w:sz w:val="21"/>
                <w:szCs w:val="21"/>
                <w:highlight w:val="none"/>
              </w:rPr>
            </w:pPr>
          </w:p>
        </w:tc>
        <w:tc>
          <w:tcPr>
            <w:tcW w:w="1349"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hint="eastAsia" w:ascii="宋体" w:hAnsi="宋体" w:eastAsia="宋体" w:cs="宋体"/>
                <w:color w:val="auto"/>
                <w:kern w:val="0"/>
                <w:sz w:val="21"/>
                <w:szCs w:val="21"/>
                <w:highlight w:val="none"/>
              </w:rPr>
            </w:pPr>
          </w:p>
        </w:tc>
        <w:tc>
          <w:tcPr>
            <w:tcW w:w="1174"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jc w:val="left"/>
              <w:rPr>
                <w:rFonts w:hint="eastAsia" w:ascii="宋体" w:hAnsi="宋体" w:eastAsia="宋体" w:cs="宋体"/>
                <w:color w:val="auto"/>
                <w:kern w:val="0"/>
                <w:sz w:val="21"/>
                <w:szCs w:val="21"/>
                <w:highlight w:val="none"/>
              </w:rPr>
            </w:pPr>
          </w:p>
        </w:tc>
        <w:tc>
          <w:tcPr>
            <w:tcW w:w="223" w:type="dxa"/>
            <w:tcBorders>
              <w:top w:val="nil"/>
              <w:left w:val="nil"/>
              <w:bottom w:val="nil"/>
              <w:right w:val="nil"/>
            </w:tcBorders>
            <w:vAlign w:val="center"/>
          </w:tcPr>
          <w:p>
            <w:pPr>
              <w:widowControl/>
              <w:adjustRightInd/>
              <w:jc w:val="center"/>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03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邱桥港</w:t>
            </w:r>
          </w:p>
        </w:tc>
        <w:tc>
          <w:tcPr>
            <w:tcW w:w="14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5749.24 </w:t>
            </w:r>
          </w:p>
        </w:tc>
        <w:tc>
          <w:tcPr>
            <w:tcW w:w="1420"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408.24 </w:t>
            </w:r>
          </w:p>
        </w:tc>
        <w:tc>
          <w:tcPr>
            <w:tcW w:w="9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香樟港</w:t>
            </w:r>
          </w:p>
        </w:tc>
        <w:tc>
          <w:tcPr>
            <w:tcW w:w="134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金家塘港</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03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白庙港</w:t>
            </w:r>
          </w:p>
        </w:tc>
        <w:tc>
          <w:tcPr>
            <w:tcW w:w="140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11148.84 </w:t>
            </w:r>
          </w:p>
        </w:tc>
        <w:tc>
          <w:tcPr>
            <w:tcW w:w="1420"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348.30 </w:t>
            </w:r>
          </w:p>
        </w:tc>
        <w:tc>
          <w:tcPr>
            <w:tcW w:w="977"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白庙路</w:t>
            </w:r>
          </w:p>
        </w:tc>
        <w:tc>
          <w:tcPr>
            <w:tcW w:w="134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桥头-沈家港</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103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沈家港</w:t>
            </w:r>
          </w:p>
        </w:tc>
        <w:tc>
          <w:tcPr>
            <w:tcW w:w="140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13096.08 </w:t>
            </w:r>
          </w:p>
        </w:tc>
        <w:tc>
          <w:tcPr>
            <w:tcW w:w="1420"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689.60 </w:t>
            </w:r>
          </w:p>
        </w:tc>
        <w:tc>
          <w:tcPr>
            <w:tcW w:w="9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白庙港</w:t>
            </w:r>
          </w:p>
        </w:tc>
        <w:tc>
          <w:tcPr>
            <w:tcW w:w="134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-吴家港</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103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吴家港</w:t>
            </w:r>
          </w:p>
        </w:tc>
        <w:tc>
          <w:tcPr>
            <w:tcW w:w="140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16181.31 </w:t>
            </w:r>
          </w:p>
        </w:tc>
        <w:tc>
          <w:tcPr>
            <w:tcW w:w="1420"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643.92 </w:t>
            </w:r>
          </w:p>
        </w:tc>
        <w:tc>
          <w:tcPr>
            <w:tcW w:w="977"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天竺港</w:t>
            </w:r>
          </w:p>
        </w:tc>
        <w:tc>
          <w:tcPr>
            <w:tcW w:w="134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沈家港</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03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天竺桥港</w:t>
            </w:r>
          </w:p>
        </w:tc>
        <w:tc>
          <w:tcPr>
            <w:tcW w:w="140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45613.43 </w:t>
            </w:r>
          </w:p>
        </w:tc>
        <w:tc>
          <w:tcPr>
            <w:tcW w:w="1420"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1798.26 </w:t>
            </w:r>
          </w:p>
        </w:tc>
        <w:tc>
          <w:tcPr>
            <w:tcW w:w="9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天竺港</w:t>
            </w:r>
          </w:p>
        </w:tc>
        <w:tc>
          <w:tcPr>
            <w:tcW w:w="134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五常港</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103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金家塘港</w:t>
            </w:r>
          </w:p>
        </w:tc>
        <w:tc>
          <w:tcPr>
            <w:tcW w:w="1403"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19394.68 </w:t>
            </w:r>
          </w:p>
        </w:tc>
        <w:tc>
          <w:tcPr>
            <w:tcW w:w="1420" w:type="dxa"/>
            <w:tcBorders>
              <w:top w:val="nil"/>
              <w:left w:val="nil"/>
              <w:bottom w:val="single" w:color="auto" w:sz="4" w:space="0"/>
              <w:right w:val="single" w:color="auto" w:sz="4" w:space="0"/>
            </w:tcBorders>
            <w:shd w:val="clear" w:color="000000" w:fill="FFFFFF"/>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1108.33 </w:t>
            </w:r>
          </w:p>
        </w:tc>
        <w:tc>
          <w:tcPr>
            <w:tcW w:w="9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天竺港</w:t>
            </w:r>
          </w:p>
        </w:tc>
        <w:tc>
          <w:tcPr>
            <w:tcW w:w="134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前进港</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7" w:type="dxa"/>
            <w:tcBorders>
              <w:top w:val="nil"/>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103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金钱港</w:t>
            </w:r>
          </w:p>
        </w:tc>
        <w:tc>
          <w:tcPr>
            <w:tcW w:w="140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22792.59 </w:t>
            </w:r>
          </w:p>
        </w:tc>
        <w:tc>
          <w:tcPr>
            <w:tcW w:w="1420"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928.88 </w:t>
            </w:r>
          </w:p>
        </w:tc>
        <w:tc>
          <w:tcPr>
            <w:tcW w:w="9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天竺港</w:t>
            </w:r>
          </w:p>
        </w:tc>
        <w:tc>
          <w:tcPr>
            <w:tcW w:w="134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永胜港</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103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金钱港支河</w:t>
            </w:r>
          </w:p>
        </w:tc>
        <w:tc>
          <w:tcPr>
            <w:tcW w:w="140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3966.55 </w:t>
            </w:r>
          </w:p>
        </w:tc>
        <w:tc>
          <w:tcPr>
            <w:tcW w:w="1420"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292.79 </w:t>
            </w:r>
          </w:p>
        </w:tc>
        <w:tc>
          <w:tcPr>
            <w:tcW w:w="9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聚橙路</w:t>
            </w:r>
          </w:p>
        </w:tc>
        <w:tc>
          <w:tcPr>
            <w:tcW w:w="134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金钱港</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103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永胜港</w:t>
            </w:r>
          </w:p>
        </w:tc>
        <w:tc>
          <w:tcPr>
            <w:tcW w:w="14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67774.50 </w:t>
            </w:r>
          </w:p>
        </w:tc>
        <w:tc>
          <w:tcPr>
            <w:tcW w:w="1420"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3355.56</w:t>
            </w:r>
          </w:p>
        </w:tc>
        <w:tc>
          <w:tcPr>
            <w:tcW w:w="9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闲林港</w:t>
            </w:r>
          </w:p>
        </w:tc>
        <w:tc>
          <w:tcPr>
            <w:tcW w:w="134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邱桥港</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103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香樟港</w:t>
            </w:r>
          </w:p>
        </w:tc>
        <w:tc>
          <w:tcPr>
            <w:tcW w:w="1403"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65539.62 </w:t>
            </w:r>
          </w:p>
        </w:tc>
        <w:tc>
          <w:tcPr>
            <w:tcW w:w="1420"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2371.58 </w:t>
            </w:r>
          </w:p>
        </w:tc>
        <w:tc>
          <w:tcPr>
            <w:tcW w:w="97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邱桥港</w:t>
            </w:r>
          </w:p>
        </w:tc>
        <w:tc>
          <w:tcPr>
            <w:tcW w:w="134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余杭塘河</w:t>
            </w:r>
          </w:p>
        </w:tc>
        <w:tc>
          <w:tcPr>
            <w:tcW w:w="1174" w:type="dxa"/>
            <w:tcBorders>
              <w:top w:val="nil"/>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103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前进港</w:t>
            </w:r>
          </w:p>
        </w:tc>
        <w:tc>
          <w:tcPr>
            <w:tcW w:w="1403"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38298.23 </w:t>
            </w:r>
          </w:p>
        </w:tc>
        <w:tc>
          <w:tcPr>
            <w:tcW w:w="1420" w:type="dxa"/>
            <w:tcBorders>
              <w:top w:val="nil"/>
              <w:left w:val="nil"/>
              <w:bottom w:val="nil"/>
              <w:right w:val="single" w:color="auto" w:sz="4" w:space="0"/>
            </w:tcBorders>
            <w:shd w:val="clear" w:color="000000" w:fill="FFFFFF"/>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1976.15 </w:t>
            </w:r>
          </w:p>
        </w:tc>
        <w:tc>
          <w:tcPr>
            <w:tcW w:w="977"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香樟港</w:t>
            </w:r>
          </w:p>
        </w:tc>
        <w:tc>
          <w:tcPr>
            <w:tcW w:w="1349"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五常港</w:t>
            </w:r>
          </w:p>
        </w:tc>
        <w:tc>
          <w:tcPr>
            <w:tcW w:w="1174" w:type="dxa"/>
            <w:tcBorders>
              <w:top w:val="nil"/>
              <w:left w:val="nil"/>
              <w:bottom w:val="nil"/>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1030" w:type="dxa"/>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北部园区河</w:t>
            </w:r>
          </w:p>
        </w:tc>
        <w:tc>
          <w:tcPr>
            <w:tcW w:w="1403" w:type="dxa"/>
            <w:tcBorders>
              <w:top w:val="single" w:color="auto" w:sz="4" w:space="0"/>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43635.07 </w:t>
            </w:r>
          </w:p>
        </w:tc>
        <w:tc>
          <w:tcPr>
            <w:tcW w:w="1420" w:type="dxa"/>
            <w:tcBorders>
              <w:top w:val="single" w:color="auto" w:sz="4" w:space="0"/>
              <w:left w:val="nil"/>
              <w:bottom w:val="nil"/>
              <w:right w:val="single" w:color="auto" w:sz="4" w:space="0"/>
            </w:tcBorders>
            <w:shd w:val="clear" w:color="000000" w:fill="FFFFFF"/>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single" w:color="auto" w:sz="4" w:space="0"/>
              <w:left w:val="nil"/>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 xml:space="preserve">2097.83 </w:t>
            </w:r>
          </w:p>
        </w:tc>
        <w:tc>
          <w:tcPr>
            <w:tcW w:w="977" w:type="dxa"/>
            <w:tcBorders>
              <w:top w:val="single" w:color="auto" w:sz="4" w:space="0"/>
              <w:left w:val="nil"/>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香樟港</w:t>
            </w:r>
          </w:p>
        </w:tc>
        <w:tc>
          <w:tcPr>
            <w:tcW w:w="1349" w:type="dxa"/>
            <w:tcBorders>
              <w:top w:val="single" w:color="auto" w:sz="4" w:space="0"/>
              <w:left w:val="nil"/>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前进港</w:t>
            </w:r>
          </w:p>
        </w:tc>
        <w:tc>
          <w:tcPr>
            <w:tcW w:w="1174" w:type="dxa"/>
            <w:tcBorders>
              <w:top w:val="single" w:color="auto" w:sz="4" w:space="0"/>
              <w:left w:val="nil"/>
              <w:bottom w:val="nil"/>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1030" w:type="dxa"/>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新桥港</w:t>
            </w:r>
          </w:p>
        </w:tc>
        <w:tc>
          <w:tcPr>
            <w:tcW w:w="1403"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88537.05</w:t>
            </w:r>
          </w:p>
        </w:tc>
        <w:tc>
          <w:tcPr>
            <w:tcW w:w="1420" w:type="dxa"/>
            <w:tcBorders>
              <w:top w:val="single" w:color="auto" w:sz="4" w:space="0"/>
              <w:left w:val="nil"/>
              <w:bottom w:val="nil"/>
              <w:right w:val="single" w:color="auto" w:sz="4" w:space="0"/>
            </w:tcBorders>
            <w:shd w:val="clear" w:color="000000" w:fill="FFFFFF"/>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single" w:color="auto" w:sz="4" w:space="0"/>
              <w:left w:val="nil"/>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2956.77</w:t>
            </w:r>
          </w:p>
        </w:tc>
        <w:tc>
          <w:tcPr>
            <w:tcW w:w="977" w:type="dxa"/>
            <w:tcBorders>
              <w:top w:val="single" w:color="auto" w:sz="4" w:space="0"/>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闲林港</w:t>
            </w:r>
          </w:p>
        </w:tc>
        <w:tc>
          <w:tcPr>
            <w:tcW w:w="1349"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香樟港</w:t>
            </w:r>
          </w:p>
        </w:tc>
        <w:tc>
          <w:tcPr>
            <w:tcW w:w="1174" w:type="dxa"/>
            <w:tcBorders>
              <w:top w:val="single" w:color="auto" w:sz="4" w:space="0"/>
              <w:left w:val="nil"/>
              <w:bottom w:val="nil"/>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37"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w:t>
            </w:r>
          </w:p>
        </w:tc>
        <w:tc>
          <w:tcPr>
            <w:tcW w:w="1030" w:type="dxa"/>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余杭塘河</w:t>
            </w:r>
          </w:p>
        </w:tc>
        <w:tc>
          <w:tcPr>
            <w:tcW w:w="1403"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211833.31</w:t>
            </w:r>
          </w:p>
        </w:tc>
        <w:tc>
          <w:tcPr>
            <w:tcW w:w="1420" w:type="dxa"/>
            <w:tcBorders>
              <w:top w:val="single" w:color="auto" w:sz="4" w:space="0"/>
              <w:left w:val="nil"/>
              <w:bottom w:val="nil"/>
              <w:right w:val="single" w:color="auto" w:sz="4" w:space="0"/>
            </w:tcBorders>
            <w:shd w:val="clear" w:color="000000" w:fill="FFFFFF"/>
            <w:vAlign w:val="center"/>
          </w:tcPr>
          <w:p>
            <w:pPr>
              <w:widowControl/>
              <w:adjustRightInd/>
              <w:jc w:val="center"/>
              <w:rPr>
                <w:rFonts w:hint="eastAsia" w:ascii="宋体" w:hAnsi="宋体" w:eastAsia="宋体" w:cs="宋体"/>
                <w:color w:val="auto"/>
                <w:kern w:val="0"/>
                <w:sz w:val="21"/>
                <w:szCs w:val="21"/>
                <w:highlight w:val="none"/>
              </w:rPr>
            </w:pPr>
          </w:p>
        </w:tc>
        <w:tc>
          <w:tcPr>
            <w:tcW w:w="1519" w:type="dxa"/>
            <w:tcBorders>
              <w:top w:val="single" w:color="auto" w:sz="4" w:space="0"/>
              <w:left w:val="nil"/>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5440.56</w:t>
            </w:r>
          </w:p>
        </w:tc>
        <w:tc>
          <w:tcPr>
            <w:tcW w:w="977" w:type="dxa"/>
            <w:tcBorders>
              <w:top w:val="single" w:color="auto" w:sz="4" w:space="0"/>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杭师大</w:t>
            </w:r>
          </w:p>
        </w:tc>
        <w:tc>
          <w:tcPr>
            <w:tcW w:w="1349"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t>绕城高速</w:t>
            </w:r>
          </w:p>
        </w:tc>
        <w:tc>
          <w:tcPr>
            <w:tcW w:w="1174" w:type="dxa"/>
            <w:tcBorders>
              <w:top w:val="single" w:color="auto" w:sz="4" w:space="0"/>
              <w:left w:val="nil"/>
              <w:bottom w:val="nil"/>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7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合计</w:t>
            </w:r>
          </w:p>
        </w:tc>
        <w:tc>
          <w:tcPr>
            <w:tcW w:w="1403" w:type="dxa"/>
            <w:tcBorders>
              <w:top w:val="single" w:color="auto" w:sz="4" w:space="0"/>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i w:val="0"/>
                <w:iCs w:val="0"/>
                <w:color w:val="auto"/>
                <w:kern w:val="0"/>
                <w:sz w:val="24"/>
                <w:szCs w:val="24"/>
                <w:highlight w:val="none"/>
                <w:u w:val="none"/>
                <w:lang w:val="en-US" w:eastAsia="zh-CN" w:bidi="ar"/>
              </w:rPr>
              <w:fldChar w:fldCharType="begin"/>
            </w:r>
            <w:r>
              <w:rPr>
                <w:rFonts w:hint="eastAsia" w:ascii="宋体" w:hAnsi="宋体" w:eastAsia="宋体" w:cs="宋体"/>
                <w:i w:val="0"/>
                <w:iCs w:val="0"/>
                <w:color w:val="auto"/>
                <w:kern w:val="0"/>
                <w:sz w:val="24"/>
                <w:szCs w:val="24"/>
                <w:highlight w:val="none"/>
                <w:u w:val="none"/>
                <w:lang w:val="en-US" w:eastAsia="zh-CN" w:bidi="ar"/>
              </w:rPr>
              <w:instrText xml:space="preserve"> = sum(C3:C16) \* MERGEFORMAT </w:instrText>
            </w:r>
            <w:r>
              <w:rPr>
                <w:rFonts w:hint="eastAsia" w:ascii="宋体" w:hAnsi="宋体" w:eastAsia="宋体" w:cs="宋体"/>
                <w:i w:val="0"/>
                <w:iCs w:val="0"/>
                <w:color w:val="auto"/>
                <w:kern w:val="0"/>
                <w:sz w:val="24"/>
                <w:szCs w:val="24"/>
                <w:highlight w:val="none"/>
                <w:u w:val="none"/>
                <w:lang w:val="en-US" w:eastAsia="zh-CN" w:bidi="ar"/>
              </w:rPr>
              <w:fldChar w:fldCharType="separate"/>
            </w:r>
            <w:r>
              <w:rPr>
                <w:rFonts w:hint="eastAsia" w:ascii="宋体" w:hAnsi="宋体" w:eastAsia="宋体" w:cs="宋体"/>
                <w:i w:val="0"/>
                <w:iCs w:val="0"/>
                <w:color w:val="auto"/>
                <w:kern w:val="0"/>
                <w:sz w:val="24"/>
                <w:szCs w:val="24"/>
                <w:highlight w:val="none"/>
                <w:u w:val="none"/>
                <w:lang w:val="en-US" w:eastAsia="zh-CN" w:bidi="ar"/>
              </w:rPr>
              <w:t>653560.5</w:t>
            </w:r>
            <w:r>
              <w:rPr>
                <w:rFonts w:hint="eastAsia" w:ascii="宋体" w:hAnsi="宋体" w:eastAsia="宋体" w:cs="宋体"/>
                <w:i w:val="0"/>
                <w:iCs w:val="0"/>
                <w:color w:val="auto"/>
                <w:kern w:val="0"/>
                <w:sz w:val="24"/>
                <w:szCs w:val="24"/>
                <w:highlight w:val="none"/>
                <w:u w:val="none"/>
                <w:lang w:val="en-US" w:eastAsia="zh-CN" w:bidi="ar"/>
              </w:rPr>
              <w:fldChar w:fldCharType="end"/>
            </w:r>
            <w:r>
              <w:rPr>
                <w:rFonts w:hint="eastAsia" w:ascii="宋体" w:hAnsi="宋体" w:eastAsia="宋体" w:cs="宋体"/>
                <w:color w:val="auto"/>
                <w:kern w:val="0"/>
                <w:sz w:val="21"/>
                <w:szCs w:val="21"/>
                <w:highlight w:val="none"/>
              </w:rPr>
              <w:t xml:space="preserve"> </w:t>
            </w:r>
          </w:p>
        </w:tc>
        <w:tc>
          <w:tcPr>
            <w:tcW w:w="1420" w:type="dxa"/>
            <w:tcBorders>
              <w:top w:val="single" w:color="auto" w:sz="4" w:space="0"/>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519" w:type="dxa"/>
            <w:tcBorders>
              <w:top w:val="single" w:color="auto" w:sz="4" w:space="0"/>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77" w:type="dxa"/>
            <w:tcBorders>
              <w:top w:val="single" w:color="auto" w:sz="4" w:space="0"/>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349" w:type="dxa"/>
            <w:tcBorders>
              <w:top w:val="single" w:color="auto" w:sz="4" w:space="0"/>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74" w:type="dxa"/>
            <w:tcBorders>
              <w:top w:val="single" w:color="auto" w:sz="4" w:space="0"/>
              <w:left w:val="nil"/>
              <w:bottom w:val="single" w:color="auto" w:sz="4" w:space="0"/>
              <w:right w:val="single" w:color="auto" w:sz="4" w:space="0"/>
            </w:tcBorders>
            <w:vAlign w:val="center"/>
          </w:tcPr>
          <w:p>
            <w:pPr>
              <w:widowControl/>
              <w:adjustRightInd/>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223" w:type="dxa"/>
            <w:vAlign w:val="center"/>
          </w:tcPr>
          <w:p>
            <w:pPr>
              <w:widowControl/>
              <w:adjustRightInd/>
              <w:jc w:val="left"/>
              <w:rPr>
                <w:rFonts w:hint="eastAsia" w:ascii="宋体" w:hAnsi="宋体" w:eastAsia="宋体" w:cs="宋体"/>
                <w:color w:val="auto"/>
                <w:kern w:val="0"/>
                <w:sz w:val="21"/>
                <w:szCs w:val="21"/>
                <w:highlight w:val="none"/>
              </w:rPr>
            </w:pPr>
          </w:p>
        </w:tc>
      </w:tr>
    </w:tbl>
    <w:p>
      <w:pPr>
        <w:numPr>
          <w:ilvl w:val="0"/>
          <w:numId w:val="0"/>
        </w:numPr>
        <w:spacing w:line="600" w:lineRule="exact"/>
        <w:rPr>
          <w:rFonts w:hint="default" w:ascii="宋体" w:hAnsi="宋体" w:eastAsia="宋体" w:cs="宋体"/>
          <w:b/>
          <w:bCs/>
          <w:color w:val="auto"/>
          <w:sz w:val="24"/>
          <w:szCs w:val="24"/>
          <w:highlight w:val="none"/>
          <w:lang w:val="en-US" w:eastAsia="zh-CN"/>
        </w:rPr>
      </w:pPr>
      <w:r>
        <w:rPr>
          <w:rFonts w:hint="eastAsia"/>
          <w:color w:val="auto"/>
          <w:highlight w:val="none"/>
          <w:lang w:val="en-US" w:eastAsia="zh-CN"/>
        </w:rPr>
        <w:t xml:space="preserve">   </w:t>
      </w:r>
      <w:r>
        <w:rPr>
          <w:rFonts w:hint="eastAsia" w:ascii="宋体" w:hAnsi="宋体" w:eastAsia="宋体" w:cs="宋体"/>
          <w:b/>
          <w:bCs/>
          <w:color w:val="auto"/>
          <w:sz w:val="21"/>
          <w:szCs w:val="21"/>
          <w:highlight w:val="none"/>
        </w:rPr>
        <w:t>注：</w:t>
      </w:r>
      <w:r>
        <w:rPr>
          <w:rFonts w:hint="eastAsia" w:ascii="宋体" w:hAnsi="宋体" w:eastAsia="宋体" w:cs="宋体"/>
          <w:b/>
          <w:bCs/>
          <w:color w:val="auto"/>
          <w:sz w:val="24"/>
          <w:szCs w:val="24"/>
          <w:highlight w:val="none"/>
        </w:rPr>
        <w:t>1.新增</w:t>
      </w:r>
      <w:r>
        <w:rPr>
          <w:rFonts w:hint="eastAsia" w:ascii="宋体" w:hAnsi="宋体" w:cs="宋体"/>
          <w:b/>
          <w:bCs/>
          <w:color w:val="auto"/>
          <w:sz w:val="24"/>
          <w:szCs w:val="24"/>
          <w:highlight w:val="none"/>
          <w:lang w:val="en-US" w:eastAsia="zh-CN"/>
        </w:rPr>
        <w:t>养护面积</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超过招标面积3%以上的部分，按中标价计取（3%以内的不予计取）。</w:t>
      </w:r>
    </w:p>
    <w:p>
      <w:pPr>
        <w:numPr>
          <w:ilvl w:val="0"/>
          <w:numId w:val="0"/>
        </w:numPr>
        <w:spacing w:line="600" w:lineRule="exact"/>
        <w:ind w:left="630" w:leftChars="0"/>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以上面积为甲方提供的，各投标单位应根据现场实际踏测自行测量如面积不一致应充分考虑在投标报价内，今后不作调整。</w:t>
      </w:r>
    </w:p>
    <w:p>
      <w:pPr>
        <w:spacing w:line="600" w:lineRule="exact"/>
        <w:jc w:val="center"/>
        <w:outlineLvl w:val="0"/>
        <w:rPr>
          <w:rFonts w:hint="eastAsia" w:ascii="宋体" w:hAnsi="宋体" w:eastAsia="宋体" w:cs="宋体"/>
          <w:b/>
          <w:bCs/>
          <w:color w:val="auto"/>
          <w:sz w:val="32"/>
          <w:szCs w:val="32"/>
          <w:highlight w:val="none"/>
        </w:rPr>
      </w:pPr>
    </w:p>
    <w:p>
      <w:pPr>
        <w:spacing w:line="600" w:lineRule="exact"/>
        <w:jc w:val="center"/>
        <w:outlineLvl w:val="0"/>
        <w:rPr>
          <w:rFonts w:hint="default" w:ascii="仿宋" w:hAnsi="仿宋" w:eastAsia="仿宋" w:cs="仿宋"/>
          <w:b/>
          <w:bCs/>
          <w:color w:val="auto"/>
          <w:kern w:val="2"/>
          <w:szCs w:val="24"/>
          <w:highlight w:val="none"/>
          <w:lang w:val="en-US" w:eastAsia="zh-CN"/>
        </w:rPr>
      </w:pPr>
      <w:r>
        <w:rPr>
          <w:rFonts w:hint="eastAsia" w:ascii="宋体" w:hAnsi="宋体" w:eastAsia="宋体" w:cs="宋体"/>
          <w:b/>
          <w:bCs/>
          <w:color w:val="auto"/>
          <w:sz w:val="32"/>
          <w:szCs w:val="32"/>
          <w:highlight w:val="none"/>
        </w:rPr>
        <w:t>五常街道城市管理综合养护</w:t>
      </w:r>
      <w:r>
        <w:rPr>
          <w:rFonts w:hint="eastAsia" w:ascii="宋体" w:hAnsi="宋体" w:cs="宋体"/>
          <w:b/>
          <w:bCs/>
          <w:color w:val="auto"/>
          <w:sz w:val="32"/>
          <w:szCs w:val="32"/>
          <w:highlight w:val="none"/>
          <w:lang w:eastAsia="zh-CN"/>
        </w:rPr>
        <w:t>四</w:t>
      </w:r>
      <w:r>
        <w:rPr>
          <w:rFonts w:hint="eastAsia" w:ascii="宋体" w:hAnsi="宋体" w:eastAsia="宋体" w:cs="宋体"/>
          <w:b/>
          <w:bCs/>
          <w:color w:val="auto"/>
          <w:sz w:val="32"/>
          <w:szCs w:val="32"/>
          <w:highlight w:val="none"/>
        </w:rPr>
        <w:t>标段</w:t>
      </w:r>
      <w:r>
        <w:rPr>
          <w:rFonts w:hint="eastAsia" w:ascii="宋体" w:hAnsi="宋体" w:eastAsia="宋体" w:cs="宋体"/>
          <w:b/>
          <w:bCs/>
          <w:color w:val="auto"/>
          <w:sz w:val="32"/>
          <w:szCs w:val="32"/>
          <w:highlight w:val="none"/>
          <w:lang w:val="en-US" w:eastAsia="zh-CN"/>
        </w:rPr>
        <w:t>公厕清单</w:t>
      </w:r>
    </w:p>
    <w:p>
      <w:pPr>
        <w:pStyle w:val="962"/>
        <w:rPr>
          <w:rFonts w:ascii="仿宋" w:hAnsi="仿宋" w:eastAsia="仿宋" w:cs="仿宋"/>
          <w:color w:val="auto"/>
          <w:szCs w:val="24"/>
          <w:highlight w:val="none"/>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2028"/>
        <w:gridCol w:w="1574"/>
        <w:gridCol w:w="2010"/>
        <w:gridCol w:w="1302"/>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序号</w:t>
            </w:r>
          </w:p>
        </w:tc>
        <w:tc>
          <w:tcPr>
            <w:tcW w:w="213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公厕名单</w:t>
            </w:r>
          </w:p>
        </w:tc>
        <w:tc>
          <w:tcPr>
            <w:tcW w:w="161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公厕编号</w:t>
            </w:r>
          </w:p>
        </w:tc>
        <w:tc>
          <w:tcPr>
            <w:tcW w:w="212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公厕位置</w:t>
            </w:r>
          </w:p>
        </w:tc>
        <w:tc>
          <w:tcPr>
            <w:tcW w:w="136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公厕保洁时间</w:t>
            </w:r>
          </w:p>
        </w:tc>
        <w:tc>
          <w:tcPr>
            <w:tcW w:w="1577"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公厕标准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BRT一号公厕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WLC-001</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"1.jpg" </w:instrText>
            </w:r>
            <w:r>
              <w:rPr>
                <w:rFonts w:hint="default"/>
                <w:color w:val="auto"/>
                <w:sz w:val="24"/>
                <w:szCs w:val="24"/>
                <w:highlight w:val="none"/>
              </w:rPr>
              <w:fldChar w:fldCharType="separate"/>
            </w:r>
            <w:r>
              <w:rPr>
                <w:rFonts w:hint="eastAsia" w:ascii="宋体" w:hAnsi="宋体" w:cs="宋体"/>
                <w:color w:val="auto"/>
                <w:sz w:val="24"/>
                <w:szCs w:val="24"/>
                <w:highlight w:val="none"/>
              </w:rPr>
              <w:t>聚橙路与文一西路交叉口西南角</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default"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16小时</w:t>
            </w:r>
          </w:p>
        </w:tc>
        <w:tc>
          <w:tcPr>
            <w:tcW w:w="1577"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BRT二号公厕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WLC-002</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"2.jpg_temp.bmp" </w:instrText>
            </w:r>
            <w:r>
              <w:rPr>
                <w:rFonts w:hint="default"/>
                <w:color w:val="auto"/>
                <w:sz w:val="24"/>
                <w:szCs w:val="24"/>
                <w:highlight w:val="none"/>
              </w:rPr>
              <w:fldChar w:fldCharType="separate"/>
            </w:r>
            <w:r>
              <w:rPr>
                <w:rFonts w:hint="eastAsia" w:ascii="宋体" w:hAnsi="宋体" w:cs="宋体"/>
                <w:color w:val="auto"/>
                <w:sz w:val="24"/>
                <w:szCs w:val="24"/>
                <w:highlight w:val="none"/>
              </w:rPr>
              <w:t>文一西路北荆长大道西</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default"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24小时</w:t>
            </w:r>
          </w:p>
        </w:tc>
        <w:tc>
          <w:tcPr>
            <w:tcW w:w="1577" w:type="dxa"/>
            <w:vAlign w:val="center"/>
          </w:tcPr>
          <w:p>
            <w:pPr>
              <w:pStyle w:val="962"/>
              <w:widowControl w:val="0"/>
              <w:spacing w:beforeLines="0" w:afterLines="0" w:line="360" w:lineRule="auto"/>
              <w:jc w:val="center"/>
              <w:rPr>
                <w:rFonts w:hint="default"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新桥港一号公厕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WLC-003</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"3.jpg" </w:instrText>
            </w:r>
            <w:r>
              <w:rPr>
                <w:rFonts w:hint="default"/>
                <w:color w:val="auto"/>
                <w:sz w:val="24"/>
                <w:szCs w:val="24"/>
                <w:highlight w:val="none"/>
              </w:rPr>
              <w:fldChar w:fldCharType="separate"/>
            </w:r>
            <w:r>
              <w:rPr>
                <w:rFonts w:hint="eastAsia" w:ascii="宋体" w:hAnsi="宋体" w:cs="宋体"/>
                <w:color w:val="auto"/>
                <w:sz w:val="24"/>
                <w:szCs w:val="24"/>
                <w:highlight w:val="none"/>
              </w:rPr>
              <w:t>向往街与海创路路口</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default"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16小时</w:t>
            </w:r>
          </w:p>
        </w:tc>
        <w:tc>
          <w:tcPr>
            <w:tcW w:w="1577"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新桥港二号公厕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WLC-004</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"4.jpg" </w:instrText>
            </w:r>
            <w:r>
              <w:rPr>
                <w:rFonts w:hint="default"/>
                <w:color w:val="auto"/>
                <w:sz w:val="24"/>
                <w:szCs w:val="24"/>
                <w:highlight w:val="none"/>
              </w:rPr>
              <w:fldChar w:fldCharType="separate"/>
            </w:r>
            <w:r>
              <w:rPr>
                <w:rFonts w:hint="eastAsia" w:ascii="宋体" w:hAnsi="宋体" w:cs="宋体"/>
                <w:color w:val="auto"/>
                <w:sz w:val="24"/>
                <w:szCs w:val="24"/>
                <w:highlight w:val="none"/>
              </w:rPr>
              <w:t>联创街与海淘路南侧</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default"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16小时</w:t>
            </w:r>
          </w:p>
        </w:tc>
        <w:tc>
          <w:tcPr>
            <w:tcW w:w="1577"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闲林港公厕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WLC-008</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"8.jpg" </w:instrText>
            </w:r>
            <w:r>
              <w:rPr>
                <w:rFonts w:hint="default"/>
                <w:color w:val="auto"/>
                <w:sz w:val="24"/>
                <w:szCs w:val="24"/>
                <w:highlight w:val="none"/>
              </w:rPr>
              <w:fldChar w:fldCharType="separate"/>
            </w:r>
            <w:r>
              <w:rPr>
                <w:rFonts w:hint="eastAsia" w:ascii="宋体" w:hAnsi="宋体" w:cs="宋体"/>
                <w:color w:val="auto"/>
                <w:sz w:val="24"/>
                <w:szCs w:val="24"/>
                <w:highlight w:val="none"/>
              </w:rPr>
              <w:t>良睦路与文一西路西南角</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24小时</w:t>
            </w:r>
          </w:p>
        </w:tc>
        <w:tc>
          <w:tcPr>
            <w:tcW w:w="1577"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光明桥公厕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WLC-011</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"11.jpg" </w:instrText>
            </w:r>
            <w:r>
              <w:rPr>
                <w:rFonts w:hint="default"/>
                <w:color w:val="auto"/>
                <w:sz w:val="24"/>
                <w:szCs w:val="24"/>
                <w:highlight w:val="none"/>
              </w:rPr>
              <w:fldChar w:fldCharType="separate"/>
            </w:r>
            <w:r>
              <w:rPr>
                <w:rFonts w:hint="eastAsia" w:ascii="宋体" w:hAnsi="宋体" w:cs="宋体"/>
                <w:color w:val="auto"/>
                <w:sz w:val="24"/>
                <w:szCs w:val="24"/>
                <w:highlight w:val="none"/>
              </w:rPr>
              <w:t>余杭塘路与光明桥路交叉口</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24小时</w:t>
            </w:r>
          </w:p>
        </w:tc>
        <w:tc>
          <w:tcPr>
            <w:tcW w:w="1577"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香樟港公厕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WLC-012</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"12.jpg" </w:instrText>
            </w:r>
            <w:r>
              <w:rPr>
                <w:rFonts w:hint="default"/>
                <w:color w:val="auto"/>
                <w:sz w:val="24"/>
                <w:szCs w:val="24"/>
                <w:highlight w:val="none"/>
              </w:rPr>
              <w:fldChar w:fldCharType="separate"/>
            </w:r>
            <w:r>
              <w:rPr>
                <w:rFonts w:hint="eastAsia" w:ascii="宋体" w:hAnsi="宋体" w:cs="宋体"/>
                <w:color w:val="auto"/>
                <w:sz w:val="24"/>
                <w:szCs w:val="24"/>
                <w:highlight w:val="none"/>
              </w:rPr>
              <w:t>余杭塘路与香樟港桥东南角</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24小时</w:t>
            </w:r>
          </w:p>
        </w:tc>
        <w:tc>
          <w:tcPr>
            <w:tcW w:w="1577"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文二西路二号公厕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WLC-016</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"16.jpg" </w:instrText>
            </w:r>
            <w:r>
              <w:rPr>
                <w:rFonts w:hint="default"/>
                <w:color w:val="auto"/>
                <w:sz w:val="24"/>
                <w:szCs w:val="24"/>
                <w:highlight w:val="none"/>
              </w:rPr>
              <w:fldChar w:fldCharType="separate"/>
            </w:r>
            <w:r>
              <w:rPr>
                <w:rFonts w:hint="eastAsia" w:ascii="宋体" w:hAnsi="宋体" w:cs="宋体"/>
                <w:color w:val="auto"/>
                <w:sz w:val="24"/>
                <w:szCs w:val="24"/>
                <w:highlight w:val="none"/>
              </w:rPr>
              <w:t>良睦路与文二西路东北角</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24小时</w:t>
            </w:r>
          </w:p>
        </w:tc>
        <w:tc>
          <w:tcPr>
            <w:tcW w:w="1577"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永胜港公厕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WLC-020</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"20.jpg" </w:instrText>
            </w:r>
            <w:r>
              <w:rPr>
                <w:rFonts w:hint="default"/>
                <w:color w:val="auto"/>
                <w:sz w:val="24"/>
                <w:szCs w:val="24"/>
                <w:highlight w:val="none"/>
              </w:rPr>
              <w:fldChar w:fldCharType="separate"/>
            </w:r>
            <w:r>
              <w:rPr>
                <w:rFonts w:hint="eastAsia" w:ascii="宋体" w:hAnsi="宋体" w:cs="宋体"/>
                <w:color w:val="auto"/>
                <w:sz w:val="24"/>
                <w:szCs w:val="24"/>
                <w:highlight w:val="none"/>
              </w:rPr>
              <w:t>贺翠路与岸汀街西北角</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24小时</w:t>
            </w:r>
          </w:p>
        </w:tc>
        <w:tc>
          <w:tcPr>
            <w:tcW w:w="1577"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5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w:t>
            </w:r>
          </w:p>
        </w:tc>
        <w:tc>
          <w:tcPr>
            <w:tcW w:w="213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香樟港二号公厕</w:t>
            </w:r>
          </w:p>
        </w:tc>
        <w:tc>
          <w:tcPr>
            <w:tcW w:w="161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rPr>
              <w:t>WLC-023</w:t>
            </w:r>
          </w:p>
        </w:tc>
        <w:tc>
          <w:tcPr>
            <w:tcW w:w="2120" w:type="dxa"/>
            <w:vAlign w:val="center"/>
          </w:tcPr>
          <w:p>
            <w:pPr>
              <w:widowControl/>
              <w:spacing w:beforeLines="0" w:afterLines="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default"/>
                <w:color w:val="auto"/>
                <w:sz w:val="24"/>
                <w:szCs w:val="24"/>
                <w:highlight w:val="none"/>
              </w:rPr>
              <w:fldChar w:fldCharType="begin"/>
            </w:r>
            <w:r>
              <w:rPr>
                <w:rFonts w:hint="default"/>
                <w:color w:val="auto"/>
                <w:sz w:val="24"/>
                <w:szCs w:val="24"/>
                <w:highlight w:val="none"/>
              </w:rPr>
              <w:instrText xml:space="preserve"> HYPERLINK "</w:instrText>
            </w:r>
            <w:r>
              <w:rPr>
                <w:rFonts w:hint="eastAsia"/>
                <w:color w:val="auto"/>
                <w:sz w:val="24"/>
                <w:szCs w:val="24"/>
                <w:highlight w:val="none"/>
              </w:rPr>
              <w:instrText xml:space="preserve">香樟港2号.jpg" </w:instrText>
            </w:r>
            <w:r>
              <w:rPr>
                <w:rFonts w:hint="eastAsia"/>
                <w:color w:val="auto"/>
                <w:sz w:val="24"/>
                <w:szCs w:val="24"/>
                <w:highlight w:val="none"/>
              </w:rPr>
              <w:fldChar w:fldCharType="separate"/>
            </w:r>
            <w:r>
              <w:rPr>
                <w:rFonts w:hint="eastAsia" w:ascii="宋体" w:hAnsi="宋体" w:cs="宋体"/>
                <w:color w:val="auto"/>
                <w:sz w:val="24"/>
                <w:szCs w:val="24"/>
                <w:highlight w:val="none"/>
              </w:rPr>
              <w:t>余杭塘路香樟港桥西头北侧60米</w:t>
            </w:r>
            <w:r>
              <w:rPr>
                <w:rFonts w:hint="eastAsia" w:ascii="宋体" w:hAnsi="宋体" w:cs="宋体"/>
                <w:color w:val="auto"/>
                <w:sz w:val="24"/>
                <w:szCs w:val="24"/>
                <w:highlight w:val="none"/>
              </w:rPr>
              <w:fldChar w:fldCharType="end"/>
            </w:r>
          </w:p>
        </w:tc>
        <w:tc>
          <w:tcPr>
            <w:tcW w:w="1362"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24小时</w:t>
            </w:r>
          </w:p>
        </w:tc>
        <w:tc>
          <w:tcPr>
            <w:tcW w:w="1577" w:type="dxa"/>
            <w:vAlign w:val="center"/>
          </w:tcPr>
          <w:p>
            <w:pPr>
              <w:pStyle w:val="962"/>
              <w:widowControl w:val="0"/>
              <w:spacing w:beforeLines="0" w:afterLines="0" w:line="360" w:lineRule="auto"/>
              <w:jc w:val="center"/>
              <w:rPr>
                <w:rFonts w:hint="eastAsia" w:ascii="宋体" w:hAnsi="宋体" w:eastAsia="宋体" w:cs="宋体"/>
                <w:i w:val="0"/>
                <w:iCs w:val="0"/>
                <w:color w:val="auto"/>
                <w:kern w:val="0"/>
                <w:sz w:val="24"/>
                <w:szCs w:val="24"/>
                <w:highlight w:val="none"/>
                <w:u w:val="none"/>
                <w:lang w:val="en-US" w:eastAsia="zh-CN" w:bidi="ar"/>
              </w:rPr>
            </w:pPr>
            <w:r>
              <w:rPr>
                <w:rFonts w:hint="eastAsia" w:cs="宋体"/>
                <w:color w:val="auto"/>
                <w:sz w:val="24"/>
                <w:szCs w:val="24"/>
                <w:highlight w:val="none"/>
                <w:lang w:val="en-US"/>
              </w:rPr>
              <w:t>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6" w:type="dxa"/>
            <w:gridSpan w:val="6"/>
            <w:vAlign w:val="center"/>
          </w:tcPr>
          <w:p>
            <w:pPr>
              <w:pStyle w:val="962"/>
              <w:widowControl w:val="0"/>
              <w:spacing w:beforeLines="0" w:afterLines="0" w:line="360" w:lineRule="auto"/>
              <w:jc w:val="both"/>
              <w:rPr>
                <w:rFonts w:hint="default" w:eastAsia="宋体" w:cs="宋体"/>
                <w:color w:val="auto"/>
                <w:sz w:val="24"/>
                <w:szCs w:val="24"/>
                <w:highlight w:val="none"/>
                <w:lang w:val="en-US" w:eastAsia="zh-CN"/>
              </w:rPr>
            </w:pPr>
            <w:r>
              <w:rPr>
                <w:rFonts w:hint="eastAsia" w:cs="宋体"/>
                <w:b/>
                <w:bCs/>
                <w:color w:val="auto"/>
                <w:sz w:val="24"/>
                <w:szCs w:val="24"/>
                <w:highlight w:val="none"/>
                <w:lang w:val="en-US" w:eastAsia="zh-CN"/>
              </w:rPr>
              <w:t>本项目公厕有7座为高标准，20万元/座/年；3座标准公厕，12万元/座/年；</w:t>
            </w:r>
          </w:p>
        </w:tc>
      </w:tr>
    </w:tbl>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备注</w:t>
      </w:r>
      <w:r>
        <w:rPr>
          <w:rFonts w:hint="eastAsia" w:ascii="宋体" w:hAnsi="宋体" w:eastAsia="宋体" w:cs="宋体"/>
          <w:b/>
          <w:bCs/>
          <w:color w:val="auto"/>
          <w:sz w:val="24"/>
          <w:szCs w:val="24"/>
          <w:highlight w:val="none"/>
          <w:lang w:eastAsia="zh-CN"/>
        </w:rPr>
        <w:t>：公厕</w:t>
      </w:r>
      <w:r>
        <w:rPr>
          <w:rFonts w:hint="eastAsia" w:ascii="宋体" w:hAnsi="宋体" w:eastAsia="宋体" w:cs="宋体"/>
          <w:b/>
          <w:bCs/>
          <w:color w:val="auto"/>
          <w:kern w:val="0"/>
          <w:sz w:val="24"/>
          <w:szCs w:val="24"/>
          <w:highlight w:val="none"/>
        </w:rPr>
        <w:t>承包价按中标价执行，承包价款项含包工、包料、包机械设备、包质量、包安全、包责任、包税收，公厕使用的</w:t>
      </w:r>
      <w:r>
        <w:rPr>
          <w:rFonts w:hint="eastAsia" w:ascii="宋体" w:hAnsi="宋体" w:eastAsia="宋体" w:cs="宋体"/>
          <w:b/>
          <w:bCs/>
          <w:color w:val="auto"/>
          <w:kern w:val="0"/>
          <w:sz w:val="24"/>
          <w:szCs w:val="24"/>
          <w:highlight w:val="none"/>
        </w:rPr>
        <w:t>水费、电费，</w:t>
      </w:r>
      <w:r>
        <w:rPr>
          <w:rFonts w:hint="eastAsia" w:ascii="宋体" w:hAnsi="宋体" w:eastAsia="宋体" w:cs="宋体"/>
          <w:b/>
          <w:bCs/>
          <w:color w:val="auto"/>
          <w:kern w:val="0"/>
          <w:sz w:val="24"/>
          <w:szCs w:val="24"/>
          <w:highlight w:val="none"/>
        </w:rPr>
        <w:t>即承包者负责作业所需的一切费用支出（包括工人工资、工具、吸粪车辆、厕所耗材等厕所零星所需更换零件等费用、维修及更换设施（设施包括公厕内使用的所有设备），并包括公厕至污水井管道疏通、维修，化粪池维修及化粪池满后污水外运至处理站等全部由中标人承担</w:t>
      </w:r>
      <w:r>
        <w:rPr>
          <w:rFonts w:hint="eastAsia" w:ascii="宋体" w:hAnsi="宋体" w:eastAsia="宋体" w:cs="宋体"/>
          <w:b/>
          <w:bCs/>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如水、电费用其他管养公司或第三方有共用时，中标单位可通过协商解决</w:t>
      </w:r>
      <w:r>
        <w:rPr>
          <w:rFonts w:hint="eastAsia" w:ascii="宋体" w:hAnsi="宋体" w:eastAsia="宋体" w:cs="宋体"/>
          <w:b w:val="0"/>
          <w:bCs w:val="0"/>
          <w:color w:val="auto"/>
          <w:kern w:val="0"/>
          <w:sz w:val="24"/>
          <w:szCs w:val="24"/>
          <w:highlight w:val="none"/>
          <w:lang w:val="en-US" w:eastAsia="zh-CN"/>
        </w:rPr>
        <w:t>。</w:t>
      </w:r>
    </w:p>
    <w:p>
      <w:pPr>
        <w:spacing w:line="600" w:lineRule="exact"/>
        <w:outlineLvl w:val="0"/>
        <w:rPr>
          <w:rFonts w:hint="eastAsia" w:ascii="宋体" w:hAnsi="宋体" w:eastAsia="宋体" w:cs="宋体"/>
          <w:b/>
          <w:bCs/>
          <w:color w:val="auto"/>
          <w:sz w:val="24"/>
          <w:highlight w:val="none"/>
        </w:rPr>
      </w:pPr>
    </w:p>
    <w:p>
      <w:pPr>
        <w:spacing w:line="600" w:lineRule="exact"/>
        <w:outlineLvl w:val="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w:t>
      </w:r>
      <w:r>
        <w:rPr>
          <w:rFonts w:hint="eastAsia" w:ascii="宋体" w:hAnsi="宋体" w:eastAsia="宋体" w:cs="宋体"/>
          <w:b/>
          <w:bCs/>
          <w:color w:val="auto"/>
          <w:sz w:val="24"/>
          <w:highlight w:val="none"/>
          <w:lang w:val="en-US" w:eastAsia="zh-CN"/>
        </w:rPr>
        <w:t>服务</w:t>
      </w:r>
      <w:r>
        <w:rPr>
          <w:rFonts w:hint="eastAsia" w:ascii="宋体" w:hAnsi="宋体" w:eastAsia="宋体" w:cs="宋体"/>
          <w:b/>
          <w:bCs/>
          <w:color w:val="auto"/>
          <w:sz w:val="24"/>
          <w:highlight w:val="none"/>
        </w:rPr>
        <w:t>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●1、本项目人员配置</w:t>
      </w:r>
      <w:r>
        <w:rPr>
          <w:rFonts w:hint="eastAsia" w:ascii="宋体" w:hAnsi="宋体" w:eastAsia="宋体" w:cs="宋体"/>
          <w:color w:val="auto"/>
          <w:sz w:val="24"/>
          <w:highlight w:val="none"/>
          <w:lang w:val="en-US" w:eastAsia="zh-CN"/>
        </w:rPr>
        <w:t>要求</w:t>
      </w:r>
      <w:r>
        <w:rPr>
          <w:rFonts w:hint="eastAsia" w:ascii="宋体" w:hAnsi="宋体" w:eastAsia="宋体" w:cs="宋体"/>
          <w:color w:val="auto"/>
          <w:sz w:val="24"/>
          <w:highlight w:val="none"/>
        </w:rPr>
        <w:t>：项目负责人1人，道路、河道保洁管理人员2人，绿化养护管理人员1人，市政养护管理人员1人</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eastAsia="zh-CN"/>
        </w:rPr>
        <w:t>公厕安全员</w:t>
      </w:r>
      <w:r>
        <w:rPr>
          <w:rFonts w:hint="eastAsia" w:hAnsi="宋体" w:cs="宋体"/>
          <w:color w:val="auto"/>
          <w:sz w:val="24"/>
          <w:szCs w:val="24"/>
          <w:highlight w:val="none"/>
          <w:lang w:val="en-US" w:eastAsia="zh-CN"/>
        </w:rPr>
        <w:t xml:space="preserve"> 1  人；</w:t>
      </w:r>
      <w:r>
        <w:rPr>
          <w:rFonts w:hint="eastAsia" w:ascii="宋体" w:hAnsi="宋体" w:eastAsia="宋体" w:cs="宋体"/>
          <w:color w:val="auto"/>
          <w:sz w:val="24"/>
          <w:highlight w:val="none"/>
        </w:rPr>
        <w:t>其他作业人员安排数量符合招标文件规定（保洁：道路保洁人均保洁面积</w:t>
      </w:r>
      <w:r>
        <w:rPr>
          <w:rFonts w:hint="eastAsia" w:hAnsi="宋体" w:cs="宋体"/>
          <w:color w:val="auto"/>
          <w:sz w:val="24"/>
          <w:highlight w:val="none"/>
          <w:lang w:val="en-US" w:eastAsia="zh-CN"/>
        </w:rPr>
        <w:t xml:space="preserve"> 5000</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保洁16个小时，需两个班次，故人员</w:t>
      </w:r>
      <w:r>
        <w:rPr>
          <w:rFonts w:hint="eastAsia" w:ascii="宋体" w:hAnsi="宋体" w:eastAsia="宋体" w:cs="宋体"/>
          <w:color w:val="auto"/>
          <w:sz w:val="24"/>
          <w:highlight w:val="none"/>
        </w:rPr>
        <w:t>不少于</w:t>
      </w:r>
      <w:r>
        <w:rPr>
          <w:rFonts w:hint="eastAsia" w:hAnsi="宋体" w:cs="宋体"/>
          <w:b/>
          <w:bCs/>
          <w:color w:val="auto"/>
          <w:sz w:val="24"/>
          <w:highlight w:val="none"/>
          <w:lang w:val="en-US" w:eastAsia="zh-CN"/>
        </w:rPr>
        <w:t>80</w:t>
      </w:r>
      <w:r>
        <w:rPr>
          <w:rFonts w:hint="eastAsia" w:ascii="宋体" w:hAnsi="宋体" w:eastAsia="宋体" w:cs="宋体"/>
          <w:color w:val="auto"/>
          <w:sz w:val="24"/>
          <w:highlight w:val="none"/>
        </w:rPr>
        <w:t>人</w:t>
      </w:r>
      <w:r>
        <w:rPr>
          <w:rFonts w:hint="eastAsia" w:hAnsi="宋体" w:cs="宋体"/>
          <w:color w:val="auto"/>
          <w:sz w:val="24"/>
          <w:highlight w:val="none"/>
          <w:lang w:eastAsia="zh-CN"/>
        </w:rPr>
        <w:t>次，同一时间在岗人数不少于</w:t>
      </w:r>
      <w:r>
        <w:rPr>
          <w:rFonts w:hint="eastAsia" w:hAnsi="宋体" w:cs="宋体"/>
          <w:color w:val="auto"/>
          <w:sz w:val="24"/>
          <w:highlight w:val="none"/>
          <w:lang w:val="en-US" w:eastAsia="zh-CN"/>
        </w:rPr>
        <w:t>40人</w:t>
      </w:r>
      <w:r>
        <w:rPr>
          <w:rFonts w:hint="eastAsia" w:ascii="宋体" w:hAnsi="宋体" w:eastAsia="宋体" w:cs="宋体"/>
          <w:color w:val="auto"/>
          <w:sz w:val="24"/>
          <w:highlight w:val="none"/>
        </w:rPr>
        <w:t>，河道保洁不少于</w:t>
      </w:r>
      <w:r>
        <w:rPr>
          <w:rFonts w:hint="eastAsia" w:ascii="宋体" w:hAnsi="宋体" w:eastAsia="宋体" w:cs="宋体"/>
          <w:b/>
          <w:bCs/>
          <w:color w:val="auto"/>
          <w:sz w:val="24"/>
          <w:highlight w:val="none"/>
        </w:rPr>
        <w:t>26</w:t>
      </w:r>
      <w:r>
        <w:rPr>
          <w:rFonts w:hint="eastAsia" w:ascii="宋体" w:hAnsi="宋体" w:eastAsia="宋体" w:cs="宋体"/>
          <w:color w:val="auto"/>
          <w:sz w:val="24"/>
          <w:highlight w:val="none"/>
        </w:rPr>
        <w:t>人；绿化养护：绿化养护每10000㎡不少于2人，不少于</w:t>
      </w:r>
      <w:r>
        <w:rPr>
          <w:rFonts w:hint="eastAsia" w:hAnsi="宋体" w:cs="宋体"/>
          <w:b/>
          <w:bCs/>
          <w:color w:val="auto"/>
          <w:sz w:val="24"/>
          <w:highlight w:val="none"/>
          <w:lang w:val="en-US" w:eastAsia="zh-CN"/>
        </w:rPr>
        <w:t>60</w:t>
      </w:r>
      <w:r>
        <w:rPr>
          <w:rFonts w:hint="eastAsia" w:ascii="宋体" w:hAnsi="宋体" w:eastAsia="宋体" w:cs="宋体"/>
          <w:color w:val="auto"/>
          <w:sz w:val="24"/>
          <w:highlight w:val="none"/>
        </w:rPr>
        <w:t>人；市政养护：不少于2班组，每班组不少于5人，不少于</w:t>
      </w:r>
      <w:r>
        <w:rPr>
          <w:rFonts w:hint="eastAsia" w:ascii="宋体" w:hAnsi="宋体" w:eastAsia="宋体" w:cs="宋体"/>
          <w:b/>
          <w:bCs/>
          <w:color w:val="auto"/>
          <w:sz w:val="24"/>
          <w:highlight w:val="none"/>
        </w:rPr>
        <w:t>10</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val="en-US" w:eastAsia="zh-CN"/>
        </w:rPr>
        <w:t>其他辅助人员</w:t>
      </w:r>
      <w:r>
        <w:rPr>
          <w:rFonts w:hint="eastAsia" w:hAnsi="宋体" w:cs="宋体"/>
          <w:b/>
          <w:bCs/>
          <w:color w:val="auto"/>
          <w:sz w:val="24"/>
          <w:highlight w:val="none"/>
          <w:lang w:val="en-US" w:eastAsia="zh-CN"/>
        </w:rPr>
        <w:t>1</w:t>
      </w:r>
      <w:r>
        <w:rPr>
          <w:rFonts w:hint="eastAsia" w:ascii="宋体" w:hAnsi="宋体" w:eastAsia="宋体" w:cs="宋体"/>
          <w:color w:val="auto"/>
          <w:sz w:val="24"/>
          <w:highlight w:val="none"/>
          <w:lang w:val="en-US" w:eastAsia="zh-CN"/>
        </w:rPr>
        <w:t>人</w:t>
      </w: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公厕</w:t>
      </w:r>
      <w:r>
        <w:rPr>
          <w:rFonts w:hint="eastAsia" w:ascii="宋体" w:hAnsi="宋体" w:eastAsia="宋体" w:cs="宋体"/>
          <w:b/>
          <w:bCs/>
          <w:color w:val="auto"/>
          <w:sz w:val="24"/>
          <w:highlight w:val="none"/>
          <w:u w:val="single"/>
        </w:rPr>
        <w:t>10</w:t>
      </w:r>
      <w:r>
        <w:rPr>
          <w:rFonts w:hint="eastAsia" w:ascii="宋体" w:hAnsi="宋体" w:eastAsia="宋体" w:cs="宋体"/>
          <w:b/>
          <w:bCs/>
          <w:color w:val="auto"/>
          <w:sz w:val="24"/>
          <w:highlight w:val="none"/>
        </w:rPr>
        <w:t>座，需配备保洁人员不少于</w:t>
      </w:r>
      <w:r>
        <w:rPr>
          <w:rFonts w:hint="eastAsia" w:ascii="宋体" w:hAnsi="宋体" w:eastAsia="宋体" w:cs="宋体"/>
          <w:b/>
          <w:bCs/>
          <w:color w:val="auto"/>
          <w:sz w:val="24"/>
          <w:highlight w:val="none"/>
          <w:u w:val="single"/>
        </w:rPr>
        <w:t xml:space="preserve"> </w:t>
      </w:r>
      <w:r>
        <w:rPr>
          <w:rFonts w:hint="eastAsia" w:hAnsi="宋体" w:cs="宋体"/>
          <w:b/>
          <w:bCs/>
          <w:color w:val="auto"/>
          <w:sz w:val="24"/>
          <w:highlight w:val="none"/>
          <w:u w:val="single"/>
          <w:lang w:val="en-US" w:eastAsia="zh-CN"/>
        </w:rPr>
        <w:t>17</w:t>
      </w:r>
      <w:r>
        <w:rPr>
          <w:rFonts w:hint="eastAsia" w:ascii="宋体" w:hAnsi="宋体" w:eastAsia="宋体" w:cs="宋体"/>
          <w:b/>
          <w:bCs/>
          <w:color w:val="auto"/>
          <w:sz w:val="24"/>
          <w:highlight w:val="none"/>
        </w:rPr>
        <w:t>人。其中高标准公厕</w:t>
      </w:r>
      <w:r>
        <w:rPr>
          <w:rFonts w:hint="eastAsia" w:ascii="宋体" w:hAnsi="宋体" w:eastAsia="宋体" w:cs="宋体"/>
          <w:b/>
          <w:bCs/>
          <w:color w:val="auto"/>
          <w:sz w:val="24"/>
          <w:highlight w:val="none"/>
          <w:u w:val="single"/>
        </w:rPr>
        <w:t xml:space="preserve"> 7 </w:t>
      </w:r>
      <w:r>
        <w:rPr>
          <w:rFonts w:hint="eastAsia" w:ascii="宋体" w:hAnsi="宋体" w:eastAsia="宋体" w:cs="宋体"/>
          <w:b/>
          <w:bCs/>
          <w:color w:val="auto"/>
          <w:sz w:val="24"/>
          <w:highlight w:val="none"/>
        </w:rPr>
        <w:t>座，保洁时间</w:t>
      </w:r>
      <w:r>
        <w:rPr>
          <w:rFonts w:hint="eastAsia" w:ascii="宋体" w:hAnsi="宋体" w:eastAsia="宋体" w:cs="宋体"/>
          <w:b/>
          <w:bCs/>
          <w:color w:val="auto"/>
          <w:sz w:val="24"/>
          <w:highlight w:val="none"/>
          <w:lang w:val="en-US" w:eastAsia="zh-CN"/>
        </w:rPr>
        <w:t>24</w:t>
      </w:r>
      <w:r>
        <w:rPr>
          <w:rFonts w:hint="eastAsia" w:ascii="宋体" w:hAnsi="宋体" w:eastAsia="宋体" w:cs="宋体"/>
          <w:b/>
          <w:bCs/>
          <w:color w:val="auto"/>
          <w:sz w:val="24"/>
          <w:highlight w:val="none"/>
        </w:rPr>
        <w:t>小时，保洁时间内每座公厕人员不少于2人，</w:t>
      </w:r>
      <w:r>
        <w:rPr>
          <w:rFonts w:hint="eastAsia" w:ascii="宋体" w:hAnsi="宋体" w:eastAsia="宋体" w:cs="宋体"/>
          <w:b/>
          <w:bCs/>
          <w:color w:val="auto"/>
          <w:sz w:val="24"/>
          <w:highlight w:val="none"/>
          <w:lang w:val="en-US" w:eastAsia="zh-CN"/>
        </w:rPr>
        <w:t>男女各一名，</w:t>
      </w:r>
      <w:r>
        <w:rPr>
          <w:rFonts w:hint="eastAsia" w:ascii="宋体" w:hAnsi="宋体" w:eastAsia="宋体" w:cs="宋体"/>
          <w:b/>
          <w:bCs/>
          <w:color w:val="auto"/>
          <w:sz w:val="24"/>
          <w:highlight w:val="none"/>
        </w:rPr>
        <w:t>共计</w:t>
      </w:r>
      <w:r>
        <w:rPr>
          <w:rFonts w:hint="eastAsia" w:ascii="宋体" w:hAnsi="宋体" w:eastAsia="宋体" w:cs="宋体"/>
          <w:b/>
          <w:bCs/>
          <w:color w:val="auto"/>
          <w:sz w:val="24"/>
          <w:highlight w:val="none"/>
          <w:u w:val="single"/>
        </w:rPr>
        <w:t xml:space="preserve"> 14 </w:t>
      </w:r>
      <w:r>
        <w:rPr>
          <w:rFonts w:hint="eastAsia" w:ascii="宋体" w:hAnsi="宋体" w:eastAsia="宋体" w:cs="宋体"/>
          <w:b/>
          <w:bCs/>
          <w:color w:val="auto"/>
          <w:sz w:val="24"/>
          <w:highlight w:val="none"/>
        </w:rPr>
        <w:t xml:space="preserve">人）；标准公厕  </w:t>
      </w:r>
      <w:r>
        <w:rPr>
          <w:rFonts w:hint="eastAsia" w:ascii="宋体" w:hAnsi="宋体" w:eastAsia="宋体" w:cs="宋体"/>
          <w:b/>
          <w:bCs/>
          <w:color w:val="auto"/>
          <w:sz w:val="24"/>
          <w:highlight w:val="none"/>
          <w:u w:val="single"/>
        </w:rPr>
        <w:t xml:space="preserve"> 3 </w:t>
      </w:r>
      <w:r>
        <w:rPr>
          <w:rFonts w:hint="eastAsia" w:ascii="宋体" w:hAnsi="宋体" w:eastAsia="宋体" w:cs="宋体"/>
          <w:b/>
          <w:bCs/>
          <w:color w:val="auto"/>
          <w:sz w:val="24"/>
          <w:highlight w:val="none"/>
        </w:rPr>
        <w:t>座，保洁时间16小时，人员不少于1人（共计</w:t>
      </w:r>
      <w:r>
        <w:rPr>
          <w:rFonts w:hint="eastAsia" w:ascii="宋体" w:hAnsi="宋体" w:eastAsia="宋体" w:cs="宋体"/>
          <w:b/>
          <w:bCs/>
          <w:color w:val="auto"/>
          <w:sz w:val="24"/>
          <w:highlight w:val="none"/>
          <w:u w:val="single"/>
        </w:rPr>
        <w:t xml:space="preserve"> 3 </w:t>
      </w:r>
      <w:r>
        <w:rPr>
          <w:rFonts w:hint="eastAsia" w:ascii="宋体" w:hAnsi="宋体" w:eastAsia="宋体" w:cs="宋体"/>
          <w:b/>
          <w:bCs/>
          <w:color w:val="auto"/>
          <w:sz w:val="24"/>
          <w:highlight w:val="none"/>
        </w:rPr>
        <w:t>人）</w:t>
      </w:r>
      <w:r>
        <w:rPr>
          <w:rFonts w:hint="eastAsia" w:ascii="宋体" w:hAnsi="宋体" w:eastAsia="宋体" w:cs="宋体"/>
          <w:b/>
          <w:bCs/>
          <w:color w:val="auto"/>
          <w:sz w:val="24"/>
          <w:highlight w:val="none"/>
          <w:lang w:eastAsia="zh-CN"/>
        </w:rPr>
        <w:t>，</w:t>
      </w:r>
      <w:r>
        <w:rPr>
          <w:rFonts w:hint="eastAsia" w:ascii="宋体" w:hAnsi="宋体" w:eastAsia="宋体" w:cs="宋体"/>
          <w:color w:val="auto"/>
          <w:sz w:val="24"/>
          <w:highlight w:val="none"/>
        </w:rPr>
        <w:t>如有活动、节假日、高温抗旱、抗台风、抗暴雨、抗雪灾等恶劣天气情况下根据甲方要求增派人员，满足突发事件需求。），所有作业人员必须挂牌上岗，统一着装，作业时必须统一穿着工作制服。</w:t>
      </w:r>
    </w:p>
    <w:p>
      <w:pPr>
        <w:pStyle w:val="36"/>
        <w:snapToGrid w:val="0"/>
        <w:spacing w:line="60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人员要求配置表</w:t>
      </w:r>
      <w:r>
        <w:rPr>
          <w:rFonts w:hint="eastAsia" w:ascii="宋体" w:hAnsi="宋体" w:eastAsia="宋体" w:cs="宋体"/>
          <w:b/>
          <w:bCs/>
          <w:color w:val="auto"/>
          <w:sz w:val="24"/>
          <w:highlight w:val="none"/>
          <w:lang w:val="en-US"/>
        </w:rPr>
        <w:t>（</w:t>
      </w:r>
      <w:r>
        <w:rPr>
          <w:rFonts w:hint="eastAsia" w:ascii="宋体" w:hAnsi="宋体" w:eastAsia="宋体" w:cs="宋体"/>
          <w:b/>
          <w:bCs/>
          <w:color w:val="auto"/>
          <w:sz w:val="24"/>
          <w:highlight w:val="none"/>
        </w:rPr>
        <w:t>响应表中响应</w:t>
      </w:r>
      <w:r>
        <w:rPr>
          <w:rFonts w:hint="eastAsia" w:ascii="宋体" w:hAnsi="宋体" w:eastAsia="宋体" w:cs="宋体"/>
          <w:b/>
          <w:bCs/>
          <w:color w:val="auto"/>
          <w:sz w:val="24"/>
          <w:highlight w:val="none"/>
          <w:lang w:val="en-US" w:eastAsia="zh-CN"/>
        </w:rPr>
        <w:t>承诺</w:t>
      </w:r>
      <w:r>
        <w:rPr>
          <w:rFonts w:hint="eastAsia" w:ascii="宋体" w:hAnsi="宋体" w:eastAsia="宋体" w:cs="宋体"/>
          <w:b/>
          <w:bCs/>
          <w:color w:val="auto"/>
          <w:sz w:val="24"/>
          <w:highlight w:val="none"/>
        </w:rPr>
        <w:t>即可，否则视为不满足</w:t>
      </w:r>
      <w:r>
        <w:rPr>
          <w:rFonts w:hint="eastAsia" w:ascii="宋体" w:hAnsi="宋体" w:eastAsia="宋体" w:cs="宋体"/>
          <w:b/>
          <w:bCs/>
          <w:color w:val="auto"/>
          <w:sz w:val="24"/>
          <w:highlight w:val="none"/>
          <w:lang w:val="en-US"/>
        </w:rPr>
        <w:t>）</w:t>
      </w:r>
      <w:r>
        <w:rPr>
          <w:rFonts w:hint="eastAsia" w:ascii="宋体" w:hAnsi="宋体" w:eastAsia="宋体" w:cs="宋体"/>
          <w:b/>
          <w:bCs/>
          <w:color w:val="auto"/>
          <w:sz w:val="24"/>
          <w:highlight w:val="none"/>
        </w:rPr>
        <w:t>：</w:t>
      </w:r>
    </w:p>
    <w:tbl>
      <w:tblPr>
        <w:tblStyle w:val="62"/>
        <w:tblW w:w="939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8"/>
        <w:gridCol w:w="2321"/>
        <w:gridCol w:w="919"/>
        <w:gridCol w:w="2139"/>
        <w:gridCol w:w="1462"/>
        <w:gridCol w:w="171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12" w:space="0"/>
              <w:left w:val="single" w:color="auto" w:sz="12"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2321" w:type="dxa"/>
            <w:tcBorders>
              <w:top w:val="single" w:color="auto" w:sz="12" w:space="0"/>
              <w:left w:val="single" w:color="auto" w:sz="2"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拟任分工</w:t>
            </w:r>
          </w:p>
        </w:tc>
        <w:tc>
          <w:tcPr>
            <w:tcW w:w="919" w:type="dxa"/>
            <w:tcBorders>
              <w:top w:val="single" w:color="auto" w:sz="12" w:space="0"/>
              <w:left w:val="single" w:color="auto" w:sz="2" w:space="0"/>
              <w:bottom w:val="single" w:color="auto" w:sz="2" w:space="0"/>
              <w:right w:val="single" w:color="auto" w:sz="4"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2139" w:type="dxa"/>
            <w:tcBorders>
              <w:top w:val="single" w:color="auto" w:sz="12" w:space="0"/>
              <w:left w:val="single" w:color="auto" w:sz="4"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职称</w:t>
            </w:r>
          </w:p>
        </w:tc>
        <w:tc>
          <w:tcPr>
            <w:tcW w:w="1462" w:type="dxa"/>
            <w:tcBorders>
              <w:top w:val="single" w:color="auto" w:sz="12" w:space="0"/>
              <w:left w:val="single" w:color="auto" w:sz="2"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学历</w:t>
            </w:r>
          </w:p>
        </w:tc>
        <w:tc>
          <w:tcPr>
            <w:tcW w:w="1717" w:type="dxa"/>
            <w:tcBorders>
              <w:top w:val="single" w:color="auto" w:sz="12" w:space="0"/>
              <w:left w:val="single" w:color="auto" w:sz="2" w:space="0"/>
              <w:bottom w:val="single" w:color="auto" w:sz="2" w:space="0"/>
              <w:right w:val="single" w:color="auto" w:sz="2" w:space="0"/>
            </w:tcBorders>
            <w:vAlign w:val="center"/>
          </w:tcPr>
          <w:p>
            <w:pPr>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社保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项目负责人</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中级职称及以上</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高中及以上</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6个月的社保缴纳证明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道路、河道保洁管理人员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中级职称及以上</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高中及以上</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6个月的社保缴纳证明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绿化养护管理人员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园林绿化初级职称及以上</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高中及以上</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6个月的社保缴纳证明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市政养护管理人员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中级职称及以上</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高中及以上</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6个月的社保缴纳证明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公厕安全员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中级职称及以上</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高中及以上</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6个月的社保缴纳证明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8558"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其他作业人员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.1</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道路保洁人员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80</w:t>
            </w:r>
            <w:r>
              <w:rPr>
                <w:rFonts w:hint="eastAsia" w:ascii="宋体" w:hAnsi="宋体" w:eastAsia="宋体" w:cs="宋体"/>
                <w:color w:val="auto"/>
                <w:szCs w:val="21"/>
                <w:highlight w:val="none"/>
              </w:rPr>
              <w:t>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.2</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绿化养护人员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60</w:t>
            </w:r>
            <w:r>
              <w:rPr>
                <w:rFonts w:hint="eastAsia" w:ascii="宋体" w:hAnsi="宋体" w:eastAsia="宋体" w:cs="宋体"/>
                <w:color w:val="auto"/>
                <w:szCs w:val="21"/>
                <w:highlight w:val="none"/>
              </w:rPr>
              <w:t>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.3</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河道保洁人员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26</w:t>
            </w:r>
            <w:r>
              <w:rPr>
                <w:rFonts w:hint="eastAsia" w:ascii="宋体" w:hAnsi="宋体" w:eastAsia="宋体" w:cs="宋体"/>
                <w:color w:val="auto"/>
                <w:szCs w:val="21"/>
                <w:highlight w:val="none"/>
              </w:rPr>
              <w:t>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.4</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市政养护人员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lang w:val="en-US" w:eastAsia="zh-CN"/>
              </w:rPr>
              <w:t>.5</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公厕养护人员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17人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atLeast"/>
        </w:trPr>
        <w:tc>
          <w:tcPr>
            <w:tcW w:w="838" w:type="dxa"/>
            <w:tcBorders>
              <w:top w:val="single" w:color="auto" w:sz="2" w:space="0"/>
              <w:left w:val="single" w:color="auto" w:sz="12" w:space="0"/>
              <w:bottom w:val="single" w:color="auto" w:sz="2" w:space="0"/>
              <w:right w:val="single" w:color="auto" w:sz="2" w:space="0"/>
            </w:tcBorders>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6.6</w:t>
            </w:r>
          </w:p>
        </w:tc>
        <w:tc>
          <w:tcPr>
            <w:tcW w:w="2321"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其他辅助人员</w:t>
            </w:r>
          </w:p>
        </w:tc>
        <w:tc>
          <w:tcPr>
            <w:tcW w:w="919" w:type="dxa"/>
            <w:tcBorders>
              <w:top w:val="single" w:color="auto" w:sz="2" w:space="0"/>
              <w:left w:val="single" w:color="auto" w:sz="2" w:space="0"/>
              <w:bottom w:val="single" w:color="auto" w:sz="2" w:space="0"/>
              <w:right w:val="single" w:color="auto" w:sz="4" w:space="0"/>
            </w:tcBorders>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lang w:val="en-US" w:eastAsia="zh-CN"/>
              </w:rPr>
              <w:t>人</w:t>
            </w:r>
          </w:p>
        </w:tc>
        <w:tc>
          <w:tcPr>
            <w:tcW w:w="2139" w:type="dxa"/>
            <w:tcBorders>
              <w:top w:val="single" w:color="auto" w:sz="2" w:space="0"/>
              <w:left w:val="single" w:color="auto" w:sz="4"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p>
        </w:tc>
        <w:tc>
          <w:tcPr>
            <w:tcW w:w="1462"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p>
        </w:tc>
        <w:tc>
          <w:tcPr>
            <w:tcW w:w="17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highlight w:val="none"/>
              </w:rPr>
            </w:pPr>
          </w:p>
        </w:tc>
      </w:tr>
    </w:tbl>
    <w:p>
      <w:pPr>
        <w:widowControl/>
        <w:spacing w:line="600" w:lineRule="exact"/>
        <w:ind w:left="-53" w:leftChars="-25" w:firstLine="482" w:firstLineChars="200"/>
        <w:rPr>
          <w:rFonts w:hint="eastAsia" w:ascii="宋体" w:hAnsi="宋体" w:eastAsia="宋体" w:cs="宋体"/>
          <w:b/>
          <w:bCs/>
          <w:color w:val="auto"/>
          <w:sz w:val="24"/>
          <w:highlight w:val="none"/>
          <w:lang w:val="zh-CN" w:eastAsia="zh-CN"/>
        </w:rPr>
      </w:pPr>
    </w:p>
    <w:p>
      <w:pPr>
        <w:widowControl/>
        <w:spacing w:line="600" w:lineRule="exact"/>
        <w:rPr>
          <w:rFonts w:hint="eastAsia" w:ascii="宋体" w:hAnsi="宋体" w:eastAsia="宋体" w:cs="宋体"/>
          <w:b/>
          <w:bCs/>
          <w:snapToGrid w:val="0"/>
          <w:color w:val="auto"/>
          <w:kern w:val="2"/>
          <w:sz w:val="24"/>
          <w:szCs w:val="21"/>
          <w:highlight w:val="none"/>
          <w:lang w:val="en-US" w:eastAsia="zh-CN" w:bidi="ar-SA"/>
        </w:rPr>
      </w:pPr>
      <w:r>
        <w:rPr>
          <w:rFonts w:hint="eastAsia" w:ascii="宋体" w:hAnsi="宋体" w:eastAsia="宋体" w:cs="宋体"/>
          <w:b/>
          <w:bCs/>
          <w:color w:val="auto"/>
          <w:sz w:val="24"/>
          <w:highlight w:val="none"/>
          <w:lang w:val="zh-CN" w:eastAsia="zh-CN"/>
        </w:rPr>
        <w:t>●</w:t>
      </w:r>
      <w:r>
        <w:rPr>
          <w:rFonts w:hint="eastAsia" w:ascii="宋体" w:hAnsi="宋体" w:eastAsia="宋体" w:cs="宋体"/>
          <w:b/>
          <w:bCs/>
          <w:snapToGrid w:val="0"/>
          <w:color w:val="auto"/>
          <w:kern w:val="2"/>
          <w:sz w:val="24"/>
          <w:szCs w:val="21"/>
          <w:highlight w:val="none"/>
          <w:lang w:val="en-US" w:eastAsia="zh-CN" w:bidi="ar-SA"/>
        </w:rPr>
        <w:t>2、本项目设备配置要求</w:t>
      </w:r>
    </w:p>
    <w:p>
      <w:pPr>
        <w:widowControl/>
        <w:spacing w:line="600" w:lineRule="exact"/>
        <w:ind w:left="-53" w:leftChars="-25" w:firstLine="482" w:firstLineChars="200"/>
        <w:rPr>
          <w:rFonts w:hint="eastAsia" w:ascii="宋体" w:hAnsi="宋体" w:eastAsia="宋体" w:cs="宋体"/>
          <w:b/>
          <w:bCs/>
          <w:snapToGrid w:val="0"/>
          <w:color w:val="auto"/>
          <w:kern w:val="2"/>
          <w:sz w:val="24"/>
          <w:szCs w:val="21"/>
          <w:highlight w:val="none"/>
          <w:lang w:val="en-US" w:eastAsia="zh-CN" w:bidi="ar-SA"/>
        </w:rPr>
      </w:pPr>
      <w:r>
        <w:rPr>
          <w:rFonts w:hint="eastAsia" w:ascii="宋体" w:hAnsi="宋体" w:eastAsia="宋体" w:cs="宋体"/>
          <w:b/>
          <w:bCs/>
          <w:snapToGrid w:val="0"/>
          <w:color w:val="auto"/>
          <w:kern w:val="2"/>
          <w:sz w:val="24"/>
          <w:szCs w:val="21"/>
          <w:highlight w:val="none"/>
          <w:lang w:val="en-US" w:eastAsia="zh-CN" w:bidi="ar-SA"/>
        </w:rPr>
        <w:t>拟投入项目设备配置表</w:t>
      </w:r>
    </w:p>
    <w:tbl>
      <w:tblPr>
        <w:tblStyle w:val="62"/>
        <w:tblW w:w="8917"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887"/>
        <w:gridCol w:w="2470"/>
        <w:gridCol w:w="981"/>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2887" w:type="dxa"/>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设备名称</w:t>
            </w:r>
          </w:p>
        </w:tc>
        <w:tc>
          <w:tcPr>
            <w:tcW w:w="2470" w:type="dxa"/>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规格要求</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数量</w:t>
            </w:r>
          </w:p>
        </w:tc>
        <w:tc>
          <w:tcPr>
            <w:tcW w:w="1892" w:type="dxa"/>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洒水机动车（后置喷雾）</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辆</w:t>
            </w:r>
          </w:p>
        </w:tc>
        <w:tc>
          <w:tcPr>
            <w:tcW w:w="1892" w:type="dxa"/>
            <w:vMerge w:val="restart"/>
            <w:vAlign w:val="center"/>
          </w:tcPr>
          <w:p>
            <w:pPr>
              <w:pStyle w:val="27"/>
              <w:wordWrap/>
              <w:spacing w:line="500" w:lineRule="exact"/>
              <w:ind w:left="0" w:leftChars="0"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洗扫一体车（三位一体）</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≥18吨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多功能抑尘车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护栏清洗车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扫地车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高压冲洗车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应急扫雪设备</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套</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小型慢车道清扫车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小型高压冲洗车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10</w:t>
            </w:r>
          </w:p>
        </w:tc>
        <w:tc>
          <w:tcPr>
            <w:tcW w:w="2887" w:type="dxa"/>
            <w:vAlign w:val="center"/>
          </w:tcPr>
          <w:p>
            <w:pPr>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沥青路面热再生修补车</w:t>
            </w:r>
          </w:p>
        </w:tc>
        <w:tc>
          <w:tcPr>
            <w:tcW w:w="2470" w:type="dxa"/>
            <w:vAlign w:val="center"/>
          </w:tcPr>
          <w:p>
            <w:pPr>
              <w:jc w:val="left"/>
              <w:rPr>
                <w:rFonts w:hint="eastAsia" w:ascii="宋体" w:hAnsi="宋体" w:eastAsia="宋体" w:cs="宋体"/>
                <w:color w:val="auto"/>
                <w:kern w:val="2"/>
                <w:sz w:val="21"/>
                <w:szCs w:val="21"/>
                <w:highlight w:val="none"/>
                <w:lang w:val="en-US" w:eastAsia="zh-CN" w:bidi="ar-SA"/>
              </w:rPr>
            </w:pPr>
          </w:p>
        </w:tc>
        <w:tc>
          <w:tcPr>
            <w:tcW w:w="981"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restart"/>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市政养护设备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11</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储料式沥青保温车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工程抢修车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5"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13</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雨污水管道专用高压冲洗</w:t>
            </w:r>
            <w:r>
              <w:rPr>
                <w:rFonts w:hint="eastAsia" w:ascii="宋体" w:hAnsi="宋体" w:eastAsia="宋体" w:cs="宋体"/>
                <w:color w:val="auto"/>
                <w:kern w:val="2"/>
                <w:sz w:val="21"/>
                <w:szCs w:val="21"/>
                <w:highlight w:val="none"/>
                <w:lang w:val="en-US" w:eastAsia="zh-CN"/>
              </w:rPr>
              <w:t>设备</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14</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管道CCTV摄像检测设备</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≥2套</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气体检测仪</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≥5套</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16</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发电机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17</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抽水泵</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18</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铣刨机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19</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摊铺机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20</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eastAsia="zh-CN"/>
              </w:rPr>
              <w:t>压路机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21</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sz w:val="21"/>
                <w:szCs w:val="21"/>
                <w:highlight w:val="none"/>
                <w:lang w:eastAsia="zh-CN"/>
              </w:rPr>
              <w:t>登高车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≥2辆</w:t>
            </w:r>
          </w:p>
        </w:tc>
        <w:tc>
          <w:tcPr>
            <w:tcW w:w="1892" w:type="dxa"/>
            <w:vMerge w:val="restart"/>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绿化养护设备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22</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绿化喷洒车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≥15吨</w:t>
            </w:r>
          </w:p>
        </w:tc>
        <w:tc>
          <w:tcPr>
            <w:tcW w:w="981" w:type="dxa"/>
            <w:vAlign w:val="center"/>
          </w:tcPr>
          <w:p>
            <w:pPr>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23</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货车</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≥2吨</w:t>
            </w: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≥1辆</w:t>
            </w:r>
          </w:p>
        </w:tc>
        <w:tc>
          <w:tcPr>
            <w:tcW w:w="1892" w:type="dxa"/>
            <w:vMerge w:val="continue"/>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24</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割灌机</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≥3台</w:t>
            </w:r>
          </w:p>
        </w:tc>
        <w:tc>
          <w:tcPr>
            <w:tcW w:w="1892" w:type="dxa"/>
            <w:vMerge w:val="continue"/>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25</w:t>
            </w:r>
          </w:p>
        </w:tc>
        <w:tc>
          <w:tcPr>
            <w:tcW w:w="2887" w:type="dxa"/>
            <w:vAlign w:val="center"/>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高压除虫喷雾器</w:t>
            </w:r>
          </w:p>
        </w:tc>
        <w:tc>
          <w:tcPr>
            <w:tcW w:w="2470"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≥2台</w:t>
            </w:r>
          </w:p>
        </w:tc>
        <w:tc>
          <w:tcPr>
            <w:tcW w:w="1892" w:type="dxa"/>
            <w:vMerge w:val="continue"/>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26</w:t>
            </w:r>
          </w:p>
        </w:tc>
        <w:tc>
          <w:tcPr>
            <w:tcW w:w="2887"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树枝粉碎机</w:t>
            </w:r>
          </w:p>
        </w:tc>
        <w:tc>
          <w:tcPr>
            <w:tcW w:w="2470" w:type="dxa"/>
            <w:vAlign w:val="top"/>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中型</w:t>
            </w:r>
          </w:p>
        </w:tc>
        <w:tc>
          <w:tcPr>
            <w:tcW w:w="981"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27</w:t>
            </w:r>
          </w:p>
        </w:tc>
        <w:tc>
          <w:tcPr>
            <w:tcW w:w="2887"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草坪修剪机</w:t>
            </w:r>
          </w:p>
        </w:tc>
        <w:tc>
          <w:tcPr>
            <w:tcW w:w="2470" w:type="dxa"/>
            <w:vAlign w:val="top"/>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c>
          <w:tcPr>
            <w:tcW w:w="981"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≥2台</w:t>
            </w:r>
          </w:p>
        </w:tc>
        <w:tc>
          <w:tcPr>
            <w:tcW w:w="1892" w:type="dxa"/>
            <w:vMerge w:val="continue"/>
            <w:vAlign w:val="center"/>
          </w:tcPr>
          <w:p>
            <w:pPr>
              <w:pStyle w:val="27"/>
              <w:wordWrap/>
              <w:spacing w:line="500" w:lineRule="exact"/>
              <w:jc w:val="center"/>
              <w:textAlignment w:val="auto"/>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28</w:t>
            </w:r>
          </w:p>
        </w:tc>
        <w:tc>
          <w:tcPr>
            <w:tcW w:w="2887"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保洁船</w:t>
            </w:r>
          </w:p>
        </w:tc>
        <w:tc>
          <w:tcPr>
            <w:tcW w:w="2470"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p>
        </w:tc>
        <w:tc>
          <w:tcPr>
            <w:tcW w:w="981"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≥13台</w:t>
            </w:r>
          </w:p>
        </w:tc>
        <w:tc>
          <w:tcPr>
            <w:tcW w:w="1892" w:type="dxa"/>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河道保洁设备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87" w:type="dxa"/>
            <w:vAlign w:val="center"/>
          </w:tcPr>
          <w:p>
            <w:pPr>
              <w:pStyle w:val="27"/>
              <w:wordWrap/>
              <w:spacing w:line="500" w:lineRule="exact"/>
              <w:ind w:left="0" w:leftChars="0" w:firstLine="0" w:firstLineChars="0"/>
              <w:jc w:val="center"/>
              <w:textAlignment w:val="auto"/>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29</w:t>
            </w:r>
          </w:p>
        </w:tc>
        <w:tc>
          <w:tcPr>
            <w:tcW w:w="2887"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全自助洗地机</w:t>
            </w:r>
          </w:p>
        </w:tc>
        <w:tc>
          <w:tcPr>
            <w:tcW w:w="2470"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p>
        </w:tc>
        <w:tc>
          <w:tcPr>
            <w:tcW w:w="981"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≥2台</w:t>
            </w:r>
          </w:p>
        </w:tc>
        <w:tc>
          <w:tcPr>
            <w:tcW w:w="1892" w:type="dxa"/>
            <w:vMerge w:val="restart"/>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公厕保洁设备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7" w:type="dxa"/>
            <w:vAlign w:val="center"/>
          </w:tcPr>
          <w:p>
            <w:pPr>
              <w:pStyle w:val="27"/>
              <w:wordWrap/>
              <w:spacing w:line="500" w:lineRule="exact"/>
              <w:ind w:left="0" w:leftChars="0" w:firstLine="210" w:firstLineChars="10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2887" w:type="dxa"/>
            <w:vAlign w:val="top"/>
          </w:tcPr>
          <w:p>
            <w:pPr>
              <w:pStyle w:val="27"/>
              <w:wordWrap/>
              <w:spacing w:line="500" w:lineRule="exact"/>
              <w:ind w:left="0" w:leftChars="0" w:firstLine="0" w:firstLineChars="0"/>
              <w:jc w:val="left"/>
              <w:textAlignment w:val="auto"/>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吸粪车</w:t>
            </w:r>
          </w:p>
        </w:tc>
        <w:tc>
          <w:tcPr>
            <w:tcW w:w="2470"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p>
        </w:tc>
        <w:tc>
          <w:tcPr>
            <w:tcW w:w="981" w:type="dxa"/>
            <w:vAlign w:val="top"/>
          </w:tcPr>
          <w:p>
            <w:pPr>
              <w:pStyle w:val="27"/>
              <w:wordWrap/>
              <w:spacing w:line="500" w:lineRule="exact"/>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≥1台</w:t>
            </w:r>
          </w:p>
        </w:tc>
        <w:tc>
          <w:tcPr>
            <w:tcW w:w="1892" w:type="dxa"/>
            <w:vMerge w:val="continue"/>
            <w:vAlign w:val="center"/>
          </w:tcPr>
          <w:p>
            <w:pPr>
              <w:pStyle w:val="27"/>
              <w:wordWrap/>
              <w:spacing w:line="500" w:lineRule="exact"/>
              <w:ind w:left="0" w:leftChars="0" w:firstLine="0" w:firstLineChars="0"/>
              <w:jc w:val="center"/>
              <w:textAlignment w:val="auto"/>
              <w:rPr>
                <w:rFonts w:hint="eastAsia" w:ascii="宋体" w:hAnsi="宋体" w:eastAsia="宋体" w:cs="宋体"/>
                <w:color w:val="auto"/>
                <w:sz w:val="21"/>
                <w:szCs w:val="21"/>
                <w:highlight w:val="none"/>
                <w:lang w:val="en-US" w:eastAsia="zh-CN"/>
              </w:rPr>
            </w:pPr>
          </w:p>
        </w:tc>
      </w:tr>
    </w:tbl>
    <w:p>
      <w:pPr>
        <w:widowControl/>
        <w:numPr>
          <w:ilvl w:val="0"/>
          <w:numId w:val="0"/>
        </w:numPr>
        <w:spacing w:line="600" w:lineRule="exact"/>
        <w:rPr>
          <w:rFonts w:hint="eastAsia" w:ascii="宋体" w:hAnsi="宋体" w:eastAsia="宋体" w:cs="宋体"/>
          <w:b/>
          <w:bCs/>
          <w:color w:val="auto"/>
          <w:sz w:val="24"/>
          <w:highlight w:val="none"/>
        </w:rPr>
      </w:pPr>
      <w:r>
        <w:rPr>
          <w:rFonts w:hint="eastAsia" w:ascii="宋体" w:hAnsi="宋体" w:eastAsia="宋体" w:cs="宋体"/>
          <w:color w:val="auto"/>
          <w:sz w:val="24"/>
          <w:highlight w:val="none"/>
          <w:lang w:val="en-US" w:eastAsia="zh-CN"/>
        </w:rPr>
        <w:t>注：：①</w:t>
      </w:r>
      <w:r>
        <w:rPr>
          <w:rFonts w:hint="eastAsia" w:ascii="宋体" w:hAnsi="宋体" w:eastAsia="宋体" w:cs="宋体"/>
          <w:b/>
          <w:bCs/>
          <w:color w:val="auto"/>
          <w:sz w:val="24"/>
          <w:highlight w:val="none"/>
          <w:lang w:val="en-US" w:eastAsia="zh-CN"/>
        </w:rPr>
        <w:t>以上设备要求中标单位须在收到中标通知书之日起10天内自行配备到位，并在投标文件中承诺，</w:t>
      </w:r>
      <w:r>
        <w:rPr>
          <w:rFonts w:hint="eastAsia" w:ascii="宋体" w:hAnsi="宋体" w:eastAsia="宋体" w:cs="宋体"/>
          <w:b/>
          <w:bCs/>
          <w:color w:val="auto"/>
          <w:sz w:val="24"/>
          <w:highlight w:val="none"/>
        </w:rPr>
        <w:t>否则视为不满足</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街道对主要机械设备安装GPS卫星定位系统，纳入系统平台管理，所产生的费用由中标单位承担，以上设备不得在本街道中标区块以外与其他乡镇（街道）承包的服务区域共用。</w:t>
      </w:r>
    </w:p>
    <w:p>
      <w:pPr>
        <w:widowControl/>
        <w:numPr>
          <w:ilvl w:val="0"/>
          <w:numId w:val="0"/>
        </w:numPr>
        <w:spacing w:line="600" w:lineRule="exact"/>
        <w:ind w:left="-53" w:leftChars="-25" w:firstLine="480" w:firstLineChars="200"/>
        <w:rPr>
          <w:rFonts w:hint="eastAsia" w:ascii="宋体" w:hAnsi="宋体" w:eastAsia="宋体" w:cs="宋体"/>
          <w:b/>
          <w:bCs/>
          <w:color w:val="auto"/>
          <w:highlight w:val="none"/>
          <w:lang w:val="en-US" w:eastAsia="zh-CN"/>
        </w:rPr>
      </w:pPr>
      <w:r>
        <w:rPr>
          <w:rFonts w:hint="eastAsia" w:ascii="宋体" w:hAnsi="宋体" w:eastAsia="宋体" w:cs="宋体"/>
          <w:color w:val="auto"/>
          <w:sz w:val="24"/>
          <w:highlight w:val="none"/>
          <w:lang w:val="en-US" w:eastAsia="zh-CN"/>
        </w:rPr>
        <w:t>②所有音乐线车辆必须配备称重系统并纳入街道系统管理，每天音乐线车辆（称重）</w:t>
      </w:r>
      <w:r>
        <w:rPr>
          <w:rFonts w:hint="eastAsia" w:ascii="宋体" w:hAnsi="宋体" w:eastAsia="宋体" w:cs="宋体"/>
          <w:b w:val="0"/>
          <w:bCs w:val="0"/>
          <w:color w:val="auto"/>
          <w:sz w:val="24"/>
          <w:highlight w:val="none"/>
          <w:lang w:val="en-US" w:eastAsia="zh-CN"/>
        </w:rPr>
        <w:t>数量书面记录必须提交给街道，音乐线车辆（定时）根据实际情况由街道通知配备到位</w:t>
      </w:r>
      <w:r>
        <w:rPr>
          <w:rFonts w:hint="eastAsia" w:ascii="宋体" w:hAnsi="宋体" w:eastAsia="宋体" w:cs="宋体"/>
          <w:b w:val="0"/>
          <w:bCs w:val="0"/>
          <w:color w:val="auto"/>
          <w:highlight w:val="none"/>
          <w:lang w:val="en-US" w:eastAsia="zh-CN"/>
        </w:rPr>
        <w:t>。</w:t>
      </w:r>
    </w:p>
    <w:p>
      <w:pPr>
        <w:pStyle w:val="4"/>
        <w:numPr>
          <w:ilvl w:val="0"/>
          <w:numId w:val="3"/>
        </w:numPr>
        <w:ind w:left="481" w:leftChars="0" w:firstLine="0" w:firstLineChars="0"/>
        <w:rPr>
          <w:rFonts w:hint="eastAsia" w:ascii="宋体" w:hAnsi="宋体" w:eastAsia="宋体" w:cs="宋体"/>
          <w:b/>
          <w:bCs/>
          <w:snapToGrid w:val="0"/>
          <w:color w:val="auto"/>
          <w:kern w:val="2"/>
          <w:sz w:val="24"/>
          <w:szCs w:val="21"/>
          <w:highlight w:val="none"/>
          <w:lang w:val="en-US" w:eastAsia="zh-CN" w:bidi="ar-SA"/>
        </w:rPr>
      </w:pPr>
      <w:r>
        <w:rPr>
          <w:rFonts w:hint="eastAsia" w:ascii="宋体" w:hAnsi="宋体" w:eastAsia="宋体" w:cs="宋体"/>
          <w:b/>
          <w:bCs/>
          <w:snapToGrid w:val="0"/>
          <w:color w:val="auto"/>
          <w:kern w:val="2"/>
          <w:sz w:val="24"/>
          <w:szCs w:val="21"/>
          <w:highlight w:val="none"/>
          <w:lang w:val="en-US" w:eastAsia="zh-CN" w:bidi="ar-SA"/>
        </w:rPr>
        <w:t>总体服务要求</w:t>
      </w:r>
    </w:p>
    <w:p>
      <w:pPr>
        <w:widowControl/>
        <w:numPr>
          <w:ilvl w:val="0"/>
          <w:numId w:val="0"/>
        </w:numPr>
        <w:wordWrap/>
        <w:spacing w:line="600" w:lineRule="exact"/>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highlight w:val="none"/>
          <w:lang w:val="en-US" w:eastAsia="zh-CN"/>
        </w:rPr>
        <w:t>3.1中标人应具有本养护项目所需五常街道范围内的固定办公场所、停车、仓库场所600平方米及以上（所有作业均规定停放在专业场地，如由于投标单位作业车辆不按规定停放，由此造成的安全事故一律由中标单位负责，招标人不承担任何责任。</w:t>
      </w:r>
    </w:p>
    <w:p>
      <w:pPr>
        <w:widowControl/>
        <w:numPr>
          <w:ilvl w:val="0"/>
          <w:numId w:val="0"/>
        </w:numPr>
        <w:wordWrap/>
        <w:spacing w:line="600" w:lineRule="exact"/>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3.2服务期内，中标单位作业人员配置必须满足实行8-16小时以上时间保洁制，作业时必须统一穿着反光条安全黄背心，保洁人员配备必须年富力强，在法定退体年龄以内。</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3.3服务期内，必须投入相应的养护人员（必须配备管理人员、道路保洁人员、市政养护人员、垃圾清运人员、绿化修剪人员、绿化养护人员、其他辅助人员等）和机械等设备。</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3.4服务期内，在迎检和各类创建活动中，中标单位应无条件服从招标人的安排，圆满完成各项任务，由于中标单位的原因失分或造成不良影响的，招标人有权进行处罚和清退中标单位，在迎检过程中，由于中标单位组织不力，由招标人组织人力、物力进行整治所涉及的费用，由中标单位双倍偿还招标人，招标人有权直接在服务费中扣除。</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3.5服务期内所发生的任何安全事故一律由中标单位负责，招标人不承担任何责任。</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3.6服务期内，中标单位所产生的各项费用（垃圾桶清洗费、垃圾运输费、突击整治费、垃圾清运车费、水费等），由中标单位自行考虑一并计入综合单价中，所有面积请在招标前确认，招标后招标人不再追加任何费用。</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3.7中标单位不得向沿街单位和个人收取任何费用。</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3.8中标单位不得将本项目分包或转包，否则招标人有权责令其停止作业并中止承包合同，所造成的损失由中标单位负责。</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3.9养护期内如道路扩建、新建，及新增人行道的，养护面积相应调整，以道路类别中标价格予以计取相应费用。道路隔离栏（隔离墩）、城市家具等增加部分，由中标单位承担保洁，保洁费用不得增加。如折迁或政策性调整等原因，养护区域减少等情况，面积相应作调整，中标单价不变，根据实际时间，费用作相应的调整。</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3.10中标单位在签订本项目服务合同前必须具备符合投标文件中承诺的投入本项目所需作业人员、配备的设备数量条件，中标单位若不能满足此条件的招标方有权更换中标单位，所造成的损失由中标单位自负。</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3.11道路垃圾桶清洗按本标段每天不少于五分之一的量进行清洗；清洗点需接入污水管网，点位由保洁单位自行解决，并经街道同意，避免在清洗过程中二次污染，由中标单位自行考虑一并计入综合单价中，招标后招标人不再追加任何费用。</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highlight w:val="none"/>
          <w:lang w:val="en-US" w:eastAsia="zh-CN"/>
        </w:rPr>
        <w:t>3.12</w:t>
      </w:r>
      <w:r>
        <w:rPr>
          <w:rFonts w:hint="eastAsia" w:ascii="宋体" w:hAnsi="宋体" w:eastAsia="宋体" w:cs="宋体"/>
          <w:b w:val="0"/>
          <w:bCs w:val="0"/>
          <w:color w:val="auto"/>
          <w:sz w:val="24"/>
          <w:highlight w:val="none"/>
        </w:rPr>
        <w:t>所有招标范围内实行垃圾分类收集、分类清运</w:t>
      </w:r>
      <w:r>
        <w:rPr>
          <w:rFonts w:hint="eastAsia" w:ascii="宋体" w:hAnsi="宋体" w:eastAsia="宋体" w:cs="宋体"/>
          <w:b w:val="0"/>
          <w:bCs w:val="0"/>
          <w:color w:val="auto"/>
          <w:sz w:val="24"/>
          <w:highlight w:val="none"/>
          <w:lang w:eastAsia="zh-CN"/>
        </w:rPr>
        <w:t>、沿街商铺垃圾分类指导</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color w:val="auto"/>
          <w:sz w:val="24"/>
          <w:highlight w:val="none"/>
          <w:lang w:val="en-US" w:eastAsia="zh-CN"/>
        </w:rPr>
        <w:t>相应的费用由中标单位自行考虑一并计入综合单价中，招标后招标人不再追加任何费用。</w:t>
      </w:r>
    </w:p>
    <w:p>
      <w:pPr>
        <w:widowControl/>
        <w:numPr>
          <w:ilvl w:val="0"/>
          <w:numId w:val="0"/>
        </w:numPr>
        <w:wordWrap/>
        <w:spacing w:line="600" w:lineRule="exact"/>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3.13本绿化养护包含时花更换、苗木更新及道路上所有行道树，时花更换每年不少于5次，</w:t>
      </w:r>
      <w:r>
        <w:rPr>
          <w:rFonts w:hint="eastAsia" w:ascii="宋体" w:hAnsi="宋体" w:eastAsia="宋体" w:cs="宋体"/>
          <w:color w:val="auto"/>
          <w:sz w:val="24"/>
          <w:highlight w:val="none"/>
        </w:rPr>
        <w:t>时花调换制定全年计划，调换前必须要将时花品种、数量方案事先上报招标人，由招标人确定后方能种植，否则将作无更换时花处理，种后由甲方现场验收签字确定。</w:t>
      </w:r>
      <w:r>
        <w:rPr>
          <w:rFonts w:hint="eastAsia" w:ascii="宋体" w:hAnsi="宋体" w:eastAsia="宋体" w:cs="宋体"/>
          <w:color w:val="auto"/>
          <w:sz w:val="24"/>
          <w:highlight w:val="none"/>
          <w:lang w:val="en-US" w:eastAsia="zh-CN"/>
        </w:rPr>
        <w:t>所有费用包含在投标报价内，不在单独计取。</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3.14服务期内，中标单位对高温抗旱、抗台风、抗暴雨、抗雪灾等自然灾害应急不力，造成直接财产损失在10000元以上的次数有二次的</w:t>
      </w:r>
      <w:r>
        <w:rPr>
          <w:rFonts w:hint="eastAsia" w:ascii="宋体" w:hAnsi="宋体" w:eastAsia="宋体" w:cs="宋体"/>
          <w:color w:val="auto"/>
          <w:sz w:val="24"/>
          <w:szCs w:val="24"/>
          <w:highlight w:val="none"/>
          <w:lang w:val="en-US" w:eastAsia="zh-CN"/>
        </w:rPr>
        <w:t>，或者</w:t>
      </w:r>
      <w:r>
        <w:rPr>
          <w:rFonts w:hint="eastAsia" w:ascii="宋体" w:hAnsi="宋体" w:eastAsia="宋体" w:cs="宋体"/>
          <w:color w:val="auto"/>
          <w:kern w:val="0"/>
          <w:sz w:val="24"/>
          <w:szCs w:val="24"/>
          <w:highlight w:val="none"/>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迎亚运’城市环境大整治、城市面貌大提升</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长效管理工作考核通报</w:t>
      </w:r>
      <w:r>
        <w:rPr>
          <w:rFonts w:hint="eastAsia" w:ascii="宋体" w:hAnsi="宋体" w:eastAsia="宋体" w:cs="宋体"/>
          <w:color w:val="auto"/>
          <w:kern w:val="0"/>
          <w:sz w:val="24"/>
          <w:szCs w:val="24"/>
          <w:highlight w:val="none"/>
        </w:rPr>
        <w:t>评比中</w:t>
      </w:r>
      <w:r>
        <w:rPr>
          <w:rFonts w:hint="eastAsia" w:ascii="宋体" w:hAnsi="宋体" w:eastAsia="宋体" w:cs="宋体"/>
          <w:color w:val="auto"/>
          <w:sz w:val="24"/>
          <w:highlight w:val="none"/>
          <w:lang w:val="en-US" w:eastAsia="zh-CN"/>
        </w:rPr>
        <w:t>获得最差绿地的，招标人有权清退中标单位，收回养护权，并处以罚款。</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3.15服务期内，中标单位对高温抗旱、抗台风、抗暴雨、抗雪灾等自然灾害应急不力，由招标人组织人力物力进行抗击。所涉及的费用由中标单位双倍偿还招标人，招标人有权直接在养护费中扣除。</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3.16服务期内，修剪的树枝等需进行粉碎处理，不得在养护范围内进行处理，其场所由养护单位自行解决，相应的费用考虑在投标报价内。</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3.17服务期内，扫地车清扫后的积泥、费水，人工清扫后的树叶由中标单位自行正规处理，相应的费用考虑在投标报价内。</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3.18服务期内，在一季度中由于中标单位服务不力而由招标人组织人力物力进行服务的次数达到二次的，扣除中标单位当月服务费的10%。</w:t>
      </w:r>
    </w:p>
    <w:p>
      <w:pPr>
        <w:pStyle w:val="27"/>
        <w:wordWrap/>
        <w:spacing w:line="6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3.19服务期内，中标单位需提供两辆电动汽车作为招标人巡查车辆，相应的费用考虑在投标报价内。</w:t>
      </w:r>
    </w:p>
    <w:p>
      <w:pPr>
        <w:pStyle w:val="27"/>
        <w:wordWrap/>
        <w:spacing w:line="600" w:lineRule="exact"/>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color w:val="auto"/>
          <w:sz w:val="24"/>
          <w:highlight w:val="none"/>
          <w:lang w:val="en-US" w:eastAsia="zh-CN"/>
        </w:rPr>
        <w:t>3.20服</w:t>
      </w:r>
      <w:r>
        <w:rPr>
          <w:rFonts w:hint="eastAsia" w:ascii="宋体" w:hAnsi="宋体" w:eastAsia="宋体" w:cs="宋体"/>
          <w:snapToGrid w:val="0"/>
          <w:color w:val="auto"/>
          <w:kern w:val="2"/>
          <w:sz w:val="24"/>
          <w:szCs w:val="21"/>
          <w:highlight w:val="none"/>
          <w:lang w:val="en-US" w:eastAsia="zh-CN" w:bidi="ar-SA"/>
        </w:rPr>
        <w:t>务期内，中标单位需配备</w:t>
      </w:r>
      <w:r>
        <w:rPr>
          <w:rFonts w:hint="eastAsia" w:cs="宋体"/>
          <w:snapToGrid w:val="0"/>
          <w:color w:val="auto"/>
          <w:kern w:val="2"/>
          <w:sz w:val="24"/>
          <w:szCs w:val="21"/>
          <w:highlight w:val="none"/>
          <w:lang w:val="en-US" w:eastAsia="zh-CN" w:bidi="ar-SA"/>
        </w:rPr>
        <w:t>1</w:t>
      </w:r>
      <w:r>
        <w:rPr>
          <w:rFonts w:hint="eastAsia" w:ascii="宋体" w:hAnsi="宋体" w:eastAsia="宋体" w:cs="宋体"/>
          <w:snapToGrid w:val="0"/>
          <w:color w:val="auto"/>
          <w:kern w:val="2"/>
          <w:sz w:val="24"/>
          <w:szCs w:val="21"/>
          <w:highlight w:val="none"/>
          <w:lang w:val="en-US" w:eastAsia="zh-CN" w:bidi="ar-SA"/>
        </w:rPr>
        <w:t>名辅助工作人员，无条件服从招标人的工作要求进行调配，相应的费用考虑在投标报价内。</w:t>
      </w:r>
    </w:p>
    <w:p>
      <w:pPr>
        <w:widowControl/>
        <w:spacing w:line="600" w:lineRule="exact"/>
        <w:ind w:left="-53" w:leftChars="-25" w:firstLine="480" w:firstLineChars="2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 xml:space="preserve"> 3.21服务期内，如遇养护范围调整：养护范围核减的，相关养护费用予以扣除；养护范围核增的，核增在该标段3%以下工程量的，乙方应无条件纳入养护范围内，不额外增加养护费。</w:t>
      </w:r>
    </w:p>
    <w:p>
      <w:pPr>
        <w:widowControl/>
        <w:spacing w:line="600" w:lineRule="exact"/>
        <w:ind w:left="-53" w:leftChars="-25"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五、报价要求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1、投标报价除承包总价外，应参照《余杭区城市化管理范围内绿化、市政、保洁分级分类办法及相关养护标准的实施意见（试行）的通知》确定作业任务量，在此基础上测定作业分项经费。经费构成:</w:t>
      </w:r>
      <w:r>
        <w:rPr>
          <w:rFonts w:hint="eastAsia" w:ascii="宋体" w:hAnsi="宋体" w:eastAsia="宋体" w:cs="宋体"/>
          <w:color w:val="auto"/>
          <w:sz w:val="24"/>
          <w:highlight w:val="none"/>
          <w:lang w:val="en-US" w:eastAsia="zh-CN"/>
        </w:rPr>
        <w:t>所有</w:t>
      </w:r>
      <w:r>
        <w:rPr>
          <w:rFonts w:hint="eastAsia" w:ascii="宋体" w:hAnsi="宋体" w:eastAsia="宋体" w:cs="宋体"/>
          <w:color w:val="auto"/>
          <w:sz w:val="24"/>
          <w:highlight w:val="none"/>
        </w:rPr>
        <w:t>人员工资（包括基本工资、社会保障五险、意外伤害险、高温费、劳保费等）、绿化养护所必须用的化肥、农药、浇水、播种</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时花时花更换和养护</w:t>
      </w:r>
      <w:r>
        <w:rPr>
          <w:rFonts w:hint="eastAsia" w:ascii="宋体" w:hAnsi="宋体" w:eastAsia="宋体" w:cs="宋体"/>
          <w:color w:val="auto"/>
          <w:sz w:val="24"/>
          <w:highlight w:val="none"/>
        </w:rPr>
        <w:t>等费用可参照《杭州市城区公共绿地养护资金管理办法》、垃圾处置费（垃圾应运至垃圾中转站）、运输费、其他费用、应急费用、税收、管理费、招标代理费等均列入总报价。</w:t>
      </w:r>
    </w:p>
    <w:p>
      <w:pPr>
        <w:pStyle w:val="36"/>
        <w:snapToGrid w:val="0"/>
        <w:spacing w:line="600" w:lineRule="exact"/>
        <w:ind w:firstLine="480" w:firstLineChars="200"/>
        <w:rPr>
          <w:rFonts w:hint="eastAsia" w:hAnsi="宋体" w:cs="宋体"/>
          <w:color w:val="auto"/>
          <w:sz w:val="24"/>
          <w:highlight w:val="none"/>
          <w:lang w:val="en-US" w:eastAsia="zh-CN"/>
        </w:rPr>
      </w:pPr>
      <w:r>
        <w:rPr>
          <w:rFonts w:hint="eastAsia" w:hAnsi="宋体" w:cs="宋体"/>
          <w:color w:val="auto"/>
          <w:sz w:val="24"/>
          <w:highlight w:val="none"/>
          <w:lang w:val="en-US" w:eastAsia="zh-CN"/>
        </w:rPr>
        <w:t>2、</w:t>
      </w:r>
      <w:r>
        <w:rPr>
          <w:rFonts w:hint="eastAsia" w:ascii="宋体" w:hAnsi="宋体" w:eastAsia="宋体" w:cs="宋体"/>
          <w:color w:val="auto"/>
          <w:sz w:val="24"/>
          <w:highlight w:val="none"/>
        </w:rPr>
        <w:t>投标报价中必须符</w:t>
      </w:r>
      <w:r>
        <w:rPr>
          <w:rFonts w:hint="eastAsia" w:hAnsi="宋体" w:cs="宋体"/>
          <w:color w:val="auto"/>
          <w:sz w:val="24"/>
          <w:highlight w:val="none"/>
          <w:lang w:val="en-US" w:eastAsia="zh-CN"/>
        </w:rPr>
        <w:t>合招标方要求：</w:t>
      </w:r>
    </w:p>
    <w:p>
      <w:pPr>
        <w:pStyle w:val="36"/>
        <w:snapToGrid w:val="0"/>
        <w:spacing w:line="600" w:lineRule="exact"/>
        <w:ind w:firstLine="480" w:firstLineChars="200"/>
        <w:rPr>
          <w:rFonts w:hint="eastAsia" w:hAnsi="宋体" w:cs="宋体"/>
          <w:color w:val="auto"/>
          <w:sz w:val="24"/>
          <w:highlight w:val="none"/>
          <w:lang w:val="en-US" w:eastAsia="zh-CN"/>
        </w:rPr>
      </w:pPr>
      <w:r>
        <w:rPr>
          <w:rFonts w:hint="eastAsia" w:hAnsi="宋体" w:cs="宋体"/>
          <w:color w:val="auto"/>
          <w:sz w:val="24"/>
          <w:highlight w:val="none"/>
          <w:lang w:val="en-US" w:eastAsia="zh-CN"/>
        </w:rPr>
        <w:t>1）最低人员工资：根据杭政办〔2008〕14号、浙政办发〔2009〕190号、</w:t>
      </w:r>
      <w:r>
        <w:rPr>
          <w:rFonts w:hint="eastAsia" w:hAnsi="宋体" w:cs="宋体"/>
          <w:color w:val="auto"/>
          <w:sz w:val="24"/>
          <w:highlight w:val="none"/>
          <w:lang w:val="zh-CN" w:eastAsia="zh-CN"/>
        </w:rPr>
        <w:t>《浙江省人民政府关于调整全省最低工资标准的通知》（浙政发[2021]22号）、</w:t>
      </w:r>
      <w:r>
        <w:rPr>
          <w:rFonts w:hint="eastAsia" w:hAnsi="宋体" w:cs="宋体"/>
          <w:color w:val="auto"/>
          <w:sz w:val="24"/>
          <w:highlight w:val="none"/>
          <w:lang w:val="en-US" w:eastAsia="zh-CN"/>
        </w:rPr>
        <w:t>《杭州市人民政府关于调整市区最低工资标准的通知》（杭政函[2021]69号），项目保洁人员工资不得低于杭州市最低工资标准的110%和定额内人员相关工资要求，日常加班工资按劳动法相关要求另行计算。必须为本项目人员缴纳五险、住房公积金及杭政办〔2008〕14号和浙政办发〔2009〕190号文件规定的其它经费，须在杭州本地缴纳“五险一金”。投标单位根据道路保洁作业定额，结合作业难易程度，确定投标合理报价。</w:t>
      </w:r>
    </w:p>
    <w:tbl>
      <w:tblPr>
        <w:tblStyle w:val="62"/>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319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基本工资</w:t>
            </w:r>
          </w:p>
        </w:tc>
        <w:tc>
          <w:tcPr>
            <w:tcW w:w="319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2280元/月，即27360元/年</w:t>
            </w:r>
          </w:p>
        </w:tc>
        <w:tc>
          <w:tcPr>
            <w:tcW w:w="265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杭政函[2021]69号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上浮10%</w:t>
            </w:r>
          </w:p>
        </w:tc>
        <w:tc>
          <w:tcPr>
            <w:tcW w:w="319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228元/月，即2736元/年</w:t>
            </w:r>
          </w:p>
        </w:tc>
        <w:tc>
          <w:tcPr>
            <w:tcW w:w="265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特殊岗位津贴</w:t>
            </w:r>
          </w:p>
        </w:tc>
        <w:tc>
          <w:tcPr>
            <w:tcW w:w="319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300元/月，即3600元/年</w:t>
            </w:r>
          </w:p>
        </w:tc>
        <w:tc>
          <w:tcPr>
            <w:tcW w:w="265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浙政办发〔2009〕190号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夏季高温津贴</w:t>
            </w:r>
          </w:p>
        </w:tc>
        <w:tc>
          <w:tcPr>
            <w:tcW w:w="319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1200元/年</w:t>
            </w:r>
          </w:p>
        </w:tc>
        <w:tc>
          <w:tcPr>
            <w:tcW w:w="265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浙人社发〔2018〕65号300元/月，按4个月计算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住房公积金</w:t>
            </w:r>
          </w:p>
        </w:tc>
        <w:tc>
          <w:tcPr>
            <w:tcW w:w="319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125.4元/月，即1504.8元/年</w:t>
            </w:r>
          </w:p>
        </w:tc>
        <w:tc>
          <w:tcPr>
            <w:tcW w:w="265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52"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企业职工基本养老保险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（单位缴纳比例按14%）</w:t>
            </w:r>
          </w:p>
        </w:tc>
        <w:tc>
          <w:tcPr>
            <w:tcW w:w="319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553.98元/月，即6647.76元/年</w:t>
            </w:r>
          </w:p>
        </w:tc>
        <w:tc>
          <w:tcPr>
            <w:tcW w:w="2659" w:type="dxa"/>
            <w:vMerge w:val="restart"/>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关于启动2021年度社会保险缴费基数的通知、浙人社发[2021]54号，基数保底值按3957元计算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失业保险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（按0.5%计取）</w:t>
            </w:r>
          </w:p>
        </w:tc>
        <w:tc>
          <w:tcPr>
            <w:tcW w:w="319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19.79元/月，即237.48元/年</w:t>
            </w:r>
          </w:p>
        </w:tc>
        <w:tc>
          <w:tcPr>
            <w:tcW w:w="2659" w:type="dxa"/>
            <w:vMerge w:val="continue"/>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（单位缴纳比例按9.9%）</w:t>
            </w:r>
          </w:p>
        </w:tc>
        <w:tc>
          <w:tcPr>
            <w:tcW w:w="319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391.74元/月，即4700.88元/年</w:t>
            </w:r>
          </w:p>
        </w:tc>
        <w:tc>
          <w:tcPr>
            <w:tcW w:w="2659" w:type="dxa"/>
            <w:vMerge w:val="continue"/>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szCs w:val="24"/>
                <w:highlight w:val="none"/>
              </w:rPr>
              <w:t>本次招标最低人员工资</w:t>
            </w:r>
          </w:p>
        </w:tc>
        <w:tc>
          <w:tcPr>
            <w:tcW w:w="3199" w:type="dxa"/>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47986.92元/年•人</w:t>
            </w:r>
          </w:p>
        </w:tc>
        <w:tc>
          <w:tcPr>
            <w:tcW w:w="2659" w:type="dxa"/>
            <w:vAlign w:val="center"/>
          </w:tcPr>
          <w:p>
            <w:pPr>
              <w:jc w:val="left"/>
              <w:rPr>
                <w:rFonts w:hint="eastAsia" w:ascii="宋体" w:hAnsi="宋体" w:eastAsia="宋体" w:cs="宋体"/>
                <w:color w:val="auto"/>
                <w:sz w:val="24"/>
                <w:szCs w:val="24"/>
                <w:highlight w:val="none"/>
              </w:rPr>
            </w:pPr>
          </w:p>
        </w:tc>
      </w:tr>
    </w:tbl>
    <w:p>
      <w:pPr>
        <w:pStyle w:val="36"/>
        <w:snapToGrid w:val="0"/>
        <w:spacing w:line="600" w:lineRule="exact"/>
        <w:ind w:firstLine="480" w:firstLineChars="200"/>
        <w:rPr>
          <w:rFonts w:hint="eastAsia" w:hAnsi="宋体" w:cs="宋体"/>
          <w:color w:val="auto"/>
          <w:sz w:val="24"/>
          <w:highlight w:val="none"/>
          <w:lang w:val="en-US" w:eastAsia="zh-CN"/>
        </w:rPr>
      </w:pPr>
      <w:r>
        <w:rPr>
          <w:rFonts w:hint="eastAsia" w:hAnsi="宋体" w:cs="宋体"/>
          <w:color w:val="auto"/>
          <w:sz w:val="24"/>
          <w:highlight w:val="none"/>
          <w:lang w:val="en-US" w:eastAsia="zh-CN"/>
        </w:rPr>
        <w:t>2）设施设备费报价：拟投入本项目中的设施设备及备品备件、车辆设备保险、日常维修保养，燃油、应急物资、日常服务易耗品，如扫把（含机扫车扫把）等，以及服务过程中所产生的水费、电费、开户安装等相关费用，结合企业成本列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）投标报价应是唯一的，招标人将拒绝有选择的报价。</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hAnsi="宋体" w:cs="宋体"/>
          <w:color w:val="auto"/>
          <w:sz w:val="24"/>
          <w:highlight w:val="none"/>
          <w:lang w:val="en-US" w:eastAsia="zh-CN"/>
        </w:rPr>
        <w:t>4</w:t>
      </w:r>
      <w:r>
        <w:rPr>
          <w:rFonts w:hint="eastAsia" w:ascii="宋体" w:hAnsi="宋体" w:eastAsia="宋体" w:cs="宋体"/>
          <w:color w:val="auto"/>
          <w:sz w:val="24"/>
          <w:highlight w:val="none"/>
        </w:rPr>
        <w:t>、投标单位中标后，绿化养护所必须用的化肥、农药、浇水、播种等费用必须按照《“公共绿地养护费”报价表》执行，不按招标单位要求执行的，将从养护经费中直接扣除相应养护款或由招标单位代执行。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hAnsi="宋体" w:cs="宋体"/>
          <w:color w:val="auto"/>
          <w:sz w:val="24"/>
          <w:highlight w:val="none"/>
          <w:lang w:val="en-US" w:eastAsia="zh-CN"/>
        </w:rPr>
        <w:t>5</w:t>
      </w:r>
      <w:r>
        <w:rPr>
          <w:rFonts w:hint="eastAsia" w:ascii="宋体" w:hAnsi="宋体" w:eastAsia="宋体" w:cs="宋体"/>
          <w:color w:val="auto"/>
          <w:sz w:val="24"/>
          <w:highlight w:val="none"/>
        </w:rPr>
        <w:t>、化肥、农药费用必须通过作业前报备、中标单位提供购货发票、招标单位现场清点、验收、检查、考核相结合。中标单位施肥、农药达不到标准的，招标方要求立即整改，限期不整改的，通报后，从当季养护款中直接扣除相应的费用。</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hAnsi="宋体" w:cs="宋体"/>
          <w:color w:val="auto"/>
          <w:sz w:val="24"/>
          <w:highlight w:val="none"/>
          <w:lang w:val="en-US" w:eastAsia="zh-CN"/>
        </w:rPr>
        <w:t>6</w:t>
      </w:r>
      <w:r>
        <w:rPr>
          <w:rFonts w:hint="eastAsia" w:ascii="宋体" w:hAnsi="宋体" w:eastAsia="宋体" w:cs="宋体"/>
          <w:color w:val="auto"/>
          <w:sz w:val="24"/>
          <w:highlight w:val="none"/>
        </w:rPr>
        <w:t>、本招标绿地浇灌用水由中标人自行承担和解决。中标单位浇水的水质水量达不到标准的，招标方要求立即整改，限期不整改的，通报后，从当季养护款中直接扣除相应的浇水费用。</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hAnsi="宋体" w:cs="宋体"/>
          <w:color w:val="auto"/>
          <w:sz w:val="24"/>
          <w:highlight w:val="none"/>
          <w:lang w:val="en-US" w:eastAsia="zh-CN"/>
        </w:rPr>
        <w:t>7</w:t>
      </w:r>
      <w:r>
        <w:rPr>
          <w:rFonts w:hint="eastAsia" w:ascii="宋体" w:hAnsi="宋体" w:eastAsia="宋体" w:cs="宋体"/>
          <w:color w:val="auto"/>
          <w:sz w:val="24"/>
          <w:highlight w:val="none"/>
        </w:rPr>
        <w:t>、本项目不提供洒水车取水口，由中标人自行解决，相应的费用考虑在投标报价中。</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hAnsi="宋体" w:cs="宋体"/>
          <w:color w:val="auto"/>
          <w:sz w:val="24"/>
          <w:highlight w:val="none"/>
          <w:lang w:val="en-US" w:eastAsia="zh-CN"/>
        </w:rPr>
        <w:t>8</w:t>
      </w:r>
      <w:r>
        <w:rPr>
          <w:rFonts w:hint="eastAsia" w:ascii="宋体" w:hAnsi="宋体" w:eastAsia="宋体" w:cs="宋体"/>
          <w:color w:val="auto"/>
          <w:sz w:val="24"/>
          <w:highlight w:val="none"/>
        </w:rPr>
        <w:t>、中标方拒不整改、情节严重的，招标方有权解除合同，后果自负。</w:t>
      </w:r>
    </w:p>
    <w:p>
      <w:pPr>
        <w:pStyle w:val="36"/>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六、承包方式及期限</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1、本次招标项目采用养护总承包。</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2、本养护作业除在招投标文件中列明并经招标单位同意外，乙方一律不得将本项目分包、转包及内部经济承包，一经发现立即取消承包资格，作违约处理，并由乙方承担由此引起的法律责任及一切经济损失。</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3、自合同签订之日起一年，具体</w:t>
      </w:r>
      <w:r>
        <w:rPr>
          <w:rFonts w:hint="eastAsia" w:ascii="宋体" w:hAnsi="宋体" w:eastAsia="宋体" w:cs="宋体"/>
          <w:color w:val="auto"/>
          <w:sz w:val="24"/>
          <w:highlight w:val="none"/>
          <w:lang w:val="en-US" w:eastAsia="zh-CN"/>
        </w:rPr>
        <w:t>开始时间以甲方养护通知为准，具体</w:t>
      </w:r>
      <w:r>
        <w:rPr>
          <w:rFonts w:hint="eastAsia" w:ascii="宋体" w:hAnsi="宋体" w:eastAsia="宋体" w:cs="宋体"/>
          <w:color w:val="auto"/>
          <w:sz w:val="24"/>
          <w:highlight w:val="none"/>
        </w:rPr>
        <w:t>单项养护工作以正式移交时间为准。</w:t>
      </w:r>
    </w:p>
    <w:p>
      <w:pPr>
        <w:pStyle w:val="36"/>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七、养护标准：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综合养护标准按关于印发《关于提升余杭区市政、景观灯、环卫保洁管养定额标准及养护标准的通知》文件规定执行。本标段按二级养护标准实施。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一、关于市政、景观灯、环卫保洁养护标准：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（一）市政方面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级市政设施养护标准：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（二）景观灯方面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景观灯设施管养标准：城市景观照明亮灯率应达96%以上；景观照明设施完好率应达95%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96%；景观灯养护严格参照国家规范执行，文明安全施工，无安全责任事故。</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（三）环卫保洁方面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类道路保洁标准：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16小时保洁，人均保洁面积5500㎡，每日洒水4次(夏季6次)、机械化清扫3次（夏季4次），每周清洗道路2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牛皮癣处理标准：作业注意“色、形、洁、美”，达到“色、形、洁、美”的有机结合，自然、协调。色，根据不同墙体颜色，将调料调配成相同或相似的颜色，最大限度的将污染处恢复原来色泽；形，对被污染墙面的清除应有统一覆盖形状（四方形），有完整、清晰的轮廓；洁，清除作业要按照“一刮、二铲、三粉刷”程序操作，使作业墙体达到干净、整洁；美，要使清除作业墙体在“色、形、洁”上与周边环境相协调。</w:t>
      </w:r>
    </w:p>
    <w:p>
      <w:pPr>
        <w:numPr>
          <w:ilvl w:val="0"/>
          <w:numId w:val="0"/>
        </w:numPr>
        <w:rPr>
          <w:rFonts w:hint="eastAsia" w:ascii="宋体" w:hAnsi="宋体" w:eastAsia="宋体" w:cs="宋体"/>
          <w:color w:val="auto"/>
          <w:sz w:val="24"/>
          <w:highlight w:val="none"/>
          <w:lang w:val="en-US" w:eastAsia="zh-CN"/>
        </w:rPr>
      </w:pPr>
    </w:p>
    <w:p>
      <w:pPr>
        <w:widowControl w:val="0"/>
        <w:numPr>
          <w:ilvl w:val="0"/>
          <w:numId w:val="0"/>
        </w:numPr>
        <w:wordWrap/>
        <w:adjustRightInd w:val="0"/>
        <w:snapToGrid/>
        <w:spacing w:line="600" w:lineRule="exact"/>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（四）绿化养护方面</w:t>
      </w:r>
    </w:p>
    <w:p>
      <w:pPr>
        <w:widowControl w:val="0"/>
        <w:numPr>
          <w:ilvl w:val="0"/>
          <w:numId w:val="0"/>
        </w:numPr>
        <w:wordWrap/>
        <w:adjustRightInd w:val="0"/>
        <w:snapToGrid/>
        <w:spacing w:line="600" w:lineRule="exact"/>
        <w:ind w:firstLine="480" w:firstLineChars="200"/>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二级绿化养护标准：植物生长势好，树形良好，叶片正常，较严重的黄叶、焦叶、卷叶的株数在2%以下；枝干正常，无明显枯枝死杈；树冠基本完整，主侧枝分布均匀，通风透光；树穴有平整盖板或种植地被植物，黄土不裸露；无大型和缠绕性、攀缘性杂草，零星区域的杂草控制在5cm以下；病虫害危害未达到明显程度，食叶害虫危害的叶片每株不超过10%，刺吸性害虫危害的叶片每株不超过15%，蛀干性害虫危害的株数在2%以下；时花花坛内四季有花，花期整齐，整体效果好；草坪上草种基本纯，草坪覆盖率应大于95%，中心区不得有空秃现象、草高不得超过8cm，常绿草高不得超过6cm；绿化设施、卫生基本完好、整洁，基本无断桩、坏桩，桩位扎缚有效，并有一定的防台措施。</w:t>
      </w:r>
    </w:p>
    <w:p>
      <w:pPr>
        <w:rPr>
          <w:rFonts w:hint="eastAsia" w:ascii="宋体" w:hAnsi="宋体" w:eastAsia="宋体" w:cs="宋体"/>
          <w:color w:val="auto"/>
          <w:highlight w:val="none"/>
        </w:rPr>
      </w:pPr>
    </w:p>
    <w:p>
      <w:pPr>
        <w:pStyle w:val="36"/>
        <w:numPr>
          <w:ilvl w:val="0"/>
          <w:numId w:val="4"/>
        </w:numPr>
        <w:snapToGrid w:val="0"/>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河道设施养护</w:t>
      </w:r>
      <w:r>
        <w:rPr>
          <w:rFonts w:hint="eastAsia" w:ascii="宋体" w:hAnsi="宋体" w:eastAsia="宋体" w:cs="宋体"/>
          <w:color w:val="auto"/>
          <w:sz w:val="24"/>
          <w:highlight w:val="none"/>
          <w:lang w:val="en-US" w:eastAsia="zh-CN"/>
        </w:rPr>
        <w:t>方面</w:t>
      </w:r>
    </w:p>
    <w:p>
      <w:pPr>
        <w:pStyle w:val="36"/>
        <w:numPr>
          <w:ilvl w:val="0"/>
          <w:numId w:val="0"/>
        </w:num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1.河道保洁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 河道保洁分为河面保洁和河岸保洁。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 总体要求：河面清洁无漂浮物，绿地无垃圾、无杂物，河岸各类硬化设施无垃圾、无污垢，保持整洁完好。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 河面保洁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 主要是利用机械或人工对河道水面的垃圾、枯枝落叶、水草、绿萍等漂浮物（种植物除外）进行打捞清理及外运处置，从而保持河道景观、保护河道水环境。</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1.3.2 保洁要求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每天对河面进行2 次保洁，作业时间8 小时（8:00 一16 ：00）。</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 作业要求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1.3.3.1 在通航河道内作业的保洁船须使用机动船舶。</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1.3.3.2 保洁船应有醒目的保洁单位名称及监督电话。</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1.3.3.3 开船前船员和打捞员按各自职责做好各项检查和准备工作。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1.3.3.4 打捞的漂浮物应及时运至垃圾中转站或处理场。</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1.3.3.5 严禁开闸将漂浮物排入下游河段。</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1.3.3.6 每艘手划船应配备2 名保洁人员；每艘机动船应配备3～4 名人员。</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 设备要求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1.3.4.1 机动保洁作业船应选用无油污染、低噪音的环保型船舶，船舶设施良好；备用水源河道内使用机动船舶必须采用电瓶动力或手划船。</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1.3.4.2 每艘保洁船应配备适合清理各种垃圾漂浮物及污染物的打捞工具，需安装GPS装置。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1.3.4.3 保持良好的船容船貌，保洁工具整洁、干净。</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 安全要求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1.3.5.1 保洁船应符合海事等主管部门的相关要求。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1.3.5.2 作业人员统一着装，持证上岗，水上作业时应穿着救生衣。</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1.3.5.3 遇台风和雷暴雨等恶劣天气应停止水上作业，并将船只停靠安全地点。</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1.3.5.4 保洁船在行驶过程中，遇到有人在河埠头、亲水平台、游船停靠点等设施进行亲水活动时应减速慢行，确保人员安全。</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 应急要求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1.3.6.1 应制定河面保洁应急预案，配备应急所需的人员、工具、设备和物资。</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1.3.6.2 遇水草、水葫芦、绿萍等水生植物爆发，应第一时间组织力量进行清理并查明原因。</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1.3.6.3 汛期后应根据水位状况及时组织力量做好突击保洁，最快时间清除大型漂浮物、倾入河内的树木树枝等各类障碍物。</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1.3.6.4 应制定保障预案，遇各项重大活动及节假日，按上级有关要求落实各项措施。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 河岸保洁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 主要是指利用各种机械或人工对城市河道的河岸、绿地、慢行系统、园路等设施的保洁，应做到干净整洁、无杂物堆积、无痰迹烟蒂、无青苔、无积水积泥等。</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 保洁要求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每天保洁时间为8 小时（8:00 一16:00 )，每月对慢行系统、园路、亲水平台、河埠头、游船停靠点、廊亭地面等硬化设施冲水清洗1 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 作业要求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1.4.3.1 环卫车应有醒目的保洁单位名称及监督电话。</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1.4.3.2 保洁工具应整洁、干净。</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1.4.3.3 清洗设备应环保、低噪音，作业时应保护好其他设施。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1.4.3.4 垃圾箱垃圾日产日清，清理的垃圾应及时运至垃圾中转站或处理场。</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1.4.3.5 应配备适合保洁各种设施的工具。</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 安全要求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1.4.4.1 保洁车应符合环卫等主管部门的要求。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1.4.4.2 保洁作业人员应统一着装，穿着必要的安全警示服装。</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1.4.4.3 遇台风和雷暴雨等恶劣天气应停止室外作业。</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 应急要求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1.4.5.1 应制定河岸保洁应急预案，配备应急所需的人员、工具、设备和物资。</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1.4.5.2 汛期及冰冻过后应及时组织力量做好对慢行系统、园路、栈道、亲水平台、河埠头、游船停靠点、廊亭地面等设施的全面清洗，确保干净整洁，无积水积泥。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1.4.5.3 应制定保障预案，遇各项重大活动及节假日，按上级有关要求落实各项措施。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 灭蚊要求：按有关要求开展灭蚊工作。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 外运要求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1.6.1 河道保洁的垃圾应集中收集，日清日运，不得露天堆放过夜。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1.6.2 垃圾在外运途中应采取密闭措施，防止抛洒、泄漏。</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河道巡查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河道巡查除了对养护对象的日常巡查，还包括对河道水质状况、排水口、生态治理设施设备、绿地及廊亭栈道与景观桥的专项巡查，对涉河建设项目的监督巡查；对各项重大活动及节假日服务保障的重点巡查；对河道防汛、设施抢修等紧急状况的特殊巡查；对违法违章行为和不文明现象的劝阻。</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总体要求：养护作业单位按要求配备巡查人员与巡查船。</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巡查分类：</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三类巡查要求：每2 天全线巡查1 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巡查要求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 巡查人员应配备照相机或摄像机，巡查车辆与船只应安装车载GPS等必要的装备。</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巡查人员在巡查时应认真负责、全面仔细，快速及时地掌握河道设施的安全性、整洁和完好状况，做到实事求是，当天做好巡查记录，每日一报。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2.4.3 巡查人员要及时了解河道水质状况，包括水体感官与颜色等。遇死鱼、蓝藻等突发情况应及时上报。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2.4.4 巡查人员要及时掌握河道沿线排水口设施（包括标识）完好情况、晴天出水情况。对有晴天出水现象的，要分时段（上午、中午、下午）检查出水情况，评估记录出水水频次（间歇性或常出水），并查看该排水口上下游河道水质感官，做好信息登记并第一时间上报，同时做好与截污部门的对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2.4.5 巡查人员要及时了解生态项目情况，发现水生植物生长不良、病虫害、设施破损及设备故障等情况及时报告。</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2.4.6 巡查人员要及时了解河道沿线绿地的情况，掌握植物长势、缺株裸露及病虫害等情况，及时发现绿地内设施缺损情况。</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2.4.7 巡查人员要及时掌握栈道与景观桥的情况，特别对裂缝、缺损、塌陷等重大安全隐患要第一时间上报。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2.4.8 巡查人员要及时掌握涉河建设项目实施动态，按审批要求对涉河建设项目进行监督。</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2.4.9 巡查人员对违法违章行为有劝阻的责任和义务，并第一时间上报。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2.4.10 遇重大活动及节假日，应积极主动，加强巡查，配合河道监管部门做好保障工作，做好记录，及时上报。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2.4.11 遇防汛、防台、抗雪等紧急状况，应加强巡查，配合河道监管部门做好抢险应急工作，第一时间掌握防汛隐患，做好记录，及时上报。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设施养护维修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设施养护维修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主要内容是河岸设施养护维修、绿化养护、园路及慢行系统养护维修、生态治理设施养护、河埠头养护维修、沿河廊亭栈道及景观桥养护维修、防汛配水设施维护检修、在线监测设施维护检修、船闸设施维护检修、环卫设施维护、宣传牌、警示牌、其他附属设施维护等。</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河岸设施养护维修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主要内容是河岸驳坎挡墙、围护桩、护坡等的养护维修。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 河岸驳坎养护维修要求：按照《 杭州市城市河道养护技术规程（试行）》( CJS 一04 一2 000 ）执行。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河岸围护桩养护维修要求：应定期观测，发现滑移、倾斜、缺失的，应采取相应措施及时修补，并做好记录。</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 河岸护坡养护维修要求：应维持护坡内固土植物的正常生长，如有缺失及时补种；护坡有水土流失现象应及时采取措施固土。每年汛前、汛后和每次台风、洪水过后，应对河岸设施进行全面检查，发现问题及时修复，确保河岸设施安全、完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 绿化养护要求：包括绿地范围内的绿化及其廊亭等附属设施，河岸绿地养护按照《 杭州市城区绿地养护质量标准（试行）》杭园文[2003 ]42 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 园路及慢行系统养护维修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随河园路养护维修要求：应确保其铺砌平整、牢固稳定，不得有破裂、翘动。若发现缺损、破碎、沉陷、翘动等病害，应及时更新修补。当基层强度不足而造成路面损坏，应清除软弱基层，换填新的基层料再恢复，面层的块石材质、规格应与原路面一致。</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 慢行系统路面养护维修要求：参照《城镇道路养护技术规范》（CJJ 36-2006）中第9条“人行道的养护”标准执行。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3.5生态治理设施养护要求：各类生态治理设施正常运行，具体养护要求按照《杭州市城市河道生态治理常用技术要点及养护要求》执行。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3.6河埠头养护维修要求：河埠头相关配套设施应完整；在经常性巡查的基础上，每年汛前由专业技术人员进行一次全面检查，检查时需最大限度地降低水位。</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 沿河廊亭栈道及景观桥养护维修要求：对廊亭、栈道进行日常巡视检查，及时发现缺损进行小修保养工作，确保护栏、铺砌等牢固稳定，不得有破裂、翘动，栏杆无变形、无油漆脱落、斑驳和生锈，造型完好。每次台风、洪水前，应进行全面检查，防止大件漂浮物堵塞过水断面。每年刷防腐漆一次。景观桥养护要求参照《城市桥梁养护技术规范》（CJJ99-2003）中V类养护规定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3.8 防汛配水、在线监测及船闸设施维护检修要求：按照《杭州市城市河道闸站养护管理要求》执行。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3.9 环卫设施维护要求：按照《 杭州市城市环境卫生作业规范》执行。水上黄金旅游线河道公共厕所按照《 旅游厕所质量等级的划分与评定》（GB / T 18973 一2003 ）执行，其他河道公共厕所按照《 杭州市城市公厕管理办法》 （市政府令第125 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3.10宣传牌、警示牌养护要求：河道宣传牌、警示牌等标志标牌放置合理、醒目、规范，无松动，无变形，外观完好，字迹清晰，无油漆和涂料脱落、斑驳、生锈等影响感观现象。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3.11河道其他附属设施和专业设施养护维修按照相应养护维修标准、规定执行。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养护单位要求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 建立健全相关制度，配备齐全的养护队伍和养护设备。</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 建立健全市区城市河道及其附属设施的技术资料和设施档案。（养护期结束前一月或服从中心的时间安排对养护河道进行一次全面的设施量统计核对工作。）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 建立健全市区城市河道日常养护、观测、维修技术台帐与资料，资料应全面、准确、清晰。</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 建立每年一次城市河道排水口排查制度。同时，做好排水口建档工作，具体要求按照《杭州市城市河道沿线排水口管理要求》（杭城管委[2011]67号）执行。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4.5建立每半年一次的城市河道淤积动态监控工作制度，动态监控专人负责，具体要求按照《关于开展城市河道淤积动态监控工作的通知》（杭河监〔2012〕7号）执行。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4.6 市区城市河道养护技术资料应以每条河为单位进行归档管理。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4.7 逐步实现城市河道养护技术资料数字化。</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5.负责处理有关河道范围内的数字城管、三来件、12345、12319的有关事宜。上述所涉及的文件内容以采购人提供的最新版本为准，凡有文号的参照具体文号执行。</w:t>
      </w:r>
    </w:p>
    <w:p>
      <w:pPr>
        <w:rPr>
          <w:rFonts w:hint="eastAsia" w:ascii="宋体" w:hAnsi="宋体" w:cs="宋体"/>
          <w:color w:val="auto"/>
          <w:sz w:val="24"/>
          <w:highlight w:val="none"/>
          <w:lang w:eastAsia="zh-CN"/>
        </w:rPr>
      </w:pPr>
    </w:p>
    <w:p>
      <w:pPr>
        <w:numPr>
          <w:ilvl w:val="0"/>
          <w:numId w:val="4"/>
        </w:numPr>
        <w:ind w:left="0" w:leftChars="0"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、公厕养护标准</w:t>
      </w:r>
    </w:p>
    <w:p>
      <w:pPr>
        <w:spacing w:line="336" w:lineRule="auto"/>
        <w:ind w:firstLine="720" w:firstLineChars="300"/>
        <w:rPr>
          <w:rFonts w:hint="eastAsia" w:ascii="仿宋" w:hAnsi="仿宋" w:eastAsia="仿宋" w:cs="仿宋"/>
          <w:color w:val="auto"/>
          <w:sz w:val="24"/>
          <w:highlight w:val="none"/>
        </w:rPr>
      </w:pP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正门、广场及外围</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绿化带、花草盆：无垃圾，无脏杂物，无明显积尘，花草盆侧面及槽边无污迹，无积尘，无积水和异物。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2、所管区域道路和地面：无污迹、无水泥迹 、无口香糖胶迹、无积水、无堆放杂物、无表苔。</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3、阶梯：无污迹、无水泥迹、无口香糖胶迹、无积水、无堆放杂物。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4、扶手：无污迹、无水迹。</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5、墙面：无污迹、无乱张贴物。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6、门户：无污迹、无积尘、无乱张贴物。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7、指示牌（包括大厦招牌）：无污迹、无积尘。</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8、消防栓：无污迹、无积尘。</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9、出入口栏杆：无污物、无堵塞。</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公厕内：</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1、地面：无污迹、无水泥迹、无口香糖胶迹、无积水、无堆放杂物。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2、墙面：无污迹、无乱张贴物。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3、天花：无污迹、无积尘、无蜘蛛网、无霉迹。</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4、光管罩：无污迹、无积尘、无乱张贴物。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5、窗户：无污迹、无积尘、无乱张贴物。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6、镜台：无污迹、无积尘、无乱张贴物。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7、洗手盆：表面光洁、无污迹。</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8、镜面：无污迹、无积尘、无乱张贴物。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9、排水口：无污迹、无积尘、我蜘蛛网、无霉迹。</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10、尿槽：表面光洁、无尿迹、无污迹、无水透迹、无烟头、无杂物、无异物。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11、厕座：厕盖迹厕体内外表光洁、其内无尿迹、无污迹、无水透迹、无阻塞。</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12、厕纸箱：无污迹、无积尘、无蜘蛛网、无霉迹。</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13、手纸箱：无污、无积尘、无蜘蛛网、无霉迹。</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14、门户：无污迹、无积尘、无乱张贴物。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15、地漏迹及水沟：无污物积聚、无堵塞。</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三、门厅及走廊</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1、地面：无脚印、无污迹、无水泥迹、无口香糖胶迹、无积水、无堆放杂物、无垃圾。</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2、天花：无污迹、无积尘、无蜘蛛网、无霉迹。</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3、光管罩：无污迹、无积尘、无蜘蛛网、无霉迹。</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4、墙面及玻璃：无污迹、无乱张贴物。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5、铜牌：无污迹、无积尘、无铜油迹。</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6、水牌迹指示牌：无污迹、无积尘、无乱张贴物。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7、门户（管井门，隔烟门，厕所门）：无污迹、无积尘、无乱张贴物。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8、垃圾桶：桶体光洁无污迹、无痰迹；烟灰缸盖上无烟头、杂物：桶内垃圾不得超过桶口。</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9、消防栓：无污迹、无积尘、无乱张贴物。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垃圾放置点：无堆积垃圾。垃圾做到日产日清。做好垃圾袋装化，将所有垃圾集中后堆放在堆放点，做到合理、卫生、四周无散放垃圾。可做废品回收的垃圾，要另行放置。垃圾间保持清洁、无异味，经常喷洒药水，防止发生虫海防。</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五、消杀、无蝇、少蚊、少虫、灭鼠、灭蟑螂。</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六、马桶清倒要求做到日产日清（马桶清倒地点：主要在广济路社区（运动新村）。</w:t>
      </w:r>
    </w:p>
    <w:p>
      <w:pPr>
        <w:spacing w:line="33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（三）公厕管理质量要求和管理时间：</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管理人员和开放时间要求</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每个厕所必须配有专职管理人员，高标准公厕全天候专人保洁；标准公厕每天保洁不少于16小时，工作人员必须服务态度良好。</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2、公厕内设施的维护要求</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2.1、公厕内设施出现破坏的，承包方要组织维修人员在2日内完成修复或更换。</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2.2、供水、供电、排水、通风等设备完好，有效保证使用，除险问题的必须12小时以内修复。</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2.3、墙壁、地面、隔断板、洗手台、门窗、便器、开关、手柄、门锁等设施损坏的必须要在两天内修复或更换。</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2.4、公厕内设置的标志保持清洁、完整、规范如出现破损的，必须在12小时内修复或更换。</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3、清掏公厕（包括化粪池）要求</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3.1、及时通知镇环卫站清掏粪池，确保粪池不外溢。</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3.2、清掏后需对粪池周边进行清洗、除臭处理。</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4、公厕保洁要求</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4.1、地面保洁无污物，清洗冲刷地面时应设置国家规定的防滑标志。</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4.2、墙壁、门窗、隔断板等整洁无乱涂乱画等污迹物。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4.3、便器及时冲刷，无粪迹、尿迹和其他污物。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4.4、定时喷洒灭蚊蝇药物，做到随有随灭。</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4.5、纸篓无污迹、无隔夜垃圾。</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4.6、空气流通无臭味。</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4.7、厕所设施和工具摆放有序，干净整洁。</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4.8、按照规定时间、地点和方式倾倒废物。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4.9、外墙屋顶及卫生负责区内环境整洁无杂物。</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5、人员要求：</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5.1、人员必须身体健康，年龄小于或等于</w:t>
      </w:r>
      <w:r>
        <w:rPr>
          <w:rFonts w:hint="eastAsia" w:ascii="宋体" w:hAnsi="宋体" w:eastAsia="宋体" w:cs="宋体"/>
          <w:color w:val="auto"/>
          <w:sz w:val="24"/>
          <w:szCs w:val="24"/>
          <w:highlight w:val="none"/>
          <w:u w:val="single"/>
        </w:rPr>
        <w:t xml:space="preserve">  50 </w:t>
      </w:r>
      <w:r>
        <w:rPr>
          <w:rFonts w:hint="eastAsia" w:ascii="宋体" w:hAnsi="宋体" w:eastAsia="宋体" w:cs="宋体"/>
          <w:color w:val="auto"/>
          <w:sz w:val="24"/>
          <w:szCs w:val="24"/>
          <w:highlight w:val="none"/>
        </w:rPr>
        <w:t>岁。</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5.2、工作人员上岗前必须经过培训。</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6、公厕实行免费开放，不得计费，且公厕内不得出现任何经营性行为。</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7、公厕内失物应交还失主。未见失主的应交公处理。</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8、工作人员要尊重游客和如厕人员，不得与其发生冲突。</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9、公厕的管理制度及保洁制度按规定公示。</w:t>
      </w:r>
    </w:p>
    <w:p>
      <w:pPr>
        <w:spacing w:line="336"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10、公厕内所产生的垃圾必须每天运到指定的垃圾中转站进行处理。</w:t>
      </w:r>
    </w:p>
    <w:p>
      <w:pPr>
        <w:pStyle w:val="2"/>
        <w:numPr>
          <w:ilvl w:val="0"/>
          <w:numId w:val="0"/>
        </w:numPr>
        <w:ind w:leftChars="200"/>
        <w:jc w:val="both"/>
        <w:rPr>
          <w:rFonts w:hint="eastAsia"/>
          <w:color w:val="auto"/>
          <w:highlight w:val="none"/>
          <w:lang w:eastAsia="zh-CN"/>
        </w:rPr>
      </w:pPr>
    </w:p>
    <w:p>
      <w:pPr>
        <w:pStyle w:val="36"/>
        <w:snapToGrid w:val="0"/>
        <w:spacing w:line="600" w:lineRule="exact"/>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八、</w:t>
      </w:r>
      <w:r>
        <w:rPr>
          <w:rFonts w:hint="eastAsia" w:ascii="宋体" w:hAnsi="宋体" w:eastAsia="宋体" w:cs="宋体"/>
          <w:b/>
          <w:bCs/>
          <w:color w:val="auto"/>
          <w:sz w:val="28"/>
          <w:szCs w:val="28"/>
          <w:highlight w:val="none"/>
        </w:rPr>
        <w:t>作业标准</w:t>
      </w:r>
    </w:p>
    <w:p>
      <w:pPr>
        <w:wordWrap/>
        <w:adjustRightInd w:val="0"/>
        <w:spacing w:line="60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（一）道路保洁作业标准：</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1、道路保洁相关要求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1.1本项目</w:t>
      </w:r>
      <w:r>
        <w:rPr>
          <w:rFonts w:hint="eastAsia" w:ascii="宋体" w:hAnsi="宋体" w:eastAsia="宋体" w:cs="宋体"/>
          <w:color w:val="auto"/>
          <w:sz w:val="24"/>
          <w:highlight w:val="none"/>
          <w:lang w:val="zh-CN"/>
        </w:rPr>
        <w:t>人员要求</w:t>
      </w:r>
      <w:r>
        <w:rPr>
          <w:rFonts w:hint="eastAsia" w:ascii="宋体" w:hAnsi="宋体" w:eastAsia="宋体" w:cs="宋体"/>
          <w:color w:val="auto"/>
          <w:sz w:val="24"/>
          <w:highlight w:val="none"/>
        </w:rPr>
        <w:t>须符合</w:t>
      </w:r>
      <w:r>
        <w:rPr>
          <w:rFonts w:hint="eastAsia" w:ascii="宋体" w:hAnsi="宋体" w:eastAsia="宋体" w:cs="宋体"/>
          <w:bCs/>
          <w:color w:val="auto"/>
          <w:sz w:val="24"/>
          <w:highlight w:val="none"/>
        </w:rPr>
        <w:t>专职人员基本岗位数量要求</w:t>
      </w:r>
      <w:r>
        <w:rPr>
          <w:rFonts w:hint="eastAsia" w:ascii="宋体" w:hAnsi="宋体" w:eastAsia="宋体" w:cs="宋体"/>
          <w:color w:val="auto"/>
          <w:sz w:val="24"/>
          <w:highlight w:val="none"/>
          <w:lang w:val="zh-CN"/>
        </w:rPr>
        <w:t>。</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1.1.2除项目负责人和专职保洁人员（含车辆作业人员）、项目管理员以外，供应商应根据项目保洁的实际需要配备相应人员，所需费用应考虑在投标总价中。</w:t>
      </w:r>
    </w:p>
    <w:p>
      <w:pPr>
        <w:wordWrap/>
        <w:adjustRightInd w:val="0"/>
        <w:snapToGrid w:val="0"/>
        <w:spacing w:line="600" w:lineRule="exact"/>
        <w:ind w:firstLine="360" w:firstLineChars="15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1.1.3保洁人员在岗要求男性年龄在60周岁以下</w:t>
      </w:r>
      <w:r>
        <w:rPr>
          <w:rFonts w:hint="eastAsia" w:ascii="宋体" w:hAnsi="宋体" w:eastAsia="宋体" w:cs="宋体"/>
          <w:color w:val="auto"/>
          <w:sz w:val="24"/>
          <w:highlight w:val="none"/>
          <w:lang w:val="zh-CN"/>
        </w:rPr>
        <w:t>，女性年龄在55周岁以下，并按采购人要求完成智慧化管理措施、设施配备。大型活动、节假日、新作业方式调整或未达到管理标准等情况下</w:t>
      </w:r>
      <w:r>
        <w:rPr>
          <w:rFonts w:hint="eastAsia" w:ascii="宋体" w:hAnsi="宋体" w:eastAsia="宋体" w:cs="宋体"/>
          <w:color w:val="auto"/>
          <w:sz w:val="24"/>
          <w:highlight w:val="none"/>
        </w:rPr>
        <w:t>应根据实际情况或采购人要求增派保洁人员、保洁设备，以确保清卫保洁质量，</w:t>
      </w:r>
      <w:r>
        <w:rPr>
          <w:rFonts w:hint="eastAsia" w:ascii="宋体" w:hAnsi="宋体" w:eastAsia="宋体" w:cs="宋体"/>
          <w:color w:val="auto"/>
          <w:sz w:val="24"/>
          <w:highlight w:val="none"/>
          <w:lang w:val="zh-CN"/>
        </w:rPr>
        <w:t>增</w:t>
      </w:r>
      <w:r>
        <w:rPr>
          <w:rFonts w:hint="eastAsia" w:ascii="宋体" w:hAnsi="宋体" w:eastAsia="宋体" w:cs="宋体"/>
          <w:color w:val="auto"/>
          <w:sz w:val="24"/>
          <w:highlight w:val="none"/>
        </w:rPr>
        <w:t>派人员和设备的费用应考虑在投标总报价中。</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1.1.4鼓励供应商根据杭州市劳动和社会保障局、杭州市财政局“关于印发《市区“三类岗位”开发管理办法》的通知”及区政府等相关文件要求，鼓励中标供应商招聘失地失业人员参与本项目服务。</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1.1.5人员用工必须符合《中华人民共和国劳动民法典》等法规的相关规定，如因违法、违规并造成不良后果的，其责任由供应商自行承担。</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1.1.6 作业车辆、作业时间应符合属地交警部门要求，并按要求进行报备后实施。</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1.1.7 供应商提供的设施设备，根据采购人要求统一外观，标识。</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1.2保洁服务内容</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1.2.1本项目涵盖采购文件第三部分采购需求项目概况及要求清单中所有道路的清扫运输、垃圾收集运输、偷倒垃圾清运等服务内容。</w:t>
      </w:r>
    </w:p>
    <w:p>
      <w:pPr>
        <w:wordWrap/>
        <w:adjustRightInd w:val="0"/>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1.2.2</w:t>
      </w:r>
      <w:r>
        <w:rPr>
          <w:rFonts w:hint="eastAsia" w:ascii="宋体" w:hAnsi="宋体" w:eastAsia="宋体" w:cs="宋体"/>
          <w:bCs/>
          <w:color w:val="auto"/>
          <w:sz w:val="24"/>
          <w:highlight w:val="none"/>
        </w:rPr>
        <w:t>本项目</w:t>
      </w:r>
      <w:r>
        <w:rPr>
          <w:rFonts w:hint="eastAsia" w:ascii="宋体" w:hAnsi="宋体" w:eastAsia="宋体" w:cs="宋体"/>
          <w:color w:val="auto"/>
          <w:sz w:val="24"/>
          <w:highlight w:val="none"/>
        </w:rPr>
        <w:t>道路中间绿化带含在道路保洁范围内，及道路两侧人行道外建筑物基石边或无建筑物外可视范围内</w:t>
      </w:r>
      <w:r>
        <w:rPr>
          <w:rFonts w:hint="eastAsia" w:ascii="宋体" w:hAnsi="宋体" w:eastAsia="宋体" w:cs="宋体"/>
          <w:bCs/>
          <w:color w:val="auto"/>
          <w:sz w:val="24"/>
          <w:highlight w:val="none"/>
        </w:rPr>
        <w:t>（不少于</w:t>
      </w:r>
      <w:r>
        <w:rPr>
          <w:rFonts w:hint="eastAsia" w:ascii="宋体" w:hAnsi="宋体" w:cs="宋体"/>
          <w:bCs/>
          <w:color w:val="auto"/>
          <w:sz w:val="24"/>
          <w:highlight w:val="none"/>
          <w:lang w:val="en-US" w:eastAsia="zh-CN"/>
        </w:rPr>
        <w:t>5</w:t>
      </w:r>
      <w:r>
        <w:rPr>
          <w:rFonts w:hint="eastAsia" w:ascii="宋体" w:hAnsi="宋体" w:eastAsia="宋体" w:cs="宋体"/>
          <w:bCs/>
          <w:color w:val="auto"/>
          <w:sz w:val="24"/>
          <w:highlight w:val="none"/>
        </w:rPr>
        <w:t>米</w:t>
      </w:r>
      <w:r>
        <w:rPr>
          <w:rFonts w:hint="eastAsia" w:ascii="宋体" w:hAnsi="宋体" w:eastAsia="宋体" w:cs="宋体"/>
          <w:color w:val="auto"/>
          <w:sz w:val="24"/>
          <w:highlight w:val="none"/>
        </w:rPr>
        <w:t>）均包含在保洁范围内。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.3本项目涵盖地铁站（如有）出入口台阶以下周边范围的保洁含在道路保洁范围内。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.4本项目道路所附属的铁路下穿涵洞（如有）、果壳箱、交通隔离栏、路灯杆（2.2米以下部分）、交通信号杆（2.2米以下部分）均属于本项目保洁范围。</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1.2.5</w:t>
      </w:r>
      <w:r>
        <w:rPr>
          <w:rFonts w:hint="eastAsia" w:ascii="宋体" w:hAnsi="宋体" w:eastAsia="宋体" w:cs="宋体"/>
          <w:color w:val="auto"/>
          <w:sz w:val="24"/>
          <w:highlight w:val="none"/>
        </w:rPr>
        <w:t>牛皮癣清理：标段范围内道路、围墙、道路沿线设施（含一层建筑立面）等区域的“乱涂”、“乱张贴”等牛皮癣日常清理</w:t>
      </w:r>
      <w:r>
        <w:rPr>
          <w:rFonts w:hint="eastAsia" w:ascii="宋体" w:hAnsi="宋体" w:eastAsia="宋体" w:cs="宋体"/>
          <w:bCs/>
          <w:color w:val="auto"/>
          <w:sz w:val="24"/>
          <w:highlight w:val="none"/>
        </w:rPr>
        <w:t>均属于本项目保洁范围</w:t>
      </w:r>
      <w:r>
        <w:rPr>
          <w:rFonts w:hint="eastAsia" w:ascii="宋体" w:hAnsi="宋体" w:eastAsia="宋体" w:cs="宋体"/>
          <w:color w:val="auto"/>
          <w:sz w:val="24"/>
          <w:highlight w:val="none"/>
        </w:rPr>
        <w:t>。</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.6</w:t>
      </w:r>
      <w:r>
        <w:rPr>
          <w:rFonts w:hint="eastAsia" w:ascii="宋体" w:hAnsi="宋体" w:eastAsia="宋体" w:cs="宋体"/>
          <w:color w:val="auto"/>
          <w:sz w:val="24"/>
          <w:highlight w:val="none"/>
        </w:rPr>
        <w:t xml:space="preserve">道路保洁承包期内如有道路改建、扩建、新增人行道等情况所增加的面积，原则上纳入中标单位保洁范围，保洁经费不再增加。  </w:t>
      </w:r>
    </w:p>
    <w:p>
      <w:pPr>
        <w:wordWrap/>
        <w:adjustRightInd w:val="0"/>
        <w:snapToGrid w:val="0"/>
        <w:spacing w:line="6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1.3保洁基本要求</w:t>
      </w:r>
    </w:p>
    <w:p>
      <w:pPr>
        <w:pStyle w:val="27"/>
        <w:wordWrap/>
        <w:adjustRightInd w:val="0"/>
        <w:spacing w:line="600" w:lineRule="exac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1.3.1</w:t>
      </w:r>
      <w:r>
        <w:rPr>
          <w:rFonts w:hint="eastAsia" w:ascii="宋体" w:hAnsi="宋体" w:eastAsia="宋体" w:cs="宋体"/>
          <w:b w:val="0"/>
          <w:bCs w:val="0"/>
          <w:color w:val="auto"/>
          <w:highlight w:val="none"/>
          <w:lang w:val="en-US" w:eastAsia="zh-CN"/>
        </w:rPr>
        <w:t>二</w:t>
      </w:r>
      <w:r>
        <w:rPr>
          <w:rFonts w:hint="eastAsia" w:ascii="宋体" w:hAnsi="宋体" w:eastAsia="宋体" w:cs="宋体"/>
          <w:b w:val="0"/>
          <w:bCs w:val="0"/>
          <w:color w:val="auto"/>
          <w:highlight w:val="none"/>
        </w:rPr>
        <w:t>级道路</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1.3.1.1保洁时长：1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小时（4:30-2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：30）。</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1.3.1.2快车道保洁：洒水</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次/日(夏季6次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；高压冲洗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次/日；洗扫吸三合一作</w:t>
      </w:r>
      <w:r>
        <w:rPr>
          <w:rFonts w:hint="eastAsia" w:ascii="宋体" w:hAnsi="宋体" w:eastAsia="宋体" w:cs="宋体"/>
          <w:color w:val="auto"/>
          <w:sz w:val="24"/>
          <w:highlight w:val="none"/>
        </w:rPr>
        <w:t>业</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次/</w:t>
      </w:r>
      <w:r>
        <w:rPr>
          <w:rFonts w:hint="eastAsia" w:ascii="宋体" w:hAnsi="宋体" w:eastAsia="宋体" w:cs="宋体"/>
          <w:color w:val="auto"/>
          <w:sz w:val="24"/>
          <w:highlight w:val="none"/>
        </w:rPr>
        <w:t>日，要求单向两边侧石、隔离栏底下全部覆盖。</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1.3.1.3慢车道和人行道保洁：日常普扫吹风机搭配小型慢车道清扫车作业，3次/日；洗、扫、吸一体清洗作业1次/日。</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1.3.1.4巡回保洁：保洁员配备电动巡回保洁车巡回作业。</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1.3.1.5空气抑尘：配置空气抑尘设备，每天2次洒水、抑尘。</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1.3.1.6城市家具：全覆盖擦洗1次/日。</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1.3.1.7小广告清除：配备高压冲洗设备，每天清除小广告。</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1.3.1.8道路栏杆：配备栏杆清洗车，每周清洗一次。</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1.3.1.9绿化带捡拾：配置小型设备，人工配合，每天1~2次。</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1.3.1.10应做到文明、清洁、安全和有序，最大限度地减少对环境的污染和对公众生活的影响。</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1.3.1.11合理安排作业计划。清晨或深夜在居民住宅小区或周边道路进行环卫作业时，不得大声喧哗，并应注意控制机具噪音。组织机械化清扫、洒水、清洗作业应避开交通高峰时段（7：00—9：00，16：30—18：30）。</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1.3.1.13日常</w:t>
      </w:r>
      <w:r>
        <w:rPr>
          <w:rFonts w:hint="eastAsia" w:ascii="宋体" w:hAnsi="宋体" w:eastAsia="宋体" w:cs="宋体"/>
          <w:color w:val="auto"/>
          <w:sz w:val="24"/>
          <w:highlight w:val="none"/>
        </w:rPr>
        <w:t>保洁时间内</w:t>
      </w:r>
      <w:r>
        <w:rPr>
          <w:rFonts w:hint="eastAsia" w:ascii="宋体" w:hAnsi="宋体" w:eastAsia="宋体" w:cs="宋体"/>
          <w:bCs/>
          <w:color w:val="auto"/>
          <w:sz w:val="24"/>
          <w:highlight w:val="none"/>
        </w:rPr>
        <w:t>保洁单位需确保</w:t>
      </w:r>
      <w:r>
        <w:rPr>
          <w:rFonts w:hint="eastAsia" w:ascii="宋体" w:hAnsi="宋体" w:eastAsia="宋体" w:cs="宋体"/>
          <w:color w:val="auto"/>
          <w:sz w:val="24"/>
          <w:highlight w:val="none"/>
        </w:rPr>
        <w:t>保洁范围干净，如有无主垃圾或其它垃圾，应加强监管，及时劝导并清理干净。</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1.3.1.14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1.3.1.15人工辅助清扫、清洗机动车道、非机动车道或清洗机动车道交通隔离栏时，应在距清扫点来车方向100M处设置警示标识，使用荧光锥形筒等警示标识围护清扫保洁区域，面向来车方向清扫，注意车辆动态。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1.3.1.16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1.3.1.17本项目环卫作业车辆须有固定场所停放，严禁停放在消防通道、公交车站、盲道等影响车辆和行人通行的公共通道。</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1.3.1.18承诺能及时提供人力、设备、技术等支持。</w:t>
      </w:r>
    </w:p>
    <w:p>
      <w:pPr>
        <w:wordWrap/>
        <w:adjustRightInd w:val="0"/>
        <w:snapToGrid w:val="0"/>
        <w:spacing w:line="6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1.4保洁作业规范 </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1.4.1道路普扫次数和时间</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1.4.1.1</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级道路普扫作业每日不少于3次。夏季（6月—8月）第一次普扫应在6：30前完成，春、秋、冬季（9月—次年5月）在7：00前完成；第二次普扫在13：30前完成；第三次普扫在17：00前完成。</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1.4.1.2应根据重大活动保障、落叶旺季等因素适时增加每日普扫频次。 </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1.4.2洒水（清洗）</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1.4.2.1</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级道路作业每日不少于</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夏季6次）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洒水时，洒水车车速不得超过25km/h；清洗时，高压清洗车车速不得超过10km/h；机械化清扫作业。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1.4.2.2</w:t>
      </w:r>
      <w:r>
        <w:rPr>
          <w:rFonts w:hint="eastAsia" w:ascii="宋体" w:hAnsi="宋体" w:eastAsia="宋体" w:cs="宋体"/>
          <w:bCs/>
          <w:color w:val="auto"/>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1.4.2.3</w:t>
      </w:r>
      <w:r>
        <w:rPr>
          <w:rFonts w:hint="eastAsia" w:ascii="宋体" w:hAnsi="宋体" w:eastAsia="宋体" w:cs="宋体"/>
          <w:bCs/>
          <w:color w:val="auto"/>
          <w:sz w:val="24"/>
          <w:highlight w:val="none"/>
        </w:rPr>
        <w:t>晚22时以后，洒水作业时禁止播放洒水提示音乐。中、高考等重要考试期间，洒水车途经考场周边道路时应及时关闭洒水提示音乐，夏季中午时间（12时-14时）适当降低洒水提示音量。</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1.4.2.4</w:t>
      </w:r>
      <w:r>
        <w:rPr>
          <w:rFonts w:hint="eastAsia" w:ascii="宋体" w:hAnsi="宋体" w:eastAsia="宋体" w:cs="宋体"/>
          <w:bCs/>
          <w:color w:val="auto"/>
          <w:sz w:val="24"/>
          <w:highlight w:val="none"/>
        </w:rPr>
        <w:t>小雨及以下雨量时，按计划保持洒水作业；中雨及以上雨量或雷阵雨期间，暂停道路洒水和清洗作业。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1.4.2.5春秋季（3月—5月、9月—11月），每日道路洒水频次作为基准遍次，即</w:t>
      </w:r>
      <w:r>
        <w:rPr>
          <w:rFonts w:hint="eastAsia" w:ascii="宋体" w:hAnsi="宋体" w:eastAsia="宋体" w:cs="宋体"/>
          <w:bCs/>
          <w:color w:val="auto"/>
          <w:sz w:val="24"/>
          <w:highlight w:val="none"/>
          <w:lang w:val="en-US" w:eastAsia="zh-CN"/>
        </w:rPr>
        <w:t>二</w:t>
      </w:r>
      <w:r>
        <w:rPr>
          <w:rFonts w:hint="eastAsia" w:ascii="宋体" w:hAnsi="宋体" w:eastAsia="宋体" w:cs="宋体"/>
          <w:bCs/>
          <w:color w:val="auto"/>
          <w:sz w:val="24"/>
          <w:highlight w:val="none"/>
        </w:rPr>
        <w:t>级道路每日</w:t>
      </w: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次</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夏季6次）</w:t>
      </w:r>
      <w:r>
        <w:rPr>
          <w:rFonts w:hint="eastAsia" w:ascii="宋体" w:hAnsi="宋体" w:eastAsia="宋体" w:cs="宋体"/>
          <w:bCs/>
          <w:color w:val="auto"/>
          <w:sz w:val="24"/>
          <w:highlight w:val="none"/>
        </w:rPr>
        <w:t>；夏季（6月—8月），在基准频次上每日分别增加1次；冬季（12月—2月），在基准频次上每日分别减少1次。</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1.4.2.6</w:t>
      </w:r>
      <w:r>
        <w:rPr>
          <w:rFonts w:hint="eastAsia" w:ascii="宋体" w:hAnsi="宋体" w:eastAsia="宋体" w:cs="宋体"/>
          <w:bCs/>
          <w:color w:val="auto"/>
          <w:sz w:val="24"/>
          <w:highlight w:val="none"/>
        </w:rPr>
        <w:t>气温低于2摄氏度时应停止清洗和洒水。</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1.4.2.7</w:t>
      </w:r>
      <w:r>
        <w:rPr>
          <w:rFonts w:hint="eastAsia" w:ascii="宋体" w:hAnsi="宋体" w:eastAsia="宋体" w:cs="宋体"/>
          <w:bCs/>
          <w:color w:val="auto"/>
          <w:sz w:val="24"/>
          <w:highlight w:val="none"/>
        </w:rPr>
        <w:t>根据清雪作业应急保障需要，可使用洒水车、清洗车冲刷路面积雪，并使用清雪车、扫路车等专业车辆或人工辅助，及时清除路面积水、积雪。</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1.4.3机械化清扫</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1.4.3.1</w:t>
      </w:r>
      <w:r>
        <w:rPr>
          <w:rFonts w:hint="eastAsia" w:ascii="宋体" w:hAnsi="宋体" w:eastAsia="宋体" w:cs="宋体"/>
          <w:bCs/>
          <w:color w:val="auto"/>
          <w:sz w:val="24"/>
          <w:highlight w:val="none"/>
        </w:rPr>
        <w:t>机械化清扫范围主要为机动车道，及便于使用机械化装备清洁机动车道的交通隔离栏。</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1.4.3.2</w:t>
      </w:r>
      <w:r>
        <w:rPr>
          <w:rFonts w:hint="eastAsia" w:ascii="宋体" w:hAnsi="宋体" w:eastAsia="宋体" w:cs="宋体"/>
          <w:bCs/>
          <w:color w:val="auto"/>
          <w:sz w:val="24"/>
          <w:highlight w:val="none"/>
        </w:rPr>
        <w:t>清扫车或洗扫车应加足水，根据路面状况调整好扫路车侧刷和吸口，喷雾洁扫无扬尘，在规定时间和路线进行机械化清扫作业。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1.4.3.3</w:t>
      </w:r>
      <w:r>
        <w:rPr>
          <w:rFonts w:hint="eastAsia" w:ascii="宋体" w:hAnsi="宋体" w:eastAsia="宋体" w:cs="宋体"/>
          <w:bCs/>
          <w:color w:val="auto"/>
          <w:sz w:val="24"/>
          <w:highlight w:val="none"/>
        </w:rPr>
        <w:t>机械化清扫作业时，扫路车或洗扫车车速不得超过10km/h。</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1.4.3.4</w:t>
      </w:r>
      <w:r>
        <w:rPr>
          <w:rFonts w:hint="eastAsia" w:ascii="宋体" w:hAnsi="宋体" w:eastAsia="宋体" w:cs="宋体"/>
          <w:bCs/>
          <w:color w:val="auto"/>
          <w:sz w:val="24"/>
          <w:highlight w:val="none"/>
        </w:rPr>
        <w:t>清扫时应注意观察路面清扫质量和路面障碍情况，对机械化清扫不能清除的大件垃圾或硬物，在确保作业安全的前提下，及时下车清除。</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1.4.3.5</w:t>
      </w:r>
      <w:r>
        <w:rPr>
          <w:rFonts w:hint="eastAsia" w:ascii="宋体" w:hAnsi="宋体" w:eastAsia="宋体" w:cs="宋体"/>
          <w:bCs/>
          <w:color w:val="auto"/>
          <w:sz w:val="24"/>
          <w:highlight w:val="none"/>
        </w:rPr>
        <w:t>当日清扫结束后，应在指定地点卸空机械化清扫车辆中的垃圾。</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1.4.3.6</w:t>
      </w:r>
      <w:r>
        <w:rPr>
          <w:rFonts w:hint="eastAsia" w:ascii="宋体" w:hAnsi="宋体" w:eastAsia="宋体" w:cs="宋体"/>
          <w:bCs/>
          <w:color w:val="auto"/>
          <w:sz w:val="24"/>
          <w:highlight w:val="none"/>
        </w:rPr>
        <w:t>机械化清扫车辆所用的扫把丝等消耗品应根据使用状况及时更换。</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1.4.4人工普扫</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1.4.4.1清扫时，在距清扫点适当位置安全警示标识。</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1.4.4.3清扫的街面垃圾、沿街果壳箱中的垃圾应密闭化运至指定地点，运输过程不得抛洒滴漏。</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1.4.5人工保洁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1.4.5.1普扫结束后，应按照规定的责任保洁区域、保洁时间组织巡回保洁。落实责任保洁区域边界管理，保洁时应向保洁边界以外适当延伸（不少于3米），不留保洁盲区和空白点。</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1.4.5.2应定时清运沿街果壳箱中的垃圾，做到垃圾不落地、不积存，日产日清。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1.4.5.3突发性环境卫生污染现场清理时，应严格按照应急处置方案进行保洁，及时消除污染物，恢复路面清洁。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1.4.5.4环卫电动专用作业车辆应在非机动车道顺向行驶，不得超载，且行驶速度不得超过20Km/h。</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1.4.5.5保洁作业结束后，作业工具应在规定地点摆放，不得在道路路面、墙角、绿化带、绿地中存放。</w:t>
      </w:r>
    </w:p>
    <w:p>
      <w:pPr>
        <w:wordWrap/>
        <w:adjustRightInd w:val="0"/>
        <w:snapToGrid w:val="0"/>
        <w:spacing w:line="6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1.5保洁作业质量要求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1.5.1清扫应做到“五无五净”。即无垃圾杂物；无积水积泥，无痰迹烟蒂，无果皮纸屑，无土石杂草；路面干净，绿化带和树圈干净，边角侧石干净，雨水井盖沟眼畅通干净，果壳箱等环卫设施干净、路面见本色。</w:t>
      </w:r>
    </w:p>
    <w:p>
      <w:pPr>
        <w:wordWrap/>
        <w:adjustRightInd w:val="0"/>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1.5.2三化四分相关要求：</w:t>
      </w:r>
      <w:r>
        <w:rPr>
          <w:rFonts w:hint="eastAsia" w:ascii="宋体" w:hAnsi="宋体" w:eastAsia="宋体" w:cs="宋体"/>
          <w:color w:val="auto"/>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pStyle w:val="837"/>
        <w:wordWrap/>
        <w:adjustRightInd w:val="0"/>
        <w:spacing w:line="600" w:lineRule="exact"/>
        <w:rPr>
          <w:rFonts w:hint="eastAsia" w:ascii="宋体" w:hAnsi="宋体" w:eastAsia="宋体" w:cs="宋体"/>
          <w:color w:val="auto"/>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5.3</w:t>
      </w:r>
      <w:r>
        <w:rPr>
          <w:rFonts w:hint="eastAsia" w:ascii="宋体" w:hAnsi="宋体" w:eastAsia="宋体" w:cs="宋体"/>
          <w:color w:val="auto"/>
          <w:highlight w:val="none"/>
        </w:rPr>
        <w:t>本项目范围内所有道路、围墙、设施、建（构）筑物外墙等的“乱涂、乱张贴”等牛皮癣日常清理纳入本次招标内，所有费用包含在投标报价内。</w:t>
      </w:r>
    </w:p>
    <w:p>
      <w:pPr>
        <w:wordWrap/>
        <w:adjustRightInd w:val="0"/>
        <w:snapToGrid w:val="0"/>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1.5.</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 xml:space="preserve">其他要求：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（1）遇有窨井盖丢失、破损等，承包方必须及时上报采购人。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（2）遇有重大活动或突发事件，及时组织力量做好清扫保洁保障工作。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wordWrap/>
        <w:adjustRightInd w:val="0"/>
        <w:snapToGrid w:val="0"/>
        <w:spacing w:line="6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1.6.管理要求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1.6.1供应商在保洁作业中投入的机械设备、人员配置等必须与投标文件中所承诺的数量规格相符合。加强日常作业质量管理，相关计划及报告按采购人要求准时递交。</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1.6.2规范管理、文明作业、自觉接受采购人及其上级各部门领导的检查和社会监督，对出现的问题要及时整改。</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1.6.4果壳箱应定期保养保持整洁完好无缺失，承包期间因操作或管理不善造成破损、缺失的，由中标单位承担费用并负责修复或更新（果壳箱更换款式应保持原样，或经采购人同意后调整款式）。</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1.6.5专用作业车辆（含人力三轮车）符合环卫标准化管理要求，外观喷漆及规格符合采购人要求，机动、人力车辆应按时冲洗保养保持外观整洁，无抛洒滴漏、无满溢、无吊挂。</w:t>
      </w:r>
    </w:p>
    <w:p>
      <w:pPr>
        <w:wordWrap/>
        <w:adjustRightInd w:val="0"/>
        <w:snapToGrid w:val="0"/>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1.6.6垃圾应倾倒在指定的垃圾堆放场地，不得焚烧垃圾、树叶，确需垃圾二次转运的应在指定地点进行，不得直接在保洁道路上进行。</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 xml:space="preserve">1.6.7如遇渣土抛洒污染路面等情况，中标单位应及时上报采购人，并做好照片资料，同时进行道路冲洗清理。   </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1.6.8无新闻媒体曝光，对“12345”市长公开电话和有关受理中心及信访处相关问题，处理、回复及时到位。</w:t>
      </w:r>
      <w:r>
        <w:rPr>
          <w:rFonts w:hint="eastAsia" w:ascii="宋体" w:hAnsi="宋体" w:eastAsia="宋体" w:cs="宋体"/>
          <w:color w:val="auto"/>
          <w:sz w:val="24"/>
          <w:highlight w:val="none"/>
        </w:rPr>
        <w:t>加强管理，确保在国家、省、市、区的各项检查中不失责任分。</w:t>
      </w:r>
    </w:p>
    <w:p>
      <w:pPr>
        <w:tabs>
          <w:tab w:val="left" w:pos="851"/>
          <w:tab w:val="left" w:pos="993"/>
        </w:tabs>
        <w:wordWrap/>
        <w:adjustRightInd w:val="0"/>
        <w:snapToGrid w:val="0"/>
        <w:spacing w:line="600" w:lineRule="exact"/>
        <w:ind w:firstLine="480" w:firstLineChars="200"/>
        <w:rPr>
          <w:rFonts w:hint="eastAsia" w:ascii="宋体" w:hAnsi="宋体" w:eastAsia="宋体" w:cs="宋体"/>
          <w:b w:val="0"/>
          <w:bCs w:val="0"/>
          <w:color w:val="auto"/>
          <w:kern w:val="44"/>
          <w:sz w:val="24"/>
          <w:highlight w:val="none"/>
        </w:rPr>
      </w:pPr>
      <w:r>
        <w:rPr>
          <w:rFonts w:hint="eastAsia" w:ascii="宋体" w:hAnsi="宋体" w:eastAsia="宋体" w:cs="宋体"/>
          <w:b w:val="0"/>
          <w:bCs w:val="0"/>
          <w:color w:val="auto"/>
          <w:kern w:val="44"/>
          <w:sz w:val="24"/>
          <w:highlight w:val="none"/>
        </w:rPr>
        <w:t>2、偷倒垃圾清运要求</w:t>
      </w:r>
    </w:p>
    <w:p>
      <w:pPr>
        <w:tabs>
          <w:tab w:val="left" w:pos="851"/>
          <w:tab w:val="left" w:pos="993"/>
        </w:tabs>
        <w:wordWrap/>
        <w:adjustRightInd w:val="0"/>
        <w:snapToGrid w:val="0"/>
        <w:spacing w:line="600" w:lineRule="exact"/>
        <w:ind w:firstLine="480" w:firstLineChars="200"/>
        <w:rPr>
          <w:rFonts w:hint="eastAsia" w:ascii="宋体" w:hAnsi="宋体" w:eastAsia="宋体" w:cs="宋体"/>
          <w:b/>
          <w:bCs/>
          <w:color w:val="auto"/>
          <w:kern w:val="44"/>
          <w:sz w:val="24"/>
          <w:highlight w:val="none"/>
        </w:rPr>
      </w:pPr>
      <w:r>
        <w:rPr>
          <w:rFonts w:hint="eastAsia" w:ascii="宋体" w:hAnsi="宋体" w:eastAsia="宋体" w:cs="宋体"/>
          <w:bCs/>
          <w:color w:val="auto"/>
          <w:kern w:val="0"/>
          <w:sz w:val="24"/>
          <w:highlight w:val="none"/>
        </w:rPr>
        <w:t>2.1服务内容：</w:t>
      </w:r>
      <w:r>
        <w:rPr>
          <w:rFonts w:hint="eastAsia" w:ascii="宋体" w:hAnsi="宋体" w:eastAsia="宋体" w:cs="宋体"/>
          <w:color w:val="auto"/>
          <w:sz w:val="24"/>
          <w:highlight w:val="none"/>
        </w:rPr>
        <w:t>主要为本项目各个标段采购人管养范围内偷倒的垃圾清运</w:t>
      </w:r>
      <w:r>
        <w:rPr>
          <w:rFonts w:hint="eastAsia" w:ascii="宋体" w:hAnsi="宋体" w:eastAsia="宋体" w:cs="宋体"/>
          <w:bCs/>
          <w:color w:val="auto"/>
          <w:sz w:val="24"/>
          <w:highlight w:val="none"/>
        </w:rPr>
        <w:t>工作，垃圾运至杭州市余杭区综合行政执法局指定的消纳处置场所，相关费包含在本次招标内容中。</w:t>
      </w:r>
    </w:p>
    <w:p>
      <w:pPr>
        <w:wordWrap/>
        <w:adjustRightInd w:val="0"/>
        <w:snapToGrid w:val="0"/>
        <w:spacing w:line="600" w:lineRule="exact"/>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2.2具体要求：</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w:t>
      </w:r>
      <w:r>
        <w:rPr>
          <w:rFonts w:hint="eastAsia" w:ascii="宋体" w:hAnsi="宋体" w:eastAsia="宋体" w:cs="宋体"/>
          <w:color w:val="auto"/>
          <w:sz w:val="24"/>
          <w:highlight w:val="none"/>
        </w:rPr>
        <w:t>服务期内，</w:t>
      </w:r>
      <w:r>
        <w:rPr>
          <w:rFonts w:hint="eastAsia" w:ascii="宋体" w:hAnsi="宋体" w:eastAsia="宋体" w:cs="宋体"/>
          <w:color w:val="auto"/>
          <w:kern w:val="0"/>
          <w:sz w:val="24"/>
          <w:highlight w:val="none"/>
        </w:rPr>
        <w:t>供应商应加强</w:t>
      </w:r>
      <w:r>
        <w:rPr>
          <w:rFonts w:hint="eastAsia" w:ascii="宋体" w:hAnsi="宋体" w:eastAsia="宋体" w:cs="宋体"/>
          <w:color w:val="auto"/>
          <w:sz w:val="24"/>
          <w:highlight w:val="none"/>
        </w:rPr>
        <w:t>所承包范围内防止垃圾偷倒的管理工作。如在所承包范围内发生偷倒，</w:t>
      </w:r>
      <w:r>
        <w:rPr>
          <w:rFonts w:hint="eastAsia" w:ascii="宋体" w:hAnsi="宋体" w:eastAsia="宋体" w:cs="宋体"/>
          <w:color w:val="auto"/>
          <w:kern w:val="0"/>
          <w:sz w:val="24"/>
          <w:highlight w:val="none"/>
        </w:rPr>
        <w:t>需完成</w:t>
      </w:r>
      <w:r>
        <w:rPr>
          <w:rFonts w:hint="eastAsia" w:ascii="宋体" w:hAnsi="宋体" w:eastAsia="宋体" w:cs="宋体"/>
          <w:color w:val="auto"/>
          <w:sz w:val="24"/>
          <w:highlight w:val="none"/>
        </w:rPr>
        <w:t>偷倒的垃圾清运</w:t>
      </w:r>
      <w:r>
        <w:rPr>
          <w:rFonts w:hint="eastAsia" w:ascii="宋体" w:hAnsi="宋体" w:eastAsia="宋体" w:cs="宋体"/>
          <w:bCs/>
          <w:color w:val="auto"/>
          <w:sz w:val="24"/>
          <w:highlight w:val="none"/>
        </w:rPr>
        <w:t>工作，</w:t>
      </w:r>
      <w:r>
        <w:rPr>
          <w:rFonts w:hint="eastAsia" w:ascii="宋体" w:hAnsi="宋体" w:eastAsia="宋体" w:cs="宋体"/>
          <w:color w:val="auto"/>
          <w:kern w:val="0"/>
          <w:sz w:val="24"/>
          <w:highlight w:val="none"/>
        </w:rPr>
        <w:t>垃圾的装车、运输至消纳处置场，因乱倒垃圾不符合相关要求所引发的问题，由供应商承担所有责任及赔偿费用。</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（2）车辆要求：本项目所需的作业车辆应具有有效的道路运输经营许可证，并到采购单位备案。</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w:t>
      </w:r>
      <w:r>
        <w:rPr>
          <w:rFonts w:hint="eastAsia" w:ascii="宋体" w:hAnsi="宋体" w:eastAsia="宋体" w:cs="宋体"/>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kern w:val="0"/>
          <w:sz w:val="24"/>
          <w:highlight w:val="none"/>
        </w:rPr>
        <w:t>（4）清理的时间要求：</w:t>
      </w:r>
      <w:r>
        <w:rPr>
          <w:rFonts w:hint="eastAsia" w:ascii="宋体" w:hAnsi="宋体" w:eastAsia="宋体" w:cs="宋体"/>
          <w:color w:val="auto"/>
          <w:kern w:val="0"/>
          <w:sz w:val="24"/>
          <w:highlight w:val="none"/>
          <w:u w:val="single"/>
        </w:rPr>
        <w:t>2小时之内清理</w:t>
      </w:r>
      <w:r>
        <w:rPr>
          <w:rFonts w:hint="eastAsia" w:ascii="宋体" w:hAnsi="宋体" w:eastAsia="宋体" w:cs="宋体"/>
          <w:color w:val="auto"/>
          <w:kern w:val="0"/>
          <w:sz w:val="24"/>
          <w:highlight w:val="none"/>
        </w:rPr>
        <w:t>。</w:t>
      </w:r>
    </w:p>
    <w:p>
      <w:pPr>
        <w:wordWrap/>
        <w:adjustRightIn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（二）绿化</w:t>
      </w:r>
      <w:r>
        <w:rPr>
          <w:rFonts w:hint="eastAsia" w:ascii="宋体" w:hAnsi="宋体" w:eastAsia="宋体" w:cs="宋体"/>
          <w:color w:val="auto"/>
          <w:sz w:val="24"/>
          <w:highlight w:val="none"/>
          <w:lang w:val="en-US" w:eastAsia="zh-CN"/>
        </w:rPr>
        <w:t>养护</w:t>
      </w:r>
      <w:r>
        <w:rPr>
          <w:rFonts w:hint="eastAsia" w:ascii="宋体" w:hAnsi="宋体" w:eastAsia="宋体" w:cs="宋体"/>
          <w:color w:val="auto"/>
          <w:sz w:val="24"/>
          <w:highlight w:val="none"/>
        </w:rPr>
        <w:t>作业标准</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bCs w:val="0"/>
          <w:i w:val="0"/>
          <w:caps w:val="0"/>
          <w:color w:val="auto"/>
          <w:spacing w:val="0"/>
          <w:w w:val="100"/>
          <w:kern w:val="2"/>
          <w:sz w:val="24"/>
          <w:szCs w:val="24"/>
          <w:highlight w:val="none"/>
          <w:lang w:val="en-US" w:eastAsia="zh-CN" w:bidi="ar-SA"/>
        </w:rPr>
        <w:t>1、总体标准：</w:t>
      </w:r>
      <w:r>
        <w:rPr>
          <w:rStyle w:val="963"/>
          <w:rFonts w:hint="eastAsia" w:ascii="宋体" w:hAnsi="宋体" w:eastAsia="宋体" w:cs="宋体"/>
          <w:b w:val="0"/>
          <w:i w:val="0"/>
          <w:caps w:val="0"/>
          <w:color w:val="auto"/>
          <w:spacing w:val="0"/>
          <w:w w:val="100"/>
          <w:kern w:val="2"/>
          <w:sz w:val="24"/>
          <w:szCs w:val="24"/>
          <w:highlight w:val="none"/>
          <w:lang w:val="en-US" w:eastAsia="zh-CN" w:bidi="ar-SA"/>
        </w:rPr>
        <w:t>指道路绿化带养护的整体质量，内容有养护质量、树木存活率、设施维护、土肥标准、病虫害防治标准及管理标准。</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1.1.植物养护标准：按道路绿化带的立地条件，对植物进行特殊养护、精心养护，使植物健康生长，具有良好的道路景观。</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1.2.树木种植成活率标准：当年新栽植物成活率达95%以上，保存率98%以上，无缺株、死株。</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1.4.病虫害防治标准：提倡综合防治，病虫害应控制在以不影响观赏效果的危害程度之内。</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1.5.道路绿化带的具体养管标准。</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（1）道路绿化带景观要求。</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（2）采用修剪等特殊手法，控制植物高度，植物高度不得影响交通视线。</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（3）特殊地段的景观应按设计精心养护，形成有特色的植物景观。整形植物必须及时修剪保持形态，悬垂植物生长健壮，及时通过修剪去除枯死枝和调整高度及生长密度，整体效果良好。</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（4）花卉花期整齐，株行距适宜，无空秃、色彩效果好。</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（5）绿带必须无裸地，可种植地被植物或草坪。</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（6）绿带内无枯枝残叶、无杂草，整洁无垃圾；每天冲洗一次以上，植物叶面无积尘。</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（7）辅助设施（包括支撑物和悬挂容器）必须安全、完好、整洁、美观。</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（8）道路绿化带及悬垂挂箱冬季浇水应注意不要让水溢出，避免造成路面结冰。</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1.6.道路绿化带养护作业必须穿着有反光条的工作服，做到文明作业，尽量减少对行车的干扰。</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 xml:space="preserve">1.7.招标绿地内涉及到时花养护标准具体参照《杭州市城区花坛、花境养护管理规定（试行）》，加强对花卉的养护管理。时花更换全年至少为六次，在每一次更换时必须要将时花品种、数量方案事先向采购人报备，由采购人确定种植方案，否则将作无更换时花处理，种后由采购人现场验收签字确定，该项费用由投标人自行考虑，含在投标总报价中。 </w:t>
      </w:r>
    </w:p>
    <w:p>
      <w:pPr>
        <w:wordWrap/>
        <w:adjustRightInd w:val="0"/>
        <w:snapToGrid w:val="0"/>
        <w:spacing w:before="0" w:beforeAutospacing="0" w:after="0" w:afterAutospacing="0" w:line="600" w:lineRule="exact"/>
        <w:ind w:firstLine="470" w:firstLineChars="196"/>
        <w:jc w:val="both"/>
        <w:textAlignment w:val="baseline"/>
        <w:rPr>
          <w:rStyle w:val="963"/>
          <w:rFonts w:hint="eastAsia" w:ascii="宋体" w:hAnsi="宋体" w:eastAsia="宋体" w:cs="宋体"/>
          <w:b w:val="0"/>
          <w:bCs/>
          <w:i w:val="0"/>
          <w:caps w:val="0"/>
          <w:color w:val="auto"/>
          <w:spacing w:val="0"/>
          <w:w w:val="100"/>
          <w:kern w:val="2"/>
          <w:sz w:val="24"/>
          <w:szCs w:val="24"/>
          <w:highlight w:val="none"/>
          <w:lang w:val="en-US" w:eastAsia="zh-CN" w:bidi="ar-SA"/>
        </w:rPr>
      </w:pPr>
      <w:r>
        <w:rPr>
          <w:rStyle w:val="963"/>
          <w:rFonts w:hint="eastAsia" w:ascii="宋体" w:hAnsi="宋体" w:eastAsia="宋体" w:cs="宋体"/>
          <w:b w:val="0"/>
          <w:bCs/>
          <w:i w:val="0"/>
          <w:caps w:val="0"/>
          <w:color w:val="auto"/>
          <w:spacing w:val="0"/>
          <w:w w:val="100"/>
          <w:kern w:val="2"/>
          <w:sz w:val="24"/>
          <w:szCs w:val="24"/>
          <w:highlight w:val="none"/>
          <w:lang w:val="en-US" w:eastAsia="zh-CN" w:bidi="ar-SA"/>
        </w:rPr>
        <w:t>2.养护管理其他要求：</w:t>
      </w:r>
    </w:p>
    <w:p>
      <w:pPr>
        <w:wordWrap/>
        <w:adjustRightInd w:val="0"/>
        <w:snapToGrid w:val="0"/>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wordWrap/>
        <w:adjustRightInd w:val="0"/>
        <w:snapToGrid w:val="0"/>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（2）规范管理、文明作业、自觉接受采购人及其上级各部门领导的检查和社会监督，对出现的问题要及时整改。</w:t>
      </w:r>
    </w:p>
    <w:p>
      <w:pPr>
        <w:wordWrap/>
        <w:adjustRightInd w:val="0"/>
        <w:snapToGrid w:val="0"/>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（6）道路绿化中标后，应给每一个道路绿化工作人员购买人身意外伤害保险；</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（7）加强绿化养护应急响应管理工作，具体要求参照《杭州市城区绿化防台树木支撑工作方案》。</w:t>
      </w:r>
    </w:p>
    <w:p>
      <w:pPr>
        <w:wordWrap/>
        <w:adjustRightInd w:val="0"/>
        <w:snapToGrid/>
        <w:spacing w:before="0" w:beforeAutospacing="0" w:after="0" w:afterAutospacing="0" w:line="600" w:lineRule="exact"/>
        <w:ind w:firstLine="48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①制定灾害性天气应急预案，建立应急救灾队伍，将应急预案和人员名单上报采购人备案。</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②建立应急备货制，备货的内容有：抗旱、抗涝、抗台、抗寒、抗雪等物资（支撑钢管、毛竹、水泵、遮阴网、草包等），快速支撑钢管只能做为一部分应急物资储备，不是唯一的抗台应急物资。</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 xml:space="preserve">③遇灾害性天气，听从采购人统一指挥，及时组织人员夏季抗旱、抗台，冬季遇积雪必须及时组织人员进行抗雪。遇到树木斜倒时，根据采购人要求，做好清障扶正工作。 </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④做好防台树木支撑工作，在市气象台发出台风预警信号以后，立即做好树木支撑工作。</w:t>
      </w:r>
    </w:p>
    <w:p>
      <w:pPr>
        <w:wordWrap/>
        <w:adjustRightInd w:val="0"/>
        <w:snapToGrid w:val="0"/>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（8）中标单位根据采购人通知要求，做好各类“迎检”和“创建”准备工作。</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（9）经过园林绿化管理部门批准的绿地内挖掘及占用绿地时，中标单位应予以积极配合，复种后的绿地应由中标单位负责正常养护。</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要求公园、广场内的园路、硬质铺装、所有照明设施等养护质量达到《余杭区市政设施养护质量标准》。包括公园、广场内设施油漆，发现油漆剥落问题，即知即改；木质景观廊架、长廊油漆，每年梅雨季节前油漆桐油一次；保持园内水池清洁，水体不浑浊、无漂浮物、无青苔等其它垃圾。</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）建立日常巡查制度，巡查人员对所管辖的绿地每天巡查一次，发现问题及时整改。建立养护管理工作台帐，做好养护工作日报、月报、年报，健全养护档案制度。</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（12）绿化养护期内产生的各种的垃圾必须进入垃圾中转站，其处理产生费用由中标单位负责。</w:t>
      </w:r>
    </w:p>
    <w:p>
      <w:pPr>
        <w:pStyle w:val="964"/>
        <w:widowControl/>
        <w:wordWrap/>
        <w:adjustRightInd w:val="0"/>
        <w:snapToGrid/>
        <w:spacing w:before="0" w:beforeAutospacing="0" w:after="0" w:afterAutospacing="0" w:line="600" w:lineRule="exact"/>
        <w:ind w:firstLine="352" w:firstLineChars="147"/>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（13）中标单位在养护管理期间，由于养管不力，采购人有权终止合同，并由中标单位承担一切责任。</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市政养护</w:t>
      </w:r>
      <w:r>
        <w:rPr>
          <w:rFonts w:hint="eastAsia" w:ascii="宋体" w:hAnsi="宋体" w:eastAsia="宋体" w:cs="宋体"/>
          <w:color w:val="auto"/>
          <w:sz w:val="24"/>
          <w:highlight w:val="none"/>
        </w:rPr>
        <w:t>作业标准</w:t>
      </w:r>
    </w:p>
    <w:p>
      <w:pPr>
        <w:widowControl/>
        <w:wordWrap/>
        <w:adjustRightInd w:val="0"/>
        <w:spacing w:line="600" w:lineRule="exact"/>
        <w:ind w:firstLine="480" w:firstLineChars="200"/>
        <w:jc w:val="left"/>
        <w:rPr>
          <w:rFonts w:hint="eastAsia" w:ascii="宋体" w:hAnsi="宋体" w:eastAsia="宋体" w:cs="宋体"/>
          <w:color w:val="auto"/>
          <w:highlight w:val="none"/>
        </w:rPr>
      </w:pPr>
      <w:bookmarkStart w:id="29" w:name="_Toc113269438"/>
      <w:bookmarkStart w:id="30" w:name="_Toc113269385"/>
      <w:bookmarkStart w:id="31" w:name="_Toc120939369"/>
      <w:r>
        <w:rPr>
          <w:rFonts w:hint="eastAsia" w:ascii="宋体" w:hAnsi="宋体" w:eastAsia="宋体" w:cs="宋体"/>
          <w:color w:val="auto"/>
          <w:kern w:val="0"/>
          <w:sz w:val="24"/>
          <w:szCs w:val="24"/>
          <w:highlight w:val="none"/>
          <w:lang w:val="en-US" w:eastAsia="zh-CN"/>
        </w:rPr>
        <w:t xml:space="preserve">1、中标方在日常巡检、经常性检查和常规的定期检测、定期维护中，发现设施有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明显破损、设备有隐患，应立即进行保养；大面积维修，方案需报甲方审核后实施；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对道路因不适应现有交通量、载重量增长的需要及结构严重损坏，需恢复或提高技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术等级，从而提高其运行能力的加固、改扩建工程，乙方应专题上报，并经甲方审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定后申请立项。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2、中标方应建立一路一档，健全日常养护作业记录，认真做好台帐的整理和归档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工作，及时将日常养护、维修、检测、技术状况评价等相关数据及时、准确报送至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甲方。</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3、针对配套管线、管沟、无产权单位窨井发生下沉、坍塌等情况，对于产权明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确的管线、窨井问题（如电力、电信、自来水等），及时报告甲方同时必须通知相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应产权单位自行维护、处理；一时无法确定产权单位、存在安全隐患、无产权单位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窨井发生下沉、坍塌等情况，乙方应做好临时维护措施，确保行人、车辆安全，同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时及时报告采购方。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4、养护作业单位安全生产工作落实，避免发生交通事故，对辖区一线道路养护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人员进行安全生产全面轮训，新上岗人员应实施安全生产培训后方可上岗，自觉养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成“一停二看三作业”的良好习惯，提高自我防范意识。如遇意外伤亡交通事故发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生应及时上报。养护人员须穿反光背心，作业车辆要在车辆前部、后部、两侧设置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反光标识。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5其他要求：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 本项目投标报价为费率报价包括（人工费、材料费、机械使用费、相关设备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系统安装费、管理、利润、规费、税金、招标代理费、有关部门的验收费、政策性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文件规定及合同包含的所有风险、责任及其他因本项目而产生的一切费用。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5.2 养护期限内，明确承包人只有养护权，没有管理权，市政道路设施管理由杭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州市余杭区人民政府五常街道办事处全权管理。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5.3 投标人中标后，发包人与中标人签订安全生产责任书，责任书中明确提出，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在养护期间所发生的任何安全事故一律由承包人负责，发包人不承担任何责任。发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包人会定期对安全生产进行检查，万一出现安全事故，发包人有义务帮助承包人协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调解决。</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5.4 施工养护期间，对于原市政道路设施存在的问题，承包人负有担负调查、分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析原因和提出整改方案的义务，具体更换或维修由发包人统一安排。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5.5 在养护期限内产生的各种费用（运输、装卸、堆放、场地租用费及其他有关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费用）由投标单位负责。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5.6 中标人必须做好相关工作人员安全、文明的教育交底工作，交通安全、用电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安全尤其是道路安全隐患（比如道路坑洞、井盖缺失或破损）的排查工作，如发生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安全意外事故，一切责任由中标单位负责，负责做好赔偿等事宜。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5.7 本养护项目考核评分细则中的内容，也作为本工程招标的特殊条款，为招标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文件的组成部分，作为中标后养护管理的考核标准，施工养护期内，招标人有权修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改、完善、提升养护考核细则，更新的养护细则中标人须无条件接受。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5.8 道路养护巡查每次至少两个人，交通工具视具体情况而定，鼓励自行车或步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行为主，及时发现问题，涉及安全事宜，应立即采取措施，清除安全隐患，事后及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时报告，若巡查不到位，造成不良影响的，每次罚款 2000 元。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5.9 养护人员需统一服装，并有相应上岗证，在道路上养护时，需做好用电安全、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交通安全维护，如有需要须经交警部门审批后方可实施。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5.10 道路养护单位中标后必须配备 100 米以上的移动标准标志牌，尺寸为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1.5m*1.2m。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5.11 市政道路养护单位必须重视养护工程质量，各分项工程质量（比如砼、水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稳、沥青砼路面等）必须符合市政工程施工质量规范相关规定，施工过程必须做好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相应的试块，并送专业实验室检测，检测费用由中标单位承担，若经过相关试验检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测结果不合格，须返工处理，投标人必须无条件接受。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5.12 若市政道路砼、水稳、沥青砼路面存在外观欠佳、平整度差、表面松散等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情况，招标人有权决定是否返工处理，投标人必须无条件接受。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5.13 为缩短沥青路面修补的时间，保持道路安全畅通和城市整洁美观，要求沥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青路面修补在基层保养合格后或接到业主要求后，当天完成沥青路面修补。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5.14 在养护过程中，发包人若在该区域有新接收的市政道路设施，有权要求承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包人无条件养护，养护工作量按实计算。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5.15 在承包期内如因承包人原因造成招标人财产损失的，招标人有权酌情扣去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履约保证金。 </w:t>
      </w:r>
    </w:p>
    <w:p>
      <w:pPr>
        <w:widowControl/>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val="en-US" w:eastAsia="zh-CN"/>
        </w:rPr>
        <w:t xml:space="preserve">5.16 具体在养护合同中予以明确。 </w:t>
      </w:r>
      <w:bookmarkEnd w:id="29"/>
      <w:bookmarkEnd w:id="30"/>
      <w:bookmarkEnd w:id="31"/>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（四）河道养护作业标准</w:t>
      </w:r>
    </w:p>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第一章 总则</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 为进一步规范城市河道日常养护操作管理，确保河道养护质量，树立城市河道养护人员良好的服务形象，特制定本规范。</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 本规范是杭州市城市河道养护作业人员队伍队容风纪管理的基本依据，适用于杭州市区范围内（上城区、下城区、江干区、拱墅区、西湖区、景区、萧山区、余杭区、滨江区、经济技术开发区）所有城市河道一线养护作业人员。</w:t>
      </w:r>
    </w:p>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第二章 仪容仪表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 河道作业人员工作期间应穿着统一工作服，保持着装整洁。</w:t>
      </w:r>
    </w:p>
    <w:p>
      <w:pPr>
        <w:numPr>
          <w:ilvl w:val="0"/>
          <w:numId w:val="5"/>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作业时必须穿戴统一配发的工作服、工号牌。</w:t>
      </w:r>
    </w:p>
    <w:p>
      <w:pPr>
        <w:spacing w:line="360" w:lineRule="auto"/>
        <w:ind w:firstLine="2040" w:firstLineChars="850"/>
        <w:rPr>
          <w:rFonts w:hint="eastAsia" w:ascii="宋体" w:hAnsi="宋体" w:eastAsia="宋体" w:cs="宋体"/>
          <w:color w:val="auto"/>
          <w:sz w:val="24"/>
          <w:highlight w:val="none"/>
        </w:rPr>
      </w:pPr>
      <w:r>
        <w:rPr>
          <w:rFonts w:hint="eastAsia" w:ascii="宋体" w:hAnsi="宋体" w:eastAsia="宋体" w:cs="宋体"/>
          <w:color w:val="auto"/>
          <w:sz w:val="24"/>
          <w:highlight w:val="none"/>
        </w:rPr>
        <w:t>正面                               侧面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lang w:val="en-US" w:eastAsia="zh-CN" w:bidi="ar-SA"/>
        </w:rPr>
        <w:drawing>
          <wp:inline distT="0" distB="0" distL="114300" distR="114300">
            <wp:extent cx="2095500" cy="2676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8">
                      <a:lum/>
                    </a:blip>
                    <a:stretch>
                      <a:fillRect/>
                    </a:stretch>
                  </pic:blipFill>
                  <pic:spPr>
                    <a:xfrm>
                      <a:off x="0" y="0"/>
                      <a:ext cx="2095500" cy="2676525"/>
                    </a:xfrm>
                    <a:prstGeom prst="rect">
                      <a:avLst/>
                    </a:prstGeom>
                    <a:noFill/>
                    <a:ln>
                      <a:noFill/>
                    </a:ln>
                  </pic:spPr>
                </pic:pic>
              </a:graphicData>
            </a:graphic>
          </wp:inline>
        </w:drawing>
      </w:r>
      <w:r>
        <w:rPr>
          <w:rFonts w:hint="eastAsia" w:ascii="宋体" w:hAnsi="宋体" w:eastAsia="宋体" w:cs="宋体"/>
          <w:color w:val="auto"/>
          <w:sz w:val="24"/>
          <w:highlight w:val="none"/>
        </w:rPr>
        <w:t xml:space="preserve">          </w:t>
      </w:r>
      <w:r>
        <w:rPr>
          <w:rFonts w:hint="eastAsia" w:ascii="宋体" w:hAnsi="宋体" w:eastAsia="宋体" w:cs="宋体"/>
          <w:color w:val="auto"/>
          <w:kern w:val="2"/>
          <w:sz w:val="24"/>
          <w:szCs w:val="24"/>
          <w:highlight w:val="none"/>
          <w:lang w:val="en-US" w:eastAsia="zh-CN" w:bidi="ar-SA"/>
        </w:rPr>
        <w:drawing>
          <wp:inline distT="0" distB="0" distL="114300" distR="114300">
            <wp:extent cx="1943100" cy="2724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9">
                      <a:lum/>
                    </a:blip>
                    <a:stretch>
                      <a:fillRect/>
                    </a:stretch>
                  </pic:blipFill>
                  <pic:spPr>
                    <a:xfrm>
                      <a:off x="0" y="0"/>
                      <a:ext cx="1943100" cy="2724150"/>
                    </a:xfrm>
                    <a:prstGeom prst="rect">
                      <a:avLst/>
                    </a:prstGeom>
                    <a:noFill/>
                    <a:ln>
                      <a:noFill/>
                    </a:ln>
                  </pic:spPr>
                </pic:pic>
              </a:graphicData>
            </a:graphic>
          </wp:inline>
        </w:drawing>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（二）作业时衣着整齐，工作服无污渍、无破损、无脱线、无纽扣缺损，扣全纽扣，不敞衣露怀（河面养护时须着救生衣），不挽袖卷裤腿（防汛时除外），不穿拖鞋工作。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工号牌要求佩戴在左胸前，表面保持干净，避免污渍迹沾染。工号牌长6.5cm，宽2cm，底色橘黄，字体为宋体，工号由各城区头两个字的首位字母和4位数字组成，如上城区，用SC开头后面跟0001，各城区可结合实际具体划分后四位数字。</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第四条 河道作业人员工号牌，一人一号，不得转借。河道作业人员在非工作时间，不得穿戴工作服，凡离开河道作业队伍时，工作服和工号牌一律上交。</w:t>
      </w:r>
    </w:p>
    <w:p>
      <w:pPr>
        <w:spacing w:line="360" w:lineRule="auto"/>
        <w:ind w:firstLine="66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河道作业人员仪表应当整洁。男作业人员不得留长发、蓄长须；女作业人员上岗前应把头发夹好。</w:t>
      </w:r>
    </w:p>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第三章 行为规范</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第六条 河道作业人员应自觉做到文明礼仪，文明用语，礼让行人，规范作业，不得与他人、单位发生冲突。</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第七条 作业时间内严禁饮酒及酒后作业。不得边作业边吸烟、吃零食，不得聚堆闲聊、打牌休闲，不得从事与本职无关的其它活动。</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    第八条 河岸作业人员应将作业工具和设备摆放整齐，不得将扫帚、畚箕等作业工具存放在绿化带中。垃圾运输车辆保持车容车貌整洁，停放在不影响其它车辆、行人通行的合适位置。河面作业人员下班时应将作业船只打扫干净并系在固定地点。非作业需要，不得使用作业车辆或船只。</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第九条 河岸作业人员作业时不漏扫、返扫，变换工作位置时，不得将工具沿地拖行或扛在肩上，应将工具手持离地或放置于作业车辆内。作业时装载垃圾防止撒漏，以免影响环境卫生。不得在河道内清洗作业工具。</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第十条 主动向班组长反馈作业过程中发现的异常情况（如违章行为、水质突变、已整治河道排水口晴天出水等现象）。</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（五）公厕保洁作业标准</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1.马桶清倒要求做到日产日清；</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承包价按中标价执行，承包价款项含包工、包料、包机械设备、包质量、包安全、包责任、包税收，公厕使用的水费、电费，即承包者负责作业所需的一切费用支出（包括工人工资、工具、吸粪车辆、厕所耗材等厕所零星所需更换零件等费用、维修及更换设施（设施包括公厕内使用的所有设备），并包括公厕至污水井管道疏通、维修，化粪池维修及化粪池满后污水外运至处理站等全部由中标人承担。如水、电费用其他管养公司或第三方有共用时，中标单位可通过协商解决。</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乙方应根据本招标文件、《余杭区“厕所革命”行动方案》中的规定，投标人在技术标中的相关内容及甲方提供的所有相关资料，按标准公厕16小时保洁(上午6:00至下午22:00)，高标准公则按24小时保洁，公开放时间为24小时。</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4、保洁人员统一着装、持证上岗。</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5、公管养定人定时定岗，每天6点、11点、17点进行三次彻底清洁，其他时间随脏随扫，做到一出一进，即如厕人出厕后进则打扫，保持干净整洁，无明显异味。</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6、五常街道公厕</w:t>
      </w:r>
      <w:r>
        <w:rPr>
          <w:rFonts w:hint="eastAsia" w:ascii="宋体" w:hAnsi="宋体" w:cs="宋体"/>
          <w:color w:val="auto"/>
          <w:kern w:val="0"/>
          <w:sz w:val="24"/>
          <w:szCs w:val="24"/>
          <w:highlight w:val="none"/>
          <w:lang w:val="en-US" w:eastAsia="zh-CN"/>
        </w:rPr>
        <w:t>四标段</w:t>
      </w:r>
      <w:r>
        <w:rPr>
          <w:rFonts w:hint="eastAsia" w:ascii="宋体" w:hAnsi="宋体" w:eastAsia="宋体" w:cs="宋体"/>
          <w:color w:val="auto"/>
          <w:kern w:val="0"/>
          <w:sz w:val="24"/>
          <w:szCs w:val="24"/>
          <w:highlight w:val="none"/>
          <w:lang w:val="en-US" w:eastAsia="zh-CN"/>
        </w:rPr>
        <w:t>共计现有公厕10座，需配备保洁人员不少于 19  （包含项目负责人一名，安全员一名）人。其中高标准公厕 7 座，保洁时间24小时，保洁时间内每座公厕人员不少于2人，男女各一名，共计 14 人）；标准公厕   3 座，保洁时间16小时，人员不少于1人（共计 3 人）；公厕实行24小时免费开放，不得计费，且公厕内不得出现任何经营性行为；</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7、招标范围内涉及一座城管驿站（BRT二号公厕二楼城管驿站），站内的保洁和水电费及站内设施运维由中标单位负责。</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三、环卫保洁管理要求：</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   （1）、按《杭州市人民政府办公厅转发市城管关于杭州城区整洁度检查考核试行办法的通知》（杭政办函【2012】177号）、《关于印发2020年度各区、县（市）政府（管委会）城市管理目标考核办法的通知》（杭城管局【2020】42号）、《关于进一步明确城市各类保洁相关要求的通知》（杭城管局【2020】49号）和《关于印发&lt;杭州市环卫作业人员着装与作业行为规范&gt;及&lt;杭州市环卫作业车辆标识与作业管理规范&gt;的通知（杭城管委【2016】130号）中明确的相关要求执行，如市、区相应规范标准有更新，按照最新版本执行。</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按照以人为本原则关心职工，严重遵守《劳动法》、《劳动合同法》等劳动法规，保障职工合法权益。认真贯彻杭政办《浙江省人民政府办公厅关于进一步改善环卫工人工作生活条件促进环卫事业持续健康发展的若干意见》（浙政办发【2009】190号）和《杭州市人民政府办公厅关于进一步解决环卫工人实际困难保障其合法权益的意见》（【2018】14号）文件精神，环卫工人工资不得低于文件规定的工资标准，落实职工劳保福利待遇。</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   （3）、环卫职工的工资、岗位津贴、加班工资等必须确保按月发放。</w:t>
      </w:r>
    </w:p>
    <w:p>
      <w:pPr>
        <w:widowControl/>
        <w:wordWrap/>
        <w:adjustRightInd w:val="0"/>
        <w:spacing w:line="60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公厕设施维护要求:</w:t>
      </w:r>
    </w:p>
    <w:p>
      <w:pPr>
        <w:widowControl/>
        <w:wordWrap/>
        <w:adjustRightInd w:val="0"/>
        <w:spacing w:line="600" w:lineRule="exact"/>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 xml:space="preserve">公厕内设施出现破坏的，养护单位要组织维修人员在2日内完成修复或更换。供水、供电、排水、通风等设备完好，有效保证使用，简单问题的必须12小时以内修复。墙壁、地面、隔断板、洗手台、门窗、便器、开关、手柄、门锁、挂衣钩等设施损坏的必须要在两天内修复或更换。公厕内设置的标志保持清洁、完整、规范，如出现破损的，必须在12小时内修复或更换。具体在养护合同中予以明确。 </w:t>
      </w:r>
    </w:p>
    <w:p>
      <w:pPr>
        <w:spacing w:line="360" w:lineRule="auto"/>
        <w:ind w:firstLine="480" w:firstLineChars="200"/>
        <w:rPr>
          <w:rFonts w:hint="eastAsia" w:ascii="宋体" w:hAnsi="宋体" w:eastAsia="宋体" w:cs="宋体"/>
          <w:color w:val="auto"/>
          <w:sz w:val="24"/>
          <w:highlight w:val="none"/>
        </w:rPr>
      </w:pPr>
    </w:p>
    <w:p>
      <w:pPr>
        <w:pStyle w:val="36"/>
        <w:snapToGrid w:val="0"/>
        <w:spacing w:line="600" w:lineRule="exact"/>
        <w:ind w:firstLine="241" w:firstLineChars="1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九</w:t>
      </w:r>
      <w:r>
        <w:rPr>
          <w:rFonts w:hint="eastAsia" w:ascii="宋体" w:hAnsi="宋体" w:eastAsia="宋体" w:cs="宋体"/>
          <w:b/>
          <w:bCs/>
          <w:color w:val="auto"/>
          <w:sz w:val="24"/>
          <w:highlight w:val="none"/>
        </w:rPr>
        <w:t>、综合养护考核</w:t>
      </w:r>
    </w:p>
    <w:p>
      <w:pPr>
        <w:pStyle w:val="36"/>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cs="宋体"/>
          <w:b/>
          <w:bCs/>
          <w:snapToGrid w:val="0"/>
          <w:color w:val="auto"/>
          <w:kern w:val="2"/>
          <w:sz w:val="24"/>
          <w:szCs w:val="21"/>
          <w:highlight w:val="none"/>
          <w:lang w:val="en-US" w:eastAsia="zh-CN" w:bidi="ar-SA"/>
        </w:rPr>
        <w:t xml:space="preserve"> </w:t>
      </w:r>
      <w:r>
        <w:rPr>
          <w:rFonts w:hint="eastAsia" w:ascii="宋体" w:hAnsi="宋体" w:eastAsia="宋体" w:cs="宋体"/>
          <w:b/>
          <w:bCs/>
          <w:snapToGrid w:val="0"/>
          <w:color w:val="auto"/>
          <w:kern w:val="2"/>
          <w:sz w:val="24"/>
          <w:szCs w:val="21"/>
          <w:highlight w:val="none"/>
          <w:lang w:val="en-US" w:eastAsia="zh-CN" w:bidi="ar-SA"/>
        </w:rPr>
        <w:t>按</w:t>
      </w:r>
      <w:r>
        <w:rPr>
          <w:rFonts w:hint="eastAsia" w:ascii="宋体" w:hAnsi="宋体" w:cs="宋体"/>
          <w:b/>
          <w:bCs/>
          <w:snapToGrid w:val="0"/>
          <w:color w:val="auto"/>
          <w:kern w:val="2"/>
          <w:sz w:val="24"/>
          <w:szCs w:val="21"/>
          <w:highlight w:val="none"/>
          <w:lang w:val="en-US" w:eastAsia="zh-CN" w:bidi="ar-SA"/>
        </w:rPr>
        <w:t>《</w:t>
      </w:r>
      <w:r>
        <w:rPr>
          <w:rFonts w:hint="eastAsia" w:ascii="宋体" w:hAnsi="宋体" w:eastAsia="宋体" w:cs="宋体"/>
          <w:b/>
          <w:bCs/>
          <w:snapToGrid w:val="0"/>
          <w:color w:val="auto"/>
          <w:kern w:val="2"/>
          <w:sz w:val="24"/>
          <w:szCs w:val="21"/>
          <w:highlight w:val="none"/>
          <w:lang w:val="en-US" w:eastAsia="zh-CN" w:bidi="ar-SA"/>
        </w:rPr>
        <w:t>关于进一步完善五常街道城市一体化综合养护考核办法的通知</w:t>
      </w:r>
      <w:r>
        <w:rPr>
          <w:rFonts w:hint="eastAsia" w:ascii="宋体" w:hAnsi="宋体" w:cs="宋体"/>
          <w:b/>
          <w:bCs/>
          <w:snapToGrid w:val="0"/>
          <w:color w:val="auto"/>
          <w:kern w:val="2"/>
          <w:sz w:val="24"/>
          <w:szCs w:val="21"/>
          <w:highlight w:val="none"/>
          <w:lang w:val="en-US" w:eastAsia="zh-CN" w:bidi="ar-SA"/>
        </w:rPr>
        <w:t>》</w:t>
      </w:r>
      <w:r>
        <w:rPr>
          <w:rFonts w:hint="eastAsia" w:ascii="宋体" w:hAnsi="宋体" w:eastAsia="宋体" w:cs="宋体"/>
          <w:b/>
          <w:bCs/>
          <w:color w:val="auto"/>
          <w:sz w:val="24"/>
          <w:highlight w:val="none"/>
        </w:rPr>
        <w:t>（附件1-</w:t>
      </w:r>
      <w:r>
        <w:rPr>
          <w:rFonts w:hint="eastAsia" w:hAnsi="宋体" w:cs="宋体"/>
          <w:b/>
          <w:bCs/>
          <w:color w:val="auto"/>
          <w:sz w:val="24"/>
          <w:highlight w:val="none"/>
          <w:lang w:val="en-US" w:eastAsia="zh-CN"/>
        </w:rPr>
        <w:t>6</w:t>
      </w:r>
      <w:r>
        <w:rPr>
          <w:rFonts w:hint="eastAsia" w:ascii="宋体" w:hAnsi="宋体" w:eastAsia="宋体" w:cs="宋体"/>
          <w:b/>
          <w:bCs/>
          <w:color w:val="auto"/>
          <w:sz w:val="24"/>
          <w:highlight w:val="none"/>
        </w:rPr>
        <w:t>）规定执行。</w:t>
      </w:r>
    </w:p>
    <w:p>
      <w:pPr>
        <w:pStyle w:val="36"/>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十一</w:t>
      </w:r>
      <w:r>
        <w:rPr>
          <w:rFonts w:hint="eastAsia" w:ascii="宋体" w:hAnsi="宋体" w:eastAsia="宋体" w:cs="宋体"/>
          <w:b/>
          <w:bCs/>
          <w:color w:val="auto"/>
          <w:sz w:val="24"/>
          <w:highlight w:val="none"/>
        </w:rPr>
        <w:t>、授予合同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1、中标单位应在接到中标通知书30天内按照招标文件和中标人的投标文件签订服务承包合同（进场作业时间由招标单位确定后通知中标单位），并提交中标价</w:t>
      </w:r>
      <w:r>
        <w:rPr>
          <w:rFonts w:hint="eastAsia" w:hAnsi="宋体" w:cs="宋体"/>
          <w:color w:val="auto"/>
          <w:sz w:val="24"/>
          <w:highlight w:val="none"/>
          <w:lang w:val="en-US" w:eastAsia="zh-CN"/>
        </w:rPr>
        <w:t>1</w:t>
      </w:r>
      <w:r>
        <w:rPr>
          <w:rFonts w:hint="eastAsia" w:ascii="宋体" w:hAnsi="宋体" w:eastAsia="宋体" w:cs="宋体"/>
          <w:color w:val="auto"/>
          <w:sz w:val="24"/>
          <w:highlight w:val="none"/>
        </w:rPr>
        <w:t>%的履约保证金，若中标人借故拖延或拒签合同或对标函方案和标价计算作出随意更改的，即取消中标资格，没收投标保证金，并另选中标人，并按标价的10%补偿招标单位的经济损失。</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2、定标后，招标人借故拖延合同或改变中标单位的，依据有关法律、法规的规定执行。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3、招标文件中的服务期即为合同服务期。</w:t>
      </w:r>
    </w:p>
    <w:p>
      <w:pPr>
        <w:widowControl w:val="0"/>
        <w:wordWrap/>
        <w:adjustRightInd/>
        <w:snapToGrid/>
        <w:spacing w:line="560" w:lineRule="exact"/>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4、中标单位须按招标人的招标文件、规定、综合养护标准认真履行合同，甲方根据招标文件、</w:t>
      </w:r>
      <w:r>
        <w:rPr>
          <w:rFonts w:hint="eastAsia" w:ascii="宋体" w:hAnsi="宋体" w:eastAsia="宋体" w:cs="宋体"/>
          <w:color w:val="auto"/>
          <w:sz w:val="24"/>
          <w:highlight w:val="none"/>
          <w:lang w:eastAsia="zh-CN"/>
        </w:rPr>
        <w:t>《</w:t>
      </w:r>
      <w:r>
        <w:rPr>
          <w:rFonts w:hint="eastAsia" w:ascii="宋体" w:hAnsi="宋体" w:eastAsia="宋体" w:cs="宋体"/>
          <w:b/>
          <w:bCs/>
          <w:snapToGrid w:val="0"/>
          <w:color w:val="auto"/>
          <w:kern w:val="2"/>
          <w:sz w:val="24"/>
          <w:szCs w:val="21"/>
          <w:highlight w:val="none"/>
          <w:lang w:val="en-US" w:eastAsia="zh-CN" w:bidi="ar-SA"/>
        </w:rPr>
        <w:t>关于进一步完善五常街道城市一体化综合养护考核办法的通知</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附件1-</w:t>
      </w:r>
      <w:r>
        <w:rPr>
          <w:rFonts w:hint="eastAsia" w:hAnsi="宋体" w:cs="宋体"/>
          <w:color w:val="auto"/>
          <w:sz w:val="24"/>
          <w:highlight w:val="none"/>
          <w:lang w:val="en-US" w:eastAsia="zh-CN"/>
        </w:rPr>
        <w:t>6</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规定执行及其它有关规定、技术标准执。</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p>
    <w:p>
      <w:pPr>
        <w:pStyle w:val="36"/>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十二</w:t>
      </w:r>
      <w:r>
        <w:rPr>
          <w:rFonts w:hint="eastAsia" w:ascii="宋体" w:hAnsi="宋体" w:eastAsia="宋体" w:cs="宋体"/>
          <w:b/>
          <w:bCs/>
          <w:color w:val="auto"/>
          <w:sz w:val="24"/>
          <w:highlight w:val="none"/>
        </w:rPr>
        <w:t>、履约保证金</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1、中标人在签订合同后需向招标人提交合同价金额</w:t>
      </w:r>
      <w:r>
        <w:rPr>
          <w:rFonts w:hint="eastAsia" w:hAnsi="宋体" w:cs="宋体"/>
          <w:color w:val="auto"/>
          <w:sz w:val="24"/>
          <w:highlight w:val="none"/>
          <w:lang w:val="en-US" w:eastAsia="zh-CN"/>
        </w:rPr>
        <w:t>1</w:t>
      </w:r>
      <w:r>
        <w:rPr>
          <w:rFonts w:hint="eastAsia" w:ascii="宋体" w:hAnsi="宋体" w:eastAsia="宋体" w:cs="宋体"/>
          <w:color w:val="auto"/>
          <w:sz w:val="24"/>
          <w:highlight w:val="none"/>
        </w:rPr>
        <w:t>％的合同履约保证金（保证金缴纳形式：转账支票、汇票、网银、保函等招标人认可的其他形式）,在承包期满后三十天内退还（无息）。如承包期内，中标人没按要求履行合同则保证金不予归还。</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2、在承包期内如因承包人原因造成招标人财产损失的，招标人有权酌情扣去履约保证金。</w:t>
      </w:r>
    </w:p>
    <w:p>
      <w:pPr>
        <w:pStyle w:val="36"/>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十三</w:t>
      </w:r>
      <w:r>
        <w:rPr>
          <w:rFonts w:hint="eastAsia" w:ascii="宋体" w:hAnsi="宋体" w:eastAsia="宋体" w:cs="宋体"/>
          <w:b/>
          <w:bCs/>
          <w:color w:val="auto"/>
          <w:sz w:val="24"/>
          <w:highlight w:val="none"/>
        </w:rPr>
        <w:t>、养护</w:t>
      </w:r>
      <w:r>
        <w:rPr>
          <w:rFonts w:hint="eastAsia" w:hAnsi="宋体" w:cs="宋体"/>
          <w:b/>
          <w:bCs/>
          <w:color w:val="auto"/>
          <w:sz w:val="24"/>
          <w:highlight w:val="none"/>
          <w:lang w:val="en-US" w:eastAsia="zh-CN"/>
        </w:rPr>
        <w:t>经</w:t>
      </w:r>
      <w:r>
        <w:rPr>
          <w:rFonts w:hint="eastAsia" w:ascii="宋体" w:hAnsi="宋体" w:eastAsia="宋体" w:cs="宋体"/>
          <w:b/>
          <w:bCs/>
          <w:color w:val="auto"/>
          <w:sz w:val="24"/>
          <w:highlight w:val="none"/>
        </w:rPr>
        <w:t>费的支付</w:t>
      </w:r>
    </w:p>
    <w:p>
      <w:pPr>
        <w:pStyle w:val="36"/>
        <w:snapToGrid w:val="0"/>
        <w:spacing w:line="6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中标单位应在中标通知书发出后7日内并在合同实施前，编写《综合养护方案》上报甲方审核后签订合同，签订合同后，7个工作日内支付总合同价的</w:t>
      </w: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%作为履约保证金。</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根据《浙江省财政厅关于进一步发挥政府采购政策 功能全力推动经济稳进提质的通知》</w:t>
      </w:r>
      <w:r>
        <w:rPr>
          <w:rFonts w:hint="eastAsia" w:ascii="宋体" w:hAnsi="宋体" w:eastAsia="宋体" w:cs="宋体"/>
          <w:b/>
          <w:bCs/>
          <w:color w:val="auto"/>
          <w:sz w:val="24"/>
          <w:highlight w:val="none"/>
        </w:rPr>
        <w:t>浙财采监〔2022〕3号</w:t>
      </w:r>
      <w:r>
        <w:rPr>
          <w:rFonts w:hint="eastAsia" w:ascii="宋体" w:hAnsi="宋体" w:eastAsia="宋体" w:cs="宋体"/>
          <w:b/>
          <w:bCs/>
          <w:color w:val="auto"/>
          <w:sz w:val="24"/>
          <w:highlight w:val="none"/>
          <w:lang w:val="en-US" w:eastAsia="zh-CN"/>
        </w:rPr>
        <w:t>文件相关规定，在签订合同时，供应商明确表示无需预付款或者主动要求降低预付款比例的，采购单位可不适用前述规定。中标单位应响应本项目设置的养护经费条款如下：</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（一）设定养护经费预付款支付方式</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1、合同签订完成后一个月内，甲方向乙方支付合同金额（除暂定市政养护经费外）的40%作为预付款，其余按实际完成工作量支付。支付养护款时，必须出具有效发票。</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2、市政养护经费按实际完成工程量，每季度汇总，按最终审计结果的88%（即下浮12%）支付，剩余审定价的1.5%作为质保金。支付养护款时，必须出具有效发票。</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（二）中标单位明确表示无需预付款的养护经费支付方式</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1、合同签订完成后7日内，乙方以书面函形式明确表示无需预付款。</w:t>
      </w:r>
    </w:p>
    <w:p>
      <w:pPr>
        <w:pStyle w:val="36"/>
        <w:snapToGrid w:val="0"/>
        <w:spacing w:line="600" w:lineRule="exact"/>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绿化养护、保洁经费（不含市政道路养护费用），根据市、区级每季度考核情况及街道考核情况，按每季度支付单年除市政养护费外的合同价22.5%，在下一季度首月上旬支付，剩余单年除市政养护费外的合同价款10%作为质保金，待单年合同结束，由甲方组织验收通过后，在下一季度首月上旬支付。支付养护款时，必须出具有效发票。</w:t>
      </w:r>
    </w:p>
    <w:p>
      <w:pPr>
        <w:pStyle w:val="36"/>
        <w:snapToGrid w:val="0"/>
        <w:spacing w:line="600" w:lineRule="exact"/>
        <w:ind w:firstLine="482" w:firstLineChars="20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4"/>
          <w:highlight w:val="none"/>
          <w:lang w:val="en-US" w:eastAsia="zh-CN"/>
        </w:rPr>
        <w:t xml:space="preserve">3、市政养护经费按实际完成工程量，每季度汇总，按最终审计结果的88%（即下浮12%）支付，剩余审定价的1.5%作为质保金。支付养护款时，必须出具有效发票。      </w:t>
      </w:r>
      <w:r>
        <w:rPr>
          <w:rFonts w:hint="eastAsia" w:ascii="宋体" w:hAnsi="宋体" w:eastAsia="宋体" w:cs="宋体"/>
          <w:b/>
          <w:color w:val="auto"/>
          <w:sz w:val="28"/>
          <w:szCs w:val="28"/>
          <w:highlight w:val="none"/>
        </w:rPr>
        <w:t xml:space="preserve">第四部分   </w:t>
      </w:r>
      <w:bookmarkStart w:id="32" w:name="_Toc184310292"/>
      <w:bookmarkEnd w:id="32"/>
      <w:bookmarkStart w:id="33" w:name="_Toc184308051"/>
      <w:bookmarkEnd w:id="33"/>
      <w:bookmarkStart w:id="34" w:name="_Toc184313280"/>
      <w:bookmarkEnd w:id="34"/>
      <w:bookmarkStart w:id="35" w:name="_Toc184310294"/>
      <w:bookmarkEnd w:id="35"/>
      <w:bookmarkStart w:id="36" w:name="_Toc184308060"/>
      <w:bookmarkEnd w:id="36"/>
      <w:bookmarkStart w:id="37" w:name="_Toc184314414"/>
      <w:bookmarkEnd w:id="37"/>
      <w:bookmarkStart w:id="38" w:name="_Toc184314437"/>
      <w:bookmarkEnd w:id="38"/>
      <w:bookmarkStart w:id="39" w:name="_Toc184314475"/>
      <w:bookmarkEnd w:id="39"/>
      <w:bookmarkStart w:id="40" w:name="_Toc184312087"/>
      <w:bookmarkEnd w:id="40"/>
      <w:bookmarkStart w:id="41" w:name="_Toc184313241"/>
      <w:bookmarkEnd w:id="41"/>
      <w:bookmarkStart w:id="42" w:name="_Toc184308068"/>
      <w:bookmarkEnd w:id="42"/>
      <w:bookmarkStart w:id="43" w:name="_Toc184314481"/>
      <w:bookmarkEnd w:id="43"/>
      <w:bookmarkStart w:id="44" w:name="_Toc184308043"/>
      <w:bookmarkEnd w:id="44"/>
      <w:bookmarkStart w:id="45" w:name="_Toc184313273"/>
      <w:bookmarkEnd w:id="45"/>
      <w:bookmarkStart w:id="46" w:name="_Toc184314446"/>
      <w:bookmarkEnd w:id="46"/>
      <w:bookmarkStart w:id="47" w:name="_Toc184308098"/>
      <w:bookmarkEnd w:id="47"/>
      <w:bookmarkStart w:id="48" w:name="_Toc184314419"/>
      <w:bookmarkEnd w:id="48"/>
      <w:bookmarkStart w:id="49" w:name="_Toc184313268"/>
      <w:bookmarkEnd w:id="49"/>
      <w:bookmarkStart w:id="50" w:name="_Toc184314450"/>
      <w:bookmarkEnd w:id="50"/>
      <w:bookmarkStart w:id="51" w:name="_Toc184313266"/>
      <w:bookmarkEnd w:id="51"/>
      <w:bookmarkStart w:id="52" w:name="_Toc184308101"/>
      <w:bookmarkEnd w:id="52"/>
      <w:bookmarkStart w:id="53" w:name="_Toc184310304"/>
      <w:bookmarkEnd w:id="53"/>
      <w:bookmarkStart w:id="54" w:name="_Toc184308108"/>
      <w:bookmarkEnd w:id="54"/>
      <w:bookmarkStart w:id="55" w:name="_Toc184308079"/>
      <w:bookmarkEnd w:id="55"/>
      <w:bookmarkStart w:id="56" w:name="_Toc184312076"/>
      <w:bookmarkEnd w:id="56"/>
      <w:bookmarkStart w:id="57" w:name="_Toc184310323"/>
      <w:bookmarkEnd w:id="57"/>
      <w:bookmarkStart w:id="58" w:name="_Toc184310314"/>
      <w:bookmarkEnd w:id="58"/>
      <w:bookmarkStart w:id="59" w:name="_Toc184314422"/>
      <w:bookmarkEnd w:id="59"/>
      <w:bookmarkStart w:id="60" w:name="_Toc184308076"/>
      <w:bookmarkEnd w:id="60"/>
      <w:bookmarkStart w:id="61" w:name="_Toc184314464"/>
      <w:bookmarkEnd w:id="61"/>
      <w:bookmarkStart w:id="62" w:name="_Toc184312104"/>
      <w:bookmarkEnd w:id="62"/>
      <w:bookmarkStart w:id="63" w:name="_Toc184312103"/>
      <w:bookmarkEnd w:id="63"/>
      <w:bookmarkStart w:id="64" w:name="_Toc184310282"/>
      <w:bookmarkEnd w:id="64"/>
      <w:bookmarkStart w:id="65" w:name="_Toc184312134"/>
      <w:bookmarkEnd w:id="65"/>
      <w:bookmarkStart w:id="66" w:name="_Toc184313294"/>
      <w:bookmarkEnd w:id="66"/>
      <w:bookmarkStart w:id="67" w:name="_Toc184313298"/>
      <w:bookmarkEnd w:id="67"/>
      <w:bookmarkStart w:id="68" w:name="_Toc184310343"/>
      <w:bookmarkEnd w:id="68"/>
      <w:bookmarkStart w:id="69" w:name="_Toc184312110"/>
      <w:bookmarkEnd w:id="69"/>
      <w:bookmarkStart w:id="70" w:name="_Toc184314467"/>
      <w:bookmarkEnd w:id="70"/>
      <w:bookmarkStart w:id="71" w:name="_Toc184313309"/>
      <w:bookmarkEnd w:id="71"/>
      <w:bookmarkStart w:id="72" w:name="_Toc184312079"/>
      <w:bookmarkEnd w:id="72"/>
      <w:bookmarkStart w:id="73" w:name="_Toc184314429"/>
      <w:bookmarkEnd w:id="73"/>
      <w:bookmarkStart w:id="74" w:name="_Toc184312086"/>
      <w:bookmarkEnd w:id="74"/>
      <w:bookmarkStart w:id="75" w:name="_Toc184312074"/>
      <w:bookmarkEnd w:id="75"/>
      <w:bookmarkStart w:id="76" w:name="_Toc184308059"/>
      <w:bookmarkEnd w:id="76"/>
      <w:bookmarkStart w:id="77" w:name="_Toc184314459"/>
      <w:bookmarkEnd w:id="77"/>
      <w:bookmarkStart w:id="78" w:name="_Toc184308042"/>
      <w:bookmarkEnd w:id="78"/>
      <w:bookmarkStart w:id="79" w:name="_Toc184312089"/>
      <w:bookmarkEnd w:id="79"/>
      <w:bookmarkStart w:id="80" w:name="_Toc184308082"/>
      <w:bookmarkEnd w:id="80"/>
      <w:bookmarkStart w:id="81" w:name="_Toc184308092"/>
      <w:bookmarkEnd w:id="81"/>
      <w:bookmarkStart w:id="82" w:name="_Toc184312091"/>
      <w:bookmarkEnd w:id="82"/>
      <w:bookmarkStart w:id="83" w:name="_Toc184312111"/>
      <w:bookmarkEnd w:id="83"/>
      <w:bookmarkStart w:id="84" w:name="_Toc184312118"/>
      <w:bookmarkEnd w:id="84"/>
      <w:bookmarkStart w:id="85" w:name="_Toc184312121"/>
      <w:bookmarkEnd w:id="85"/>
      <w:bookmarkStart w:id="86" w:name="_Toc184310279"/>
      <w:bookmarkEnd w:id="86"/>
      <w:bookmarkStart w:id="87" w:name="_Toc184308045"/>
      <w:bookmarkEnd w:id="87"/>
      <w:bookmarkStart w:id="88" w:name="_Toc184314463"/>
      <w:bookmarkEnd w:id="88"/>
      <w:bookmarkStart w:id="89" w:name="_Toc184313238"/>
      <w:bookmarkEnd w:id="89"/>
      <w:bookmarkStart w:id="90" w:name="_Toc184308103"/>
      <w:bookmarkEnd w:id="90"/>
      <w:bookmarkStart w:id="91" w:name="_Toc184314421"/>
      <w:bookmarkEnd w:id="91"/>
      <w:bookmarkStart w:id="92" w:name="_Toc184313255"/>
      <w:bookmarkEnd w:id="92"/>
      <w:bookmarkStart w:id="93" w:name="_Toc184313240"/>
      <w:bookmarkEnd w:id="93"/>
      <w:bookmarkStart w:id="94" w:name="_Toc184312080"/>
      <w:bookmarkEnd w:id="94"/>
      <w:bookmarkStart w:id="95" w:name="_Toc184308106"/>
      <w:bookmarkEnd w:id="95"/>
      <w:bookmarkStart w:id="96" w:name="_Toc184313286"/>
      <w:bookmarkEnd w:id="96"/>
      <w:bookmarkStart w:id="97" w:name="_Toc184313295"/>
      <w:bookmarkEnd w:id="97"/>
      <w:bookmarkStart w:id="98" w:name="_Toc184310283"/>
      <w:bookmarkEnd w:id="98"/>
      <w:bookmarkStart w:id="99" w:name="_Toc184314470"/>
      <w:bookmarkEnd w:id="99"/>
      <w:bookmarkStart w:id="100" w:name="_Toc184312072"/>
      <w:bookmarkEnd w:id="100"/>
      <w:bookmarkStart w:id="101" w:name="_Toc184313300"/>
      <w:bookmarkEnd w:id="101"/>
      <w:bookmarkStart w:id="102" w:name="_Toc184313289"/>
      <w:bookmarkEnd w:id="102"/>
      <w:bookmarkStart w:id="103" w:name="_Toc184310331"/>
      <w:bookmarkEnd w:id="103"/>
      <w:bookmarkStart w:id="104" w:name="_Toc184308036"/>
      <w:bookmarkEnd w:id="104"/>
      <w:bookmarkStart w:id="105" w:name="_Toc184310339"/>
      <w:bookmarkEnd w:id="105"/>
      <w:bookmarkStart w:id="106" w:name="_Toc184313269"/>
      <w:bookmarkEnd w:id="106"/>
      <w:bookmarkStart w:id="107" w:name="_Toc184313277"/>
      <w:bookmarkEnd w:id="107"/>
      <w:bookmarkStart w:id="108" w:name="_Toc184312075"/>
      <w:bookmarkEnd w:id="108"/>
      <w:bookmarkStart w:id="109" w:name="_Toc184312084"/>
      <w:bookmarkEnd w:id="109"/>
      <w:bookmarkStart w:id="110" w:name="_Toc184313308"/>
      <w:bookmarkEnd w:id="110"/>
      <w:bookmarkStart w:id="111" w:name="_Toc184313310"/>
      <w:bookmarkEnd w:id="111"/>
      <w:bookmarkStart w:id="112" w:name="_Toc184312067"/>
      <w:bookmarkEnd w:id="112"/>
      <w:bookmarkStart w:id="113" w:name="_Toc184308094"/>
      <w:bookmarkEnd w:id="113"/>
      <w:bookmarkStart w:id="114" w:name="_Toc184308039"/>
      <w:bookmarkEnd w:id="114"/>
      <w:bookmarkStart w:id="115" w:name="_Toc184308086"/>
      <w:bookmarkEnd w:id="115"/>
      <w:bookmarkStart w:id="116" w:name="_Toc184314433"/>
      <w:bookmarkEnd w:id="116"/>
      <w:bookmarkStart w:id="117" w:name="_Toc184310341"/>
      <w:bookmarkEnd w:id="117"/>
      <w:bookmarkStart w:id="118" w:name="_Toc184310278"/>
      <w:bookmarkEnd w:id="118"/>
      <w:bookmarkStart w:id="119" w:name="_Toc184308087"/>
      <w:bookmarkEnd w:id="119"/>
      <w:bookmarkStart w:id="120" w:name="_Toc184313302"/>
      <w:bookmarkEnd w:id="120"/>
      <w:bookmarkStart w:id="121" w:name="_Toc184312098"/>
      <w:bookmarkEnd w:id="121"/>
      <w:bookmarkStart w:id="122" w:name="_Toc184310328"/>
      <w:bookmarkEnd w:id="122"/>
      <w:bookmarkStart w:id="123" w:name="_Toc184310338"/>
      <w:bookmarkEnd w:id="123"/>
      <w:bookmarkStart w:id="124" w:name="_Toc184314455"/>
      <w:bookmarkEnd w:id="124"/>
      <w:bookmarkStart w:id="125" w:name="_Toc184310342"/>
      <w:bookmarkEnd w:id="125"/>
      <w:bookmarkStart w:id="126" w:name="_Toc184313281"/>
      <w:bookmarkEnd w:id="126"/>
      <w:bookmarkStart w:id="127" w:name="_Toc184314476"/>
      <w:bookmarkEnd w:id="127"/>
      <w:bookmarkStart w:id="128" w:name="_Toc184308054"/>
      <w:bookmarkEnd w:id="128"/>
      <w:bookmarkStart w:id="129" w:name="_Toc184310285"/>
      <w:bookmarkEnd w:id="129"/>
      <w:bookmarkStart w:id="130" w:name="_Toc184313254"/>
      <w:bookmarkEnd w:id="130"/>
      <w:bookmarkStart w:id="131" w:name="_Toc184308075"/>
      <w:bookmarkEnd w:id="131"/>
      <w:bookmarkStart w:id="132" w:name="_Toc184310305"/>
      <w:bookmarkEnd w:id="132"/>
      <w:bookmarkStart w:id="133" w:name="_Toc184312115"/>
      <w:bookmarkEnd w:id="133"/>
      <w:bookmarkStart w:id="134" w:name="_Toc184312107"/>
      <w:bookmarkEnd w:id="134"/>
      <w:bookmarkStart w:id="135" w:name="_Toc184314453"/>
      <w:bookmarkEnd w:id="135"/>
      <w:bookmarkStart w:id="136" w:name="_Toc184310316"/>
      <w:bookmarkEnd w:id="136"/>
      <w:bookmarkStart w:id="137" w:name="_Toc184310281"/>
      <w:bookmarkEnd w:id="137"/>
      <w:bookmarkStart w:id="138" w:name="_Toc184308073"/>
      <w:bookmarkEnd w:id="138"/>
      <w:bookmarkStart w:id="139" w:name="_Toc184314473"/>
      <w:bookmarkEnd w:id="139"/>
      <w:bookmarkStart w:id="140" w:name="_Toc184312124"/>
      <w:bookmarkEnd w:id="140"/>
      <w:bookmarkStart w:id="141" w:name="_Toc184313303"/>
      <w:bookmarkEnd w:id="141"/>
      <w:bookmarkStart w:id="142" w:name="_Toc184310286"/>
      <w:bookmarkEnd w:id="142"/>
      <w:bookmarkStart w:id="143" w:name="_Toc184310284"/>
      <w:bookmarkEnd w:id="143"/>
      <w:bookmarkStart w:id="144" w:name="_Toc184310273"/>
      <w:bookmarkEnd w:id="144"/>
      <w:bookmarkStart w:id="145" w:name="_Toc184312130"/>
      <w:bookmarkEnd w:id="145"/>
      <w:bookmarkStart w:id="146" w:name="_Toc184312100"/>
      <w:bookmarkEnd w:id="146"/>
      <w:bookmarkStart w:id="147" w:name="_Toc184312082"/>
      <w:bookmarkEnd w:id="147"/>
      <w:bookmarkStart w:id="148" w:name="_Toc184314465"/>
      <w:bookmarkEnd w:id="148"/>
      <w:bookmarkStart w:id="149" w:name="_Toc184313242"/>
      <w:bookmarkEnd w:id="149"/>
      <w:bookmarkStart w:id="150" w:name="_Toc184310324"/>
      <w:bookmarkEnd w:id="150"/>
      <w:bookmarkStart w:id="151" w:name="_Toc184313245"/>
      <w:bookmarkEnd w:id="151"/>
      <w:bookmarkStart w:id="152" w:name="_Toc184314415"/>
      <w:bookmarkEnd w:id="152"/>
      <w:bookmarkStart w:id="153" w:name="_Toc184312136"/>
      <w:bookmarkEnd w:id="153"/>
      <w:bookmarkStart w:id="154" w:name="_Toc184310297"/>
      <w:bookmarkEnd w:id="154"/>
      <w:bookmarkStart w:id="155" w:name="_Toc184310330"/>
      <w:bookmarkEnd w:id="155"/>
      <w:bookmarkStart w:id="156" w:name="_Toc184312101"/>
      <w:bookmarkEnd w:id="156"/>
      <w:bookmarkStart w:id="157" w:name="_Toc184308097"/>
      <w:bookmarkEnd w:id="157"/>
      <w:bookmarkStart w:id="158" w:name="_Toc184314456"/>
      <w:bookmarkEnd w:id="158"/>
      <w:bookmarkStart w:id="159" w:name="_Toc184310272"/>
      <w:bookmarkEnd w:id="159"/>
      <w:bookmarkStart w:id="160" w:name="_Toc184312125"/>
      <w:bookmarkEnd w:id="160"/>
      <w:bookmarkStart w:id="161" w:name="_Toc184308104"/>
      <w:bookmarkEnd w:id="161"/>
      <w:bookmarkStart w:id="162" w:name="_Toc184312122"/>
      <w:bookmarkEnd w:id="162"/>
      <w:bookmarkStart w:id="163" w:name="_Toc184314474"/>
      <w:bookmarkEnd w:id="163"/>
      <w:bookmarkStart w:id="164" w:name="_Toc184310336"/>
      <w:bookmarkEnd w:id="164"/>
      <w:bookmarkStart w:id="165" w:name="_Toc184313301"/>
      <w:bookmarkEnd w:id="165"/>
      <w:bookmarkStart w:id="166" w:name="_Toc184310302"/>
      <w:bookmarkEnd w:id="166"/>
      <w:bookmarkStart w:id="167" w:name="_Toc184308095"/>
      <w:bookmarkEnd w:id="167"/>
      <w:bookmarkStart w:id="168" w:name="_Toc184314451"/>
      <w:bookmarkEnd w:id="168"/>
      <w:bookmarkStart w:id="169" w:name="_Toc184314477"/>
      <w:bookmarkEnd w:id="169"/>
      <w:bookmarkStart w:id="170" w:name="_Toc184308050"/>
      <w:bookmarkEnd w:id="170"/>
      <w:bookmarkStart w:id="171" w:name="_Toc184308041"/>
      <w:bookmarkEnd w:id="171"/>
      <w:bookmarkStart w:id="172" w:name="_Toc184314426"/>
      <w:bookmarkEnd w:id="172"/>
      <w:bookmarkStart w:id="173" w:name="_Toc184313272"/>
      <w:bookmarkEnd w:id="173"/>
      <w:bookmarkStart w:id="174" w:name="_Toc184310293"/>
      <w:bookmarkEnd w:id="174"/>
      <w:bookmarkStart w:id="175" w:name="_Toc184314458"/>
      <w:bookmarkEnd w:id="175"/>
      <w:bookmarkStart w:id="176" w:name="_Toc184313290"/>
      <w:bookmarkEnd w:id="176"/>
      <w:bookmarkStart w:id="177" w:name="_Toc184308091"/>
      <w:bookmarkEnd w:id="177"/>
      <w:bookmarkStart w:id="178" w:name="_Toc184314440"/>
      <w:bookmarkEnd w:id="178"/>
      <w:bookmarkStart w:id="179" w:name="_Toc184308084"/>
      <w:bookmarkEnd w:id="179"/>
      <w:bookmarkStart w:id="180" w:name="_Toc184308049"/>
      <w:bookmarkEnd w:id="180"/>
      <w:bookmarkStart w:id="181" w:name="_Toc184308048"/>
      <w:bookmarkEnd w:id="181"/>
      <w:bookmarkStart w:id="182" w:name="_Toc184313276"/>
      <w:bookmarkEnd w:id="182"/>
      <w:bookmarkStart w:id="183" w:name="_Toc184314480"/>
      <w:bookmarkEnd w:id="183"/>
      <w:bookmarkStart w:id="184" w:name="_Toc184314417"/>
      <w:bookmarkEnd w:id="184"/>
      <w:bookmarkStart w:id="185" w:name="_Toc184312119"/>
      <w:bookmarkEnd w:id="185"/>
      <w:bookmarkStart w:id="186" w:name="_Toc184312085"/>
      <w:bookmarkEnd w:id="186"/>
      <w:bookmarkStart w:id="187" w:name="_Toc184314418"/>
      <w:bookmarkEnd w:id="187"/>
      <w:bookmarkStart w:id="188" w:name="_Toc184308037"/>
      <w:bookmarkEnd w:id="188"/>
      <w:bookmarkStart w:id="189" w:name="_Toc184312133"/>
      <w:bookmarkEnd w:id="189"/>
      <w:bookmarkStart w:id="190" w:name="_Toc184313263"/>
      <w:bookmarkEnd w:id="190"/>
      <w:bookmarkStart w:id="191" w:name="_Toc184312094"/>
      <w:bookmarkEnd w:id="191"/>
      <w:bookmarkStart w:id="192" w:name="_Toc184308057"/>
      <w:bookmarkEnd w:id="192"/>
      <w:bookmarkStart w:id="193" w:name="_Toc184310311"/>
      <w:bookmarkEnd w:id="193"/>
      <w:bookmarkStart w:id="194" w:name="_Toc184310321"/>
      <w:bookmarkEnd w:id="194"/>
      <w:bookmarkStart w:id="195" w:name="_Toc184314436"/>
      <w:bookmarkEnd w:id="195"/>
      <w:bookmarkStart w:id="196" w:name="_Toc184308044"/>
      <w:bookmarkEnd w:id="196"/>
      <w:bookmarkStart w:id="197" w:name="_Toc184313250"/>
      <w:bookmarkEnd w:id="197"/>
      <w:bookmarkStart w:id="198" w:name="_Toc184310280"/>
      <w:bookmarkEnd w:id="198"/>
      <w:bookmarkStart w:id="199" w:name="_Toc184313278"/>
      <w:bookmarkEnd w:id="199"/>
      <w:bookmarkStart w:id="200" w:name="_Toc184314411"/>
      <w:bookmarkEnd w:id="200"/>
      <w:bookmarkStart w:id="201" w:name="_Toc184313256"/>
      <w:bookmarkEnd w:id="201"/>
      <w:bookmarkStart w:id="202" w:name="_Toc184312126"/>
      <w:bookmarkEnd w:id="202"/>
      <w:bookmarkStart w:id="203" w:name="_Toc184310313"/>
      <w:bookmarkEnd w:id="203"/>
      <w:bookmarkStart w:id="204" w:name="_Toc184308062"/>
      <w:bookmarkEnd w:id="204"/>
      <w:bookmarkStart w:id="205" w:name="_Toc184314412"/>
      <w:bookmarkEnd w:id="205"/>
      <w:bookmarkStart w:id="206" w:name="_Toc184312073"/>
      <w:bookmarkEnd w:id="206"/>
      <w:bookmarkStart w:id="207" w:name="_Toc184310288"/>
      <w:bookmarkEnd w:id="207"/>
      <w:bookmarkStart w:id="208" w:name="_Toc184312132"/>
      <w:bookmarkEnd w:id="208"/>
      <w:bookmarkStart w:id="209" w:name="_Toc184308083"/>
      <w:bookmarkEnd w:id="209"/>
      <w:bookmarkStart w:id="210" w:name="_Toc184314425"/>
      <w:bookmarkEnd w:id="210"/>
      <w:bookmarkStart w:id="211" w:name="_Toc184314443"/>
      <w:bookmarkEnd w:id="211"/>
      <w:bookmarkStart w:id="212" w:name="_Toc184314478"/>
      <w:bookmarkEnd w:id="212"/>
      <w:bookmarkStart w:id="213" w:name="_Toc184314460"/>
      <w:bookmarkEnd w:id="213"/>
      <w:bookmarkStart w:id="214" w:name="_Toc184313284"/>
      <w:bookmarkEnd w:id="214"/>
      <w:bookmarkStart w:id="215" w:name="_Toc184308085"/>
      <w:bookmarkEnd w:id="215"/>
      <w:bookmarkStart w:id="216" w:name="_Toc184308052"/>
      <w:bookmarkEnd w:id="216"/>
      <w:bookmarkStart w:id="217" w:name="_Toc184313267"/>
      <w:bookmarkEnd w:id="217"/>
      <w:bookmarkStart w:id="218" w:name="_Toc184310299"/>
      <w:bookmarkEnd w:id="218"/>
      <w:bookmarkStart w:id="219" w:name="_Toc184312106"/>
      <w:bookmarkEnd w:id="219"/>
      <w:bookmarkStart w:id="220" w:name="_Toc184314431"/>
      <w:bookmarkEnd w:id="220"/>
      <w:bookmarkStart w:id="221" w:name="_Toc184312112"/>
      <w:bookmarkEnd w:id="221"/>
      <w:bookmarkStart w:id="222" w:name="_Toc184308056"/>
      <w:bookmarkEnd w:id="222"/>
      <w:bookmarkStart w:id="223" w:name="_Toc184310276"/>
      <w:bookmarkEnd w:id="223"/>
      <w:bookmarkStart w:id="224" w:name="_Toc184314413"/>
      <w:bookmarkEnd w:id="224"/>
      <w:bookmarkStart w:id="225" w:name="_Toc184308107"/>
      <w:bookmarkEnd w:id="225"/>
      <w:bookmarkStart w:id="226" w:name="_Toc184313270"/>
      <w:bookmarkEnd w:id="226"/>
      <w:bookmarkStart w:id="227" w:name="_Toc184314416"/>
      <w:bookmarkEnd w:id="227"/>
      <w:bookmarkStart w:id="228" w:name="_Toc184308061"/>
      <w:bookmarkEnd w:id="228"/>
      <w:bookmarkStart w:id="229" w:name="_Toc184313262"/>
      <w:bookmarkEnd w:id="229"/>
      <w:bookmarkStart w:id="230" w:name="_Toc184312131"/>
      <w:bookmarkEnd w:id="230"/>
      <w:bookmarkStart w:id="231" w:name="_Toc184314423"/>
      <w:bookmarkEnd w:id="231"/>
      <w:bookmarkStart w:id="232" w:name="_Toc184313260"/>
      <w:bookmarkEnd w:id="232"/>
      <w:bookmarkStart w:id="233" w:name="_Toc184312117"/>
      <w:bookmarkEnd w:id="233"/>
      <w:bookmarkStart w:id="234" w:name="_Toc184308072"/>
      <w:bookmarkEnd w:id="234"/>
      <w:bookmarkStart w:id="235" w:name="_Toc184313282"/>
      <w:bookmarkEnd w:id="235"/>
      <w:bookmarkStart w:id="236" w:name="_Toc184313271"/>
      <w:bookmarkEnd w:id="236"/>
      <w:bookmarkStart w:id="237" w:name="_Toc184308063"/>
      <w:bookmarkEnd w:id="237"/>
      <w:bookmarkStart w:id="238" w:name="_Toc184308065"/>
      <w:bookmarkEnd w:id="238"/>
      <w:bookmarkStart w:id="239" w:name="_Toc184313305"/>
      <w:bookmarkEnd w:id="239"/>
      <w:bookmarkStart w:id="240" w:name="_Toc184312070"/>
      <w:bookmarkEnd w:id="240"/>
      <w:bookmarkStart w:id="241" w:name="_Toc184310291"/>
      <w:bookmarkEnd w:id="241"/>
      <w:bookmarkStart w:id="242" w:name="_Toc184313292"/>
      <w:bookmarkEnd w:id="242"/>
      <w:bookmarkStart w:id="243" w:name="_Toc184308040"/>
      <w:bookmarkEnd w:id="243"/>
      <w:bookmarkStart w:id="244" w:name="_Toc184312078"/>
      <w:bookmarkEnd w:id="244"/>
      <w:bookmarkStart w:id="245" w:name="_Toc184314466"/>
      <w:bookmarkEnd w:id="245"/>
      <w:bookmarkStart w:id="246" w:name="_Toc184313239"/>
      <w:bookmarkEnd w:id="246"/>
      <w:bookmarkStart w:id="247" w:name="_Toc184314434"/>
      <w:bookmarkEnd w:id="247"/>
      <w:bookmarkStart w:id="248" w:name="_Toc184312083"/>
      <w:bookmarkEnd w:id="248"/>
      <w:bookmarkStart w:id="249" w:name="_Toc184312109"/>
      <w:bookmarkEnd w:id="249"/>
      <w:bookmarkStart w:id="250" w:name="_Toc184314454"/>
      <w:bookmarkEnd w:id="250"/>
      <w:bookmarkStart w:id="251" w:name="_Toc184314420"/>
      <w:bookmarkEnd w:id="251"/>
      <w:bookmarkStart w:id="252" w:name="_Toc184308096"/>
      <w:bookmarkEnd w:id="252"/>
      <w:bookmarkStart w:id="253" w:name="_Toc184314438"/>
      <w:bookmarkEnd w:id="253"/>
      <w:bookmarkStart w:id="254" w:name="_Toc184312081"/>
      <w:bookmarkEnd w:id="254"/>
      <w:bookmarkStart w:id="255" w:name="_Toc184313288"/>
      <w:bookmarkEnd w:id="255"/>
      <w:bookmarkStart w:id="256" w:name="_Toc184313285"/>
      <w:bookmarkEnd w:id="256"/>
      <w:bookmarkStart w:id="257" w:name="_Toc184310320"/>
      <w:bookmarkEnd w:id="257"/>
      <w:bookmarkStart w:id="258" w:name="_Toc184313283"/>
      <w:bookmarkEnd w:id="258"/>
      <w:bookmarkStart w:id="259" w:name="_Toc184308069"/>
      <w:bookmarkEnd w:id="259"/>
      <w:bookmarkStart w:id="260" w:name="_Toc184314468"/>
      <w:bookmarkEnd w:id="260"/>
      <w:bookmarkStart w:id="261" w:name="_Toc184310334"/>
      <w:bookmarkEnd w:id="261"/>
      <w:bookmarkStart w:id="262" w:name="_Toc184308074"/>
      <w:bookmarkEnd w:id="262"/>
      <w:bookmarkStart w:id="263" w:name="_Toc184312139"/>
      <w:bookmarkEnd w:id="263"/>
      <w:bookmarkStart w:id="264" w:name="_Toc184313243"/>
      <w:bookmarkEnd w:id="264"/>
      <w:bookmarkStart w:id="265" w:name="_Toc184310322"/>
      <w:bookmarkEnd w:id="265"/>
      <w:bookmarkStart w:id="266" w:name="_Toc184312102"/>
      <w:bookmarkEnd w:id="266"/>
      <w:bookmarkStart w:id="267" w:name="_Toc184314469"/>
      <w:bookmarkEnd w:id="267"/>
      <w:bookmarkStart w:id="268" w:name="_Toc184313304"/>
      <w:bookmarkEnd w:id="268"/>
      <w:bookmarkStart w:id="269" w:name="_Toc184313306"/>
      <w:bookmarkEnd w:id="269"/>
      <w:bookmarkStart w:id="270" w:name="_Toc184310329"/>
      <w:bookmarkEnd w:id="270"/>
      <w:bookmarkStart w:id="271" w:name="_Toc184313293"/>
      <w:bookmarkEnd w:id="271"/>
      <w:bookmarkStart w:id="272" w:name="_Toc184314445"/>
      <w:bookmarkEnd w:id="272"/>
      <w:bookmarkStart w:id="273" w:name="_Toc184313253"/>
      <w:bookmarkEnd w:id="273"/>
      <w:bookmarkStart w:id="274" w:name="_Toc184308100"/>
      <w:bookmarkEnd w:id="274"/>
      <w:bookmarkStart w:id="275" w:name="_Toc184312069"/>
      <w:bookmarkEnd w:id="275"/>
      <w:bookmarkStart w:id="276" w:name="_Toc184310277"/>
      <w:bookmarkEnd w:id="276"/>
      <w:bookmarkStart w:id="277" w:name="_Toc184308046"/>
      <w:bookmarkEnd w:id="277"/>
      <w:bookmarkStart w:id="278" w:name="_Toc184308102"/>
      <w:bookmarkEnd w:id="278"/>
      <w:bookmarkStart w:id="279" w:name="_Toc184314444"/>
      <w:bookmarkEnd w:id="279"/>
      <w:bookmarkStart w:id="280" w:name="_Toc184310317"/>
      <w:bookmarkEnd w:id="280"/>
      <w:bookmarkStart w:id="281" w:name="_Toc184314462"/>
      <w:bookmarkEnd w:id="281"/>
      <w:bookmarkStart w:id="282" w:name="_Toc184312093"/>
      <w:bookmarkEnd w:id="282"/>
      <w:bookmarkStart w:id="283" w:name="_Toc184308089"/>
      <w:bookmarkEnd w:id="283"/>
      <w:bookmarkStart w:id="284" w:name="_Toc184308077"/>
      <w:bookmarkEnd w:id="284"/>
      <w:bookmarkStart w:id="285" w:name="_Toc184312095"/>
      <w:bookmarkEnd w:id="285"/>
      <w:bookmarkStart w:id="286" w:name="_Toc184308067"/>
      <w:bookmarkEnd w:id="286"/>
      <w:bookmarkStart w:id="287" w:name="_Toc184314471"/>
      <w:bookmarkEnd w:id="287"/>
      <w:bookmarkStart w:id="288" w:name="_Toc184313259"/>
      <w:bookmarkEnd w:id="288"/>
      <w:bookmarkStart w:id="289" w:name="_Toc184313258"/>
      <w:bookmarkEnd w:id="289"/>
      <w:bookmarkStart w:id="290" w:name="_Toc184312068"/>
      <w:bookmarkEnd w:id="290"/>
      <w:bookmarkStart w:id="291" w:name="_Toc184308070"/>
      <w:bookmarkEnd w:id="291"/>
      <w:bookmarkStart w:id="292" w:name="_Toc184308053"/>
      <w:bookmarkEnd w:id="292"/>
      <w:bookmarkStart w:id="293" w:name="_Toc184308078"/>
      <w:bookmarkEnd w:id="293"/>
      <w:bookmarkStart w:id="294" w:name="_Toc184314482"/>
      <w:bookmarkEnd w:id="294"/>
      <w:bookmarkStart w:id="295" w:name="_Toc184313252"/>
      <w:bookmarkEnd w:id="295"/>
      <w:bookmarkStart w:id="296" w:name="_Toc184312137"/>
      <w:bookmarkEnd w:id="296"/>
      <w:bookmarkStart w:id="297" w:name="_Toc184313246"/>
      <w:bookmarkEnd w:id="297"/>
      <w:bookmarkStart w:id="298" w:name="_Toc184314442"/>
      <w:bookmarkEnd w:id="298"/>
      <w:bookmarkStart w:id="299" w:name="_Toc184312077"/>
      <w:bookmarkEnd w:id="299"/>
      <w:bookmarkStart w:id="300" w:name="_Toc184314435"/>
      <w:bookmarkEnd w:id="300"/>
      <w:bookmarkStart w:id="301" w:name="_Toc184310303"/>
      <w:bookmarkEnd w:id="301"/>
      <w:bookmarkStart w:id="302" w:name="_Toc184310335"/>
      <w:bookmarkEnd w:id="302"/>
      <w:bookmarkStart w:id="303" w:name="_Toc184310307"/>
      <w:bookmarkEnd w:id="303"/>
      <w:bookmarkStart w:id="304" w:name="_Toc184308058"/>
      <w:bookmarkEnd w:id="304"/>
      <w:bookmarkStart w:id="305" w:name="_Toc184313247"/>
      <w:bookmarkEnd w:id="305"/>
      <w:bookmarkStart w:id="306" w:name="_Toc184314441"/>
      <w:bookmarkEnd w:id="306"/>
      <w:bookmarkStart w:id="307" w:name="_Toc184308038"/>
      <w:bookmarkEnd w:id="307"/>
      <w:bookmarkStart w:id="308" w:name="_Toc184312097"/>
      <w:bookmarkEnd w:id="308"/>
      <w:bookmarkStart w:id="309" w:name="_Toc184310289"/>
      <w:bookmarkEnd w:id="309"/>
      <w:bookmarkStart w:id="310" w:name="_Toc184313257"/>
      <w:bookmarkEnd w:id="310"/>
      <w:bookmarkStart w:id="311" w:name="_Toc184310274"/>
      <w:bookmarkEnd w:id="311"/>
      <w:bookmarkStart w:id="312" w:name="_Toc184313249"/>
      <w:bookmarkEnd w:id="312"/>
      <w:bookmarkStart w:id="313" w:name="_Toc184310344"/>
      <w:bookmarkEnd w:id="313"/>
      <w:bookmarkStart w:id="314" w:name="_Toc184312114"/>
      <w:bookmarkEnd w:id="314"/>
      <w:bookmarkStart w:id="315" w:name="_Toc184313296"/>
      <w:bookmarkEnd w:id="315"/>
      <w:bookmarkStart w:id="316" w:name="_Toc184314439"/>
      <w:bookmarkEnd w:id="316"/>
      <w:bookmarkStart w:id="317" w:name="_Toc184310340"/>
      <w:bookmarkEnd w:id="317"/>
      <w:bookmarkStart w:id="318" w:name="_Toc184312108"/>
      <w:bookmarkEnd w:id="318"/>
      <w:bookmarkStart w:id="319" w:name="_Toc184312092"/>
      <w:bookmarkEnd w:id="319"/>
      <w:bookmarkStart w:id="320" w:name="_Toc184310332"/>
      <w:bookmarkEnd w:id="320"/>
      <w:bookmarkStart w:id="321" w:name="_Toc184314449"/>
      <w:bookmarkEnd w:id="321"/>
      <w:bookmarkStart w:id="322" w:name="_Toc184312135"/>
      <w:bookmarkEnd w:id="322"/>
      <w:bookmarkStart w:id="323" w:name="_Toc184310287"/>
      <w:bookmarkEnd w:id="323"/>
      <w:bookmarkStart w:id="324" w:name="_Toc184308066"/>
      <w:bookmarkEnd w:id="324"/>
      <w:bookmarkStart w:id="325" w:name="_Toc184310326"/>
      <w:bookmarkEnd w:id="325"/>
      <w:bookmarkStart w:id="326" w:name="_Toc184310319"/>
      <w:bookmarkEnd w:id="326"/>
      <w:bookmarkStart w:id="327" w:name="_Toc184310310"/>
      <w:bookmarkEnd w:id="327"/>
      <w:bookmarkStart w:id="328" w:name="_Toc184312071"/>
      <w:bookmarkEnd w:id="328"/>
      <w:bookmarkStart w:id="329" w:name="_Toc184308088"/>
      <w:bookmarkEnd w:id="329"/>
      <w:bookmarkStart w:id="330" w:name="_Toc184312116"/>
      <w:bookmarkEnd w:id="330"/>
      <w:bookmarkStart w:id="331" w:name="_Toc184310318"/>
      <w:bookmarkEnd w:id="331"/>
      <w:bookmarkStart w:id="332" w:name="_Toc184310306"/>
      <w:bookmarkEnd w:id="332"/>
      <w:bookmarkStart w:id="333" w:name="_Toc184310275"/>
      <w:bookmarkEnd w:id="333"/>
      <w:bookmarkStart w:id="334" w:name="_Toc184313251"/>
      <w:bookmarkEnd w:id="334"/>
      <w:bookmarkStart w:id="335" w:name="_Toc184308099"/>
      <w:bookmarkEnd w:id="335"/>
      <w:bookmarkStart w:id="336" w:name="_Toc184313248"/>
      <w:bookmarkEnd w:id="336"/>
      <w:bookmarkStart w:id="337" w:name="_Toc184308093"/>
      <w:bookmarkEnd w:id="337"/>
      <w:bookmarkStart w:id="338" w:name="_Toc184313265"/>
      <w:bookmarkEnd w:id="338"/>
      <w:bookmarkStart w:id="339" w:name="_Toc184314472"/>
      <w:bookmarkEnd w:id="339"/>
      <w:bookmarkStart w:id="340" w:name="_Toc184314452"/>
      <w:bookmarkEnd w:id="340"/>
      <w:bookmarkStart w:id="341" w:name="_Toc184310296"/>
      <w:bookmarkEnd w:id="341"/>
      <w:bookmarkStart w:id="342" w:name="_Toc184314457"/>
      <w:bookmarkEnd w:id="342"/>
      <w:bookmarkStart w:id="343" w:name="_Toc184310295"/>
      <w:bookmarkEnd w:id="343"/>
      <w:bookmarkStart w:id="344" w:name="_Toc184313261"/>
      <w:bookmarkEnd w:id="344"/>
      <w:bookmarkStart w:id="345" w:name="_Toc184308064"/>
      <w:bookmarkEnd w:id="345"/>
      <w:bookmarkStart w:id="346" w:name="_Toc184312127"/>
      <w:bookmarkEnd w:id="346"/>
      <w:bookmarkStart w:id="347" w:name="_Toc184314447"/>
      <w:bookmarkEnd w:id="347"/>
      <w:bookmarkStart w:id="348" w:name="_Toc184312099"/>
      <w:bookmarkEnd w:id="348"/>
      <w:bookmarkStart w:id="349" w:name="_Toc184310312"/>
      <w:bookmarkEnd w:id="349"/>
      <w:bookmarkStart w:id="350" w:name="_Toc184313275"/>
      <w:bookmarkEnd w:id="350"/>
      <w:bookmarkStart w:id="351" w:name="_Toc184310301"/>
      <w:bookmarkEnd w:id="351"/>
      <w:bookmarkStart w:id="352" w:name="_Toc184313264"/>
      <w:bookmarkEnd w:id="352"/>
      <w:bookmarkStart w:id="353" w:name="_Toc184310333"/>
      <w:bookmarkEnd w:id="353"/>
      <w:bookmarkStart w:id="354" w:name="_Toc184310325"/>
      <w:bookmarkEnd w:id="354"/>
      <w:bookmarkStart w:id="355" w:name="_Toc184313299"/>
      <w:bookmarkEnd w:id="355"/>
      <w:bookmarkStart w:id="356" w:name="_Toc184312129"/>
      <w:bookmarkEnd w:id="356"/>
      <w:bookmarkStart w:id="357" w:name="_Toc184312090"/>
      <w:bookmarkEnd w:id="357"/>
      <w:bookmarkStart w:id="358" w:name="_Toc184313291"/>
      <w:bookmarkEnd w:id="358"/>
      <w:bookmarkStart w:id="359" w:name="_Toc184310327"/>
      <w:bookmarkEnd w:id="359"/>
      <w:bookmarkStart w:id="360" w:name="_Toc184313244"/>
      <w:bookmarkEnd w:id="360"/>
      <w:bookmarkStart w:id="361" w:name="_Toc184314428"/>
      <w:bookmarkEnd w:id="361"/>
      <w:bookmarkStart w:id="362" w:name="_Toc184308080"/>
      <w:bookmarkEnd w:id="362"/>
      <w:bookmarkStart w:id="363" w:name="_Toc184310309"/>
      <w:bookmarkEnd w:id="363"/>
      <w:bookmarkStart w:id="364" w:name="_Toc184310298"/>
      <w:bookmarkEnd w:id="364"/>
      <w:bookmarkStart w:id="365" w:name="_Toc184310315"/>
      <w:bookmarkEnd w:id="365"/>
      <w:bookmarkStart w:id="366" w:name="_Toc184308071"/>
      <w:bookmarkEnd w:id="366"/>
      <w:bookmarkStart w:id="367" w:name="_Toc184310337"/>
      <w:bookmarkEnd w:id="367"/>
      <w:bookmarkStart w:id="368" w:name="_Toc184312088"/>
      <w:bookmarkEnd w:id="368"/>
      <w:bookmarkStart w:id="369" w:name="_Toc184312096"/>
      <w:bookmarkEnd w:id="369"/>
      <w:bookmarkStart w:id="370" w:name="_Toc184313307"/>
      <w:bookmarkEnd w:id="370"/>
      <w:bookmarkStart w:id="371" w:name="_Toc184313279"/>
      <w:bookmarkEnd w:id="371"/>
      <w:bookmarkStart w:id="372" w:name="_Toc184314432"/>
      <w:bookmarkEnd w:id="372"/>
      <w:bookmarkStart w:id="373" w:name="_Toc184308055"/>
      <w:bookmarkEnd w:id="373"/>
      <w:bookmarkStart w:id="374" w:name="_Toc184310290"/>
      <w:bookmarkEnd w:id="374"/>
      <w:bookmarkStart w:id="375" w:name="_Toc184314448"/>
      <w:bookmarkEnd w:id="375"/>
      <w:bookmarkStart w:id="376" w:name="_Toc184308105"/>
      <w:bookmarkEnd w:id="376"/>
      <w:bookmarkStart w:id="377" w:name="_Toc184313297"/>
      <w:bookmarkEnd w:id="377"/>
      <w:bookmarkStart w:id="378" w:name="_Toc184312105"/>
      <w:bookmarkEnd w:id="378"/>
      <w:bookmarkStart w:id="379" w:name="_Toc184314424"/>
      <w:bookmarkEnd w:id="379"/>
      <w:bookmarkStart w:id="380" w:name="_Toc184313287"/>
      <w:bookmarkEnd w:id="380"/>
      <w:bookmarkStart w:id="381" w:name="_Toc184313274"/>
      <w:bookmarkEnd w:id="381"/>
      <w:bookmarkStart w:id="382" w:name="_Toc184310300"/>
      <w:bookmarkEnd w:id="382"/>
      <w:bookmarkStart w:id="383" w:name="_Toc184314461"/>
      <w:bookmarkEnd w:id="383"/>
      <w:bookmarkStart w:id="384" w:name="_Toc184312113"/>
      <w:bookmarkEnd w:id="384"/>
      <w:bookmarkStart w:id="385" w:name="_Toc184310308"/>
      <w:bookmarkEnd w:id="385"/>
      <w:bookmarkStart w:id="386" w:name="_Toc184312128"/>
      <w:bookmarkEnd w:id="386"/>
      <w:bookmarkStart w:id="387" w:name="_Toc184308081"/>
      <w:bookmarkEnd w:id="387"/>
      <w:bookmarkStart w:id="388" w:name="_Toc184314479"/>
      <w:bookmarkEnd w:id="388"/>
      <w:bookmarkStart w:id="389" w:name="_Toc184314427"/>
      <w:bookmarkEnd w:id="389"/>
      <w:bookmarkStart w:id="390" w:name="_Toc184312120"/>
      <w:bookmarkEnd w:id="390"/>
      <w:bookmarkStart w:id="391" w:name="_Toc184308047"/>
      <w:bookmarkEnd w:id="391"/>
      <w:bookmarkStart w:id="392" w:name="_Toc184312123"/>
      <w:bookmarkEnd w:id="392"/>
      <w:bookmarkStart w:id="393" w:name="_Toc184314410"/>
      <w:bookmarkEnd w:id="393"/>
      <w:bookmarkStart w:id="394" w:name="_Toc184308090"/>
      <w:bookmarkEnd w:id="394"/>
      <w:bookmarkStart w:id="395" w:name="_Toc184312138"/>
      <w:bookmarkEnd w:id="395"/>
      <w:bookmarkStart w:id="396" w:name="_Toc184314430"/>
      <w:bookmarkEnd w:id="396"/>
      <w:r>
        <w:rPr>
          <w:rFonts w:hint="eastAsia" w:ascii="宋体" w:hAnsi="宋体" w:eastAsia="宋体" w:cs="宋体"/>
          <w:b/>
          <w:color w:val="auto"/>
          <w:sz w:val="28"/>
          <w:szCs w:val="28"/>
          <w:highlight w:val="none"/>
        </w:rPr>
        <w:t>评标办法</w:t>
      </w:r>
    </w:p>
    <w:p>
      <w:pPr>
        <w:spacing w:line="6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评标办法前附表</w:t>
      </w:r>
    </w:p>
    <w:tbl>
      <w:tblPr>
        <w:tblStyle w:val="62"/>
        <w:tblpPr w:leftFromText="180" w:rightFromText="180" w:vertAnchor="text" w:horzAnchor="page" w:tblpX="1337" w:tblpY="126"/>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44"/>
        <w:gridCol w:w="4440"/>
        <w:gridCol w:w="990"/>
        <w:gridCol w:w="85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5684" w:type="dxa"/>
            <w:gridSpan w:val="2"/>
            <w:vAlign w:val="center"/>
          </w:tcPr>
          <w:p>
            <w:pPr>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评标标准</w:t>
            </w:r>
          </w:p>
        </w:tc>
        <w:tc>
          <w:tcPr>
            <w:tcW w:w="990"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权重</w:t>
            </w:r>
          </w:p>
        </w:tc>
        <w:tc>
          <w:tcPr>
            <w:tcW w:w="85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属性</w:t>
            </w:r>
          </w:p>
        </w:tc>
        <w:tc>
          <w:tcPr>
            <w:tcW w:w="1215" w:type="dxa"/>
            <w:vAlign w:val="center"/>
          </w:tcPr>
          <w:p>
            <w:pPr>
              <w:jc w:val="center"/>
              <w:rPr>
                <w:rFonts w:hint="eastAsia" w:ascii="宋体" w:hAnsi="宋体" w:eastAsia="宋体" w:cs="宋体"/>
                <w:color w:val="auto"/>
                <w:sz w:val="24"/>
                <w:highlight w:val="none"/>
              </w:rPr>
            </w:pPr>
            <w:r>
              <w:rPr>
                <w:rFonts w:hint="eastAsia" w:cs="仿宋_GB2312" w:asciiTheme="minorEastAsia" w:hAnsiTheme="minorEastAsia" w:eastAsiaTheme="minorEastAsia"/>
                <w:bCs/>
                <w:color w:val="auto"/>
                <w:sz w:val="24"/>
              </w:rPr>
              <w:t>投标文件中评标标准相应的商务技术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5684" w:type="dxa"/>
            <w:gridSpan w:val="2"/>
            <w:vAlign w:val="center"/>
          </w:tcPr>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综合养护方案：</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根据作业方案：投标人自行踏勘现场，针对本标段保洁的特点创新作业理念（0-3分），制定“人扫、机扫、巡捡”三位一体的保洁作业方案（0-3分），要求方案符合本标段实际情况，保洁作业能做到各要素的合理配置，全面、即时覆盖各作业区域（0-3分），进行打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2）根据本项目服务内容及需求制定的绿化养护作业方案，由评标委员会进行打分；（0—</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3）根据本项目服务内容及需求制定的市政养护作业方案，由评标委员会进行打分；（0—</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）根据质量保证体系和质量保证措施方案，由评标委员会进行打分；（0—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）根据文明安全保证体系和安全保证措施方案，由评标委员会进行打分；（0—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）根据投标人针对本项目的服务优势、服务能力、服务及时性响应方案及后续服务承诺等方面，由评标委员会进行打分；（0—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）针对突发事故、自然灾害处理及配合重大活动的应急预案，由评标委员会进行打分；（0—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）根据台账管理制度，由评标委员会进行打分；（0—2分）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）提出关于本项目的合理化建议，由评标委员会进行打分；（0—2分）</w:t>
            </w:r>
          </w:p>
          <w:p>
            <w:pPr>
              <w:adjustRightInd/>
              <w:spacing w:line="60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同城协助能力的工作方案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方案是否合理、有针对性，具有较强的服务能力，如针对疫情等，</w:t>
            </w:r>
            <w:r>
              <w:rPr>
                <w:rFonts w:hint="eastAsia" w:ascii="宋体" w:hAnsi="宋体" w:eastAsia="宋体" w:cs="宋体"/>
                <w:color w:val="auto"/>
                <w:sz w:val="24"/>
                <w:highlight w:val="none"/>
              </w:rPr>
              <w:t>由评标委员会进行打分；（</w:t>
            </w:r>
            <w:r>
              <w:rPr>
                <w:rFonts w:hint="eastAsia" w:ascii="宋体" w:hAnsi="宋体" w:eastAsia="宋体" w:cs="宋体"/>
                <w:color w:val="auto"/>
                <w:sz w:val="24"/>
                <w:highlight w:val="none"/>
                <w:lang w:val="en-US" w:eastAsia="zh-CN"/>
              </w:rPr>
              <w:t>0-2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eastAsia="宋体" w:cs="宋体"/>
                <w:color w:val="auto"/>
                <w:sz w:val="24"/>
                <w:highlight w:val="none"/>
                <w:lang w:val="en-US" w:eastAsia="zh-CN"/>
              </w:rPr>
              <w:t>对本项目提供的人力、设备、技术等支持是否响应及时、充足等内容，</w:t>
            </w:r>
            <w:r>
              <w:rPr>
                <w:rFonts w:hint="eastAsia" w:ascii="宋体" w:hAnsi="宋体" w:eastAsia="宋体" w:cs="宋体"/>
                <w:color w:val="auto"/>
                <w:sz w:val="24"/>
                <w:highlight w:val="none"/>
              </w:rPr>
              <w:t>由评标委员会进行打分；（</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w:t>
            </w:r>
          </w:p>
          <w:p>
            <w:pPr>
              <w:adjustRightInd/>
              <w:spacing w:line="600" w:lineRule="exact"/>
              <w:jc w:val="left"/>
              <w:rPr>
                <w:rFonts w:hint="eastAsia" w:eastAsia="宋体"/>
                <w:color w:val="auto"/>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重大活动和节日保障方案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据重大活动</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如亚运会或其他大规模活动</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和节假日保障方案的科学性、合理性、针对性及可操作性进行评估，由评标委员会进行打分；（</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w:t>
            </w:r>
          </w:p>
        </w:tc>
        <w:tc>
          <w:tcPr>
            <w:tcW w:w="990"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37</w:t>
            </w:r>
          </w:p>
        </w:tc>
        <w:tc>
          <w:tcPr>
            <w:tcW w:w="855"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主观分</w:t>
            </w:r>
          </w:p>
        </w:tc>
        <w:tc>
          <w:tcPr>
            <w:tcW w:w="1215"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5684" w:type="dxa"/>
            <w:gridSpan w:val="2"/>
            <w:vAlign w:val="center"/>
          </w:tcPr>
          <w:p>
            <w:pPr>
              <w:pStyle w:val="966"/>
              <w:snapToGrid w:val="0"/>
              <w:ind w:firstLine="0" w:firstLineChars="0"/>
              <w:jc w:val="left"/>
              <w:rPr>
                <w:rFonts w:hint="eastAsia" w:ascii="宋体" w:hAnsi="宋体" w:eastAsia="宋体" w:cs="宋体"/>
                <w:color w:val="auto"/>
                <w:kern w:val="21"/>
                <w:sz w:val="24"/>
                <w:szCs w:val="24"/>
                <w:highlight w:val="none"/>
              </w:rPr>
            </w:pPr>
            <w:r>
              <w:rPr>
                <w:rFonts w:hint="eastAsia" w:ascii="宋体" w:hAnsi="宋体" w:eastAsia="宋体" w:cs="宋体"/>
                <w:color w:val="auto"/>
                <w:sz w:val="24"/>
                <w:szCs w:val="24"/>
                <w:highlight w:val="none"/>
              </w:rPr>
              <w:t>针对投诉的处理效率：投标人对各类考核、投诉的处理效率、时效及回复举措等，由专家进行打分（0—2分）；</w:t>
            </w:r>
          </w:p>
        </w:tc>
        <w:tc>
          <w:tcPr>
            <w:tcW w:w="99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85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主观分</w:t>
            </w:r>
          </w:p>
        </w:tc>
        <w:tc>
          <w:tcPr>
            <w:tcW w:w="1215"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5684" w:type="dxa"/>
            <w:gridSpan w:val="2"/>
            <w:vAlign w:val="center"/>
          </w:tcPr>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人员配置：须提供以下相关人员（人员不能重复，若有重复只能按一人次计）：</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1）提供综合养护人员具体配置计划：满足项目基本配置要求的得2分；</w:t>
            </w:r>
          </w:p>
          <w:p>
            <w:pPr>
              <w:adjustRightInd/>
              <w:spacing w:line="60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2）项目负责人：具有专科及以上学历且具有中级及以上职称的得 </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r>
              <w:rPr>
                <w:rFonts w:hint="eastAsia" w:ascii="宋体" w:hAnsi="宋体" w:cs="宋体"/>
                <w:color w:val="auto"/>
                <w:sz w:val="24"/>
                <w:highlight w:val="none"/>
                <w:lang w:eastAsia="zh-CN"/>
              </w:rPr>
              <w:t>；</w:t>
            </w:r>
          </w:p>
          <w:p>
            <w:pPr>
              <w:adjustRightInd/>
              <w:spacing w:line="60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3）项目负责人荣誉：以项目负责人身份具有保洁或市政养护或绿化养护工作中获得区级及以上荣誉得1分；本项最高得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4）拟投入的人员中具有安全员证证书、城市环卫工程师证证书、垃圾分类项目经理证证书、垃圾清运工程师证证书的，</w:t>
            </w:r>
            <w:r>
              <w:rPr>
                <w:rFonts w:hint="eastAsia" w:ascii="宋体" w:hAnsi="宋体" w:eastAsia="宋体" w:cs="宋体"/>
                <w:color w:val="auto"/>
                <w:kern w:val="0"/>
                <w:sz w:val="24"/>
                <w:highlight w:val="none"/>
              </w:rPr>
              <w:t>有毒有害空间作业证证书、管道CCTV检测工程师证</w:t>
            </w:r>
            <w:r>
              <w:rPr>
                <w:rFonts w:hint="eastAsia" w:ascii="宋体" w:hAnsi="宋体" w:eastAsia="宋体" w:cs="宋体"/>
                <w:color w:val="auto"/>
                <w:sz w:val="24"/>
                <w:highlight w:val="none"/>
              </w:rPr>
              <w:t>证书的，</w:t>
            </w:r>
            <w:r>
              <w:rPr>
                <w:rFonts w:hint="eastAsia" w:ascii="宋体" w:hAnsi="宋体" w:eastAsia="宋体" w:cs="宋体"/>
                <w:color w:val="auto"/>
                <w:sz w:val="24"/>
                <w:highlight w:val="none"/>
              </w:rPr>
              <w:t>每有一个得0.5分，本项最高得</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分。</w:t>
            </w:r>
          </w:p>
          <w:p>
            <w:pPr>
              <w:spacing w:line="6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投标文件中同时提供的证书复印件及本人在本单位近6个月社保缴纳证明复印件；</w:t>
            </w:r>
          </w:p>
        </w:tc>
        <w:tc>
          <w:tcPr>
            <w:tcW w:w="99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855"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客观分</w:t>
            </w:r>
          </w:p>
        </w:tc>
        <w:tc>
          <w:tcPr>
            <w:tcW w:w="1215"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restart"/>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244" w:type="dxa"/>
            <w:vMerge w:val="restart"/>
            <w:vAlign w:val="center"/>
          </w:tcPr>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投标人自有作业设备用于本项目情况：</w:t>
            </w:r>
          </w:p>
          <w:p>
            <w:pPr>
              <w:adjustRightInd/>
              <w:spacing w:line="600" w:lineRule="exact"/>
              <w:jc w:val="left"/>
              <w:rPr>
                <w:rFonts w:hint="eastAsia" w:ascii="宋体" w:hAnsi="宋体" w:eastAsia="宋体" w:cs="宋体"/>
                <w:b/>
                <w:bCs/>
                <w:color w:val="auto"/>
                <w:sz w:val="24"/>
                <w:highlight w:val="none"/>
              </w:rPr>
            </w:pPr>
          </w:p>
          <w:p>
            <w:pPr>
              <w:adjustRightInd/>
              <w:spacing w:line="600" w:lineRule="exact"/>
              <w:jc w:val="left"/>
              <w:rPr>
                <w:rFonts w:hint="eastAsia" w:ascii="宋体" w:hAnsi="宋体" w:eastAsia="宋体" w:cs="宋体"/>
                <w:b/>
                <w:bCs/>
                <w:color w:val="auto"/>
                <w:sz w:val="24"/>
                <w:highlight w:val="none"/>
              </w:rPr>
            </w:pPr>
          </w:p>
        </w:tc>
        <w:tc>
          <w:tcPr>
            <w:tcW w:w="4440" w:type="dxa"/>
            <w:vAlign w:val="center"/>
          </w:tcPr>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保洁设备：</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1、投标人自有车辆（本项合计最高得</w:t>
            </w:r>
            <w:r>
              <w:rPr>
                <w:rFonts w:hint="eastAsia" w:ascii="宋体" w:hAnsi="宋体" w:cs="宋体"/>
                <w:color w:val="auto"/>
                <w:sz w:val="24"/>
                <w:highlight w:val="none"/>
                <w:lang w:val="en-US" w:eastAsia="zh-CN"/>
              </w:rPr>
              <w:t>17</w:t>
            </w:r>
            <w:r>
              <w:rPr>
                <w:rFonts w:hint="eastAsia" w:ascii="宋体" w:hAnsi="宋体" w:cs="宋体"/>
                <w:color w:val="auto"/>
                <w:sz w:val="24"/>
                <w:highlight w:val="none"/>
              </w:rPr>
              <w:t>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①自有总质量</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000kg及以上洒水车每有一辆的得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② 自有总质量18000kg及以上洗扫一体车每有一辆得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③自有总质量16000kg及以上多功能抑尘车每有一辆得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④自有总质量7000kg及以上护栏清洗车每有一辆得2分，最高得2分；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⑤自有总质量12000kg及以上扫地车每有一辆得2分，最高得2分；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⑥自有总质量18000kg及以上高压冲洗车每有一辆得2分，最高得2分；</w:t>
            </w:r>
          </w:p>
          <w:p>
            <w:pPr>
              <w:adjustRightInd/>
              <w:spacing w:line="600" w:lineRule="exact"/>
              <w:jc w:val="left"/>
              <w:rPr>
                <w:rFonts w:ascii="宋体" w:hAnsi="宋体" w:cs="宋体"/>
                <w:color w:val="auto"/>
                <w:sz w:val="24"/>
                <w:highlight w:val="none"/>
              </w:rPr>
            </w:pPr>
            <w:r>
              <w:rPr>
                <w:rFonts w:hint="eastAsia" w:ascii="宋体" w:hAnsi="宋体" w:cs="宋体"/>
                <w:color w:val="auto"/>
                <w:sz w:val="24"/>
                <w:highlight w:val="none"/>
              </w:rPr>
              <w:t>⑦自有小型慢车道清扫车每有一辆得0.5分，最高得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分；小型高压冲洗车每有一辆得0.5分，最高得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分；自有应急扫雪设备</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套及以上得1分，否则不得分，最高得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分；（除雪车可以采用其他动力车辆前加装除雪滚筒，但加装车辆不能占用投标需求中的车辆）本项最高得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分（此项仅提供设备发票复印件）。</w:t>
            </w:r>
          </w:p>
          <w:p>
            <w:pPr>
              <w:adjustRightInd/>
              <w:spacing w:line="600" w:lineRule="exact"/>
              <w:jc w:val="left"/>
              <w:rPr>
                <w:rFonts w:ascii="宋体" w:hAnsi="宋体" w:cs="宋体"/>
                <w:color w:val="auto"/>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以上设备中，</w:t>
            </w:r>
            <w:r>
              <w:rPr>
                <w:rFonts w:hint="eastAsia" w:ascii="宋体" w:hAnsi="宋体" w:cs="宋体"/>
                <w:color w:val="auto"/>
                <w:sz w:val="24"/>
                <w:highlight w:val="none"/>
              </w:rPr>
              <w:t>投标人自有新</w:t>
            </w:r>
            <w:r>
              <w:rPr>
                <w:rFonts w:hint="eastAsia" w:ascii="宋体" w:hAnsi="宋体" w:cs="宋体"/>
                <w:color w:val="auto"/>
                <w:sz w:val="24"/>
                <w:highlight w:val="none"/>
                <w:lang w:val="en-US" w:eastAsia="zh-CN"/>
              </w:rPr>
              <w:t>能源</w:t>
            </w:r>
            <w:r>
              <w:rPr>
                <w:rFonts w:hint="eastAsia" w:ascii="宋体" w:hAnsi="宋体" w:cs="宋体"/>
                <w:color w:val="auto"/>
                <w:sz w:val="24"/>
                <w:highlight w:val="none"/>
              </w:rPr>
              <w:t>车的</w:t>
            </w:r>
            <w:r>
              <w:rPr>
                <w:rFonts w:hint="eastAsia" w:ascii="宋体" w:hAnsi="宋体" w:cs="宋体"/>
                <w:color w:val="auto"/>
                <w:sz w:val="24"/>
                <w:highlight w:val="none"/>
                <w:lang w:eastAsia="zh-CN"/>
              </w:rPr>
              <w:t>，</w:t>
            </w:r>
            <w:r>
              <w:rPr>
                <w:rFonts w:hint="eastAsia" w:ascii="宋体" w:hAnsi="宋体" w:cs="宋体"/>
                <w:color w:val="auto"/>
                <w:sz w:val="24"/>
                <w:highlight w:val="none"/>
              </w:rPr>
              <w:t>含纯电动汽车(BEV，包括太阳能汽车)、燃料电池电动汽车(FCEV)、</w:t>
            </w:r>
            <w:r>
              <w:rPr>
                <w:rFonts w:hint="eastAsia" w:ascii="宋体" w:hAnsi="宋体" w:cs="宋体"/>
                <w:color w:val="auto"/>
                <w:sz w:val="24"/>
                <w:highlight w:val="none"/>
                <w:lang w:eastAsia="zh-CN"/>
              </w:rPr>
              <w:t>天然气汽车、</w:t>
            </w:r>
            <w:r>
              <w:rPr>
                <w:rFonts w:hint="eastAsia" w:ascii="宋体" w:hAnsi="宋体" w:cs="宋体"/>
                <w:color w:val="auto"/>
                <w:sz w:val="24"/>
                <w:highlight w:val="none"/>
              </w:rPr>
              <w:t>其他新能源(如超级电容器、飞轮等高效储能器)汽车等，且总质量</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000kg及以上新能源车的每有一辆</w:t>
            </w:r>
            <w:r>
              <w:rPr>
                <w:rFonts w:hint="eastAsia" w:ascii="宋体" w:hAnsi="宋体" w:cs="宋体"/>
                <w:color w:val="auto"/>
                <w:sz w:val="24"/>
                <w:highlight w:val="none"/>
                <w:lang w:val="en-US" w:eastAsia="zh-CN"/>
              </w:rPr>
              <w:t>增加1</w:t>
            </w:r>
            <w:r>
              <w:rPr>
                <w:rFonts w:hint="eastAsia" w:ascii="宋体" w:hAnsi="宋体" w:cs="宋体"/>
                <w:color w:val="auto"/>
                <w:sz w:val="24"/>
                <w:highlight w:val="none"/>
              </w:rPr>
              <w:t>分，最高得2分；（本项合计最高得2分）</w:t>
            </w:r>
          </w:p>
          <w:p>
            <w:pPr>
              <w:adjustRightInd/>
              <w:spacing w:line="600" w:lineRule="exact"/>
              <w:jc w:val="left"/>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sz w:val="24"/>
                <w:highlight w:val="none"/>
              </w:rPr>
              <w:t>投标文件中同时提供车辆行驶证、购车发票及车辆登记证复印件；</w:t>
            </w:r>
            <w:r>
              <w:rPr>
                <w:rFonts w:hint="eastAsia" w:ascii="宋体" w:hAnsi="宋体" w:eastAsia="宋体" w:cs="宋体"/>
                <w:b/>
                <w:bCs/>
                <w:color w:val="auto"/>
                <w:sz w:val="24"/>
                <w:highlight w:val="none"/>
              </w:rPr>
              <w:t>投标文件中同时提供车辆行驶证、购车发票及车辆登记证复印件；</w:t>
            </w:r>
          </w:p>
        </w:tc>
        <w:tc>
          <w:tcPr>
            <w:tcW w:w="990"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17</w:t>
            </w:r>
          </w:p>
        </w:tc>
        <w:tc>
          <w:tcPr>
            <w:tcW w:w="855"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215"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vAlign w:val="center"/>
          </w:tcPr>
          <w:p>
            <w:pPr>
              <w:jc w:val="center"/>
              <w:rPr>
                <w:rFonts w:hint="eastAsia" w:ascii="宋体" w:hAnsi="宋体" w:eastAsia="宋体" w:cs="宋体"/>
                <w:color w:val="auto"/>
                <w:sz w:val="24"/>
                <w:highlight w:val="none"/>
              </w:rPr>
            </w:pPr>
          </w:p>
        </w:tc>
        <w:tc>
          <w:tcPr>
            <w:tcW w:w="1244" w:type="dxa"/>
            <w:vMerge w:val="continue"/>
            <w:vAlign w:val="center"/>
          </w:tcPr>
          <w:p>
            <w:pPr>
              <w:adjustRightInd/>
              <w:spacing w:line="600" w:lineRule="exact"/>
              <w:jc w:val="left"/>
              <w:rPr>
                <w:rFonts w:hint="eastAsia" w:ascii="宋体" w:hAnsi="宋体" w:eastAsia="宋体" w:cs="宋体"/>
                <w:b/>
                <w:bCs/>
                <w:color w:val="auto"/>
                <w:sz w:val="24"/>
                <w:highlight w:val="none"/>
              </w:rPr>
            </w:pPr>
          </w:p>
        </w:tc>
        <w:tc>
          <w:tcPr>
            <w:tcW w:w="4440" w:type="dxa"/>
            <w:vAlign w:val="center"/>
          </w:tcPr>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市政设备：</w:t>
            </w:r>
            <w:r>
              <w:rPr>
                <w:rFonts w:hint="eastAsia" w:ascii="宋体" w:hAnsi="宋体" w:eastAsia="宋体" w:cs="宋体"/>
                <w:color w:val="auto"/>
                <w:sz w:val="24"/>
                <w:highlight w:val="none"/>
              </w:rPr>
              <w:t>（本项合计最高得</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①投标人自有沥青路面热再生修补车每有一辆得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分，最高得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pStyle w:val="4"/>
              <w:jc w:val="left"/>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②投标人自有储料式沥青保温车每有一辆得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rPr>
              <w:t>分，最高得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rPr>
              <w:t>分；</w:t>
            </w:r>
          </w:p>
          <w:p>
            <w:pPr>
              <w:adjustRightInd/>
              <w:spacing w:line="600" w:lineRule="exact"/>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highlight w:val="none"/>
              </w:rPr>
              <w:t>③</w:t>
            </w:r>
            <w:r>
              <w:rPr>
                <w:rFonts w:hint="eastAsia" w:ascii="宋体" w:hAnsi="宋体" w:eastAsia="宋体" w:cs="宋体"/>
                <w:b w:val="0"/>
                <w:bCs w:val="0"/>
                <w:color w:val="auto"/>
                <w:sz w:val="24"/>
                <w:szCs w:val="24"/>
                <w:highlight w:val="none"/>
                <w:lang w:val="en-US"/>
              </w:rPr>
              <w:t>投标人自有铣刨机、沥青砼摊铺机、压路机一台的各得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rPr>
              <w:t>分，</w:t>
            </w:r>
            <w:r>
              <w:rPr>
                <w:rFonts w:hint="eastAsia" w:ascii="宋体" w:hAnsi="宋体" w:eastAsia="宋体" w:cs="宋体"/>
                <w:b w:val="0"/>
                <w:bCs w:val="0"/>
                <w:color w:val="auto"/>
                <w:sz w:val="24"/>
                <w:szCs w:val="24"/>
                <w:highlight w:val="none"/>
                <w:lang w:val="en-US" w:eastAsia="zh-CN"/>
              </w:rPr>
              <w:t>最高得3分；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④投标人自有管道</w:t>
            </w:r>
            <w:r>
              <w:rPr>
                <w:rFonts w:hint="eastAsia" w:ascii="宋体" w:hAnsi="宋体" w:cs="宋体"/>
                <w:color w:val="auto"/>
                <w:sz w:val="24"/>
                <w:highlight w:val="none"/>
                <w:lang w:eastAsia="zh-CN"/>
              </w:rPr>
              <w:t>清洗吸污车</w:t>
            </w:r>
            <w:r>
              <w:rPr>
                <w:rFonts w:hint="eastAsia" w:ascii="宋体" w:hAnsi="宋体" w:eastAsia="宋体" w:cs="宋体"/>
                <w:color w:val="auto"/>
                <w:sz w:val="24"/>
                <w:highlight w:val="none"/>
              </w:rPr>
              <w:t>每有一辆得1分，最高得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⑤投标人自有皮卡工具车（车辆登记证原件中使用性质必须为工程救险或工程抢险）每有一辆得1分，最高得2分</w:t>
            </w:r>
            <w:r>
              <w:rPr>
                <w:rFonts w:hint="eastAsia" w:ascii="宋体" w:hAnsi="宋体" w:eastAsia="宋体" w:cs="宋体"/>
                <w:color w:val="auto"/>
                <w:sz w:val="24"/>
                <w:highlight w:val="none"/>
                <w:lang w:val="en-US" w:eastAsia="zh-CN"/>
              </w:rPr>
              <w:t>；</w:t>
            </w:r>
          </w:p>
          <w:p>
            <w:pPr>
              <w:pStyle w:val="4"/>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⑥自备 CCTV管道检测设备(管道机器人)2套以上得1分，</w:t>
            </w:r>
          </w:p>
          <w:p>
            <w:pPr>
              <w:pStyle w:val="4"/>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气体检测仪5套以上得1分，发电机5台以上得1分，抽水</w:t>
            </w:r>
          </w:p>
          <w:p>
            <w:pPr>
              <w:pStyle w:val="4"/>
              <w:ind w:left="0" w:leftChars="0" w:firstLine="0" w:firstLineChars="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水泵5台以上得1分，本项最高得分</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en-US"/>
              </w:rPr>
              <w:t>分（投标文件中需提供设备购买发票复印件加盖公章）</w:t>
            </w:r>
          </w:p>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以上设备是车辆的在</w:t>
            </w:r>
            <w:r>
              <w:rPr>
                <w:rFonts w:hint="eastAsia" w:ascii="宋体" w:hAnsi="宋体" w:eastAsia="宋体" w:cs="宋体"/>
                <w:b/>
                <w:bCs/>
                <w:color w:val="auto"/>
                <w:sz w:val="24"/>
                <w:highlight w:val="none"/>
              </w:rPr>
              <w:t>投标文件中同时提供车辆行驶证、购车发票及车辆登记证复印件；</w:t>
            </w:r>
          </w:p>
        </w:tc>
        <w:tc>
          <w:tcPr>
            <w:tcW w:w="990"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p>
        </w:tc>
        <w:tc>
          <w:tcPr>
            <w:tcW w:w="855"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215" w:type="dxa"/>
            <w:vAlign w:val="center"/>
          </w:tcPr>
          <w:p>
            <w:pPr>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96" w:type="dxa"/>
            <w:vMerge w:val="continue"/>
            <w:vAlign w:val="center"/>
          </w:tcPr>
          <w:p>
            <w:pPr>
              <w:jc w:val="center"/>
              <w:rPr>
                <w:rFonts w:hint="eastAsia" w:ascii="宋体" w:hAnsi="宋体" w:eastAsia="宋体" w:cs="宋体"/>
                <w:color w:val="auto"/>
                <w:sz w:val="24"/>
                <w:highlight w:val="none"/>
              </w:rPr>
            </w:pPr>
          </w:p>
        </w:tc>
        <w:tc>
          <w:tcPr>
            <w:tcW w:w="1244" w:type="dxa"/>
            <w:vMerge w:val="continue"/>
            <w:vAlign w:val="center"/>
          </w:tcPr>
          <w:p>
            <w:pPr>
              <w:adjustRightInd/>
              <w:spacing w:line="600" w:lineRule="exact"/>
              <w:jc w:val="left"/>
              <w:rPr>
                <w:rFonts w:hint="eastAsia" w:ascii="宋体" w:hAnsi="宋体" w:eastAsia="宋体" w:cs="宋体"/>
                <w:b/>
                <w:bCs/>
                <w:color w:val="auto"/>
                <w:sz w:val="24"/>
                <w:highlight w:val="none"/>
              </w:rPr>
            </w:pPr>
          </w:p>
        </w:tc>
        <w:tc>
          <w:tcPr>
            <w:tcW w:w="4440" w:type="dxa"/>
            <w:vAlign w:val="center"/>
          </w:tcPr>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公厕保洁设备：</w:t>
            </w:r>
            <w:r>
              <w:rPr>
                <w:rFonts w:hint="eastAsia" w:ascii="宋体" w:hAnsi="宋体" w:eastAsia="宋体" w:cs="宋体"/>
                <w:color w:val="auto"/>
                <w:sz w:val="24"/>
                <w:highlight w:val="none"/>
              </w:rPr>
              <w:t>（本项合计最高得</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pStyle w:val="4"/>
              <w:rPr>
                <w:rFonts w:hint="eastAsia" w:ascii="宋体" w:hAnsi="宋体" w:eastAsia="宋体" w:cs="宋体"/>
                <w:b w:val="0"/>
                <w:bCs w:val="0"/>
                <w:color w:val="auto"/>
                <w:sz w:val="24"/>
                <w:szCs w:val="24"/>
                <w:highlight w:val="none"/>
                <w:lang w:val="en-US"/>
              </w:rPr>
            </w:pPr>
            <w:r>
              <w:rPr>
                <w:rFonts w:hint="eastAsia" w:ascii="宋体" w:hAnsi="宋体" w:eastAsia="宋体" w:cs="宋体"/>
                <w:color w:val="auto"/>
                <w:sz w:val="24"/>
                <w:highlight w:val="none"/>
              </w:rPr>
              <w:t>①</w:t>
            </w:r>
            <w:r>
              <w:rPr>
                <w:rFonts w:hint="eastAsia" w:ascii="宋体" w:hAnsi="宋体" w:eastAsia="宋体" w:cs="宋体"/>
                <w:b w:val="0"/>
                <w:bCs w:val="0"/>
                <w:color w:val="auto"/>
                <w:sz w:val="24"/>
                <w:szCs w:val="24"/>
                <w:highlight w:val="none"/>
                <w:lang w:val="en-US"/>
              </w:rPr>
              <w:t>投标人自有全自动洗地机的每辆得</w:t>
            </w:r>
            <w:r>
              <w:rPr>
                <w:rFonts w:hint="eastAsia" w:ascii="宋体" w:hAnsi="宋体" w:eastAsia="宋体" w:cs="宋体"/>
                <w:b w:val="0"/>
                <w:bCs w:val="0"/>
                <w:color w:val="auto"/>
                <w:sz w:val="24"/>
                <w:szCs w:val="24"/>
                <w:highlight w:val="none"/>
                <w:lang w:val="en-US" w:eastAsia="zh-CN"/>
              </w:rPr>
              <w:t>0.5</w:t>
            </w:r>
            <w:r>
              <w:rPr>
                <w:rFonts w:hint="eastAsia" w:ascii="宋体" w:hAnsi="宋体" w:eastAsia="宋体" w:cs="宋体"/>
                <w:b w:val="0"/>
                <w:bCs w:val="0"/>
                <w:color w:val="auto"/>
                <w:sz w:val="24"/>
                <w:szCs w:val="24"/>
                <w:highlight w:val="none"/>
                <w:lang w:val="en-US"/>
              </w:rPr>
              <w:t>分，满分</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rPr>
              <w:t>分。</w:t>
            </w:r>
          </w:p>
          <w:p>
            <w:pPr>
              <w:pStyle w:val="4"/>
              <w:rPr>
                <w:rFonts w:hint="eastAsia" w:ascii="宋体" w:hAnsi="宋体" w:eastAsia="宋体" w:cs="宋体"/>
                <w:color w:val="auto"/>
                <w:sz w:val="24"/>
                <w:highlight w:val="none"/>
              </w:rPr>
            </w:pPr>
            <w:r>
              <w:rPr>
                <w:rFonts w:hint="eastAsia" w:ascii="宋体" w:hAnsi="宋体" w:eastAsia="宋体" w:cs="宋体"/>
                <w:b w:val="0"/>
                <w:bCs w:val="0"/>
                <w:color w:val="auto"/>
                <w:sz w:val="24"/>
                <w:szCs w:val="24"/>
                <w:highlight w:val="none"/>
                <w:lang w:val="en-US"/>
              </w:rPr>
              <w:t>②</w:t>
            </w:r>
            <w:r>
              <w:rPr>
                <w:rFonts w:hint="eastAsia" w:ascii="宋体" w:hAnsi="宋体" w:eastAsia="宋体" w:cs="宋体"/>
                <w:b w:val="0"/>
                <w:bCs w:val="0"/>
                <w:color w:val="auto"/>
                <w:sz w:val="24"/>
                <w:szCs w:val="24"/>
                <w:highlight w:val="none"/>
                <w:lang w:val="en-US" w:eastAsia="zh-CN"/>
              </w:rPr>
              <w:t>投标人自有吸粪车的得1分，</w:t>
            </w:r>
            <w:r>
              <w:rPr>
                <w:rFonts w:hint="eastAsia" w:ascii="宋体" w:hAnsi="宋体" w:eastAsia="宋体" w:cs="宋体"/>
                <w:color w:val="auto"/>
                <w:sz w:val="24"/>
                <w:highlight w:val="none"/>
              </w:rPr>
              <w:t>最高得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rPr>
                <w:rFonts w:hint="eastAsia"/>
                <w:color w:val="auto"/>
                <w:highlight w:val="none"/>
                <w:lang w:val="en-US" w:eastAsia="zh-CN"/>
              </w:rPr>
            </w:pPr>
            <w:r>
              <w:rPr>
                <w:rFonts w:hint="eastAsia" w:ascii="宋体" w:hAnsi="宋体" w:eastAsia="宋体" w:cs="宋体"/>
                <w:b/>
                <w:bCs/>
                <w:color w:val="auto"/>
                <w:sz w:val="24"/>
                <w:highlight w:val="none"/>
                <w:lang w:val="en-US" w:eastAsia="zh-CN"/>
              </w:rPr>
              <w:t>以上设备是车辆的在</w:t>
            </w:r>
            <w:r>
              <w:rPr>
                <w:rFonts w:hint="eastAsia" w:ascii="宋体" w:hAnsi="宋体" w:eastAsia="宋体" w:cs="宋体"/>
                <w:b/>
                <w:bCs/>
                <w:color w:val="auto"/>
                <w:sz w:val="24"/>
                <w:highlight w:val="none"/>
              </w:rPr>
              <w:t>投标文件中同时提供车辆行驶证、购车发票及车辆登记证复印件</w:t>
            </w:r>
          </w:p>
        </w:tc>
        <w:tc>
          <w:tcPr>
            <w:tcW w:w="990"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855"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215"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796" w:type="dxa"/>
            <w:vMerge w:val="continue"/>
            <w:vAlign w:val="center"/>
          </w:tcPr>
          <w:p>
            <w:pPr>
              <w:jc w:val="center"/>
              <w:rPr>
                <w:rFonts w:hint="eastAsia" w:ascii="宋体" w:hAnsi="宋体" w:eastAsia="宋体" w:cs="宋体"/>
                <w:color w:val="auto"/>
                <w:sz w:val="24"/>
                <w:highlight w:val="none"/>
              </w:rPr>
            </w:pPr>
          </w:p>
        </w:tc>
        <w:tc>
          <w:tcPr>
            <w:tcW w:w="1244" w:type="dxa"/>
            <w:vMerge w:val="continue"/>
            <w:vAlign w:val="center"/>
          </w:tcPr>
          <w:p>
            <w:pPr>
              <w:adjustRightInd/>
              <w:spacing w:line="600" w:lineRule="exact"/>
              <w:jc w:val="left"/>
              <w:rPr>
                <w:rFonts w:hint="eastAsia" w:ascii="宋体" w:hAnsi="宋体" w:eastAsia="宋体" w:cs="宋体"/>
                <w:b/>
                <w:bCs/>
                <w:color w:val="auto"/>
                <w:sz w:val="24"/>
                <w:highlight w:val="none"/>
              </w:rPr>
            </w:pPr>
          </w:p>
        </w:tc>
        <w:tc>
          <w:tcPr>
            <w:tcW w:w="4440" w:type="dxa"/>
            <w:vAlign w:val="center"/>
          </w:tcPr>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绿化设备：</w:t>
            </w:r>
            <w:r>
              <w:rPr>
                <w:rFonts w:hint="eastAsia" w:ascii="宋体" w:hAnsi="宋体" w:eastAsia="宋体" w:cs="宋体"/>
                <w:color w:val="auto"/>
                <w:sz w:val="24"/>
                <w:highlight w:val="none"/>
              </w:rPr>
              <w:t>（本项合计最高得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①投标人自有专项高空作业登高车每有一辆得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分，最高得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② 投标人自有总质量15000kg及以上绿化喷洒车每有一辆得1分，最高得1分；</w:t>
            </w:r>
          </w:p>
          <w:p>
            <w:pPr>
              <w:adjustRightInd/>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③投标人自有总质量 2 吨以上的货车每有一辆得1分，最高得1分；</w:t>
            </w:r>
          </w:p>
          <w:p>
            <w:pPr>
              <w:adjustRightInd/>
              <w:spacing w:line="600" w:lineRule="exact"/>
              <w:jc w:val="left"/>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rPr>
              <w:t>④</w:t>
            </w:r>
            <w:r>
              <w:rPr>
                <w:rFonts w:hint="eastAsia" w:ascii="宋体" w:hAnsi="宋体" w:eastAsia="宋体" w:cs="宋体"/>
                <w:color w:val="auto"/>
                <w:sz w:val="24"/>
                <w:highlight w:val="none"/>
                <w:lang w:val="en-US" w:eastAsia="zh-CN"/>
              </w:rPr>
              <w:t>投标人割灌机5台及以上的得1分，草坪修剪机5台及以上的得1分，</w:t>
            </w:r>
            <w:r>
              <w:rPr>
                <w:rFonts w:hint="eastAsia" w:ascii="宋体" w:hAnsi="宋体" w:eastAsia="宋体" w:cs="宋体"/>
                <w:b w:val="0"/>
                <w:bCs w:val="0"/>
                <w:color w:val="auto"/>
                <w:sz w:val="24"/>
                <w:szCs w:val="24"/>
                <w:highlight w:val="none"/>
                <w:lang w:val="en-US"/>
              </w:rPr>
              <w:t>本项最高得分</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分</w:t>
            </w:r>
            <w:r>
              <w:rPr>
                <w:rFonts w:hint="eastAsia" w:ascii="宋体" w:hAnsi="宋体" w:eastAsia="宋体" w:cs="宋体"/>
                <w:b w:val="0"/>
                <w:bCs w:val="0"/>
                <w:color w:val="auto"/>
                <w:sz w:val="24"/>
                <w:szCs w:val="24"/>
                <w:highlight w:val="none"/>
                <w:lang w:val="en-US" w:eastAsia="zh-CN"/>
              </w:rPr>
              <w:t>；</w:t>
            </w:r>
          </w:p>
          <w:p>
            <w:pPr>
              <w:adjustRightInd/>
              <w:spacing w:line="6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以上设备是车辆的在投</w:t>
            </w:r>
            <w:r>
              <w:rPr>
                <w:rFonts w:hint="eastAsia" w:ascii="宋体" w:hAnsi="宋体" w:eastAsia="宋体" w:cs="宋体"/>
                <w:b/>
                <w:bCs/>
                <w:color w:val="auto"/>
                <w:sz w:val="24"/>
                <w:highlight w:val="none"/>
              </w:rPr>
              <w:t>标文件中同时提供车辆行驶证、购车发票及车辆登记证复印件；</w:t>
            </w:r>
            <w:r>
              <w:rPr>
                <w:rFonts w:hint="eastAsia" w:ascii="宋体" w:hAnsi="宋体" w:eastAsia="宋体" w:cs="宋体"/>
                <w:b/>
                <w:bCs/>
                <w:color w:val="auto"/>
                <w:sz w:val="24"/>
                <w:highlight w:val="none"/>
                <w:lang w:val="en-US" w:eastAsia="zh-CN"/>
              </w:rPr>
              <w:t>其它</w:t>
            </w:r>
            <w:r>
              <w:rPr>
                <w:rFonts w:hint="eastAsia" w:ascii="宋体" w:hAnsi="宋体" w:eastAsia="宋体" w:cs="宋体"/>
                <w:b/>
                <w:bCs/>
                <w:color w:val="auto"/>
                <w:sz w:val="24"/>
                <w:highlight w:val="none"/>
                <w:lang w:val="en-US"/>
              </w:rPr>
              <w:t>设备提供购买发票复印件加盖公章</w:t>
            </w:r>
          </w:p>
        </w:tc>
        <w:tc>
          <w:tcPr>
            <w:tcW w:w="990" w:type="dxa"/>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855"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215"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5684" w:type="dxa"/>
            <w:gridSpan w:val="2"/>
            <w:vAlign w:val="center"/>
          </w:tcPr>
          <w:p>
            <w:pPr>
              <w:pStyle w:val="966"/>
              <w:snapToGrid w:val="0"/>
              <w:ind w:firstLine="0" w:firstLineChars="0"/>
              <w:jc w:val="left"/>
              <w:rPr>
                <w:rFonts w:hint="eastAsia" w:ascii="宋体" w:hAnsi="宋体" w:eastAsia="宋体" w:cs="宋体"/>
                <w:color w:val="auto"/>
                <w:kern w:val="21"/>
                <w:sz w:val="24"/>
                <w:szCs w:val="24"/>
                <w:highlight w:val="none"/>
              </w:rPr>
            </w:pPr>
            <w:r>
              <w:rPr>
                <w:rFonts w:hint="eastAsia" w:ascii="宋体" w:hAnsi="宋体" w:eastAsia="宋体" w:cs="宋体"/>
                <w:color w:val="auto"/>
                <w:kern w:val="21"/>
                <w:sz w:val="24"/>
                <w:szCs w:val="24"/>
                <w:highlight w:val="none"/>
              </w:rPr>
              <w:t>管理体系认证证书：投标人具有效的环境管理体系认证、职业健康安全管理体系认证、质量管理体系认证证书每有一个得</w:t>
            </w:r>
            <w:r>
              <w:rPr>
                <w:rFonts w:hint="eastAsia" w:ascii="宋体" w:eastAsia="宋体" w:cs="宋体"/>
                <w:color w:val="auto"/>
                <w:kern w:val="21"/>
                <w:sz w:val="24"/>
                <w:szCs w:val="24"/>
                <w:highlight w:val="none"/>
                <w:lang w:val="en-US" w:eastAsia="zh-CN"/>
              </w:rPr>
              <w:t>2</w:t>
            </w:r>
            <w:r>
              <w:rPr>
                <w:rFonts w:hint="eastAsia" w:ascii="宋体" w:hAnsi="宋体" w:eastAsia="宋体" w:cs="宋体"/>
                <w:color w:val="auto"/>
                <w:kern w:val="21"/>
                <w:sz w:val="24"/>
                <w:szCs w:val="24"/>
                <w:highlight w:val="none"/>
              </w:rPr>
              <w:t>分，最多得</w:t>
            </w:r>
            <w:r>
              <w:rPr>
                <w:rFonts w:hint="eastAsia" w:ascii="宋体" w:eastAsia="宋体" w:cs="宋体"/>
                <w:color w:val="auto"/>
                <w:kern w:val="21"/>
                <w:sz w:val="24"/>
                <w:szCs w:val="24"/>
                <w:highlight w:val="none"/>
                <w:lang w:val="en-US" w:eastAsia="zh-CN"/>
              </w:rPr>
              <w:t>6</w:t>
            </w:r>
            <w:r>
              <w:rPr>
                <w:rFonts w:hint="eastAsia" w:ascii="宋体" w:hAnsi="宋体" w:eastAsia="宋体" w:cs="宋体"/>
                <w:color w:val="auto"/>
                <w:kern w:val="21"/>
                <w:sz w:val="24"/>
                <w:szCs w:val="24"/>
                <w:highlight w:val="none"/>
              </w:rPr>
              <w:t>分；</w:t>
            </w:r>
          </w:p>
          <w:p>
            <w:pPr>
              <w:pStyle w:val="966"/>
              <w:snapToGrid w:val="0"/>
              <w:ind w:firstLine="0" w:firstLineChars="0"/>
              <w:jc w:val="left"/>
              <w:rPr>
                <w:rFonts w:hint="eastAsia" w:ascii="宋体" w:hAnsi="宋体" w:eastAsia="宋体" w:cs="宋体"/>
                <w:color w:val="auto"/>
                <w:kern w:val="21"/>
                <w:sz w:val="24"/>
                <w:szCs w:val="24"/>
                <w:highlight w:val="none"/>
                <w:lang w:val="en-US" w:eastAsia="zh-CN" w:bidi="ar-SA"/>
              </w:rPr>
            </w:pPr>
            <w:r>
              <w:rPr>
                <w:rFonts w:hint="eastAsia" w:ascii="宋体" w:hAnsi="宋体" w:eastAsia="宋体" w:cs="宋体"/>
                <w:b/>
                <w:bCs/>
                <w:color w:val="auto"/>
                <w:kern w:val="21"/>
                <w:sz w:val="24"/>
                <w:szCs w:val="24"/>
                <w:highlight w:val="none"/>
              </w:rPr>
              <w:t>投标文件中提供证书复印件并加盖公章；</w:t>
            </w:r>
          </w:p>
        </w:tc>
        <w:tc>
          <w:tcPr>
            <w:tcW w:w="990"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6</w:t>
            </w:r>
          </w:p>
        </w:tc>
        <w:tc>
          <w:tcPr>
            <w:tcW w:w="855"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215"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6</w:t>
            </w:r>
          </w:p>
        </w:tc>
        <w:tc>
          <w:tcPr>
            <w:tcW w:w="5684" w:type="dxa"/>
            <w:gridSpan w:val="2"/>
            <w:vAlign w:val="center"/>
          </w:tcPr>
          <w:p>
            <w:pPr>
              <w:pStyle w:val="966"/>
              <w:snapToGrid w:val="0"/>
              <w:ind w:firstLine="0" w:firstLineChars="0"/>
              <w:jc w:val="left"/>
              <w:rPr>
                <w:rFonts w:hint="eastAsia" w:ascii="宋体" w:hAnsi="宋体" w:eastAsia="宋体" w:cs="宋体"/>
                <w:color w:val="auto"/>
                <w:kern w:val="21"/>
                <w:sz w:val="24"/>
                <w:szCs w:val="24"/>
                <w:highlight w:val="none"/>
                <w:lang w:val="zh-CN"/>
              </w:rPr>
            </w:pPr>
            <w:r>
              <w:rPr>
                <w:rFonts w:hint="eastAsia" w:ascii="宋体" w:hAnsi="宋体" w:eastAsia="宋体" w:cs="宋体"/>
                <w:color w:val="auto"/>
                <w:kern w:val="21"/>
                <w:sz w:val="24"/>
                <w:szCs w:val="24"/>
                <w:highlight w:val="none"/>
                <w:lang w:val="zh-CN"/>
              </w:rPr>
              <w:t>类似项目实施业绩一览表：投标人自201</w:t>
            </w:r>
            <w:r>
              <w:rPr>
                <w:rFonts w:hint="eastAsia" w:ascii="宋体" w:hAnsi="宋体" w:eastAsia="宋体" w:cs="宋体"/>
                <w:color w:val="auto"/>
                <w:kern w:val="21"/>
                <w:sz w:val="24"/>
                <w:szCs w:val="24"/>
                <w:highlight w:val="none"/>
              </w:rPr>
              <w:t>9</w:t>
            </w:r>
            <w:r>
              <w:rPr>
                <w:rFonts w:hint="eastAsia" w:ascii="宋体" w:hAnsi="宋体" w:eastAsia="宋体" w:cs="宋体"/>
                <w:color w:val="auto"/>
                <w:kern w:val="21"/>
                <w:sz w:val="24"/>
                <w:szCs w:val="24"/>
                <w:highlight w:val="none"/>
                <w:lang w:val="zh-CN"/>
              </w:rPr>
              <w:t>年1月1日（含）以来（时间以合同签订时间为准）承担过类似项目（服务内容须包含市政道路清扫保洁、市政养护、绿化养护中二项及以上的）业绩的，每提供1个得</w:t>
            </w:r>
            <w:r>
              <w:rPr>
                <w:rFonts w:hint="eastAsia" w:ascii="宋体" w:hAnsi="宋体" w:eastAsia="宋体" w:cs="宋体"/>
                <w:color w:val="auto"/>
                <w:kern w:val="21"/>
                <w:sz w:val="24"/>
                <w:szCs w:val="24"/>
                <w:highlight w:val="none"/>
                <w:lang w:val="en-US" w:eastAsia="zh-CN"/>
              </w:rPr>
              <w:t>0.5</w:t>
            </w:r>
            <w:r>
              <w:rPr>
                <w:rFonts w:hint="eastAsia" w:ascii="宋体" w:hAnsi="宋体" w:eastAsia="宋体" w:cs="宋体"/>
                <w:color w:val="auto"/>
                <w:kern w:val="21"/>
                <w:sz w:val="24"/>
                <w:szCs w:val="24"/>
                <w:highlight w:val="none"/>
                <w:lang w:val="zh-CN"/>
              </w:rPr>
              <w:t>分，本项最多得</w:t>
            </w:r>
            <w:r>
              <w:rPr>
                <w:rFonts w:hint="eastAsia" w:ascii="宋体" w:eastAsia="宋体" w:cs="宋体"/>
                <w:color w:val="auto"/>
                <w:kern w:val="21"/>
                <w:sz w:val="24"/>
                <w:szCs w:val="24"/>
                <w:highlight w:val="none"/>
                <w:lang w:val="en-US" w:eastAsia="zh-CN"/>
              </w:rPr>
              <w:t>1</w:t>
            </w:r>
            <w:r>
              <w:rPr>
                <w:rFonts w:hint="eastAsia" w:ascii="宋体" w:hAnsi="宋体" w:eastAsia="宋体" w:cs="宋体"/>
                <w:color w:val="auto"/>
                <w:kern w:val="21"/>
                <w:sz w:val="24"/>
                <w:szCs w:val="24"/>
                <w:highlight w:val="none"/>
                <w:lang w:val="zh-CN"/>
              </w:rPr>
              <w:t>分；</w:t>
            </w:r>
          </w:p>
          <w:p>
            <w:pPr>
              <w:pStyle w:val="966"/>
              <w:snapToGrid w:val="0"/>
              <w:ind w:firstLine="0" w:firstLineChars="0"/>
              <w:jc w:val="left"/>
              <w:rPr>
                <w:rFonts w:hint="eastAsia" w:ascii="宋体" w:hAnsi="宋体" w:eastAsia="宋体" w:cs="宋体"/>
                <w:color w:val="auto"/>
                <w:kern w:val="21"/>
                <w:sz w:val="24"/>
                <w:szCs w:val="24"/>
                <w:highlight w:val="none"/>
                <w:lang w:val="en-US" w:eastAsia="zh-CN" w:bidi="ar-SA"/>
              </w:rPr>
            </w:pPr>
            <w:r>
              <w:rPr>
                <w:rFonts w:hint="eastAsia" w:ascii="宋体" w:hAnsi="宋体" w:eastAsia="宋体" w:cs="宋体"/>
                <w:b/>
                <w:bCs/>
                <w:color w:val="auto"/>
                <w:kern w:val="21"/>
                <w:sz w:val="24"/>
                <w:szCs w:val="24"/>
                <w:highlight w:val="none"/>
                <w:lang w:val="zh-CN"/>
              </w:rPr>
              <w:t>投标文件中提供合同复印件并加盖公章；</w:t>
            </w:r>
          </w:p>
        </w:tc>
        <w:tc>
          <w:tcPr>
            <w:tcW w:w="990"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w:t>
            </w:r>
          </w:p>
        </w:tc>
        <w:tc>
          <w:tcPr>
            <w:tcW w:w="855" w:type="dxa"/>
            <w:vAlign w:val="center"/>
          </w:tcPr>
          <w:p>
            <w:pPr>
              <w:jc w:val="center"/>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1215" w:type="dxa"/>
            <w:vAlign w:val="center"/>
          </w:tcPr>
          <w:p>
            <w:pPr>
              <w:jc w:val="center"/>
              <w:rPr>
                <w:rFonts w:hint="eastAsia" w:ascii="宋体" w:hAnsi="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tabs>
                <w:tab w:val="left" w:pos="207"/>
                <w:tab w:val="center" w:pos="350"/>
              </w:tabs>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7</w:t>
            </w:r>
          </w:p>
        </w:tc>
        <w:tc>
          <w:tcPr>
            <w:tcW w:w="5684" w:type="dxa"/>
            <w:gridSpan w:val="2"/>
            <w:vAlign w:val="center"/>
          </w:tcPr>
          <w:p>
            <w:pPr>
              <w:spacing w:line="360" w:lineRule="auto"/>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有效投标报价的最低价作为评标基准价，其最低报价为满分；按［投标报价得分</w:t>
            </w:r>
            <w:r>
              <w:rPr>
                <w:rFonts w:cs="仿宋_GB2312" w:asciiTheme="minorEastAsia" w:hAnsiTheme="minorEastAsia" w:eastAsiaTheme="minorEastAsia"/>
                <w:color w:val="auto"/>
                <w:sz w:val="24"/>
              </w:rPr>
              <w:t>=（评标基准价/投标报价）*</w:t>
            </w:r>
            <w:r>
              <w:rPr>
                <w:rFonts w:hint="eastAsia" w:cs="仿宋_GB2312" w:asciiTheme="minorEastAsia" w:hAnsiTheme="minorEastAsia" w:eastAsiaTheme="minorEastAsia"/>
                <w:color w:val="auto"/>
                <w:sz w:val="24"/>
              </w:rPr>
              <w:t>权重</w:t>
            </w:r>
            <w:r>
              <w:rPr>
                <w:rFonts w:cs="仿宋_GB2312" w:asciiTheme="minorEastAsia" w:hAnsiTheme="minorEastAsia" w:eastAsiaTheme="minorEastAsia"/>
                <w:color w:val="auto"/>
                <w:sz w:val="24"/>
              </w:rPr>
              <w:t>］的计算公式计算。</w:t>
            </w:r>
          </w:p>
          <w:p>
            <w:pPr>
              <w:widowControl/>
              <w:shd w:val="clear" w:color="auto" w:fill="FFFFFF"/>
              <w:adjustRightInd/>
              <w:spacing w:after="225" w:line="315" w:lineRule="atLeast"/>
              <w:ind w:firstLine="420"/>
              <w:jc w:val="left"/>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评标过程中，不得去掉报价中的最高报价和最低报价。</w:t>
            </w:r>
          </w:p>
          <w:p>
            <w:pPr>
              <w:spacing w:line="600" w:lineRule="exact"/>
              <w:jc w:val="left"/>
              <w:rPr>
                <w:rFonts w:hint="eastAsia" w:ascii="宋体" w:hAnsi="宋体" w:eastAsia="宋体" w:cs="宋体"/>
                <w:color w:val="auto"/>
                <w:kern w:val="2"/>
                <w:sz w:val="24"/>
                <w:szCs w:val="24"/>
                <w:highlight w:val="none"/>
                <w:lang w:val="en-US" w:eastAsia="zh-CN" w:bidi="ar-SA"/>
              </w:rPr>
            </w:pPr>
            <w:r>
              <w:rPr>
                <w:rFonts w:hint="eastAsia" w:cs="仿宋_GB2312" w:asciiTheme="minorEastAsia" w:hAnsiTheme="minorEastAsia" w:eastAsiaTheme="minorEastAsia"/>
                <w:color w:val="auto"/>
                <w:sz w:val="24"/>
              </w:rPr>
              <w:t>对于未预留份额专门面向中小企业的政府采购服务项目，以及预留份额政府采购服务项目中的非预留部分标项，对小型和微型企业的投标报价给予</w:t>
            </w:r>
            <w:r>
              <w:rPr>
                <w:rFonts w:hint="eastAsia" w:cs="仿宋_GB2312" w:asciiTheme="minorEastAsia" w:hAnsiTheme="minorEastAsia" w:eastAsiaTheme="minorEastAsia"/>
                <w:color w:val="auto"/>
                <w:sz w:val="24"/>
                <w:lang w:val="en-US" w:eastAsia="zh-CN"/>
              </w:rPr>
              <w:t>20</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auto"/>
                <w:sz w:val="24"/>
                <w:lang w:val="en-US" w:eastAsia="zh-CN"/>
              </w:rPr>
              <w:t>6</w:t>
            </w:r>
            <w:r>
              <w:rPr>
                <w:rFonts w:hint="eastAsia" w:cs="仿宋_GB2312" w:asciiTheme="minorEastAsia" w:hAnsiTheme="minorEastAsia" w:eastAsiaTheme="minorEastAsia"/>
                <w:color w:val="auto"/>
                <w:sz w:val="24"/>
              </w:rPr>
              <w:t>%</w:t>
            </w:r>
            <w:r>
              <w:rPr>
                <w:rFonts w:hint="eastAsia" w:cs="仿宋_GB2312" w:asciiTheme="minorEastAsia" w:hAnsiTheme="minorEastAsia" w:eastAsiaTheme="minorEastAsia"/>
                <w:color w:val="auto"/>
                <w:sz w:val="24"/>
              </w:rPr>
              <w:t>的扣除，用扣除后的价格参加评审</w:t>
            </w:r>
            <w:r>
              <w:rPr>
                <w:rFonts w:cs="仿宋_GB2312" w:asciiTheme="minorEastAsia" w:hAnsiTheme="minorEastAsia" w:eastAsiaTheme="minorEastAsia"/>
                <w:color w:val="auto"/>
                <w:sz w:val="24"/>
              </w:rPr>
              <w:t>。</w:t>
            </w:r>
          </w:p>
        </w:tc>
        <w:tc>
          <w:tcPr>
            <w:tcW w:w="990"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10</w:t>
            </w:r>
          </w:p>
        </w:tc>
        <w:tc>
          <w:tcPr>
            <w:tcW w:w="855" w:type="dxa"/>
            <w:vAlign w:val="center"/>
          </w:tcPr>
          <w:p>
            <w:pPr>
              <w:jc w:val="center"/>
              <w:rPr>
                <w:rFonts w:hint="eastAsia" w:ascii="宋体" w:hAnsi="宋体" w:cs="宋体"/>
                <w:color w:val="auto"/>
                <w:kern w:val="2"/>
                <w:sz w:val="24"/>
                <w:szCs w:val="24"/>
                <w:highlight w:val="none"/>
                <w:lang w:val="en-US" w:eastAsia="zh-CN" w:bidi="ar-SA"/>
              </w:rPr>
            </w:pPr>
          </w:p>
        </w:tc>
        <w:tc>
          <w:tcPr>
            <w:tcW w:w="1215" w:type="dxa"/>
            <w:vAlign w:val="center"/>
          </w:tcPr>
          <w:p>
            <w:pPr>
              <w:jc w:val="center"/>
              <w:rPr>
                <w:rFonts w:hint="eastAsia" w:ascii="宋体" w:hAnsi="宋体" w:cs="宋体"/>
                <w:color w:val="auto"/>
                <w:kern w:val="2"/>
                <w:sz w:val="24"/>
                <w:szCs w:val="24"/>
                <w:highlight w:val="none"/>
                <w:lang w:val="en-US" w:eastAsia="zh-CN" w:bidi="ar-SA"/>
              </w:rPr>
            </w:pPr>
          </w:p>
        </w:tc>
      </w:tr>
    </w:tbl>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28"/>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28"/>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4"/>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7"/>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7"/>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7"/>
        <w:snapToGrid w:val="0"/>
        <w:spacing w:line="360" w:lineRule="auto"/>
        <w:rPr>
          <w:rFonts w:cs="宋体"/>
          <w:color w:val="auto"/>
        </w:rPr>
      </w:pPr>
      <w:r>
        <w:rPr>
          <w:rFonts w:hint="eastAsia" w:cs="宋体"/>
          <w:color w:val="auto"/>
        </w:rPr>
        <w:t>5.2出现影响采购公正的违法、违规行为的；</w:t>
      </w:r>
    </w:p>
    <w:p>
      <w:pPr>
        <w:pStyle w:val="27"/>
        <w:snapToGrid w:val="0"/>
        <w:spacing w:line="360" w:lineRule="auto"/>
        <w:rPr>
          <w:rFonts w:cs="宋体"/>
          <w:color w:val="auto"/>
        </w:rPr>
      </w:pPr>
      <w:r>
        <w:rPr>
          <w:rFonts w:hint="eastAsia" w:cs="宋体"/>
          <w:color w:val="auto"/>
        </w:rPr>
        <w:t>5.3投标人的报价均超过了采购预算，采购人不能支付的；</w:t>
      </w:r>
    </w:p>
    <w:p>
      <w:pPr>
        <w:pStyle w:val="27"/>
        <w:snapToGrid w:val="0"/>
        <w:spacing w:line="360" w:lineRule="auto"/>
        <w:rPr>
          <w:rFonts w:cs="宋体"/>
          <w:color w:val="auto"/>
        </w:rPr>
      </w:pPr>
      <w:r>
        <w:rPr>
          <w:rFonts w:hint="eastAsia" w:cs="宋体"/>
          <w:color w:val="auto"/>
        </w:rPr>
        <w:t>5.4因重大变故，采购任务取消的。</w:t>
      </w:r>
    </w:p>
    <w:p>
      <w:pPr>
        <w:pStyle w:val="27"/>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7"/>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7"/>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7"/>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7"/>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7"/>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color w:val="auto"/>
        </w:rPr>
      </w:pPr>
    </w:p>
    <w:bookmarkEnd w:id="27"/>
    <w:p>
      <w:pPr>
        <w:spacing w:line="360" w:lineRule="auto"/>
        <w:ind w:left="720" w:leftChars="343" w:firstLine="1084" w:firstLineChars="300"/>
        <w:outlineLvl w:val="0"/>
        <w:rPr>
          <w:rFonts w:ascii="宋体" w:hAnsi="宋体" w:cs="宋体"/>
          <w:b/>
          <w:color w:val="auto"/>
          <w:sz w:val="36"/>
          <w:szCs w:val="36"/>
        </w:rPr>
      </w:pPr>
      <w:bookmarkStart w:id="397" w:name="第五部分"/>
      <w:bookmarkStart w:id="398" w:name="_Toc86217003"/>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 xml:space="preserve">    </w:t>
      </w: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widowControl/>
        <w:adjustRightInd/>
        <w:ind w:firstLine="1446" w:firstLineChars="400"/>
        <w:jc w:val="left"/>
        <w:rPr>
          <w:rFonts w:hint="eastAsia" w:ascii="宋体" w:hAnsi="宋体" w:eastAsia="宋体" w:cs="宋体"/>
          <w:color w:val="auto"/>
          <w:sz w:val="28"/>
          <w:szCs w:val="28"/>
          <w:highlight w:val="none"/>
        </w:rPr>
      </w:pPr>
      <w:r>
        <w:rPr>
          <w:rFonts w:hint="eastAsia" w:ascii="宋体" w:hAnsi="宋体" w:eastAsia="宋体" w:cs="宋体"/>
          <w:b/>
          <w:color w:val="auto"/>
          <w:sz w:val="36"/>
          <w:szCs w:val="36"/>
          <w:highlight w:val="none"/>
        </w:rPr>
        <w:t>第五部分</w:t>
      </w:r>
      <w:r>
        <w:rPr>
          <w:rStyle w:val="967"/>
          <w:rFonts w:hint="eastAsia" w:ascii="宋体" w:hAnsi="宋体" w:eastAsia="宋体" w:cs="宋体"/>
          <w:color w:val="auto"/>
          <w:highlight w:val="none"/>
        </w:rPr>
        <w:t xml:space="preserve"> 养护合同主要条款</w:t>
      </w:r>
    </w:p>
    <w:p>
      <w:pPr>
        <w:spacing w:line="240" w:lineRule="atLeast"/>
        <w:jc w:val="center"/>
        <w:rPr>
          <w:rFonts w:hint="eastAsia" w:ascii="宋体" w:hAnsi="宋体" w:eastAsia="宋体" w:cs="宋体"/>
          <w:b/>
          <w:color w:val="auto"/>
          <w:sz w:val="28"/>
          <w:szCs w:val="28"/>
          <w:highlight w:val="none"/>
        </w:rPr>
      </w:pPr>
    </w:p>
    <w:p>
      <w:pPr>
        <w:spacing w:line="480" w:lineRule="atLeast"/>
        <w:jc w:val="center"/>
        <w:rPr>
          <w:rFonts w:hint="eastAsia" w:ascii="宋体" w:hAnsi="宋体" w:eastAsia="宋体" w:cs="宋体"/>
          <w:color w:val="auto"/>
          <w:sz w:val="24"/>
          <w:highlight w:val="none"/>
        </w:rPr>
      </w:pPr>
      <w:r>
        <w:rPr>
          <w:rFonts w:hint="eastAsia" w:ascii="宋体" w:hAnsi="宋体" w:eastAsia="宋体" w:cs="宋体"/>
          <w:color w:val="auto"/>
          <w:sz w:val="44"/>
          <w:szCs w:val="44"/>
          <w:highlight w:val="none"/>
          <w:u w:val="single"/>
        </w:rPr>
        <w:t xml:space="preserve">                 </w:t>
      </w:r>
      <w:r>
        <w:rPr>
          <w:rFonts w:hint="eastAsia" w:ascii="宋体" w:hAnsi="宋体" w:eastAsia="宋体" w:cs="宋体"/>
          <w:color w:val="auto"/>
          <w:sz w:val="44"/>
          <w:szCs w:val="44"/>
          <w:highlight w:val="none"/>
        </w:rPr>
        <w:t>项目名称</w:t>
      </w:r>
    </w:p>
    <w:p>
      <w:pPr>
        <w:spacing w:line="480" w:lineRule="atLeast"/>
        <w:jc w:val="center"/>
        <w:rPr>
          <w:rFonts w:hint="eastAsia" w:ascii="宋体" w:hAnsi="宋体" w:eastAsia="宋体" w:cs="宋体"/>
          <w:color w:val="auto"/>
          <w:sz w:val="24"/>
          <w:highlight w:val="none"/>
        </w:rPr>
      </w:pPr>
    </w:p>
    <w:p>
      <w:pPr>
        <w:spacing w:line="480" w:lineRule="atLeast"/>
        <w:jc w:val="center"/>
        <w:rPr>
          <w:rFonts w:hint="eastAsia" w:ascii="宋体" w:hAnsi="宋体" w:eastAsia="宋体" w:cs="宋体"/>
          <w:color w:val="auto"/>
          <w:sz w:val="24"/>
          <w:highlight w:val="none"/>
        </w:rPr>
      </w:pPr>
    </w:p>
    <w:p>
      <w:pPr>
        <w:spacing w:line="480" w:lineRule="atLeast"/>
        <w:jc w:val="center"/>
        <w:rPr>
          <w:rFonts w:hint="eastAsia" w:ascii="宋体" w:hAnsi="宋体" w:eastAsia="宋体" w:cs="宋体"/>
          <w:color w:val="auto"/>
          <w:sz w:val="24"/>
          <w:highlight w:val="none"/>
        </w:rPr>
      </w:pPr>
    </w:p>
    <w:p>
      <w:pPr>
        <w:spacing w:line="240" w:lineRule="atLeast"/>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五常街道综合养护合同</w:t>
      </w: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spacing w:line="700" w:lineRule="exact"/>
        <w:ind w:firstLine="960" w:firstLineChars="3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发包人（甲方）：</w:t>
      </w:r>
      <w:r>
        <w:rPr>
          <w:rFonts w:hint="eastAsia" w:ascii="宋体" w:hAnsi="宋体" w:eastAsia="宋体" w:cs="宋体"/>
          <w:color w:val="auto"/>
          <w:sz w:val="32"/>
          <w:szCs w:val="32"/>
          <w:highlight w:val="none"/>
          <w:u w:val="single"/>
        </w:rPr>
        <w:t xml:space="preserve">                        </w:t>
      </w:r>
    </w:p>
    <w:p>
      <w:pPr>
        <w:spacing w:line="700" w:lineRule="exact"/>
        <w:ind w:firstLine="944" w:firstLineChars="295"/>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承包人（乙方）：</w:t>
      </w:r>
      <w:r>
        <w:rPr>
          <w:rFonts w:hint="eastAsia" w:ascii="宋体" w:hAnsi="宋体" w:eastAsia="宋体" w:cs="宋体"/>
          <w:color w:val="auto"/>
          <w:sz w:val="32"/>
          <w:szCs w:val="32"/>
          <w:highlight w:val="none"/>
          <w:u w:val="single"/>
        </w:rPr>
        <w:t xml:space="preserve">                         </w:t>
      </w:r>
    </w:p>
    <w:p>
      <w:pPr>
        <w:spacing w:line="7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 xml:space="preserve">年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日</w:t>
      </w:r>
    </w:p>
    <w:p>
      <w:pPr>
        <w:spacing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pacing w:line="72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  录</w:t>
      </w:r>
    </w:p>
    <w:p>
      <w:pPr>
        <w:spacing w:line="500" w:lineRule="exact"/>
        <w:jc w:val="center"/>
        <w:rPr>
          <w:rFonts w:hint="eastAsia" w:ascii="宋体" w:hAnsi="宋体" w:eastAsia="宋体" w:cs="宋体"/>
          <w:b/>
          <w:color w:val="auto"/>
          <w:sz w:val="44"/>
          <w:szCs w:val="44"/>
          <w:highlight w:val="none"/>
        </w:rPr>
      </w:pPr>
    </w:p>
    <w:p>
      <w:pPr>
        <w:pStyle w:val="46"/>
        <w:tabs>
          <w:tab w:val="right" w:leader="dot" w:pos="8296"/>
        </w:tabs>
        <w:spacing w:line="800" w:lineRule="exact"/>
        <w:rPr>
          <w:rFonts w:hint="eastAsia" w:ascii="宋体" w:hAnsi="宋体" w:eastAsia="宋体" w:cs="宋体"/>
          <w:color w:val="auto"/>
          <w:sz w:val="32"/>
          <w:szCs w:val="32"/>
          <w:highlight w:val="none"/>
        </w:rPr>
      </w:pPr>
      <w:r>
        <w:rPr>
          <w:rStyle w:val="76"/>
          <w:rFonts w:hint="eastAsia" w:ascii="宋体" w:hAnsi="宋体" w:eastAsia="宋体" w:cs="宋体"/>
          <w:color w:val="auto"/>
          <w:sz w:val="32"/>
          <w:szCs w:val="32"/>
          <w:highlight w:val="none"/>
        </w:rPr>
        <w:t>第一部分  综合养护合同</w:t>
      </w:r>
    </w:p>
    <w:p>
      <w:pPr>
        <w:pStyle w:val="46"/>
        <w:tabs>
          <w:tab w:val="right" w:leader="dot" w:pos="8296"/>
        </w:tabs>
        <w:spacing w:line="800" w:lineRule="exact"/>
        <w:rPr>
          <w:rFonts w:hint="eastAsia" w:ascii="宋体" w:hAnsi="宋体" w:eastAsia="宋体" w:cs="宋体"/>
          <w:color w:val="auto"/>
          <w:sz w:val="32"/>
          <w:szCs w:val="32"/>
          <w:highlight w:val="none"/>
        </w:rPr>
      </w:pPr>
      <w:r>
        <w:rPr>
          <w:rStyle w:val="76"/>
          <w:rFonts w:hint="eastAsia" w:ascii="宋体" w:hAnsi="宋体" w:eastAsia="宋体" w:cs="宋体"/>
          <w:color w:val="auto"/>
          <w:sz w:val="32"/>
          <w:szCs w:val="32"/>
          <w:highlight w:val="none"/>
        </w:rPr>
        <w:t>第二部分  综合养护廉政责任书</w:t>
      </w:r>
    </w:p>
    <w:p>
      <w:pPr>
        <w:pStyle w:val="46"/>
        <w:tabs>
          <w:tab w:val="right" w:leader="dot" w:pos="8296"/>
        </w:tabs>
        <w:spacing w:line="800" w:lineRule="exact"/>
        <w:rPr>
          <w:rFonts w:hint="eastAsia" w:ascii="宋体" w:hAnsi="宋体" w:eastAsia="宋体" w:cs="宋体"/>
          <w:color w:val="auto"/>
          <w:sz w:val="32"/>
          <w:szCs w:val="32"/>
          <w:highlight w:val="none"/>
        </w:rPr>
      </w:pPr>
      <w:r>
        <w:rPr>
          <w:rStyle w:val="76"/>
          <w:rFonts w:hint="eastAsia" w:ascii="宋体" w:hAnsi="宋体" w:eastAsia="宋体" w:cs="宋体"/>
          <w:color w:val="auto"/>
          <w:sz w:val="32"/>
          <w:szCs w:val="32"/>
          <w:highlight w:val="none"/>
        </w:rPr>
        <w:t>第三部分  综合养护安全协议书</w:t>
      </w:r>
    </w:p>
    <w:p>
      <w:pPr>
        <w:pStyle w:val="46"/>
        <w:tabs>
          <w:tab w:val="right" w:leader="dot" w:pos="8296"/>
        </w:tabs>
        <w:spacing w:line="800" w:lineRule="exact"/>
        <w:rPr>
          <w:rFonts w:hint="eastAsia" w:ascii="宋体" w:hAnsi="宋体" w:eastAsia="宋体" w:cs="宋体"/>
          <w:color w:val="auto"/>
          <w:highlight w:val="none"/>
        </w:rPr>
      </w:pPr>
      <w:r>
        <w:rPr>
          <w:rStyle w:val="76"/>
          <w:rFonts w:hint="eastAsia" w:ascii="宋体" w:hAnsi="宋体" w:eastAsia="宋体" w:cs="宋体"/>
          <w:color w:val="auto"/>
          <w:sz w:val="32"/>
          <w:szCs w:val="32"/>
          <w:highlight w:val="none"/>
        </w:rPr>
        <w:t>第四部分  综合养护标准及作业标准</w:t>
      </w:r>
    </w:p>
    <w:p>
      <w:pPr>
        <w:pStyle w:val="46"/>
        <w:tabs>
          <w:tab w:val="right" w:leader="dot" w:pos="8296"/>
        </w:tabs>
        <w:spacing w:line="800" w:lineRule="exact"/>
        <w:rPr>
          <w:rStyle w:val="76"/>
          <w:rFonts w:hint="eastAsia" w:ascii="宋体" w:hAnsi="宋体" w:eastAsia="宋体" w:cs="宋体"/>
          <w:color w:val="auto"/>
          <w:sz w:val="32"/>
          <w:szCs w:val="32"/>
          <w:highlight w:val="none"/>
        </w:rPr>
      </w:pPr>
      <w:r>
        <w:rPr>
          <w:rStyle w:val="76"/>
          <w:rFonts w:hint="eastAsia" w:ascii="宋体" w:hAnsi="宋体" w:eastAsia="宋体" w:cs="宋体"/>
          <w:color w:val="auto"/>
          <w:sz w:val="32"/>
          <w:szCs w:val="32"/>
          <w:highlight w:val="none"/>
        </w:rPr>
        <w:t>第五部分  综合养护考核</w:t>
      </w:r>
    </w:p>
    <w:p>
      <w:pPr>
        <w:rPr>
          <w:rFonts w:hint="eastAsia" w:ascii="宋体" w:hAnsi="宋体" w:eastAsia="宋体" w:cs="宋体"/>
          <w:b/>
          <w:color w:val="auto"/>
          <w:sz w:val="28"/>
          <w:szCs w:val="28"/>
          <w:highlight w:val="none"/>
        </w:rPr>
      </w:pPr>
    </w:p>
    <w:p>
      <w:pPr>
        <w:spacing w:line="720" w:lineRule="auto"/>
        <w:jc w:val="center"/>
        <w:rPr>
          <w:rFonts w:hint="eastAsia" w:ascii="宋体" w:hAnsi="宋体" w:eastAsia="宋体" w:cs="宋体"/>
          <w:b/>
          <w:color w:val="auto"/>
          <w:sz w:val="44"/>
          <w:szCs w:val="44"/>
          <w:highlight w:val="none"/>
        </w:rPr>
      </w:pPr>
    </w:p>
    <w:p>
      <w:pPr>
        <w:pStyle w:val="4"/>
        <w:rPr>
          <w:rFonts w:hint="eastAsia" w:ascii="宋体" w:hAnsi="宋体" w:eastAsia="宋体" w:cs="宋体"/>
          <w:b/>
          <w:color w:val="auto"/>
          <w:sz w:val="44"/>
          <w:szCs w:val="44"/>
          <w:highlight w:val="none"/>
        </w:rPr>
      </w:pPr>
    </w:p>
    <w:p>
      <w:pPr>
        <w:rPr>
          <w:rFonts w:hint="eastAsia" w:ascii="宋体" w:hAnsi="宋体" w:eastAsia="宋体" w:cs="宋体"/>
          <w:b/>
          <w:color w:val="auto"/>
          <w:sz w:val="44"/>
          <w:szCs w:val="44"/>
          <w:highlight w:val="none"/>
        </w:rPr>
      </w:pPr>
    </w:p>
    <w:p>
      <w:pPr>
        <w:spacing w:line="560" w:lineRule="exact"/>
        <w:jc w:val="both"/>
        <w:rPr>
          <w:rFonts w:hint="eastAsia" w:ascii="宋体" w:hAnsi="宋体" w:eastAsia="宋体" w:cs="宋体"/>
          <w:b/>
          <w:color w:val="auto"/>
          <w:sz w:val="44"/>
          <w:szCs w:val="44"/>
          <w:highlight w:val="none"/>
        </w:rPr>
      </w:pPr>
    </w:p>
    <w:p>
      <w:pPr>
        <w:pStyle w:val="2"/>
        <w:rPr>
          <w:rFonts w:hint="eastAsia" w:ascii="宋体" w:hAnsi="宋体" w:eastAsia="宋体" w:cs="宋体"/>
          <w:b/>
          <w:color w:val="auto"/>
          <w:sz w:val="44"/>
          <w:szCs w:val="44"/>
          <w:highlight w:val="none"/>
        </w:rPr>
      </w:pPr>
    </w:p>
    <w:p>
      <w:pPr>
        <w:rPr>
          <w:rFonts w:hint="eastAsia" w:ascii="宋体" w:hAnsi="宋体" w:eastAsia="宋体" w:cs="宋体"/>
          <w:b/>
          <w:color w:val="auto"/>
          <w:sz w:val="44"/>
          <w:szCs w:val="44"/>
          <w:highlight w:val="none"/>
        </w:rPr>
      </w:pPr>
    </w:p>
    <w:p>
      <w:pPr>
        <w:pStyle w:val="2"/>
        <w:rPr>
          <w:rFonts w:hint="eastAsia" w:ascii="宋体" w:hAnsi="宋体" w:eastAsia="宋体" w:cs="宋体"/>
          <w:b/>
          <w:color w:val="auto"/>
          <w:sz w:val="44"/>
          <w:szCs w:val="44"/>
          <w:highlight w:val="none"/>
        </w:rPr>
      </w:pPr>
    </w:p>
    <w:p>
      <w:pPr>
        <w:rPr>
          <w:rFonts w:hint="eastAsia" w:ascii="宋体" w:hAnsi="宋体" w:eastAsia="宋体" w:cs="宋体"/>
          <w:b/>
          <w:color w:val="auto"/>
          <w:sz w:val="44"/>
          <w:szCs w:val="44"/>
          <w:highlight w:val="none"/>
        </w:rPr>
      </w:pPr>
    </w:p>
    <w:p>
      <w:pPr>
        <w:pStyle w:val="2"/>
        <w:rPr>
          <w:rFonts w:hint="eastAsia"/>
          <w:color w:val="auto"/>
        </w:rPr>
      </w:pPr>
    </w:p>
    <w:p>
      <w:pPr>
        <w:spacing w:line="560" w:lineRule="exact"/>
        <w:jc w:val="both"/>
        <w:rPr>
          <w:rFonts w:hint="eastAsia" w:ascii="宋体" w:hAnsi="宋体" w:eastAsia="宋体" w:cs="宋体"/>
          <w:b/>
          <w:color w:val="auto"/>
          <w:sz w:val="44"/>
          <w:szCs w:val="44"/>
          <w:highlight w:val="none"/>
        </w:rPr>
      </w:pPr>
    </w:p>
    <w:p>
      <w:pPr>
        <w:spacing w:line="560" w:lineRule="exact"/>
        <w:ind w:firstLine="2650" w:firstLineChars="600"/>
        <w:jc w:val="both"/>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综合养护合同</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w:t>
      </w:r>
      <w:r>
        <w:rPr>
          <w:rFonts w:hint="eastAsia" w:ascii="宋体" w:hAnsi="宋体" w:eastAsia="宋体" w:cs="宋体"/>
          <w:color w:val="auto"/>
          <w:sz w:val="24"/>
          <w:highlight w:val="none"/>
          <w:lang w:val="zh-CN"/>
        </w:rPr>
        <w:t>民法典</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b/>
          <w:bCs/>
          <w:snapToGrid w:val="0"/>
          <w:color w:val="auto"/>
          <w:kern w:val="2"/>
          <w:sz w:val="24"/>
          <w:szCs w:val="21"/>
          <w:highlight w:val="none"/>
          <w:lang w:val="en-US" w:eastAsia="zh-CN" w:bidi="ar-SA"/>
        </w:rPr>
        <w:t>关于进一步完善五常街道城市一体化综合养护考核办法的通知</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等相关文件，遵循平等、自愿、公平和诚实信用的原则，甲乙双方就</w:t>
      </w:r>
      <w:r>
        <w:rPr>
          <w:rFonts w:hint="eastAsia" w:ascii="宋体" w:hAnsi="宋体" w:eastAsia="宋体" w:cs="宋体"/>
          <w:color w:val="auto"/>
          <w:sz w:val="24"/>
          <w:highlight w:val="none"/>
          <w:u w:val="single"/>
        </w:rPr>
        <w:t xml:space="preserve"> </w:t>
      </w:r>
      <w:bookmarkStart w:id="399" w:name="_Hlk96791577"/>
      <w:r>
        <w:rPr>
          <w:rFonts w:hint="eastAsia" w:ascii="宋体" w:hAnsi="宋体" w:eastAsia="宋体" w:cs="宋体"/>
          <w:b/>
          <w:bCs/>
          <w:color w:val="auto"/>
          <w:sz w:val="24"/>
          <w:highlight w:val="none"/>
          <w:u w:val="single"/>
        </w:rPr>
        <w:t>五常街道城市管理综合养护</w:t>
      </w:r>
      <w:bookmarkEnd w:id="399"/>
      <w:r>
        <w:rPr>
          <w:rFonts w:hint="eastAsia" w:ascii="宋体" w:hAnsi="宋体" w:cs="宋体"/>
          <w:b/>
          <w:bCs/>
          <w:color w:val="auto"/>
          <w:sz w:val="24"/>
          <w:highlight w:val="none"/>
          <w:u w:val="single"/>
          <w:lang w:eastAsia="zh-CN"/>
        </w:rPr>
        <w:t>四标段</w:t>
      </w:r>
      <w:r>
        <w:rPr>
          <w:rFonts w:hint="eastAsia" w:ascii="宋体" w:hAnsi="宋体" w:eastAsia="宋体" w:cs="宋体"/>
          <w:b/>
          <w:bCs/>
          <w:color w:val="auto"/>
          <w:sz w:val="24"/>
          <w:highlight w:val="none"/>
          <w:u w:val="single"/>
        </w:rPr>
        <w:t>采购项目</w:t>
      </w:r>
      <w:r>
        <w:rPr>
          <w:rFonts w:hint="eastAsia" w:ascii="宋体" w:hAnsi="宋体" w:cs="宋体"/>
          <w:b/>
          <w:bCs/>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的保洁、市政、绿化、河道综合养护事项协商一致，订立本合同。</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一、道路综合养护范围及设施量</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道路综合养护范围包括</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。具体养护设施量以道路移交时的设施量清单为准。</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二、道路综合养护主要内容</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color w:val="auto"/>
          <w:sz w:val="24"/>
          <w:highlight w:val="none"/>
        </w:rPr>
        <w:t>道路综合养护主要包括</w:t>
      </w:r>
      <w:r>
        <w:rPr>
          <w:rFonts w:hint="eastAsia" w:ascii="宋体" w:hAnsi="宋体" w:eastAsia="宋体" w:cs="宋体"/>
          <w:color w:val="auto"/>
          <w:sz w:val="24"/>
          <w:highlight w:val="none"/>
          <w:lang w:val="en-US" w:eastAsia="zh-CN"/>
        </w:rPr>
        <w:t>道路</w:t>
      </w:r>
      <w:r>
        <w:rPr>
          <w:rFonts w:hint="eastAsia" w:ascii="宋体" w:hAnsi="宋体" w:eastAsia="宋体" w:cs="宋体"/>
          <w:bCs/>
          <w:color w:val="auto"/>
          <w:sz w:val="24"/>
          <w:highlight w:val="none"/>
        </w:rPr>
        <w:t>保洁、市政养护、绿化养护、河道保</w:t>
      </w:r>
      <w:r>
        <w:rPr>
          <w:rFonts w:hint="eastAsia" w:ascii="宋体" w:hAnsi="宋体" w:eastAsia="宋体" w:cs="宋体"/>
          <w:bCs/>
          <w:color w:val="auto"/>
          <w:sz w:val="24"/>
          <w:highlight w:val="none"/>
        </w:rPr>
        <w:t>洁养护、桥梁养护等其他养护工作。</w:t>
      </w:r>
      <w:r>
        <w:rPr>
          <w:rFonts w:hint="eastAsia" w:ascii="宋体" w:hAnsi="宋体" w:eastAsia="宋体" w:cs="宋体"/>
          <w:bCs/>
          <w:color w:val="auto"/>
          <w:sz w:val="24"/>
          <w:highlight w:val="none"/>
          <w:lang w:val="en-US" w:eastAsia="zh-CN"/>
        </w:rPr>
        <w:t>主要包括如下：</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1、道路路面、绿化带、城市家具、公交岗亭</w:t>
      </w:r>
      <w:r>
        <w:rPr>
          <w:rFonts w:hint="eastAsia" w:ascii="宋体" w:hAnsi="宋体" w:cs="宋体"/>
          <w:bCs/>
          <w:color w:val="auto"/>
          <w:sz w:val="24"/>
          <w:highlight w:val="none"/>
          <w:lang w:val="en-US" w:eastAsia="zh-CN"/>
        </w:rPr>
        <w:t>等</w:t>
      </w:r>
      <w:r>
        <w:rPr>
          <w:rFonts w:hint="eastAsia" w:ascii="宋体" w:hAnsi="宋体" w:eastAsia="宋体" w:cs="宋体"/>
          <w:bCs/>
          <w:color w:val="auto"/>
          <w:sz w:val="24"/>
          <w:highlight w:val="none"/>
          <w:lang w:val="en-US" w:eastAsia="zh-CN"/>
        </w:rPr>
        <w:t>的保洁、清洗及垃圾处置；</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2、道路路面、人行道、排水、桥梁等各项设施的检查、小修；</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3、河道保洁、河岸3米线保洁、应急检查；</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4、道路范围内的绿化及公园河道绿化的浇水、施肥、除草、修剪、补种、预防病虫害等；</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5、时花的更换及养护</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6、市政道路、桥梁的巡查、养护等</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7、养护范围内的防汛防台、防雪防冻、突发事件的应急处理及重大活动保障的配合工作。</w:t>
      </w:r>
    </w:p>
    <w:p>
      <w:pPr>
        <w:pStyle w:val="4"/>
        <w:ind w:left="433" w:leftChars="202" w:hanging="9" w:hangingChars="4"/>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8、养护范围内的景观灯、果壳箱、护栏（围栏）等所有设施的维修更换。</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9、在养护期限内，如遇甲方接收新移交市政、绿化、河道等道路、公园、广场相应管养内容的，在市政、绿化、河道各单项总面积3%内，乙方无条件接收管养，不核增养护经费；如遇不可抗力因素需核减面积的，可用新增面积抵扣。</w:t>
      </w:r>
    </w:p>
    <w:p>
      <w:pPr>
        <w:widowControl w:val="0"/>
        <w:wordWrap/>
        <w:adjustRightInd w:val="0"/>
        <w:snapToGrid/>
        <w:spacing w:line="500" w:lineRule="exact"/>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具体内容详见附表</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三、道路综合养护期限</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养护合同期：</w:t>
      </w:r>
      <w:r>
        <w:rPr>
          <w:rFonts w:hint="eastAsia" w:ascii="宋体" w:hAnsi="宋体" w:cs="宋体"/>
          <w:b/>
          <w:bCs/>
          <w:color w:val="auto"/>
          <w:sz w:val="24"/>
          <w:highlight w:val="none"/>
          <w:lang w:val="en-US" w:eastAsia="zh-CN"/>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cs="宋体"/>
          <w:b/>
          <w:bCs/>
          <w:color w:val="auto"/>
          <w:sz w:val="24"/>
          <w:highlight w:val="none"/>
          <w:lang w:val="en-US" w:eastAsia="zh-CN"/>
        </w:rPr>
        <w:t xml:space="preserve">  </w:t>
      </w:r>
      <w:r>
        <w:rPr>
          <w:rFonts w:hint="eastAsia" w:ascii="宋体" w:hAnsi="宋体" w:eastAsia="宋体" w:cs="宋体"/>
          <w:color w:val="auto"/>
          <w:sz w:val="24"/>
          <w:highlight w:val="none"/>
        </w:rPr>
        <w:t>。</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四、道路综合养护标准</w:t>
      </w:r>
    </w:p>
    <w:p>
      <w:pPr>
        <w:spacing w:line="560" w:lineRule="exact"/>
        <w:ind w:left="0" w:leftChars="0" w:firstLine="57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道路综合养护标准按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关于印发关于提升余杭区市政、景观灯、环卫保洁管养定额标准及养护标准的通知</w:t>
      </w:r>
      <w:r>
        <w:rPr>
          <w:rFonts w:hint="eastAsia" w:ascii="宋体" w:hAnsi="宋体" w:eastAsia="宋体" w:cs="宋体"/>
          <w:color w:val="auto"/>
          <w:sz w:val="24"/>
          <w:highlight w:val="none"/>
          <w:lang w:eastAsia="zh-CN"/>
        </w:rPr>
        <w:t>》【余城管〔2020〕50号】</w:t>
      </w:r>
      <w:r>
        <w:rPr>
          <w:rFonts w:hint="eastAsia" w:ascii="宋体" w:hAnsi="宋体" w:eastAsia="宋体" w:cs="宋体"/>
          <w:color w:val="auto"/>
          <w:sz w:val="24"/>
          <w:highlight w:val="none"/>
        </w:rPr>
        <w:t>文件规定执行。</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五、合同价款及支付方式</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（一）合同价款</w:t>
      </w:r>
    </w:p>
    <w:p>
      <w:pPr>
        <w:spacing w:line="560" w:lineRule="exact"/>
        <w:ind w:firstLine="57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（大写）：</w:t>
      </w:r>
      <w:r>
        <w:rPr>
          <w:rFonts w:hint="eastAsia" w:ascii="宋体" w:hAnsi="宋体" w:eastAsia="宋体" w:cs="宋体"/>
          <w:color w:val="auto"/>
          <w:sz w:val="24"/>
          <w:highlight w:val="none"/>
          <w:u w:val="single"/>
        </w:rPr>
        <w:t xml:space="preserve">  </w:t>
      </w:r>
      <w:r>
        <w:rPr>
          <w:rFonts w:hint="eastAsia" w:ascii="宋体" w:hAnsi="宋体" w:cs="宋体"/>
          <w:i w:val="0"/>
          <w:iCs w:val="0"/>
          <w:caps w:val="0"/>
          <w:color w:val="auto"/>
          <w:spacing w:val="0"/>
          <w:sz w:val="24"/>
          <w:szCs w:val="24"/>
          <w:highlight w:val="none"/>
          <w:u w:val="single"/>
          <w:lang w:val="en-US" w:eastAsia="zh-CN"/>
        </w:rPr>
        <w:t xml:space="preserve">      </w:t>
      </w:r>
      <w:r>
        <w:rPr>
          <w:rFonts w:hint="eastAsia" w:ascii="宋体" w:hAnsi="宋体" w:eastAsia="宋体" w:cs="宋体"/>
          <w:color w:val="auto"/>
          <w:sz w:val="24"/>
          <w:highlight w:val="none"/>
          <w:u w:val="single"/>
        </w:rPr>
        <w:t xml:space="preserve"> （人民币）</w:t>
      </w:r>
    </w:p>
    <w:p>
      <w:pPr>
        <w:spacing w:line="560" w:lineRule="exact"/>
        <w:ind w:firstLine="57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（小写）：</w:t>
      </w:r>
      <w:r>
        <w:rPr>
          <w:rFonts w:hint="eastAsia" w:ascii="宋体" w:hAnsi="宋体" w:eastAsia="宋体" w:cs="宋体"/>
          <w:color w:val="auto"/>
          <w:sz w:val="24"/>
          <w:highlight w:val="none"/>
          <w:u w:val="single"/>
        </w:rPr>
        <w:t xml:space="preserve">  </w:t>
      </w:r>
      <w:r>
        <w:rPr>
          <w:rFonts w:hint="eastAsia" w:ascii="宋体" w:hAnsi="宋体" w:cs="宋体"/>
          <w:i w:val="0"/>
          <w:iCs w:val="0"/>
          <w:caps w:val="0"/>
          <w:color w:val="auto"/>
          <w:spacing w:val="0"/>
          <w:sz w:val="24"/>
          <w:szCs w:val="24"/>
          <w:highlight w:val="none"/>
          <w:u w:val="single"/>
          <w:lang w:val="en-US" w:eastAsia="zh-CN"/>
        </w:rPr>
        <w:t xml:space="preserve">       </w:t>
      </w:r>
      <w:r>
        <w:rPr>
          <w:rFonts w:hint="eastAsia" w:ascii="宋体" w:hAnsi="宋体" w:eastAsia="宋体" w:cs="宋体"/>
          <w:color w:val="auto"/>
          <w:sz w:val="24"/>
          <w:highlight w:val="none"/>
          <w:u w:val="single"/>
        </w:rPr>
        <w:t xml:space="preserve"> 元</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（二）本合同为固定综合单价合同，单价中包含养护所需要的人工费、材料费、机械设备费、管理费、利润、风险等所有费用。</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（三）中标单位应在中标通知书发出后7日内并在合同实施前，编写《道路综合养护方案》上报甲方审核后签订合同，签订合同后，7个工作日内支付总合同价的</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作为履约保证金。</w:t>
      </w:r>
    </w:p>
    <w:p>
      <w:pPr>
        <w:pStyle w:val="36"/>
        <w:snapToGrid w:val="0"/>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（四）</w:t>
      </w:r>
      <w:r>
        <w:rPr>
          <w:rFonts w:hint="eastAsia" w:hAnsi="宋体" w:cs="宋体"/>
          <w:color w:val="auto"/>
          <w:sz w:val="24"/>
          <w:highlight w:val="none"/>
          <w:lang w:val="en-US" w:eastAsia="zh-CN"/>
        </w:rPr>
        <w:t>综合</w:t>
      </w:r>
      <w:r>
        <w:rPr>
          <w:rFonts w:hint="eastAsia" w:ascii="宋体" w:hAnsi="宋体" w:eastAsia="宋体" w:cs="宋体"/>
          <w:color w:val="auto"/>
          <w:sz w:val="24"/>
          <w:highlight w:val="none"/>
        </w:rPr>
        <w:t>养护经费</w:t>
      </w:r>
      <w:r>
        <w:rPr>
          <w:rFonts w:hint="eastAsia" w:hAnsi="宋体" w:cs="宋体"/>
          <w:color w:val="auto"/>
          <w:sz w:val="24"/>
          <w:highlight w:val="none"/>
          <w:lang w:eastAsia="zh-CN"/>
        </w:rPr>
        <w:t>：</w:t>
      </w:r>
    </w:p>
    <w:p>
      <w:pPr>
        <w:keepNext w:val="0"/>
        <w:keepLines w:val="0"/>
        <w:pageBreakBefore w:val="0"/>
        <w:widowControl/>
        <w:suppressLineNumbers w:val="0"/>
        <w:kinsoku/>
        <w:wordWrap/>
        <w:overflowPunct/>
        <w:topLinePunct w:val="0"/>
        <w:autoSpaceDE/>
        <w:autoSpaceDN/>
        <w:bidi w:val="0"/>
        <w:adjustRightInd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color w:val="auto"/>
          <w:sz w:val="24"/>
          <w:highlight w:val="none"/>
        </w:rPr>
        <w:t>（五</w:t>
      </w:r>
      <w:r>
        <w:rPr>
          <w:rFonts w:hint="eastAsia" w:ascii="宋体" w:hAnsi="宋体" w:eastAsia="宋体" w:cs="宋体"/>
          <w:color w:val="auto"/>
          <w:sz w:val="24"/>
          <w:szCs w:val="24"/>
          <w:highlight w:val="none"/>
        </w:rPr>
        <w:t>）</w:t>
      </w:r>
      <w:r>
        <w:rPr>
          <w:rFonts w:hint="eastAsia" w:ascii="宋体" w:hAnsi="宋体" w:eastAsia="宋体" w:cs="宋体"/>
          <w:b w:val="0"/>
          <w:bCs w:val="0"/>
          <w:color w:val="auto"/>
          <w:kern w:val="0"/>
          <w:sz w:val="24"/>
          <w:szCs w:val="24"/>
          <w:highlight w:val="none"/>
          <w:lang w:val="en-US" w:eastAsia="zh-CN" w:bidi="ar"/>
        </w:rPr>
        <w:t>市政道路养护费用：</w:t>
      </w:r>
    </w:p>
    <w:p>
      <w:pPr>
        <w:pStyle w:val="24"/>
        <w:kinsoku w:val="0"/>
        <w:overflowPunct w:val="0"/>
        <w:spacing w:beforeLines="0" w:afterLines="0" w:line="480" w:lineRule="auto"/>
        <w:rPr>
          <w:rFonts w:hint="default" w:eastAsia="宋体"/>
          <w:color w:val="auto"/>
          <w:highlight w:val="none"/>
          <w:u w:val="single"/>
          <w:lang w:val="en-US" w:eastAsia="zh-CN"/>
        </w:rPr>
      </w:pPr>
      <w:r>
        <w:rPr>
          <w:rFonts w:hint="eastAsia" w:eastAsia="宋体"/>
          <w:color w:val="auto"/>
          <w:spacing w:val="-2"/>
          <w:sz w:val="24"/>
          <w:szCs w:val="24"/>
          <w:highlight w:val="none"/>
          <w:lang w:val="en-US" w:eastAsia="zh-CN"/>
        </w:rPr>
        <w:t>2</w:t>
      </w:r>
      <w:r>
        <w:rPr>
          <w:rFonts w:hint="eastAsia"/>
          <w:color w:val="auto"/>
          <w:spacing w:val="-2"/>
          <w:sz w:val="24"/>
          <w:szCs w:val="24"/>
          <w:highlight w:val="none"/>
        </w:rPr>
        <w:t>、支付方式：</w:t>
      </w:r>
      <w:r>
        <w:rPr>
          <w:rFonts w:hint="eastAsia"/>
          <w:color w:val="auto"/>
          <w:spacing w:val="-2"/>
          <w:sz w:val="24"/>
          <w:szCs w:val="24"/>
          <w:highlight w:val="none"/>
          <w:u w:val="single"/>
          <w:lang w:val="en-US" w:eastAsia="zh-CN"/>
        </w:rPr>
        <w:t xml:space="preserve">                                  </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六</w:t>
      </w:r>
      <w:r>
        <w:rPr>
          <w:rFonts w:hint="eastAsia" w:ascii="宋体" w:hAnsi="宋体" w:eastAsia="宋体" w:cs="宋体"/>
          <w:color w:val="auto"/>
          <w:sz w:val="24"/>
          <w:highlight w:val="none"/>
        </w:rPr>
        <w:t>）中标人在连续两次区级</w:t>
      </w:r>
      <w:r>
        <w:rPr>
          <w:rFonts w:hint="eastAsia" w:ascii="宋体" w:hAnsi="宋体" w:eastAsia="宋体" w:cs="宋体"/>
          <w:color w:val="auto"/>
          <w:sz w:val="24"/>
          <w:highlight w:val="none"/>
          <w:lang w:val="en-US" w:eastAsia="zh-CN"/>
        </w:rPr>
        <w:t>月</w:t>
      </w:r>
      <w:r>
        <w:rPr>
          <w:rFonts w:hint="eastAsia" w:ascii="宋体" w:hAnsi="宋体" w:eastAsia="宋体" w:cs="宋体"/>
          <w:color w:val="auto"/>
          <w:sz w:val="24"/>
          <w:highlight w:val="none"/>
        </w:rPr>
        <w:t>度考核排名末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位以内的或一个年度内累计有三次及以上区级月度排名末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位时，即清退出场，同时对中标人按考核细则扣减履约保证金（总合同价</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作为违约处罚。</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六、履约保证金</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highlight w:val="none"/>
        </w:rPr>
        <w:t>1、中标人在签订合同后需向招标人提交合同价金额</w:t>
      </w:r>
      <w:r>
        <w:rPr>
          <w:rFonts w:hint="eastAsia" w:hAnsi="宋体" w:cs="宋体"/>
          <w:b/>
          <w:bCs/>
          <w:color w:val="auto"/>
          <w:sz w:val="24"/>
          <w:highlight w:val="none"/>
          <w:lang w:val="en-US" w:eastAsia="zh-CN"/>
        </w:rPr>
        <w:t>1</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的合同履约保证金（保证金缴纳形式：转账支票、汇票、网银、保函等招标人认可的其他形式）,在承包期满后三十天内退还（无息）。如承包期内，中标人没按要求履行合同则保证金不予归还。</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（二）</w:t>
      </w:r>
      <w:r>
        <w:rPr>
          <w:rFonts w:hint="eastAsia" w:ascii="宋体" w:hAnsi="宋体" w:eastAsia="宋体" w:cs="宋体"/>
          <w:color w:val="auto"/>
          <w:sz w:val="24"/>
          <w:highlight w:val="none"/>
        </w:rPr>
        <w:t>在承包期内如因承包人原因造成招标人财产损失的，招标人有权酌情扣去履约保证金。</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七、甲方的权利、职责与义务</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（一）甲方的权利</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1、对合同范围内的所有道路设施进行管理，对占用或利用设施及其附属设施设置广告、管线、标志等进行审批，对在养护范围内进行施工、作业进行审批。</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2、审定养护计划，检查养护计划执行情况，审定乙方上报的养护工作量表。</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3、甲方及其委派的任何人在一切合理的时间内均可对乙方养护范围内的设施养护状况，日常养护的质量、安全和巡查工作及资料台帐进行检查，并对设施完好程度和运行安全情况进行月度考核。</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4、在有必要的情况下，可要求乙方对设施进行特殊养护。</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（二）甲方的职责与义务</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1、向乙方提供有关养护所需的竣工资料和规范性文件，提供道路养护的质量标准及考核办法，发送各类报表样式，指导乙方完善健全业内资料。</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2、按约定拨付乙方的养护经费。</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3、协助处理乙方在日常养护工作或突发应急情况中与相关单位的协调工作。</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4、及时审核、下达乙方上报的月度计划。</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5、对乙方的养护工作进行检查、督促，对设施完好状况进行跟踪监测。</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6、对养护工作中采用新工艺、新材料、新方法的适用性、安全性进行审查。</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7、负责处理或协调突发事件造成的设施损坏和侵害事件。</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八、乙方的职责与义务</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1、按照养护规范要求及合同约定，精心组织养护，使养护质量达到标准，并做到作业规范化。</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2、掌握养护设施动态，及时处置各类突发情况，确保各项设施的完好、整洁。</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3、在养护作业过程中，应遵守国家的法规及余杭区五常街道办事处的有关规定。</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4、必须加强安全管理，对作业人员进行必要的安全培训。发生各类事故后，应及时向甲方报告。</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5、根据养护计划编制养护方案，并应在每月月底前报送当月完成的工作量和下月的计划。</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6、配备技术熟练、经验丰富的项目负责人以及各类专业技术人员，并保持其岗位的相对稳定。如需更换项目负责人，应事先报请甲方同意；甲方有权要求乙方撤换不能胜任岗位职责或玩忽职守、工作不负责的人员。养护期间应保证招标所要求的机具设备投入，不得另作他用。</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7、配合甲方做好大型公共活动及突发事件的应急保障服务，落实应急保障服务设备和人员。</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8、乙方应及时发现并制止损坏养护设施的行为，向甲方报告设施损坏情况。</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九、考核规定</w:t>
      </w:r>
    </w:p>
    <w:p>
      <w:pPr>
        <w:widowControl w:val="0"/>
        <w:wordWrap/>
        <w:adjustRightInd/>
        <w:snapToGrid/>
        <w:spacing w:line="560" w:lineRule="exact"/>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按</w:t>
      </w:r>
      <w:r>
        <w:rPr>
          <w:rFonts w:hint="eastAsia" w:ascii="宋体" w:hAnsi="宋体" w:eastAsia="宋体" w:cs="宋体"/>
          <w:color w:val="auto"/>
          <w:sz w:val="24"/>
          <w:highlight w:val="none"/>
          <w:lang w:eastAsia="zh-CN"/>
        </w:rPr>
        <w:t>《</w:t>
      </w:r>
      <w:r>
        <w:rPr>
          <w:rFonts w:hint="eastAsia" w:ascii="宋体" w:hAnsi="宋体" w:eastAsia="宋体" w:cs="宋体"/>
          <w:b/>
          <w:bCs/>
          <w:snapToGrid w:val="0"/>
          <w:color w:val="auto"/>
          <w:kern w:val="2"/>
          <w:sz w:val="24"/>
          <w:szCs w:val="21"/>
          <w:highlight w:val="none"/>
          <w:lang w:val="en-US" w:eastAsia="zh-CN" w:bidi="ar-SA"/>
        </w:rPr>
        <w:t>关于进一步完善五常街道城市一体化综合养护考核办法的通知</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附件1</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规定执行。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十、违约约定</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（一）按照招标文件要求，中标人中标后1个月内按照要求设置办公场地及车辆停放场地，如不按时设置办公场地及车辆停放场地视为违约，甲方有权终止合同。</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（二）在日常养护中，对招标时所要求的设备投入不到位的，甲方有权扣除乙方当季20%日常综合养护费；如再发生类似情况的，甲方有权扣除乙方当季50%日常综合养护费；拒不整改的，甲方有权终止合同。</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（三）由于养护不文明施工、作业等情况而被新闻媒体曝光的，每发生一次，扣除当月养护经费20000元。发生有责投诉且社会影响恶劣的，每发生一次，扣除当月养护经费20000元。</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（四）因不可抗力等原因致双方无法继续履行合同时，双方共同承担责任。</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（五）本项目不得转包、分包。</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（六）中标人在连续两次区级季度考核排名末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位以内的或一个年度内累计有三次及以上区级月度排名末</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位时，即清退出场，同时对中标人按考核细则扣减履约保证金（总合同</w:t>
      </w:r>
      <w:r>
        <w:rPr>
          <w:rFonts w:hint="eastAsia" w:ascii="宋体" w:hAnsi="宋体" w:eastAsia="宋体" w:cs="宋体"/>
          <w:b/>
          <w:bCs/>
          <w:color w:val="auto"/>
          <w:sz w:val="24"/>
          <w:highlight w:val="none"/>
        </w:rPr>
        <w:t>价</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作为违约处罚。</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一</w:t>
      </w:r>
      <w:r>
        <w:rPr>
          <w:rFonts w:hint="eastAsia" w:ascii="宋体" w:hAnsi="宋体" w:eastAsia="宋体" w:cs="宋体"/>
          <w:color w:val="auto"/>
          <w:sz w:val="24"/>
          <w:highlight w:val="none"/>
        </w:rPr>
        <w:t>、对于甲方要求执行养护范围之外的临时任务及维修不可抗力造成的设施损坏所产生费用，以联系单的方式，经甲方确认并通过审计后由甲方负责支付。</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二</w:t>
      </w:r>
      <w:r>
        <w:rPr>
          <w:rFonts w:hint="eastAsia" w:ascii="宋体" w:hAnsi="宋体" w:eastAsia="宋体" w:cs="宋体"/>
          <w:color w:val="auto"/>
          <w:sz w:val="24"/>
          <w:highlight w:val="none"/>
        </w:rPr>
        <w:t>、乙方应当按照本合同约定完成养护任务，不得转包或分包，由此产生的法律责任和经济损失由乙方承担。对于乙方因设备或技术等原因无法实施的部分工作，在报请甲方同意后，委托他人实施的，乙方对分包人的所有行为负全责。</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三</w:t>
      </w:r>
      <w:r>
        <w:rPr>
          <w:rFonts w:hint="eastAsia" w:ascii="宋体" w:hAnsi="宋体" w:eastAsia="宋体" w:cs="宋体"/>
          <w:color w:val="auto"/>
          <w:sz w:val="24"/>
          <w:highlight w:val="none"/>
        </w:rPr>
        <w:t>、本合同在履行过程中如有未尽事宜，双方可通过协商后签订补充协议，与本合同具有相同法律效力。</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四</w:t>
      </w:r>
      <w:r>
        <w:rPr>
          <w:rFonts w:hint="eastAsia" w:ascii="宋体" w:hAnsi="宋体" w:eastAsia="宋体" w:cs="宋体"/>
          <w:color w:val="auto"/>
          <w:sz w:val="24"/>
          <w:highlight w:val="none"/>
        </w:rPr>
        <w:t>、在合同履约过程中，双方如发生争议，应当协商解决，协商不成的，向余杭区人民法院提起诉讼解决。</w:t>
      </w:r>
    </w:p>
    <w:p>
      <w:pPr>
        <w:spacing w:line="56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十</w:t>
      </w:r>
      <w:r>
        <w:rPr>
          <w:rFonts w:hint="eastAsia" w:ascii="宋体" w:hAnsi="宋体" w:cs="宋体"/>
          <w:color w:val="auto"/>
          <w:sz w:val="24"/>
          <w:highlight w:val="none"/>
          <w:lang w:eastAsia="zh-CN"/>
        </w:rPr>
        <w:t>五</w:t>
      </w:r>
      <w:r>
        <w:rPr>
          <w:rFonts w:hint="eastAsia" w:ascii="宋体" w:hAnsi="宋体" w:eastAsia="宋体" w:cs="宋体"/>
          <w:color w:val="auto"/>
          <w:sz w:val="24"/>
          <w:highlight w:val="none"/>
        </w:rPr>
        <w:t>、本合同一式捌份，其中正本贰份，副本陆份，正本双方各执壹份，副本双方各执叁份。本合同经双方法定代表人签字、加盖单位公章后生效，合同期满后失效。</w:t>
      </w:r>
    </w:p>
    <w:p>
      <w:pPr>
        <w:pageBreakBefore/>
        <w:rPr>
          <w:rFonts w:hint="eastAsia" w:ascii="宋体" w:hAnsi="宋体" w:eastAsia="宋体" w:cs="宋体"/>
          <w:color w:val="auto"/>
          <w:sz w:val="28"/>
          <w:szCs w:val="28"/>
          <w:highlight w:val="none"/>
        </w:rPr>
      </w:pPr>
    </w:p>
    <w:tbl>
      <w:tblPr>
        <w:tblStyle w:val="6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2520"/>
        <w:gridCol w:w="144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exact"/>
        </w:trPr>
        <w:tc>
          <w:tcPr>
            <w:tcW w:w="720" w:type="dxa"/>
            <w:vMerge w:val="restart"/>
            <w:textDirection w:val="tbRlV"/>
            <w:vAlign w:val="center"/>
          </w:tcPr>
          <w:p>
            <w:pPr>
              <w:snapToGrid w:val="0"/>
              <w:spacing w:line="293"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发 包 人（ 甲 方 ）</w:t>
            </w: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名称（或姓名）</w:t>
            </w:r>
          </w:p>
        </w:tc>
        <w:tc>
          <w:tcPr>
            <w:tcW w:w="6127" w:type="dxa"/>
            <w:gridSpan w:val="3"/>
            <w:vAlign w:val="center"/>
          </w:tcPr>
          <w:p>
            <w:pPr>
              <w:snapToGrid w:val="0"/>
              <w:spacing w:line="293" w:lineRule="auto"/>
              <w:ind w:left="32" w:hanging="32"/>
              <w:jc w:val="center"/>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杭州市余杭区人民政府五常街道办事处</w:t>
            </w:r>
            <w:r>
              <w:rPr>
                <w:rFonts w:hint="eastAsia" w:ascii="宋体" w:hAnsi="宋体" w:eastAsia="宋体" w:cs="宋体"/>
                <w:color w:val="auto"/>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p>
        </w:tc>
        <w:tc>
          <w:tcPr>
            <w:tcW w:w="2520" w:type="dxa"/>
            <w:vAlign w:val="center"/>
          </w:tcPr>
          <w:p>
            <w:pPr>
              <w:snapToGrid w:val="0"/>
              <w:spacing w:line="293" w:lineRule="auto"/>
              <w:ind w:right="-1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w:t>
            </w:r>
          </w:p>
        </w:tc>
        <w:tc>
          <w:tcPr>
            <w:tcW w:w="2167" w:type="dxa"/>
            <w:vAlign w:val="center"/>
          </w:tcPr>
          <w:p>
            <w:pPr>
              <w:snapToGrid w:val="0"/>
              <w:spacing w:line="293" w:lineRule="auto"/>
              <w:ind w:right="-175"/>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3"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  系  人</w:t>
            </w:r>
          </w:p>
        </w:tc>
        <w:tc>
          <w:tcPr>
            <w:tcW w:w="6127" w:type="dxa"/>
            <w:gridSpan w:val="3"/>
            <w:vAlign w:val="center"/>
          </w:tcPr>
          <w:p>
            <w:pPr>
              <w:snapToGrid w:val="0"/>
              <w:spacing w:line="293" w:lineRule="auto"/>
              <w:ind w:firstLine="240" w:firstLineChars="10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住     所</w:t>
            </w:r>
          </w:p>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（通讯地址）</w:t>
            </w:r>
          </w:p>
        </w:tc>
        <w:tc>
          <w:tcPr>
            <w:tcW w:w="6127" w:type="dxa"/>
            <w:gridSpan w:val="3"/>
            <w:vAlign w:val="center"/>
          </w:tcPr>
          <w:p>
            <w:pPr>
              <w:snapToGrid w:val="0"/>
              <w:spacing w:line="293" w:lineRule="auto"/>
              <w:ind w:right="-108" w:firstLine="240" w:firstLineChars="10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p>
        </w:tc>
        <w:tc>
          <w:tcPr>
            <w:tcW w:w="2520" w:type="dxa"/>
            <w:vAlign w:val="center"/>
          </w:tcPr>
          <w:p>
            <w:pPr>
              <w:snapToGrid w:val="0"/>
              <w:spacing w:line="293" w:lineRule="auto"/>
              <w:ind w:right="-175" w:firstLine="240" w:firstLineChars="100"/>
              <w:rPr>
                <w:rFonts w:hint="eastAsia" w:ascii="宋体" w:hAnsi="宋体" w:eastAsia="宋体" w:cs="宋体"/>
                <w:color w:val="auto"/>
                <w:sz w:val="24"/>
                <w:highlight w:val="none"/>
              </w:rPr>
            </w:pP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E-mail</w:t>
            </w:r>
          </w:p>
        </w:tc>
        <w:tc>
          <w:tcPr>
            <w:tcW w:w="2167" w:type="dxa"/>
            <w:vAlign w:val="center"/>
          </w:tcPr>
          <w:p>
            <w:pPr>
              <w:snapToGrid w:val="0"/>
              <w:spacing w:line="293"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 户 银 行</w:t>
            </w:r>
          </w:p>
        </w:tc>
        <w:tc>
          <w:tcPr>
            <w:tcW w:w="6127" w:type="dxa"/>
            <w:gridSpan w:val="3"/>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帐      号</w:t>
            </w:r>
          </w:p>
        </w:tc>
        <w:tc>
          <w:tcPr>
            <w:tcW w:w="252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w:t>
            </w:r>
          </w:p>
        </w:tc>
        <w:tc>
          <w:tcPr>
            <w:tcW w:w="2167"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exact"/>
        </w:trPr>
        <w:tc>
          <w:tcPr>
            <w:tcW w:w="720" w:type="dxa"/>
            <w:vMerge w:val="restart"/>
            <w:textDirection w:val="tbRlV"/>
            <w:vAlign w:val="center"/>
          </w:tcPr>
          <w:p>
            <w:pPr>
              <w:snapToGrid w:val="0"/>
              <w:spacing w:line="293"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承 包 人（ 乙 方 ）</w:t>
            </w: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名称（或姓名）</w:t>
            </w:r>
          </w:p>
        </w:tc>
        <w:tc>
          <w:tcPr>
            <w:tcW w:w="6127" w:type="dxa"/>
            <w:gridSpan w:val="3"/>
            <w:vAlign w:val="center"/>
          </w:tcPr>
          <w:p>
            <w:pPr>
              <w:snapToGrid w:val="0"/>
              <w:spacing w:line="293" w:lineRule="auto"/>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 xml:space="preserve"> </w:t>
            </w:r>
            <w:r>
              <w:rPr>
                <w:rFonts w:hint="eastAsia" w:ascii="宋体" w:hAnsi="宋体" w:cs="宋体"/>
                <w:bCs/>
                <w:color w:val="auto"/>
                <w:sz w:val="24"/>
                <w:highlight w:val="none"/>
                <w:lang w:val="en-US" w:eastAsia="zh-CN"/>
              </w:rPr>
              <w:t xml:space="preserve">           </w:t>
            </w:r>
            <w:r>
              <w:rPr>
                <w:rFonts w:hint="eastAsia" w:ascii="宋体" w:hAnsi="宋体" w:eastAsia="宋体" w:cs="宋体"/>
                <w:color w:val="auto"/>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p>
        </w:tc>
        <w:tc>
          <w:tcPr>
            <w:tcW w:w="2520" w:type="dxa"/>
            <w:vAlign w:val="center"/>
          </w:tcPr>
          <w:p>
            <w:pPr>
              <w:snapToGrid w:val="0"/>
              <w:spacing w:line="293" w:lineRule="auto"/>
              <w:ind w:right="-108"/>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w:t>
            </w:r>
          </w:p>
        </w:tc>
        <w:tc>
          <w:tcPr>
            <w:tcW w:w="2167" w:type="dxa"/>
            <w:vAlign w:val="center"/>
          </w:tcPr>
          <w:p>
            <w:pPr>
              <w:snapToGrid w:val="0"/>
              <w:spacing w:line="293" w:lineRule="auto"/>
              <w:ind w:right="-175"/>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2"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  系  人</w:t>
            </w:r>
          </w:p>
        </w:tc>
        <w:tc>
          <w:tcPr>
            <w:tcW w:w="6127" w:type="dxa"/>
            <w:gridSpan w:val="3"/>
            <w:vAlign w:val="center"/>
          </w:tcPr>
          <w:p>
            <w:pPr>
              <w:snapToGrid w:val="0"/>
              <w:spacing w:line="293" w:lineRule="auto"/>
              <w:ind w:right="-108"/>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住     所</w:t>
            </w:r>
          </w:p>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（通讯地址）</w:t>
            </w:r>
          </w:p>
        </w:tc>
        <w:tc>
          <w:tcPr>
            <w:tcW w:w="6127" w:type="dxa"/>
            <w:gridSpan w:val="3"/>
            <w:vAlign w:val="center"/>
          </w:tcPr>
          <w:p>
            <w:pPr>
              <w:snapToGrid w:val="0"/>
              <w:spacing w:line="293" w:lineRule="auto"/>
              <w:ind w:firstLine="240" w:firstLineChars="100"/>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p>
        </w:tc>
        <w:tc>
          <w:tcPr>
            <w:tcW w:w="2520" w:type="dxa"/>
            <w:vAlign w:val="center"/>
          </w:tcPr>
          <w:p>
            <w:pPr>
              <w:snapToGrid w:val="0"/>
              <w:spacing w:line="293" w:lineRule="auto"/>
              <w:jc w:val="left"/>
              <w:rPr>
                <w:rFonts w:hint="eastAsia" w:ascii="宋体" w:hAnsi="宋体" w:eastAsia="宋体" w:cs="宋体"/>
                <w:bCs/>
                <w:color w:val="auto"/>
                <w:sz w:val="24"/>
                <w:highlight w:val="none"/>
                <w:lang w:val="en-US" w:eastAsia="zh-CN"/>
              </w:rPr>
            </w:pPr>
            <w:r>
              <w:rPr>
                <w:rFonts w:hint="eastAsia" w:ascii="宋体" w:hAnsi="宋体" w:eastAsia="宋体" w:cs="宋体"/>
                <w:b/>
                <w:bCs/>
                <w:color w:val="auto"/>
                <w:sz w:val="24"/>
                <w:highlight w:val="none"/>
              </w:rPr>
              <w:t xml:space="preserve"> </w:t>
            </w:r>
            <w:r>
              <w:rPr>
                <w:rFonts w:hint="eastAsia" w:ascii="宋体" w:hAnsi="宋体" w:cs="宋体"/>
                <w:b/>
                <w:bCs/>
                <w:color w:val="auto"/>
                <w:sz w:val="24"/>
                <w:highlight w:val="none"/>
                <w:lang w:val="en-US" w:eastAsia="zh-CN"/>
              </w:rPr>
              <w:t xml:space="preserve"> </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E-mail</w:t>
            </w:r>
          </w:p>
        </w:tc>
        <w:tc>
          <w:tcPr>
            <w:tcW w:w="2167" w:type="dxa"/>
            <w:vAlign w:val="center"/>
          </w:tcPr>
          <w:p>
            <w:pPr>
              <w:snapToGrid w:val="0"/>
              <w:spacing w:line="293" w:lineRule="auto"/>
              <w:ind w:right="-10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 户 银 行</w:t>
            </w:r>
          </w:p>
        </w:tc>
        <w:tc>
          <w:tcPr>
            <w:tcW w:w="6127" w:type="dxa"/>
            <w:gridSpan w:val="3"/>
            <w:vAlign w:val="center"/>
          </w:tcPr>
          <w:p>
            <w:pPr>
              <w:snapToGrid w:val="0"/>
              <w:spacing w:line="293" w:lineRule="auto"/>
              <w:ind w:firstLine="240" w:firstLineChars="100"/>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720" w:type="dxa"/>
            <w:vMerge w:val="continue"/>
            <w:vAlign w:val="center"/>
          </w:tcPr>
          <w:p>
            <w:pPr>
              <w:snapToGrid w:val="0"/>
              <w:spacing w:line="293" w:lineRule="auto"/>
              <w:jc w:val="left"/>
              <w:rPr>
                <w:rFonts w:hint="eastAsia" w:ascii="宋体" w:hAnsi="宋体" w:eastAsia="宋体" w:cs="宋体"/>
                <w:color w:val="auto"/>
                <w:sz w:val="24"/>
                <w:highlight w:val="none"/>
              </w:rPr>
            </w:pPr>
          </w:p>
        </w:tc>
        <w:tc>
          <w:tcPr>
            <w:tcW w:w="180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帐      号</w:t>
            </w:r>
          </w:p>
        </w:tc>
        <w:tc>
          <w:tcPr>
            <w:tcW w:w="2520" w:type="dxa"/>
            <w:vAlign w:val="center"/>
          </w:tcPr>
          <w:p>
            <w:pPr>
              <w:snapToGrid w:val="0"/>
              <w:spacing w:line="293" w:lineRule="auto"/>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 xml:space="preserve"> </w:t>
            </w:r>
          </w:p>
        </w:tc>
        <w:tc>
          <w:tcPr>
            <w:tcW w:w="1440" w:type="dxa"/>
            <w:vAlign w:val="center"/>
          </w:tcPr>
          <w:p>
            <w:pPr>
              <w:snapToGrid w:val="0"/>
              <w:spacing w:line="293"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w:t>
            </w:r>
          </w:p>
        </w:tc>
        <w:tc>
          <w:tcPr>
            <w:tcW w:w="2167" w:type="dxa"/>
            <w:vAlign w:val="center"/>
          </w:tcPr>
          <w:p>
            <w:pPr>
              <w:snapToGrid w:val="0"/>
              <w:spacing w:line="293" w:lineRule="auto"/>
              <w:jc w:val="center"/>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 xml:space="preserve"> </w:t>
            </w:r>
          </w:p>
        </w:tc>
      </w:tr>
    </w:tbl>
    <w:p>
      <w:pPr>
        <w:spacing w:line="560" w:lineRule="exact"/>
        <w:jc w:val="both"/>
        <w:rPr>
          <w:rFonts w:hint="eastAsia" w:ascii="宋体" w:hAnsi="宋体" w:eastAsia="宋体" w:cs="宋体"/>
          <w:color w:val="auto"/>
          <w:sz w:val="44"/>
          <w:szCs w:val="44"/>
          <w:highlight w:val="none"/>
        </w:rPr>
      </w:pPr>
    </w:p>
    <w:p>
      <w:pPr>
        <w:spacing w:line="56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综合养护廉政责任书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为加强养护管理工作中的廉政建设，规范养护管理项目甲乙双方的各项活动，防止发生各种谋取不正当利益的违法违纪行为，保护国家、集体和当事人的合法权益，根据国家有关养护管理的法律法规和廉政建设责任制规定，</w:t>
      </w:r>
      <w:r>
        <w:rPr>
          <w:rFonts w:hint="eastAsia" w:ascii="宋体" w:hAnsi="宋体" w:eastAsia="宋体" w:cs="宋体"/>
          <w:color w:val="auto"/>
          <w:sz w:val="24"/>
          <w:highlight w:val="none"/>
          <w:u w:val="single"/>
        </w:rPr>
        <w:t xml:space="preserve"> 五常街道城市管理综合养护</w:t>
      </w:r>
      <w:r>
        <w:rPr>
          <w:rFonts w:hint="eastAsia" w:ascii="宋体" w:hAnsi="宋体" w:cs="宋体"/>
          <w:color w:val="auto"/>
          <w:sz w:val="24"/>
          <w:highlight w:val="none"/>
          <w:u w:val="single"/>
          <w:lang w:eastAsia="zh-CN"/>
        </w:rPr>
        <w:t>四标段</w:t>
      </w:r>
      <w:r>
        <w:rPr>
          <w:rFonts w:hint="eastAsia" w:ascii="宋体" w:hAnsi="宋体" w:eastAsia="宋体" w:cs="宋体"/>
          <w:color w:val="auto"/>
          <w:sz w:val="24"/>
          <w:highlight w:val="none"/>
          <w:u w:val="single"/>
        </w:rPr>
        <w:t>采购项目</w:t>
      </w:r>
      <w:r>
        <w:rPr>
          <w:rFonts w:hint="eastAsia" w:ascii="宋体" w:hAnsi="宋体" w:eastAsia="宋体" w:cs="宋体"/>
          <w:color w:val="auto"/>
          <w:sz w:val="24"/>
          <w:highlight w:val="none"/>
        </w:rPr>
        <w:t>的业主单位</w:t>
      </w:r>
      <w:r>
        <w:rPr>
          <w:rFonts w:hint="eastAsia" w:ascii="宋体" w:hAnsi="宋体" w:eastAsia="宋体" w:cs="宋体"/>
          <w:color w:val="auto"/>
          <w:sz w:val="24"/>
          <w:highlight w:val="none"/>
          <w:u w:val="single"/>
        </w:rPr>
        <w:t xml:space="preserve"> 杭州市余杭区人民政府五常街道办事处</w:t>
      </w:r>
      <w:r>
        <w:rPr>
          <w:rFonts w:hint="eastAsia" w:ascii="宋体" w:hAnsi="宋体" w:eastAsia="宋体" w:cs="宋体"/>
          <w:color w:val="auto"/>
          <w:sz w:val="24"/>
          <w:highlight w:val="none"/>
        </w:rPr>
        <w:t>（以下简称甲方）与养护单位</w:t>
      </w:r>
      <w:r>
        <w:rPr>
          <w:rFonts w:hint="eastAsia" w:ascii="宋体" w:hAnsi="宋体" w:cs="宋体"/>
          <w:color w:val="auto"/>
          <w:sz w:val="24"/>
          <w:highlight w:val="none"/>
          <w:u w:val="single"/>
          <w:lang w:val="en-US" w:eastAsia="zh-CN"/>
        </w:rPr>
        <w:t xml:space="preserve"> </w:t>
      </w:r>
      <w:r>
        <w:rPr>
          <w:rFonts w:hint="eastAsia" w:ascii="宋体" w:hAnsi="宋体" w:cs="宋体"/>
          <w:bCs/>
          <w:color w:val="auto"/>
          <w:sz w:val="24"/>
          <w:highlight w:val="none"/>
          <w:u w:val="single"/>
          <w:lang w:val="en-US" w:eastAsia="zh-CN"/>
        </w:rPr>
        <w:t xml:space="preserve"> </w:t>
      </w:r>
      <w:r>
        <w:rPr>
          <w:rFonts w:hint="eastAsia" w:ascii="宋体" w:hAnsi="宋体" w:eastAsia="宋体" w:cs="宋体"/>
          <w:color w:val="auto"/>
          <w:sz w:val="24"/>
          <w:highlight w:val="none"/>
        </w:rPr>
        <w:t>（以下简称乙方），特订立本廉政责任书。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   甲乙双方的权利和义务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（一）严格遵守党和国家有关法律法规关于廉政方面的相关规定。</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（二）严格执行养护项目的合同文件,自觉按合同办事。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（三）双方的业务活动坚持公开、公正、诚信、透明的原则(除法律认定的商业秘密和合同文件另有规定除外),不得损害国家和集体利益,违反养护管理规章制度。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（四）建立健全廉政制度,开展廉政教育,设立廉政告示牌,公布举报电话,监督并认真查处违法违纪行为。</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（五）发现对方在业务活动中有违反廉政规定的行为有及时提醒对方纠正的权利和义务。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（六）发现对方严重违反本合同义务条款的行为,有向其上级有关部门举报、建议给予处理并要求告知处理结果的权利。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  甲方的义务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（一）甲方及其工作人员不得索要或收受乙方的礼金有价证券和贵重物品,不得在乙方报销应由甲方单位或个人支付的任何费用。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（二）甲方工作人员不得参加乙方安排的高消费宴请和娱乐活动;不得接受乙方提供的通讯工具、交通工具和高档办公用品。</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（三）甲方工作人员不得要求或者接受乙方为其住房装修、婚丧嫁娶、配偶子女的工作安排以及出国(境)、旅游等提供方便。</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（四）甲方工作人员的配偶、子女不得从事与乙方工作有关的材料设备供应、工程分包、劳务等经济活动。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（五）甲方及其工作人员不得以任何理由向乙方推荐分包单位,不得要求乙方购买合同规定外的材料和设备。</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  乙方的义务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（一）乙方不得以任何理由向甲方及其工作人员馈赠礼金、有价证券、贵重礼品。</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（二）乙方不得以任何名义为甲方及其工作人员报销应由甲方单位或个人支付的任何费用。</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（三）乙方不得为甲方单位和个人购置或提供通讯工具、交通工具和高档办公用品等。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第四条  违约责任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（一）甲方及其工作人员违反本合同第一、二条,按管理权限,依据有关规定给予党纪、政纪或组织处理；涉嫌犯罪的,移交司法机关追究刑事责任；给乙方单位造成经济损失的,应予以赔偿。</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乙方及其工作人员违反本合同第一、三条,按管理权限,依据有关规定,给予党纪、政纪或组织处理；给甲方单位造成经济损失的,应予以赔偿；情节严重的,甲方建议区养护管理部门给予乙方一至三年内不得进入其主管的市政设施养护市场的处罚。</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本责任书作为养护管理合同的附件，与养护管理合同具有同等法律效力。经双方签署后立即生效。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本合同有效期为甲乙双方签署之日起至该养护项目合同到期后止。</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甲方(盖章)：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乙方(盖章)：</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法定代表人：</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委托代理人：</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地      址：</w:t>
      </w:r>
    </w:p>
    <w:p>
      <w:pPr>
        <w:widowControl w:val="0"/>
        <w:wordWrap/>
        <w:adjustRightInd w:val="0"/>
        <w:snapToGrid/>
        <w:spacing w:line="720" w:lineRule="auto"/>
        <w:ind w:firstLine="0" w:firstLineChars="0"/>
        <w:jc w:val="both"/>
        <w:textAlignment w:val="auto"/>
        <w:rPr>
          <w:rFonts w:hint="eastAsia" w:ascii="宋体" w:hAnsi="宋体" w:eastAsia="宋体" w:cs="宋体"/>
          <w:b/>
          <w:color w:val="auto"/>
          <w:sz w:val="36"/>
          <w:szCs w:val="20"/>
          <w:highlight w:val="none"/>
        </w:rPr>
      </w:pPr>
      <w:r>
        <w:rPr>
          <w:rFonts w:hint="eastAsia" w:ascii="宋体" w:hAnsi="宋体" w:eastAsia="宋体" w:cs="宋体"/>
          <w:color w:val="auto"/>
          <w:spacing w:val="40"/>
          <w:sz w:val="24"/>
          <w:highlight w:val="none"/>
        </w:rPr>
        <w:t>签订时间：</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pacing w:val="40"/>
          <w:sz w:val="24"/>
          <w:highlight w:val="none"/>
        </w:rPr>
        <w:t>签订时间：</w:t>
      </w:r>
    </w:p>
    <w:p>
      <w:pPr>
        <w:spacing w:line="600" w:lineRule="auto"/>
        <w:ind w:firstLine="360" w:firstLineChars="1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b/>
          <w:bCs/>
          <w:color w:val="auto"/>
          <w:sz w:val="36"/>
          <w:szCs w:val="36"/>
          <w:highlight w:val="none"/>
        </w:rPr>
        <w:t>综合养护安全协议书</w:t>
      </w:r>
    </w:p>
    <w:p>
      <w:pPr>
        <w:spacing w:line="54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为贯彻“安全第一，预防为主”方针，明确双方的安全责任，确保养护管理工作中人身和设备安全，根据国家有关法律法规，经双方协商，就</w:t>
      </w:r>
      <w:r>
        <w:rPr>
          <w:rFonts w:hint="eastAsia" w:ascii="宋体" w:hAnsi="宋体" w:eastAsia="宋体" w:cs="宋体"/>
          <w:color w:val="auto"/>
          <w:sz w:val="24"/>
          <w:highlight w:val="none"/>
          <w:u w:val="single"/>
        </w:rPr>
        <w:t xml:space="preserve">              五常街道城市管理综合养护</w:t>
      </w:r>
      <w:r>
        <w:rPr>
          <w:rFonts w:hint="eastAsia" w:ascii="宋体" w:hAnsi="宋体" w:cs="宋体"/>
          <w:color w:val="auto"/>
          <w:sz w:val="24"/>
          <w:highlight w:val="none"/>
          <w:u w:val="single"/>
          <w:lang w:eastAsia="zh-CN"/>
        </w:rPr>
        <w:t>四标段</w:t>
      </w:r>
      <w:r>
        <w:rPr>
          <w:rFonts w:hint="eastAsia" w:ascii="宋体" w:hAnsi="宋体" w:eastAsia="宋体" w:cs="宋体"/>
          <w:color w:val="auto"/>
          <w:sz w:val="24"/>
          <w:highlight w:val="none"/>
          <w:u w:val="single"/>
        </w:rPr>
        <w:t>采购项目</w:t>
      </w:r>
      <w:r>
        <w:rPr>
          <w:rFonts w:hint="eastAsia" w:ascii="宋体" w:hAnsi="宋体" w:eastAsia="宋体" w:cs="宋体"/>
          <w:color w:val="auto"/>
          <w:sz w:val="24"/>
          <w:highlight w:val="none"/>
        </w:rPr>
        <w:t>的业主单位</w:t>
      </w:r>
      <w:r>
        <w:rPr>
          <w:rFonts w:hint="eastAsia" w:ascii="宋体" w:hAnsi="宋体" w:eastAsia="宋体" w:cs="宋体"/>
          <w:color w:val="auto"/>
          <w:sz w:val="24"/>
          <w:highlight w:val="none"/>
          <w:u w:val="single"/>
        </w:rPr>
        <w:t xml:space="preserve"> 杭州市余杭区人民政府五常街道办事处 </w:t>
      </w:r>
      <w:r>
        <w:rPr>
          <w:rFonts w:hint="eastAsia" w:ascii="宋体" w:hAnsi="宋体" w:eastAsia="宋体" w:cs="宋体"/>
          <w:color w:val="auto"/>
          <w:sz w:val="24"/>
          <w:highlight w:val="none"/>
        </w:rPr>
        <w:t>（以下简称甲方）与养护单位</w:t>
      </w:r>
      <w:r>
        <w:rPr>
          <w:rFonts w:hint="eastAsia" w:ascii="宋体" w:hAnsi="宋体" w:eastAsia="宋体" w:cs="宋体"/>
          <w:color w:val="auto"/>
          <w:sz w:val="24"/>
          <w:highlight w:val="none"/>
          <w:u w:val="single"/>
        </w:rPr>
        <w:t xml:space="preserve"> </w:t>
      </w:r>
      <w:r>
        <w:rPr>
          <w:rFonts w:hint="eastAsia" w:ascii="宋体" w:hAnsi="宋体" w:cs="宋体"/>
          <w:bCs/>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（以下简称乙方），特签订本协议书。</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第一条  甲方安全责任</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（一）甲方应要求乙方制定养护管理安全工作方案，报甲方备案。</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二）甲方有协助乙方搞好安全生产、防火管理以及督促检查的义务。甲方有权检查督促乙方执行有关安全生产方面的工作规定，对乙方不符合安全、文明作业的行为进行制止、纠正并发出安全整改通知书，直至清退出场。</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（三）甲方有权对乙方参与养护作业的人员进行安全技术知识和安全工作规程的抽考。</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四）乙方在养护作业中发生的安全事故，甲方有责任负责调查、统计上报。乙方在养护作业中如发生国务院《特别重大事故调查程序暂行规定》所规定的特大事故，甲方有权督促乙方立即通知当地政府和公安部门，要求派人保护现场，并有权要求乙方提供事故调查书面结论及处理意见。</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（五）甲方不得要求乙方违反安全管理规定进行作业。因甲方原因导致的事故由甲方承担责任。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（六）发生以下情况停工整顿，因停工造成的违约责任由乙方承担：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1、人身伤亡事故；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2、施工机械、生产主设备严重损坏事故；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3、场内火灾事故；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4、违章作业、冒险作业不听劝阻的；</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第二条  乙方安全责任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乙方作为养护项目的承包单位，对养护作业过程中发生的人身伤害、设备损坏事故承担安全责任。乙方应切实履行以下安全责任：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（一）乙方所提供的承包养护项目要求的相关资质证明材料应真实、合法、有效。</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（二）乙方必须贯彻执行国家有关安全生产的法律法规，必须制定相应的安全管理制度，并严格执行。　　</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（三）日常养护作业应遵守国家和地方关于劳动安全，劳务用工法律法规及规章制度，保证用工的合法性。乙方必须按国家有关规定，为作业人员进行人身保险，配备合格的劳动防护用品、安全用具。</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（四）乙方应设有专职安全人员。</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（五）乙方进行养护作业前，需对全体作业人员进行全面的安全技术交底，并在整个作业过程正确、完整地执行，未交底的严禁作业。</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（六）乙方用于本项目的作业机械、工器具及安全防护用具的数量和质量必须满足作业需要，符合安全规定，乙方对因使用工器具不当所造成的人员伤害及设备损坏负责。</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（七）乙方必须接受甲方的监督、检查，对甲方提出的安全整改意见必须及时整改。</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（八）乙方养护作业过程中发生人生伤亡、设备事故或危及生产运行的不安全情况，应立即报告甲方，并积极配合调查。</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九）乙方应执行国务院《特别重大事故调查程序暂行规定》、《企业职工伤亡事故报告和处理规定》。对人员在作业中发生的人身伤亡事故，还必须立即向事故所在地的政府安全管理部门、公安部门、工会报告，按规定组织调查处理，并由乙方统计上报；如发生国务院《特别重大事故调查程序暂时规定》所规定的特大事故，还应立即通知当地政府、公安部门，并要求派人保护现场。</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（十）乙方应将事故调查组的事故调查报告及事故处理意见提交甲方备案。</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  甲乙双方联系方式及响应时间：甲乙双方应以工作联系单、传真、电传等书面形式送达对方。双方在接到对方的书面联系时，应于12小时内予以响应。</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第四条  违约责任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（一）由于甲方或乙方责任造成对方或第三方的人身伤害和设备损坏等财产损失的，由责任方承担相应责任，并赔偿对方或第三方因此造成的全部损失。</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（二）合同履行中，发现乙方提供的有关资质材料无效，甲方有权解除合同，并由乙方承担由此造成的一切损失。</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（三）发现乙方现场作业人员有违章行为的，比照甲方有关安全生产奖惩规定对甲方职工相类似的违章行为应扣款数额，承担相应的违约金。</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四）乙方未设置安全人员，未能正确、全面执行安全措施，养护作业人员未掌握养护作业的相关安全措施，或用于本项目的作业机械、工器具及安全防护用品不满足作业需要的，甲方有权要求乙方立即停工整改，由此引起的后果及损失由乙方承担。</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（五）乙方对甲方提出的安全整改意见不及时整改的，每逾期一天，乙方按</w:t>
      </w:r>
      <w:r>
        <w:rPr>
          <w:rFonts w:hint="eastAsia" w:ascii="宋体" w:hAnsi="宋体" w:eastAsia="宋体" w:cs="宋体"/>
          <w:color w:val="auto"/>
          <w:sz w:val="24"/>
          <w:highlight w:val="none"/>
          <w:u w:val="single"/>
        </w:rPr>
        <w:t>200</w:t>
      </w:r>
      <w:r>
        <w:rPr>
          <w:rFonts w:hint="eastAsia" w:ascii="宋体" w:hAnsi="宋体" w:eastAsia="宋体" w:cs="宋体"/>
          <w:color w:val="auto"/>
          <w:sz w:val="24"/>
          <w:highlight w:val="none"/>
        </w:rPr>
        <w:t>元/天承担违约责任。</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第五条  本协议执行过程中，如发生争议，由双方协商、调解解决；若经协商、调解不能解决争议的，任何一方可以向当地人民法院提起诉讼。</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本协议作为道路综合养护项目合同的附件，与道路综合养护项目合同具有同等法律效力。</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第七条  本协议有效期限：自该养护项目合同规定的开始之日起至养护项目合同规定的结束之日止。</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第八条  本协议经双方法定代表人签字盖章后生效。</w:t>
      </w:r>
    </w:p>
    <w:p>
      <w:pPr>
        <w:spacing w:line="360" w:lineRule="exact"/>
        <w:ind w:firstLine="480" w:firstLineChars="200"/>
        <w:rPr>
          <w:rFonts w:hint="eastAsia" w:ascii="宋体" w:hAnsi="宋体" w:eastAsia="宋体" w:cs="宋体"/>
          <w:color w:val="auto"/>
          <w:sz w:val="24"/>
          <w:highlight w:val="none"/>
        </w:rPr>
      </w:pPr>
    </w:p>
    <w:p>
      <w:pPr>
        <w:spacing w:line="360" w:lineRule="exact"/>
        <w:ind w:firstLine="480" w:firstLineChars="200"/>
        <w:rPr>
          <w:rFonts w:hint="eastAsia" w:ascii="宋体" w:hAnsi="宋体" w:eastAsia="宋体" w:cs="宋体"/>
          <w:color w:val="auto"/>
          <w:sz w:val="24"/>
          <w:highlight w:val="none"/>
        </w:rPr>
      </w:pPr>
    </w:p>
    <w:p>
      <w:pPr>
        <w:rPr>
          <w:rFonts w:hint="eastAsia"/>
          <w:color w:val="auto"/>
          <w:highlight w:val="none"/>
        </w:rPr>
      </w:pPr>
    </w:p>
    <w:p>
      <w:pPr>
        <w:rPr>
          <w:rFonts w:hint="eastAsia"/>
          <w:color w:val="auto"/>
          <w:highlight w:val="none"/>
        </w:rPr>
      </w:pP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甲方(盖章)：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乙方(盖章)：</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法定代表人：</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委托代理人：</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地      址：</w:t>
      </w:r>
    </w:p>
    <w:p>
      <w:pPr>
        <w:widowControl w:val="0"/>
        <w:wordWrap/>
        <w:adjustRightInd w:val="0"/>
        <w:snapToGrid/>
        <w:spacing w:line="720" w:lineRule="auto"/>
        <w:ind w:firstLine="0" w:firstLineChars="0"/>
        <w:jc w:val="both"/>
        <w:textAlignment w:val="auto"/>
        <w:rPr>
          <w:rFonts w:hint="eastAsia" w:ascii="宋体" w:hAnsi="宋体" w:eastAsia="宋体" w:cs="宋体"/>
          <w:color w:val="auto"/>
          <w:spacing w:val="40"/>
          <w:sz w:val="24"/>
          <w:highlight w:val="none"/>
        </w:rPr>
      </w:pPr>
      <w:r>
        <w:rPr>
          <w:rFonts w:hint="eastAsia" w:ascii="宋体" w:hAnsi="宋体" w:eastAsia="宋体" w:cs="宋体"/>
          <w:color w:val="auto"/>
          <w:spacing w:val="40"/>
          <w:sz w:val="24"/>
          <w:highlight w:val="none"/>
        </w:rPr>
        <w:t>签订时间：</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pacing w:val="40"/>
          <w:sz w:val="24"/>
          <w:highlight w:val="none"/>
        </w:rPr>
        <w:t>签订时间：</w:t>
      </w:r>
    </w:p>
    <w:p>
      <w:pPr>
        <w:pStyle w:val="4"/>
        <w:rPr>
          <w:rFonts w:hint="eastAsia" w:ascii="宋体" w:hAnsi="宋体" w:eastAsia="宋体" w:cs="宋体"/>
          <w:color w:val="auto"/>
          <w:spacing w:val="40"/>
          <w:sz w:val="24"/>
          <w:highlight w:val="none"/>
        </w:rPr>
      </w:pPr>
    </w:p>
    <w:p>
      <w:pPr>
        <w:rPr>
          <w:rFonts w:hint="eastAsia" w:ascii="宋体" w:hAnsi="宋体" w:eastAsia="宋体" w:cs="宋体"/>
          <w:color w:val="auto"/>
          <w:spacing w:val="40"/>
          <w:sz w:val="24"/>
          <w:highlight w:val="none"/>
        </w:rPr>
      </w:pPr>
    </w:p>
    <w:p>
      <w:pPr>
        <w:pStyle w:val="4"/>
        <w:rPr>
          <w:rFonts w:hint="eastAsia" w:ascii="宋体" w:hAnsi="宋体" w:eastAsia="宋体" w:cs="宋体"/>
          <w:color w:val="auto"/>
          <w:spacing w:val="40"/>
          <w:sz w:val="24"/>
          <w:highlight w:val="none"/>
        </w:rPr>
      </w:pPr>
    </w:p>
    <w:p>
      <w:pPr>
        <w:rPr>
          <w:rFonts w:hint="eastAsia" w:ascii="宋体" w:hAnsi="宋体" w:eastAsia="宋体" w:cs="宋体"/>
          <w:color w:val="auto"/>
          <w:spacing w:val="40"/>
          <w:sz w:val="24"/>
          <w:highlight w:val="none"/>
        </w:rPr>
      </w:pPr>
    </w:p>
    <w:p>
      <w:pPr>
        <w:pStyle w:val="4"/>
        <w:jc w:val="center"/>
        <w:rPr>
          <w:rFonts w:hint="eastAsia" w:ascii="宋体" w:hAnsi="宋体" w:eastAsia="宋体" w:cs="宋体"/>
          <w:b/>
          <w:bCs/>
          <w:color w:val="auto"/>
          <w:kern w:val="2"/>
          <w:sz w:val="36"/>
          <w:szCs w:val="36"/>
          <w:highlight w:val="none"/>
          <w:lang w:val="en-US" w:eastAsia="zh-CN" w:bidi="ar-SA"/>
        </w:rPr>
      </w:pPr>
    </w:p>
    <w:p>
      <w:pPr>
        <w:pStyle w:val="4"/>
        <w:jc w:val="center"/>
        <w:rPr>
          <w:rFonts w:hint="eastAsia" w:ascii="宋体" w:hAnsi="宋体" w:eastAsia="宋体" w:cs="宋体"/>
          <w:b/>
          <w:bCs/>
          <w:color w:val="auto"/>
          <w:kern w:val="2"/>
          <w:sz w:val="36"/>
          <w:szCs w:val="36"/>
          <w:highlight w:val="none"/>
          <w:lang w:val="en-US" w:eastAsia="zh-CN" w:bidi="ar-SA"/>
        </w:rPr>
      </w:pPr>
    </w:p>
    <w:p>
      <w:pPr>
        <w:pStyle w:val="4"/>
        <w:jc w:val="center"/>
        <w:rPr>
          <w:rFonts w:hint="eastAsia" w:ascii="宋体" w:hAnsi="宋体" w:eastAsia="宋体" w:cs="宋体"/>
          <w:b/>
          <w:bCs/>
          <w:color w:val="auto"/>
          <w:kern w:val="2"/>
          <w:sz w:val="36"/>
          <w:szCs w:val="36"/>
          <w:highlight w:val="none"/>
          <w:lang w:val="en-US" w:eastAsia="zh-CN" w:bidi="ar-SA"/>
        </w:rPr>
      </w:pPr>
    </w:p>
    <w:p>
      <w:pPr>
        <w:rPr>
          <w:rFonts w:hint="eastAsia" w:ascii="宋体" w:hAnsi="宋体" w:eastAsia="宋体" w:cs="宋体"/>
          <w:b/>
          <w:bCs/>
          <w:color w:val="auto"/>
          <w:kern w:val="2"/>
          <w:sz w:val="36"/>
          <w:szCs w:val="36"/>
          <w:highlight w:val="none"/>
          <w:lang w:val="en-US" w:eastAsia="zh-CN" w:bidi="ar-SA"/>
        </w:rPr>
      </w:pPr>
    </w:p>
    <w:p>
      <w:pPr>
        <w:pStyle w:val="2"/>
        <w:rPr>
          <w:rFonts w:hint="eastAsia"/>
          <w:color w:val="auto"/>
          <w:lang w:val="en-US" w:eastAsia="zh-CN"/>
        </w:rPr>
      </w:pPr>
    </w:p>
    <w:p>
      <w:pPr>
        <w:pStyle w:val="4"/>
        <w:ind w:left="0" w:leftChars="0" w:firstLine="0" w:firstLineChars="0"/>
        <w:jc w:val="center"/>
        <w:rPr>
          <w:rFonts w:hint="eastAsia" w:ascii="宋体" w:hAnsi="宋体" w:eastAsia="宋体" w:cs="宋体"/>
          <w:b/>
          <w:bCs/>
          <w:color w:val="auto"/>
          <w:kern w:val="2"/>
          <w:sz w:val="36"/>
          <w:szCs w:val="36"/>
          <w:highlight w:val="none"/>
          <w:lang w:val="en-US" w:eastAsia="zh-CN" w:bidi="ar-SA"/>
        </w:rPr>
      </w:pPr>
      <w:r>
        <w:rPr>
          <w:rFonts w:hint="eastAsia" w:ascii="宋体" w:hAnsi="宋体" w:eastAsia="宋体" w:cs="宋体"/>
          <w:b/>
          <w:bCs/>
          <w:color w:val="auto"/>
          <w:kern w:val="2"/>
          <w:sz w:val="36"/>
          <w:szCs w:val="36"/>
          <w:highlight w:val="none"/>
          <w:lang w:val="en-US" w:eastAsia="zh-CN" w:bidi="ar-SA"/>
        </w:rPr>
        <w:t>综合养护标准及作业标准</w:t>
      </w:r>
    </w:p>
    <w:p>
      <w:pPr>
        <w:pStyle w:val="36"/>
        <w:snapToGrid w:val="0"/>
        <w:spacing w:line="6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养护标准：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综合养护标准按关于印发《关于提升余杭区市政、景观灯、环卫保洁管养定额标准及养护标准的通知》文件规定执行。本标段按二级养护标准实施。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一、关于市政、景观灯、环卫保洁养护标准：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（一）市政方面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级市政设施养护标准：①人行道表面平整，砌块无松动，裂缝长度小于1m或宽度小于6mm，下沉或拱起变形小于25mm或面积小于1.5㎡；无堆积物、障碍物，平侧石整齐稳固，线型顺直；道板铺装材料统一，砌块及平侧石松动破碎面积小于0.3㎡。②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③路灯及附属设施完好率达98％，外观整洁、安全、完好；按时亮灯熄灯，亮灯率达98％，重大节假日及大型活动期间亮灯率达100%。④排水设施完好，无阻水物，泄水孔、排水管道通畅，积泥深度不超过1/5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（二）景观灯方面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景观灯设施管养标准：城市景观照明亮灯率应达96%以上；景观照明设施完好率应达95%以上。城市景观照明及其附属设施外观整洁、安全、完好；按时亮灯熄灯，在盛夏高温季节按照有序用电要求实施亮灯；配电箱等附属设施完好，无破损、油漆剥落和锈斑；景观灯设施无缺损现象；照明质量好，照明亮度在标准范围内；无缺亮、断亮现象；控制箱完好无损；内部线路连接整齐、牢固、规范，重大节庆活动、重大会展活动、重大体育赛事、重要接待活动或其他临时应急活动期间的亮灯保障安全有序，亮灯率达96%；景观灯养护严格参照国家规范执行，文明安全施工，无安全责任事故。</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（三）环卫保洁方面</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类道路保洁标准：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⑤在规定时间内（夏季6:30前，其它季节上午7点前）完成第一遍普扫，然后进行全天巡回保洁以及中午、晚上的两次普扫。每日16小时保洁，人均保洁面积5500㎡，每日洒水4次(夏季6次)、机械化清扫3次（夏季4次），每周清洗道路2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牛皮癣处理标准：作业注意“色、形、洁、美”，达到“色、形、洁、美”的有机结合，自然、协调。色，根据不同墙体颜色，将调料调配成相同或相似的颜色，最大限度的将污染处恢复原来色泽；形，对被污染墙面的清除应有统一覆盖形状（四方形），有完整、清晰的轮廓；洁，清除作业要按照“一刮、二铲、三粉刷”程序操作，使作业墙体达到干净、整洁；美，要使清除作业墙体在“色、形、洁”上与周边环境相协调。</w:t>
      </w:r>
    </w:p>
    <w:p>
      <w:pPr>
        <w:numPr>
          <w:ilvl w:val="0"/>
          <w:numId w:val="0"/>
        </w:numPr>
        <w:rPr>
          <w:rFonts w:hint="eastAsia" w:ascii="宋体" w:hAnsi="宋体" w:eastAsia="宋体" w:cs="宋体"/>
          <w:color w:val="auto"/>
          <w:sz w:val="24"/>
          <w:highlight w:val="none"/>
          <w:lang w:val="en-US" w:eastAsia="zh-CN"/>
        </w:rPr>
      </w:pPr>
    </w:p>
    <w:p>
      <w:pPr>
        <w:widowControl w:val="0"/>
        <w:numPr>
          <w:ilvl w:val="0"/>
          <w:numId w:val="0"/>
        </w:numPr>
        <w:wordWrap/>
        <w:adjustRightInd w:val="0"/>
        <w:snapToGrid/>
        <w:spacing w:line="600" w:lineRule="exact"/>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（四）绿化养护方面</w:t>
      </w:r>
    </w:p>
    <w:p>
      <w:pPr>
        <w:widowControl w:val="0"/>
        <w:numPr>
          <w:ilvl w:val="0"/>
          <w:numId w:val="0"/>
        </w:numPr>
        <w:wordWrap/>
        <w:adjustRightInd w:val="0"/>
        <w:snapToGrid/>
        <w:spacing w:line="600" w:lineRule="exact"/>
        <w:ind w:firstLine="480" w:firstLineChars="200"/>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二级绿化养护标准：植物生长势好，树形良好，叶片正常，较严重的黄叶、焦叶、卷叶的株数在2%以下；枝干正常，无明显枯枝死杈；树冠基本完整，主侧枝分布均匀，通风透光；树穴有平整盖板或种植地被植物，黄土不裸露；无大型和缠绕性、攀缘性杂草，零星区域的杂草控制在5cm以下；病虫害危害未达到明显程度，食叶害虫危害的叶片每株不超过10%，刺吸性害虫危害的叶片每株不超过15%，蛀干性害虫危害的株数在2%以下；时花花坛内四季有花，花期整齐，整体效果好；草坪上草种基本纯，草坪覆盖率应大于95%，中心区不得有空秃现象、草高不得超过8cm，常绿草高不得超过6cm；绿化设施、卫生基本完好、整洁，基本无断桩、坏桩，桩位扎缚有效，并有一定的防台措施。</w:t>
      </w:r>
    </w:p>
    <w:p>
      <w:pPr>
        <w:rPr>
          <w:rFonts w:hint="eastAsia" w:ascii="宋体" w:hAnsi="宋体" w:eastAsia="宋体" w:cs="宋体"/>
          <w:color w:val="auto"/>
          <w:highlight w:val="none"/>
        </w:rPr>
      </w:pPr>
    </w:p>
    <w:p>
      <w:pPr>
        <w:pStyle w:val="36"/>
        <w:numPr>
          <w:ilvl w:val="0"/>
          <w:numId w:val="4"/>
        </w:numPr>
        <w:snapToGrid w:val="0"/>
        <w:spacing w:line="6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河道设施养护</w:t>
      </w:r>
      <w:r>
        <w:rPr>
          <w:rFonts w:hint="eastAsia" w:ascii="宋体" w:hAnsi="宋体" w:eastAsia="宋体" w:cs="宋体"/>
          <w:color w:val="auto"/>
          <w:sz w:val="24"/>
          <w:highlight w:val="none"/>
          <w:lang w:val="en-US" w:eastAsia="zh-CN"/>
        </w:rPr>
        <w:t>方面</w:t>
      </w:r>
    </w:p>
    <w:p>
      <w:pPr>
        <w:pStyle w:val="36"/>
        <w:numPr>
          <w:ilvl w:val="0"/>
          <w:numId w:val="0"/>
        </w:numPr>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1.河道保洁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 河道保洁分为河面保洁和河岸保洁。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 总体要求：河面清洁无漂浮物，绿地无垃圾、无杂物，河岸各类硬化设施无垃圾、无污垢，保持整洁完好。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 河面保洁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 主要是利用机械或人工对河道水面的垃圾、枯枝落叶、水草、绿萍等漂浮物（种植物除外）进行打捞清理及外运处置，从而保持河道景观、保护河道水环境。</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1.3.2 保洁要求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每天对河面进行2 次保洁，作业时间8 小时（8:00 一16 ：00）。</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 作业要求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1.3.3.1 在通航河道内作业的保洁船须使用机动船舶。</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1.3.3.2 保洁船应有醒目的保洁单位名称及监督电话。</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1.3.3.3 开船前船员和打捞员按各自职责做好各项检查和准备工作。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1.3.3.4 打捞的漂浮物应及时运至垃圾中转站或处理场。</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1.3.3.5 严禁开闸将漂浮物排入下游河段。</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1.3.3.6 每艘手划船应配备2 名保洁人员；每艘机动船应配备3～4 名人员。</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 设备要求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1.3.4.1 机动保洁作业船应选用无油污染、低噪音的环保型船舶，船舶设施良好；备用水源河道内使用机动船舶必须采用电瓶动力或手划船。</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1.3.4.2 每艘保洁船应配备适合清理各种垃圾漂浮物及污染物的打捞工具，需安装GPS装置。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1.3.4.3 保持良好的船容船貌，保洁工具整洁、干净。</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 安全要求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1.3.5.1 保洁船应符合海事等主管部门的相关要求。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1.3.5.2 作业人员统一着装，持证上岗，水上作业时应穿着救生衣。</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1.3.5.3 遇台风和雷暴雨等恶劣天气应停止水上作业，并将船只停靠安全地点。</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1.3.5.4 保洁船在行驶过程中，遇到有人在河埠头、亲水平台、游船停靠点等设施进行亲水活动时应减速慢行，确保人员安全。</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 应急要求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1.3.6.1 应制定河面保洁应急预案，配备应急所需的人员、工具、设备和物资。</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1.3.6.2 遇水草、水葫芦、绿萍等水生植物爆发，应第一时间组织力量进行清理并查明原因。</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1.3.6.3 汛期后应根据水位状况及时组织力量做好突击保洁，最快时间清除大型漂浮物、倾入河内的树木树枝等各类障碍物。</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1.3.6.4 应制定保障预案，遇各项重大活动及节假日，按上级有关要求落实各项措施。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 河岸保洁</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1.4.1 主要是指利用各种机械或人工对城市河道的河岸、绿地、慢行系统、园路等设施的保洁，应做到干净整洁、无杂物堆积、无痰迹烟蒂、无青苔、无积水积泥等。</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1.4.2 保洁要求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每天保洁时间为8 小时（8:00 一16:00 )，每月对慢行系统、园路、亲水平台、河埠头、游船停靠点、廊亭地面等硬化设施冲水清洗1 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 作业要求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1.4.3.1 环卫车应有醒目的保洁单位名称及监督电话。</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1.4.3.2 保洁工具应整洁、干净。</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1.4.3.3 清洗设备应环保、低噪音，作业时应保护好其他设施。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1.4.3.4 垃圾箱垃圾日产日清，清理的垃圾应及时运至垃圾中转站或处理场。</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1.4.3.5 应配备适合保洁各种设施的工具。</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 安全要求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1.4.4.1 保洁车应符合环卫等主管部门的要求。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1.4.4.2 保洁作业人员应统一着装，穿着必要的安全警示服装。</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1.4.4.3 遇台风和雷暴雨等恶劣天气应停止室外作业。</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 应急要求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1.4.5.1 应制定河岸保洁应急预案，配备应急所需的人员、工具、设备和物资。</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1.4.5.2 汛期及冰冻过后应及时组织力量做好对慢行系统、园路、栈道、亲水平台、河埠头、游船停靠点、廊亭地面等设施的全面清洗，确保干净整洁，无积水积泥。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1.4.5.3 应制定保障预案，遇各项重大活动及节假日，按上级有关要求落实各项措施。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 灭蚊要求：按有关要求开展灭蚊工作。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 外运要求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1.6.1 河道保洁的垃圾应集中收集，日清日运，不得露天堆放过夜。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1.6.2 垃圾在外运途中应采取密闭措施，防止抛洒、泄漏。</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河道巡查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河道巡查除了对养护对象的日常巡查，还包括对河道水质状况、排水口、生态治理设施设备、绿地及廊亭栈道与景观桥的专项巡查，对涉河建设项目的监督巡查；对各项重大活动及节假日服务保障的重点巡查；对河道防汛、设施抢修等紧急状况的特殊巡查；对违法违章行为和不文明现象的劝阻。</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总体要求：养护作业单位按要求配备巡查人员与巡查船。</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巡查分类：</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三类巡查要求：每2 天全线巡查1 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巡查要求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 巡查人员应配备照相机或摄像机，巡查车辆与船只应安装车载GPS等必要的装备。</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巡查人员在巡查时应认真负责、全面仔细，快速及时地掌握河道设施的安全性、整洁和完好状况，做到实事求是，当天做好巡查记录，每日一报。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2.4.3 巡查人员要及时了解河道水质状况，包括水体感官与颜色等。遇死鱼、蓝藻等突发情况应及时上报。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2.4.4 巡查人员要及时掌握河道沿线排水口设施（包括标识）完好情况、晴天出水情况。对有晴天出水现象的，要分时段（上午、中午、下午）检查出水情况，评估记录出水水频次（间歇性或常出水），并查看该排水口上下游河道水质感官，做好信息登记并第一时间上报，同时做好与截污部门的对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2.4.5 巡查人员要及时了解生态项目情况，发现水生植物生长不良、病虫害、设施破损及设备故障等情况及时报告。</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2.4.6 巡查人员要及时了解河道沿线绿地的情况，掌握植物长势、缺株裸露及病虫害等情况，及时发现绿地内设施缺损情况。</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2.4.7 巡查人员要及时掌握栈道与景观桥的情况，特别对裂缝、缺损、塌陷等重大安全隐患要第一时间上报。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2.4.8 巡查人员要及时掌握涉河建设项目实施动态，按审批要求对涉河建设项目进行监督。</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2.4.9 巡查人员对违法违章行为有劝阻的责任和义务，并第一时间上报。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2.4.10 遇重大活动及节假日，应积极主动，加强巡查，配合河道监管部门做好保障工作，做好记录，及时上报。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2.4.11 遇防汛、防台、抗雪等紧急状况，应加强巡查，配合河道监管部门做好抢险应急工作，第一时间掌握防汛隐患，做好记录，及时上报。</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设施养护维修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设施养护维修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主要内容是河岸设施养护维修、绿化养护、园路及慢行系统养护维修、生态治理设施养护、河埠头养护维修、沿河廊亭栈道及景观桥养护维修、防汛配水设施维护检修、在线监测设施维护检修、船闸设施维护检修、环卫设施维护、宣传牌、警示牌、其他附属设施维护等。</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河岸设施养护维修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主要内容是河岸驳坎挡墙、围护桩、护坡等的养护维修。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 河岸驳坎养护维修要求：按照《 杭州市城市河道养护技术规程（试行）》( CJS 一04 一2 000 ）执行。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河岸围护桩养护维修要求：应定期观测，发现滑移、倾斜、缺失的，应采取相应措施及时修补，并做好记录。</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 河岸护坡养护维修要求：应维持护坡内固土植物的正常生长，如有缺失及时补种；护坡有水土流失现象应及时采取措施固土。每年汛前、汛后和每次台风、洪水过后，应对河岸设施进行全面检查，发现问题及时修复，确保河岸设施安全、完好。</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 绿化养护要求：包括绿地范围内的绿化及其廊亭等附属设施，河岸绿地养护按照《 杭州市城区绿地养护质量标准（试行）》杭园文[2003 ]42 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 园路及慢行系统养护维修</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随河园路养护维修要求：应确保其铺砌平整、牢固稳定，不得有破裂、翘动。若发现缺损、破碎、沉陷、翘动等病害，应及时更新修补。当基层强度不足而造成路面损坏，应清除软弱基层，换填新的基层料再恢复，面层的块石材质、规格应与原路面一致。</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 慢行系统路面养护维修要求：参照《城镇道路养护技术规范》（CJJ 36-2006）中第9条“人行道的养护”标准执行。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3.5生态治理设施养护要求：各类生态治理设施正常运行，具体养护要求按照《杭州市城市河道生态治理常用技术要点及养护要求》执行。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3.6河埠头养护维修要求：河埠头相关配套设施应完整；在经常性巡查的基础上，每年汛前由专业技术人员进行一次全面检查，检查时需最大限度地降低水位。</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 沿河廊亭栈道及景观桥养护维修要求：对廊亭、栈道进行日常巡视检查，及时发现缺损进行小修保养工作，确保护栏、铺砌等牢固稳定，不得有破裂、翘动，栏杆无变形、无油漆脱落、斑驳和生锈，造型完好。每次台风、洪水前，应进行全面检查，防止大件漂浮物堵塞过水断面。每年刷防腐漆一次。景观桥养护要求参照《城市桥梁养护技术规范》（CJJ99-2003）中V类养护规定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3.8 防汛配水、在线监测及船闸设施维护检修要求：按照《杭州市城市河道闸站养护管理要求》执行。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3.9 环卫设施维护要求：按照《 杭州市城市环境卫生作业规范》执行。水上黄金旅游线河道公共厕所按照《 旅游厕所质量等级的划分与评定》（GB / T 18973 一2003 ）执行，其他河道公共厕所按照《 杭州市城市公厕管理办法》 （市政府令第125 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3.10宣传牌、警示牌养护要求：河道宣传牌、警示牌等标志标牌放置合理、醒目、规范，无松动，无变形，外观完好，字迹清晰，无油漆和涂料脱落、斑驳、生锈等影响感观现象。</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3.11河道其他附属设施和专业设施养护维修按照相应养护维修标准、规定执行。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养护单位要求</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 建立健全相关制度，配备齐全的养护队伍和养护设备。</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 建立健全市区城市河道及其附属设施的技术资料和设施档案。（养护期结束前一月或服从中心的时间安排对养护河道进行一次全面的设施量统计核对工作。）</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 建立健全市区城市河道日常养护、观测、维修技术台帐与资料，资料应全面、准确、清晰。</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 建立每年一次城市河道排水口排查制度。同时，做好排水口建档工作，具体要求按照《杭州市城市河道沿线排水口管理要求》（杭城管委[2011]67号）执行。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4.5建立每半年一次的城市河道淤积动态监控工作制度，动态监控专人负责，具体要求按照《关于开展城市河道淤积动态监控工作的通知》（杭河监〔2012〕7号）执行。</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4.6 市区城市河道养护技术资料应以每条河为单位进行归档管理。</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4.7 逐步实现城市河道养护技术资料数字化。</w:t>
      </w:r>
    </w:p>
    <w:p>
      <w:pPr>
        <w:pStyle w:val="36"/>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5.负责处理有关河道范围内的数字城管、三来件、12345、12319的有关事宜。上述所涉及的文件内容以采购人提供的最新版本为准，凡有文号的参照具体文号执行。</w:t>
      </w:r>
    </w:p>
    <w:p>
      <w:pPr>
        <w:rPr>
          <w:rFonts w:hint="eastAsia"/>
          <w:color w:val="auto"/>
          <w:highlight w:val="none"/>
        </w:rPr>
      </w:pPr>
    </w:p>
    <w:p>
      <w:pP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（八）、公厕保洁</w:t>
      </w:r>
    </w:p>
    <w:p>
      <w:pPr>
        <w:spacing w:line="360" w:lineRule="auto"/>
        <w:ind w:firstLine="480" w:firstLineChars="200"/>
        <w:rPr>
          <w:rFonts w:hint="eastAsia" w:ascii="宋体" w:hAnsi="宋体" w:eastAsia="宋体" w:cs="宋体"/>
          <w:snapToGrid w:val="0"/>
          <w:color w:val="auto"/>
          <w:kern w:val="2"/>
          <w:sz w:val="24"/>
          <w:szCs w:val="21"/>
          <w:highlight w:val="none"/>
          <w:lang w:val="en-US" w:eastAsia="zh-CN" w:bidi="ar-SA"/>
        </w:rPr>
      </w:pPr>
    </w:p>
    <w:p>
      <w:pPr>
        <w:spacing w:line="360" w:lineRule="auto"/>
        <w:ind w:firstLine="480" w:firstLineChars="2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1.马桶清倒要求做到日产日清；</w:t>
      </w:r>
    </w:p>
    <w:p>
      <w:pPr>
        <w:spacing w:line="360" w:lineRule="auto"/>
        <w:ind w:firstLine="480" w:firstLineChars="200"/>
        <w:rPr>
          <w:rFonts w:hint="default"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承包价按中标价执行，承包价款项含包工、包料、包机械设备、包质量、包安全、包责任、包税收，公厕使用的水费、电费，即承包者负责作业所需的一切费用支出（包括工人工资、工具、吸粪车辆、厕所耗材等厕所零星所需更换零件等费用、维修及更换设施（设施包括公厕内使用的所有设备），并包括公厕至污水井管道疏通、维修，化粪池维修及化粪池满后污水外运至处理站等全部由中标人承担。如水、电费用其他管养公司或第三方有共用时，中标单位可通过协商解决。</w:t>
      </w:r>
    </w:p>
    <w:p>
      <w:pPr>
        <w:adjustRightInd/>
        <w:spacing w:line="600" w:lineRule="exact"/>
        <w:ind w:firstLine="480" w:firstLineChars="2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3、乙方应根据本招标文件、《余杭区“厕所革命”行动方案》中的规定，投标人在技术标中的相关内容及甲方提供的所有相关资料，按标准公厕16小时保洁(上午6:00至下午22:00)，高标准公则按24小时保洁，公开放时间为24小时。</w:t>
      </w:r>
    </w:p>
    <w:p>
      <w:pPr>
        <w:adjustRightInd/>
        <w:spacing w:line="600" w:lineRule="exact"/>
        <w:ind w:firstLine="480" w:firstLineChars="2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4、保洁人员统一着装、持证上岗。</w:t>
      </w:r>
    </w:p>
    <w:p>
      <w:pPr>
        <w:adjustRightInd/>
        <w:spacing w:line="600" w:lineRule="exact"/>
        <w:ind w:firstLine="480" w:firstLineChars="2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5、公管养定人定时定岗，每天6点、11点、17点进行三次彻底清洁，其他时间随脏随扫，做到一出一进，即如厕人出厕后进则打扫，保持干净整洁，无明显异味。</w:t>
      </w:r>
    </w:p>
    <w:p>
      <w:pPr>
        <w:adjustRightInd/>
        <w:spacing w:line="600" w:lineRule="exact"/>
        <w:ind w:firstLine="480" w:firstLineChars="2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8、招标范围内涉及一座城管驿站（BRT二号公厕二楼城管驿站），站内的保洁和水电费及站内设施运维由中标单位负责。</w:t>
      </w:r>
    </w:p>
    <w:p>
      <w:pPr>
        <w:pStyle w:val="4"/>
        <w:ind w:left="0" w:firstLine="0"/>
        <w:rPr>
          <w:rFonts w:hint="eastAsia" w:ascii="宋体" w:hAnsi="宋体" w:eastAsia="宋体" w:cs="宋体"/>
          <w:snapToGrid w:val="0"/>
          <w:color w:val="auto"/>
          <w:kern w:val="2"/>
          <w:sz w:val="24"/>
          <w:szCs w:val="21"/>
          <w:highlight w:val="none"/>
          <w:lang w:val="en-US" w:eastAsia="zh-CN" w:bidi="ar-SA"/>
        </w:rPr>
      </w:pPr>
    </w:p>
    <w:p>
      <w:pPr>
        <w:pStyle w:val="4"/>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三、环卫保洁管理要求：</w:t>
      </w:r>
    </w:p>
    <w:p>
      <w:pPr>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 xml:space="preserve">   （1）、按《杭州市人民政府办公厅转发市城管关于杭州城区整洁度检查考核试行办法的通知》（杭政办函【2012】177号）、《关于印发2020年度各区、县（市）政府（管委会）城市管理目标考核办法的通知》（杭城管局【2020】42号）、《关于进一步明确城市各类保洁相关要求的通知》（杭城管局【2020】49号）和《关于印发&lt;杭州市环卫作业人员着装与作业行为规范&gt;及&lt;杭州市环卫作业车辆标识与作业管理规范&gt;的通知（杭城管委【2016】130号）中明确的相关要求执行，如市、区相应规范标准有更新，按照最新版本执行。</w:t>
      </w:r>
    </w:p>
    <w:p>
      <w:pPr>
        <w:pStyle w:val="4"/>
        <w:pageBreakBefore w:val="0"/>
        <w:widowControl w:val="0"/>
        <w:kinsoku/>
        <w:wordWrap/>
        <w:overflowPunct/>
        <w:topLinePunct w:val="0"/>
        <w:autoSpaceDE/>
        <w:autoSpaceDN/>
        <w:bidi w:val="0"/>
        <w:snapToGrid/>
        <w:spacing w:line="360" w:lineRule="auto"/>
        <w:ind w:left="0" w:leftChars="0" w:firstLine="482" w:firstLineChars="200"/>
        <w:textAlignment w:val="auto"/>
        <w:rPr>
          <w:rFonts w:hint="default"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按照以人为本原则关心职工，严重遵守《劳动法》、《劳动合同法》等劳动法规，保障职工合法权益。认真贯彻杭政办《浙江省人民政府办公厅关于进一步改善环卫工人工作生活条件促进环卫事业持续健康发展的若干意见》（浙政办发【2009】190号）和《杭州市人民政府办公厅关于进一步解决环卫工人实际困难保障其合法权益的意见》（【2018】14号）文件精神，环卫工人工资不得低于文件规定的工资标准，落实职工劳保福利待遇。</w:t>
      </w:r>
    </w:p>
    <w:p>
      <w:pPr>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 xml:space="preserve">   （3）、环卫职工的工资、岗位津贴、加班工资等必须确保按月发放。</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（二）清洁质量标准:</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正门、广场及外围</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绿化带、花草盆：无垃圾，无脏杂物，无明显积尘，花草盆侧面及槽边无污迹，无积尘，无积水和异物。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2、所管区域道路和地面：无污迹、无水泥迹 、无口香糖胶迹、无积水、无堆放杂物、无表苔。</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3、阶梯：无污迹、无水泥迹、无口香糖胶迹、无积水、无堆放杂物。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4、扶手：无污迹、无水迹。</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5、墙面：无污迹、无乱张贴物。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6、门户：无污迹、无积尘、无乱张贴物。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7、指示牌（包括大厦招牌）：无污迹、无积尘。</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8、消防栓：无污迹、无积尘。</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9、出入口栏杆：无污物、无堵塞。</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公厕内：</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1、地面：无污迹、无水泥迹、无口香糖胶迹、无积水、无堆放杂物。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2、墙面：无污迹、无乱张贴物。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3、天花：无污迹、无积尘、无蜘蛛网、无霉迹。</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4、光管罩：无污迹、无积尘、无乱张贴物。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5、窗户：无污迹、无积尘、无乱张贴物。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6、镜台：无污迹、无积尘、无乱张贴物。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7、洗手盆：表面光洁、无污迹。</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8、镜面：无污迹、无积尘、无乱张贴物。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9、排水口：无污迹、无积尘、我蜘蛛网、无霉迹。</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10、尿槽：表面光洁、无尿迹、无污迹、无水透迹、无烟头、无杂物、无异物。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11、厕座：厕盖迹厕体内外表光洁、其内无尿迹、无污迹、无水透迹、无阻塞。</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12、厕纸箱：无污迹、无积尘、无蜘蛛网、无霉迹。</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13、手纸箱：无污、无积尘、无蜘蛛网、无霉迹。</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14、门户：无污迹、无积尘、无乱张贴物。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15、地漏迹及水沟：无污物积聚、无堵塞。</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三、门厅及走廊</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1、地面：无脚印、无污迹、无水泥迹、无口香糖胶迹、无积水、无堆放杂物、无垃圾。</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2、天花：无污迹、无积尘、无蜘蛛网、无霉迹。</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3、光管罩：无污迹、无积尘、无蜘蛛网、无霉迹。</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4、墙面及玻璃：无污迹、无乱张贴物。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5、铜牌：无污迹、无积尘、无铜油迹。</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6、水牌迹指示牌：无污迹、无积尘、无乱张贴物。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7、门户（管井门，隔烟门，厕所门）：无污迹、无积尘、无乱张贴物。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8、垃圾桶：桶体光洁无污迹、无痰迹；烟灰缸盖上无烟头、杂物：桶内垃圾不得超过桶口。</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9、消防栓：无污迹、无积尘、无乱张贴物。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四、垃圾放置点：无堆积垃圾。垃圾做到日产日清。做好垃圾袋装化，将所有垃圾集中后堆放在堆放点，做到合理、卫生、四周无散放垃圾。可做废品回收的垃圾，要另行放置。垃圾间保持清洁、无异味，经常喷洒药水，防止发生虫海防。</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五、消杀、无蝇、少蚊、少虫、灭鼠、灭蟑螂。</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六、马桶清倒要求做到日产日清（马桶清倒地点：主要在广济路社区（运动新村）。</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（三）公厕管理质量要求和管理时间：</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管理人员和开放时间要求</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每个厕所必须配有专职管理人员，高标准公厕全天候专人保洁；标准公厕每天保洁不少于16小时，工作人员必须服务态度良好。</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2、公厕内设施的维护要求</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2.1、公厕内设施出现破坏的，承包方要组织维修人员在2日内完成修复或更换。</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2.2、供水、供电、排水、通风等设备完好，有效保证使用，除险问题的必须12小时以内修复。</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2.3、墙壁、地面、隔断板、洗手台、门窗、便器、开关、手柄、门锁等设施损坏的必须要在两天内修复或更换。</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2.4、公厕内设置的标志保持清洁、完整、规范如出现破损的，必须在12小时内修复或更换。</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3、清掏公厕（包括化粪池）要求</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3.1、及时通知镇环卫站清掏粪池，确保粪池不外溢。</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3.2、清掏后需对粪池周边进行清洗、除臭处理。</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4、公厕保洁要求</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4.1、地面保洁无污物，清洗冲刷地面时应设置国家规定的防滑标志。</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4.2、墙壁、门窗、隔断板等整洁无乱涂乱画等污迹物。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4.3、便器及时冲刷，无粪迹、尿迹和其他污物。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4.4、定时喷洒灭蚊蝇药物，做到随有随灭。</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4.5、纸篓无污迹、无隔夜垃圾。</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4.6、空气流通无臭味。</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4.7、厕所设施和工具摆放有序，干净整洁。</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4.8、按照规定时间、地点和方式倾倒废物。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4.9、外墙屋顶及卫生负责区内环境整洁无杂物。</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5、人员要求：</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5.1、人员必须身体健康，年龄小于或等于  50 岁。</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5.2、工作人员上岗前必须经过培训。</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6、公厕实行免费开放，不得计费，且公厕内不得出现任何经营性行为。</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7、公厕内失物应交还失主。未见失主的应交公处理。</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8、工作人员要尊重游客和如厕人员，不得与其发生冲突。</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9、公厕的管理制度及保洁制度按规定公示。</w:t>
      </w:r>
    </w:p>
    <w:p>
      <w:pPr>
        <w:spacing w:line="336" w:lineRule="auto"/>
        <w:ind w:firstLine="720" w:firstLineChars="300"/>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10、公厕内所产生的垃圾必须每天运到指定的垃圾中转站进行处理。</w:t>
      </w:r>
    </w:p>
    <w:p>
      <w:pPr>
        <w:adjustRightInd/>
        <w:spacing w:line="600" w:lineRule="exact"/>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四、公厕设施维护要求:</w:t>
      </w:r>
    </w:p>
    <w:p>
      <w:pPr>
        <w:pStyle w:val="837"/>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snapToGrid w:val="0"/>
          <w:color w:val="auto"/>
          <w:kern w:val="2"/>
          <w:sz w:val="24"/>
          <w:szCs w:val="21"/>
          <w:highlight w:val="none"/>
          <w:lang w:val="en-US" w:eastAsia="zh-CN" w:bidi="ar-SA"/>
        </w:rPr>
        <w:t>公厕内设施出现破坏的，养护单位要组织维修人员在2日内完成修复或更换。供水、供电、排水、通风等设备完好，有效保证使用，简单问题的必须12小时以内修复。墙壁、地面、隔断板、洗手台、门窗、便器、开关、手柄、门锁、挂衣钩等设施损坏的必须要在两天内修复或更换。公厕内设置的标志保持清洁、完整、规范，如出现破损的，必须在12小时内修复或更换。具体在养护合同中予以明确。</w:t>
      </w:r>
    </w:p>
    <w:p>
      <w:pPr>
        <w:rPr>
          <w:rFonts w:hint="eastAsia" w:ascii="宋体" w:hAnsi="宋体" w:eastAsia="宋体" w:cs="宋体"/>
          <w:snapToGrid w:val="0"/>
          <w:color w:val="auto"/>
          <w:kern w:val="2"/>
          <w:sz w:val="24"/>
          <w:szCs w:val="21"/>
          <w:highlight w:val="none"/>
          <w:lang w:val="en-US" w:eastAsia="zh-CN" w:bidi="ar-SA"/>
        </w:rPr>
      </w:pPr>
    </w:p>
    <w:p>
      <w:pPr>
        <w:pStyle w:val="36"/>
        <w:snapToGrid w:val="0"/>
        <w:spacing w:line="60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作业标准</w:t>
      </w:r>
      <w:r>
        <w:rPr>
          <w:rFonts w:hint="eastAsia" w:hAnsi="宋体" w:cs="宋体"/>
          <w:b/>
          <w:bCs/>
          <w:color w:val="auto"/>
          <w:sz w:val="24"/>
          <w:szCs w:val="24"/>
          <w:highlight w:val="none"/>
          <w:lang w:eastAsia="zh-CN"/>
        </w:rPr>
        <w:t>：</w:t>
      </w:r>
    </w:p>
    <w:p>
      <w:pPr>
        <w:wordWrap/>
        <w:adjustRightInd w:val="0"/>
        <w:spacing w:line="60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（一）道路保洁作业标准：</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1、道路保洁相关要求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1.1本项目</w:t>
      </w:r>
      <w:r>
        <w:rPr>
          <w:rFonts w:hint="eastAsia" w:ascii="宋体" w:hAnsi="宋体" w:eastAsia="宋体" w:cs="宋体"/>
          <w:color w:val="auto"/>
          <w:sz w:val="24"/>
          <w:highlight w:val="none"/>
          <w:lang w:val="zh-CN"/>
        </w:rPr>
        <w:t>人员要求</w:t>
      </w:r>
      <w:r>
        <w:rPr>
          <w:rFonts w:hint="eastAsia" w:ascii="宋体" w:hAnsi="宋体" w:eastAsia="宋体" w:cs="宋体"/>
          <w:color w:val="auto"/>
          <w:sz w:val="24"/>
          <w:highlight w:val="none"/>
        </w:rPr>
        <w:t>须符合</w:t>
      </w:r>
      <w:r>
        <w:rPr>
          <w:rFonts w:hint="eastAsia" w:ascii="宋体" w:hAnsi="宋体" w:eastAsia="宋体" w:cs="宋体"/>
          <w:bCs/>
          <w:color w:val="auto"/>
          <w:sz w:val="24"/>
          <w:highlight w:val="none"/>
        </w:rPr>
        <w:t>专职人员基本岗位数量要求</w:t>
      </w:r>
      <w:r>
        <w:rPr>
          <w:rFonts w:hint="eastAsia" w:ascii="宋体" w:hAnsi="宋体" w:eastAsia="宋体" w:cs="宋体"/>
          <w:color w:val="auto"/>
          <w:sz w:val="24"/>
          <w:highlight w:val="none"/>
          <w:lang w:val="zh-CN"/>
        </w:rPr>
        <w:t>。</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1.1.2除项目负责人和专职保洁人员（含车辆作业人员）、项目管理员以外，供应商应根据项目保洁的实际需要配备相应人员，所需费用应考虑在投标总价中。</w:t>
      </w:r>
    </w:p>
    <w:p>
      <w:pPr>
        <w:wordWrap/>
        <w:adjustRightInd w:val="0"/>
        <w:snapToGrid w:val="0"/>
        <w:spacing w:line="600" w:lineRule="exact"/>
        <w:ind w:firstLine="360" w:firstLineChars="15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1.1.3保洁人员在岗要求男性年龄在60周岁以下</w:t>
      </w:r>
      <w:r>
        <w:rPr>
          <w:rFonts w:hint="eastAsia" w:ascii="宋体" w:hAnsi="宋体" w:eastAsia="宋体" w:cs="宋体"/>
          <w:color w:val="auto"/>
          <w:sz w:val="24"/>
          <w:highlight w:val="none"/>
          <w:lang w:val="zh-CN"/>
        </w:rPr>
        <w:t>，女性年龄在55周岁以下，并按采购人要求完成智慧化管理措施、设施配备。大型活动、节假日、新作业方式调整或未达到管理标准等情况下</w:t>
      </w:r>
      <w:r>
        <w:rPr>
          <w:rFonts w:hint="eastAsia" w:ascii="宋体" w:hAnsi="宋体" w:eastAsia="宋体" w:cs="宋体"/>
          <w:color w:val="auto"/>
          <w:sz w:val="24"/>
          <w:highlight w:val="none"/>
        </w:rPr>
        <w:t>应根据实际情况或采购人要求增派保洁人员、保洁设备，以确保清卫保洁质量，</w:t>
      </w:r>
      <w:r>
        <w:rPr>
          <w:rFonts w:hint="eastAsia" w:ascii="宋体" w:hAnsi="宋体" w:eastAsia="宋体" w:cs="宋体"/>
          <w:color w:val="auto"/>
          <w:sz w:val="24"/>
          <w:highlight w:val="none"/>
          <w:lang w:val="zh-CN"/>
        </w:rPr>
        <w:t>增</w:t>
      </w:r>
      <w:r>
        <w:rPr>
          <w:rFonts w:hint="eastAsia" w:ascii="宋体" w:hAnsi="宋体" w:eastAsia="宋体" w:cs="宋体"/>
          <w:color w:val="auto"/>
          <w:sz w:val="24"/>
          <w:highlight w:val="none"/>
        </w:rPr>
        <w:t>派人员和设备的费用应考虑在投标总报价中。</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1.1.4鼓励供应商根据杭州市劳动和社会保障局、杭州市财政局“关于印发《市区“三类岗位”开发管理办法》的通知”及区政府等相关文件要求，鼓励中标供应商招聘失地失业人员参与本项目服务。</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1.1.5人员用工必须符合《中华人民共和国劳动民法典》等法规的相关规定，如因违法、违规并造成不良后果的，其责任由供应商自行承担。</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1.1.6 作业车辆、作业时间应符合属地交警部门要求，并按要求进行报备后实施。</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1.1.7 供应商提供的设施设备，根据采购人要求统一外观，标识。</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1.2保洁服务内容</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1.2.1本项目涵盖采购文件第三部分采购需求项目概况及要求清单中所有道路的清扫运输、垃圾收集运输、偷倒垃圾清运等服务内容。</w:t>
      </w:r>
    </w:p>
    <w:p>
      <w:pPr>
        <w:wordWrap/>
        <w:adjustRightInd w:val="0"/>
        <w:snapToGri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1.2.2</w:t>
      </w:r>
      <w:r>
        <w:rPr>
          <w:rFonts w:hint="eastAsia" w:ascii="宋体" w:hAnsi="宋体" w:eastAsia="宋体" w:cs="宋体"/>
          <w:bCs/>
          <w:color w:val="auto"/>
          <w:sz w:val="24"/>
          <w:highlight w:val="none"/>
        </w:rPr>
        <w:t>本项目</w:t>
      </w:r>
      <w:r>
        <w:rPr>
          <w:rFonts w:hint="eastAsia" w:ascii="宋体" w:hAnsi="宋体" w:eastAsia="宋体" w:cs="宋体"/>
          <w:color w:val="auto"/>
          <w:sz w:val="24"/>
          <w:highlight w:val="none"/>
        </w:rPr>
        <w:t>道路中间绿化带含在道路保洁范围内，及道路两侧人行道外建筑物基石边或无建筑物外可视范围内</w:t>
      </w:r>
      <w:r>
        <w:rPr>
          <w:rFonts w:hint="eastAsia" w:ascii="宋体" w:hAnsi="宋体" w:eastAsia="宋体" w:cs="宋体"/>
          <w:bCs/>
          <w:color w:val="auto"/>
          <w:sz w:val="24"/>
          <w:highlight w:val="none"/>
        </w:rPr>
        <w:t>（不少于</w:t>
      </w:r>
      <w:r>
        <w:rPr>
          <w:rFonts w:hint="eastAsia" w:ascii="宋体" w:hAnsi="宋体" w:cs="宋体"/>
          <w:bCs/>
          <w:color w:val="auto"/>
          <w:sz w:val="24"/>
          <w:highlight w:val="none"/>
          <w:lang w:val="en-US" w:eastAsia="zh-CN"/>
        </w:rPr>
        <w:t>5</w:t>
      </w:r>
      <w:r>
        <w:rPr>
          <w:rFonts w:hint="eastAsia" w:ascii="宋体" w:hAnsi="宋体" w:eastAsia="宋体" w:cs="宋体"/>
          <w:bCs/>
          <w:color w:val="auto"/>
          <w:sz w:val="24"/>
          <w:highlight w:val="none"/>
        </w:rPr>
        <w:t>米</w:t>
      </w:r>
      <w:r>
        <w:rPr>
          <w:rFonts w:hint="eastAsia" w:ascii="宋体" w:hAnsi="宋体" w:eastAsia="宋体" w:cs="宋体"/>
          <w:color w:val="auto"/>
          <w:sz w:val="24"/>
          <w:highlight w:val="none"/>
        </w:rPr>
        <w:t>）均包含在保洁范围内。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.3本项目涵盖地铁站（如有）出入口台阶以下周边范围的保洁含在道路保洁范围内。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.4本项目道路所附属的铁路下穿涵洞（如有）、果壳箱、交通隔离栏、路灯杆（2.2米以下部分）、交通信号杆（2.2米以下部分）均属于本项目保洁范围。</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1.2.5</w:t>
      </w:r>
      <w:r>
        <w:rPr>
          <w:rFonts w:hint="eastAsia" w:ascii="宋体" w:hAnsi="宋体" w:eastAsia="宋体" w:cs="宋体"/>
          <w:color w:val="auto"/>
          <w:sz w:val="24"/>
          <w:highlight w:val="none"/>
        </w:rPr>
        <w:t>牛皮癣清理：标段范围内道路、围墙、道路沿线设施（含一层建筑立面）等区域的“乱涂”、“乱张贴”等牛皮癣日常清理</w:t>
      </w:r>
      <w:r>
        <w:rPr>
          <w:rFonts w:hint="eastAsia" w:ascii="宋体" w:hAnsi="宋体" w:eastAsia="宋体" w:cs="宋体"/>
          <w:bCs/>
          <w:color w:val="auto"/>
          <w:sz w:val="24"/>
          <w:highlight w:val="none"/>
        </w:rPr>
        <w:t>均属于本项目保洁范围</w:t>
      </w:r>
      <w:r>
        <w:rPr>
          <w:rFonts w:hint="eastAsia" w:ascii="宋体" w:hAnsi="宋体" w:eastAsia="宋体" w:cs="宋体"/>
          <w:color w:val="auto"/>
          <w:sz w:val="24"/>
          <w:highlight w:val="none"/>
        </w:rPr>
        <w:t>。</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.6</w:t>
      </w:r>
      <w:r>
        <w:rPr>
          <w:rFonts w:hint="eastAsia" w:ascii="宋体" w:hAnsi="宋体" w:eastAsia="宋体" w:cs="宋体"/>
          <w:color w:val="auto"/>
          <w:sz w:val="24"/>
          <w:highlight w:val="none"/>
        </w:rPr>
        <w:t xml:space="preserve">道路保洁承包期内如有道路改建、扩建、新增人行道等情况所增加的面积，原则上纳入中标单位保洁范围，保洁经费不再增加。  </w:t>
      </w:r>
    </w:p>
    <w:p>
      <w:pPr>
        <w:wordWrap/>
        <w:adjustRightInd w:val="0"/>
        <w:snapToGrid w:val="0"/>
        <w:spacing w:line="6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1.3保洁基本要求</w:t>
      </w:r>
    </w:p>
    <w:p>
      <w:pPr>
        <w:pStyle w:val="27"/>
        <w:wordWrap/>
        <w:adjustRightInd w:val="0"/>
        <w:spacing w:line="600" w:lineRule="exact"/>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1.3.1</w:t>
      </w:r>
      <w:r>
        <w:rPr>
          <w:rFonts w:hint="eastAsia" w:ascii="宋体" w:hAnsi="宋体" w:eastAsia="宋体" w:cs="宋体"/>
          <w:b w:val="0"/>
          <w:bCs w:val="0"/>
          <w:color w:val="auto"/>
          <w:highlight w:val="none"/>
          <w:lang w:val="en-US" w:eastAsia="zh-CN"/>
        </w:rPr>
        <w:t>二</w:t>
      </w:r>
      <w:r>
        <w:rPr>
          <w:rFonts w:hint="eastAsia" w:ascii="宋体" w:hAnsi="宋体" w:eastAsia="宋体" w:cs="宋体"/>
          <w:b w:val="0"/>
          <w:bCs w:val="0"/>
          <w:color w:val="auto"/>
          <w:highlight w:val="none"/>
        </w:rPr>
        <w:t>级道路</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1.3.1.1保洁时长：1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小时（4:30-2</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：30）。</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1.3.1.2快车道保洁：洒水</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次/日(夏季6次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；高压冲洗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次/日；洗扫吸三合一作</w:t>
      </w:r>
      <w:r>
        <w:rPr>
          <w:rFonts w:hint="eastAsia" w:ascii="宋体" w:hAnsi="宋体" w:eastAsia="宋体" w:cs="宋体"/>
          <w:color w:val="auto"/>
          <w:sz w:val="24"/>
          <w:highlight w:val="none"/>
        </w:rPr>
        <w:t>业</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次/</w:t>
      </w:r>
      <w:r>
        <w:rPr>
          <w:rFonts w:hint="eastAsia" w:ascii="宋体" w:hAnsi="宋体" w:eastAsia="宋体" w:cs="宋体"/>
          <w:color w:val="auto"/>
          <w:sz w:val="24"/>
          <w:highlight w:val="none"/>
        </w:rPr>
        <w:t>日，要求单向两边侧石、隔离栏底下全部覆盖。</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1.3.1.3慢车道和人行道保洁：日常普扫吹风机搭配小型慢车道清扫车作业，3次/日；洗、扫、吸一体清洗作业1次/日。</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1.3.1.4巡回保洁：保洁员配备电动巡回保洁车巡回作业。</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1.3.1.5空气抑尘：配置空气抑尘设备，每天2次洒水、抑尘。</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1.3.1.6城市家具：全覆盖擦洗1次/日。</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1.3.1.7小广告清除：配备高压冲洗设备，每天清除小广告。</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1.3.1.8道路栏杆：配备栏杆清洗车，每周清洗一次。</w:t>
      </w:r>
    </w:p>
    <w:p>
      <w:pPr>
        <w:wordWrap/>
        <w:adjustRightIn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1.3.1.9绿化带捡拾：配置小型设备，人工配合，每天1~2次。</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1.3.1.10应做到文明、清洁、安全和有序，最大限度地减少对环境的污染和对公众生活的影响。</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1.3.1.11合理安排作业计划。清晨或深夜在居民住宅小区或周边道路进行环卫作业时，不得大声喧哗，并应注意控制机具噪音。组织机械化清扫、洒水、清洗作业应避开交通高峰时段（7：00—9：00，16：30—18：30）。</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1.3.1.12下雪及雪后应根据需要，及时进行路面除雪作业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1.3.1.13日常</w:t>
      </w:r>
      <w:r>
        <w:rPr>
          <w:rFonts w:hint="eastAsia" w:ascii="宋体" w:hAnsi="宋体" w:eastAsia="宋体" w:cs="宋体"/>
          <w:color w:val="auto"/>
          <w:sz w:val="24"/>
          <w:highlight w:val="none"/>
        </w:rPr>
        <w:t>保洁时间内</w:t>
      </w:r>
      <w:r>
        <w:rPr>
          <w:rFonts w:hint="eastAsia" w:ascii="宋体" w:hAnsi="宋体" w:eastAsia="宋体" w:cs="宋体"/>
          <w:bCs/>
          <w:color w:val="auto"/>
          <w:sz w:val="24"/>
          <w:highlight w:val="none"/>
        </w:rPr>
        <w:t>保洁单位需确保</w:t>
      </w:r>
      <w:r>
        <w:rPr>
          <w:rFonts w:hint="eastAsia" w:ascii="宋体" w:hAnsi="宋体" w:eastAsia="宋体" w:cs="宋体"/>
          <w:color w:val="auto"/>
          <w:sz w:val="24"/>
          <w:highlight w:val="none"/>
        </w:rPr>
        <w:t>保洁范围干净，如有无主垃圾或其它垃圾，应加强监管，及时劝导并清理干净。</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1.3.1.14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1.3.1.15人工辅助清扫、清洗机动车道、非机动车道或清洗机动车道交通隔离栏时，应在距清扫点来车方向100M处设置警示标识，使用荧光锥形筒等警示标识围护清扫保洁区域，面向来车方向清扫，注意车辆动态。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1.3.1.16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1.3.1.17本项目环卫作业车辆须有固定场所停放，严禁停放在消防通道、公交车站、盲道等影响车辆和行人通行的公共通道。</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1.3.1.18承诺能及时提供人力、设备、技术等支持。</w:t>
      </w:r>
    </w:p>
    <w:p>
      <w:pPr>
        <w:wordWrap/>
        <w:adjustRightInd w:val="0"/>
        <w:snapToGrid w:val="0"/>
        <w:spacing w:line="6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1.4保洁作业规范 </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1.4.1道路普扫次数和时间</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1.4.1.1</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级道路普扫作业每日不少于3次。夏季（6月—8月）第一次普扫应在6：30前完成，春、秋、冬季（9月—次年5月）在7：00前完成；第二次普扫在13：30前完成；第三次普扫在17：00前完成。</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1.4.1.2应根据重大活动保障、落叶旺季等因素适时增加每日普扫频次。 </w:t>
      </w:r>
    </w:p>
    <w:p>
      <w:pPr>
        <w:wordWrap/>
        <w:adjustRightInd w:val="0"/>
        <w:snapToGrid w:val="0"/>
        <w:spacing w:line="600" w:lineRule="exact"/>
        <w:ind w:firstLine="480" w:firstLineChars="20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1.4.2洒水（清洗）</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1.4.2.1</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级道路作业每日不少于</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夏季6次）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洒水时，洒水车车速不得超过25km/h；清洗时，高压清洗车车速不得超过10km/h；机械化清扫作业。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1.4.2.2</w:t>
      </w:r>
      <w:r>
        <w:rPr>
          <w:rFonts w:hint="eastAsia" w:ascii="宋体" w:hAnsi="宋体" w:eastAsia="宋体" w:cs="宋体"/>
          <w:bCs/>
          <w:color w:val="auto"/>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1.4.2.3</w:t>
      </w:r>
      <w:r>
        <w:rPr>
          <w:rFonts w:hint="eastAsia" w:ascii="宋体" w:hAnsi="宋体" w:eastAsia="宋体" w:cs="宋体"/>
          <w:bCs/>
          <w:color w:val="auto"/>
          <w:sz w:val="24"/>
          <w:highlight w:val="none"/>
        </w:rPr>
        <w:t>晚22时以后，洒水作业时禁止播放洒水提示音乐。中、高考等重要考试期间，洒水车途经考场周边道路时应及时关闭洒水提示音乐，夏季中午时间（12时-14时）适当降低洒水提示音量。</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1.4.2.4</w:t>
      </w:r>
      <w:r>
        <w:rPr>
          <w:rFonts w:hint="eastAsia" w:ascii="宋体" w:hAnsi="宋体" w:eastAsia="宋体" w:cs="宋体"/>
          <w:bCs/>
          <w:color w:val="auto"/>
          <w:sz w:val="24"/>
          <w:highlight w:val="none"/>
        </w:rPr>
        <w:t>小雨及以下雨量时，按计划保持洒水作业；中雨及以上雨量或雷阵雨期间，暂停道路洒水和清洗作业。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1.4.2.5春秋季（3月—5月、9月—11月），每日道路洒水频次作为基准遍次，即</w:t>
      </w:r>
      <w:r>
        <w:rPr>
          <w:rFonts w:hint="eastAsia" w:ascii="宋体" w:hAnsi="宋体" w:eastAsia="宋体" w:cs="宋体"/>
          <w:bCs/>
          <w:color w:val="auto"/>
          <w:sz w:val="24"/>
          <w:highlight w:val="none"/>
          <w:lang w:val="en-US" w:eastAsia="zh-CN"/>
        </w:rPr>
        <w:t>二</w:t>
      </w:r>
      <w:r>
        <w:rPr>
          <w:rFonts w:hint="eastAsia" w:ascii="宋体" w:hAnsi="宋体" w:eastAsia="宋体" w:cs="宋体"/>
          <w:bCs/>
          <w:color w:val="auto"/>
          <w:sz w:val="24"/>
          <w:highlight w:val="none"/>
        </w:rPr>
        <w:t>级道路每日</w:t>
      </w: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次</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夏季6次）</w:t>
      </w:r>
      <w:r>
        <w:rPr>
          <w:rFonts w:hint="eastAsia" w:ascii="宋体" w:hAnsi="宋体" w:eastAsia="宋体" w:cs="宋体"/>
          <w:bCs/>
          <w:color w:val="auto"/>
          <w:sz w:val="24"/>
          <w:highlight w:val="none"/>
        </w:rPr>
        <w:t>；夏季（6月—8月），在基准频次上每日分别增加1次；冬季（12月—2月），在基准频次上每日分别减少1次。</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1.4.2.6</w:t>
      </w:r>
      <w:r>
        <w:rPr>
          <w:rFonts w:hint="eastAsia" w:ascii="宋体" w:hAnsi="宋体" w:eastAsia="宋体" w:cs="宋体"/>
          <w:bCs/>
          <w:color w:val="auto"/>
          <w:sz w:val="24"/>
          <w:highlight w:val="none"/>
        </w:rPr>
        <w:t>气温低于2摄氏度时应停止清洗和洒水。</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1.4.2.7</w:t>
      </w:r>
      <w:r>
        <w:rPr>
          <w:rFonts w:hint="eastAsia" w:ascii="宋体" w:hAnsi="宋体" w:eastAsia="宋体" w:cs="宋体"/>
          <w:bCs/>
          <w:color w:val="auto"/>
          <w:sz w:val="24"/>
          <w:highlight w:val="none"/>
        </w:rPr>
        <w:t>根据清雪作业应急保障需要，可使用洒水车、清洗车冲刷路面积雪，并使用清雪车、扫路车等专业车辆或人工辅助，及时清除路面积水、积雪。</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1.4.3机械化清扫</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1.4.3.1</w:t>
      </w:r>
      <w:r>
        <w:rPr>
          <w:rFonts w:hint="eastAsia" w:ascii="宋体" w:hAnsi="宋体" w:eastAsia="宋体" w:cs="宋体"/>
          <w:bCs/>
          <w:color w:val="auto"/>
          <w:sz w:val="24"/>
          <w:highlight w:val="none"/>
        </w:rPr>
        <w:t>机械化清扫范围主要为机动车道，及便于使用机械化装备清洁机动车道的交通隔离栏。</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1.4.3.2</w:t>
      </w:r>
      <w:r>
        <w:rPr>
          <w:rFonts w:hint="eastAsia" w:ascii="宋体" w:hAnsi="宋体" w:eastAsia="宋体" w:cs="宋体"/>
          <w:bCs/>
          <w:color w:val="auto"/>
          <w:sz w:val="24"/>
          <w:highlight w:val="none"/>
        </w:rPr>
        <w:t>清扫车或洗扫车应加足水，根据路面状况调整好扫路车侧刷和吸口，喷雾洁扫无扬尘，在规定时间和路线进行机械化清扫作业。</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1.4.3.3</w:t>
      </w:r>
      <w:r>
        <w:rPr>
          <w:rFonts w:hint="eastAsia" w:ascii="宋体" w:hAnsi="宋体" w:eastAsia="宋体" w:cs="宋体"/>
          <w:bCs/>
          <w:color w:val="auto"/>
          <w:sz w:val="24"/>
          <w:highlight w:val="none"/>
        </w:rPr>
        <w:t>机械化清扫作业时，扫路车或洗扫车车速不得超过10km/h。</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1.4.3.4</w:t>
      </w:r>
      <w:r>
        <w:rPr>
          <w:rFonts w:hint="eastAsia" w:ascii="宋体" w:hAnsi="宋体" w:eastAsia="宋体" w:cs="宋体"/>
          <w:bCs/>
          <w:color w:val="auto"/>
          <w:sz w:val="24"/>
          <w:highlight w:val="none"/>
        </w:rPr>
        <w:t>清扫时应注意观察路面清扫质量和路面障碍情况，对机械化清扫不能清除的大件垃圾或硬物，在确保作业安全的前提下，及时下车清除。</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1.4.3.5</w:t>
      </w:r>
      <w:r>
        <w:rPr>
          <w:rFonts w:hint="eastAsia" w:ascii="宋体" w:hAnsi="宋体" w:eastAsia="宋体" w:cs="宋体"/>
          <w:bCs/>
          <w:color w:val="auto"/>
          <w:sz w:val="24"/>
          <w:highlight w:val="none"/>
        </w:rPr>
        <w:t>当日清扫结束后，应在指定地点卸空机械化清扫车辆中的垃圾。</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1.4.3.6</w:t>
      </w:r>
      <w:r>
        <w:rPr>
          <w:rFonts w:hint="eastAsia" w:ascii="宋体" w:hAnsi="宋体" w:eastAsia="宋体" w:cs="宋体"/>
          <w:bCs/>
          <w:color w:val="auto"/>
          <w:sz w:val="24"/>
          <w:highlight w:val="none"/>
        </w:rPr>
        <w:t>机械化清扫车辆所用的扫把丝等消耗品应根据使用状况及时更换。</w:t>
      </w: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1.4.4人工普扫</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1.4.4.1清扫时，在距清扫点适当位置安全警示标识。</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1.4.4.3清扫的街面垃圾、沿街果壳箱中的垃圾应密闭化运至指定地点，运输过程不得抛洒滴漏。</w:t>
      </w:r>
    </w:p>
    <w:p>
      <w:pPr>
        <w:rPr>
          <w:rFonts w:hint="eastAsia"/>
          <w:color w:val="auto"/>
          <w:highlight w:val="none"/>
        </w:rPr>
      </w:pPr>
    </w:p>
    <w:p>
      <w:pPr>
        <w:rPr>
          <w:rFonts w:hint="eastAsia"/>
          <w:color w:val="auto"/>
          <w:highlight w:val="none"/>
        </w:rPr>
      </w:pPr>
    </w:p>
    <w:p>
      <w:pPr>
        <w:rPr>
          <w:rFonts w:hint="eastAsia"/>
          <w:color w:val="auto"/>
          <w:highlight w:val="none"/>
        </w:rPr>
      </w:pPr>
    </w:p>
    <w:p>
      <w:pPr>
        <w:wordWrap/>
        <w:adjustRightInd w:val="0"/>
        <w:snapToGrid w:val="0"/>
        <w:spacing w:line="60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1.4.5人工保洁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1.4.5.1普扫结束后，应按照规定的责任保洁区域、保洁时间组织巡回保洁。落实责任保洁区域边界管理，保洁时应向保洁边界以外适当延伸（不少于3米），不留保洁盲区和空白点。</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1.4.5.2应定时清运沿街果壳箱中的垃圾，做到垃圾不落地、不积存，日产日清。</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1.4.5.3突发性环境卫生污染现场清理时，应严格按照应急处置方案进行保洁，及时消除污染物，恢复路面清洁。</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1.4.5.4环卫电动专用作业车辆应在非机动车道顺向行驶，不得超载，且行驶速度不得超过20Km/h。</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1.4.5.5保洁作业结束后，作业工具应在规定地点摆放，不得在道路路面、墙角、绿化带、绿地中存放。</w:t>
      </w:r>
    </w:p>
    <w:p>
      <w:pPr>
        <w:wordWrap/>
        <w:adjustRightInd w:val="0"/>
        <w:snapToGrid w:val="0"/>
        <w:spacing w:line="6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1.5保洁作业质量要求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1.5.1清扫应做到“五无五净”。即无垃圾杂物；无积水积泥，无痰迹烟蒂，无果皮纸屑，无土石杂草；路面干净，绿化带和树圈干净，边角侧石干净，雨水井盖沟眼畅通干净，果壳箱等环卫设施干净、路面见本色。</w:t>
      </w:r>
    </w:p>
    <w:p>
      <w:pPr>
        <w:wordWrap/>
        <w:adjustRightInd w:val="0"/>
        <w:snapToGrid w:val="0"/>
        <w:spacing w:line="600" w:lineRule="exac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1.5.2三化四分相关要求：</w:t>
      </w:r>
      <w:r>
        <w:rPr>
          <w:rFonts w:hint="eastAsia" w:ascii="宋体" w:hAnsi="宋体" w:eastAsia="宋体" w:cs="宋体"/>
          <w:color w:val="auto"/>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pStyle w:val="837"/>
        <w:wordWrap/>
        <w:adjustRightInd w:val="0"/>
        <w:spacing w:line="600" w:lineRule="exact"/>
        <w:rPr>
          <w:rFonts w:hint="eastAsia" w:ascii="宋体" w:hAnsi="宋体" w:eastAsia="宋体" w:cs="宋体"/>
          <w:color w:val="auto"/>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5.3</w:t>
      </w:r>
      <w:r>
        <w:rPr>
          <w:rFonts w:hint="eastAsia" w:ascii="宋体" w:hAnsi="宋体" w:eastAsia="宋体" w:cs="宋体"/>
          <w:color w:val="auto"/>
          <w:highlight w:val="none"/>
        </w:rPr>
        <w:t>本项目范围内所有道路、围墙、设施、建（构）筑物外墙等的“乱涂、乱张贴”等牛皮癣日常清理纳入本次招标内，所有费用包含在投标报价内。</w:t>
      </w:r>
    </w:p>
    <w:p>
      <w:pPr>
        <w:wordWrap/>
        <w:adjustRightInd w:val="0"/>
        <w:snapToGrid w:val="0"/>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1.5.</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 xml:space="preserve">其他要求：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（1）遇有窨井盖丢失、破损等，承包方必须及时上报采购人。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（2）遇有重大活动或突发事件，及时组织力量做好清扫保洁保障工作。   </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wordWrap/>
        <w:adjustRightInd w:val="0"/>
        <w:snapToGrid w:val="0"/>
        <w:spacing w:line="600" w:lineRule="exact"/>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1.6.管理要求</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1.6.1供应商在保洁作业中投入的机械设备、人员配置等必须与投标文件中所承诺的数量规格相符合。加强日常作业质量管理，相关计划及报告按采购人要求准时递交。</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1.6.2规范管理、文明作业、自觉接受采购人及其上级各部门领导的检查和社会监督，对出现的问题要及时整改。</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1.6.4果壳箱应定期保养保持整洁完好无缺失，承包期间因操作或管理不善造成破损、缺失的，由中标单位承担费用并负责修复或更新（果壳箱更换款式应保持原样，或经采购人同意后调整款式）。</w:t>
      </w:r>
    </w:p>
    <w:p>
      <w:pPr>
        <w:wordWrap/>
        <w:adjustRightInd w:val="0"/>
        <w:snapToGrid w:val="0"/>
        <w:spacing w:line="6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1.6.5专用作业车辆（含人力三轮车）符合环卫标准化管理要求，外观喷漆及规格符合采购人要求，机动、人力车辆应按时冲洗保养保持外观整洁，无抛洒滴漏、无满溢、无吊挂。</w:t>
      </w:r>
    </w:p>
    <w:p>
      <w:pPr>
        <w:wordWrap/>
        <w:adjustRightInd w:val="0"/>
        <w:snapToGrid w:val="0"/>
        <w:spacing w:line="6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1.6.6垃圾应倾倒在指定的垃圾堆放场地，不得焚烧垃圾、树叶，确需垃圾二次转运的应在指定地点进行，不得直接在保洁道路上进行。</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 xml:space="preserve">1.6.7如遇渣土抛洒污染路面等情况，中标单位应及时上报采购人，并做好照片资料，同时进行道路冲洗清理。   </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1.6.8无新闻媒体曝光，对“12345”市长公开电话和有关受理中心及信访处相关问题，处理、回复及时到位。</w:t>
      </w:r>
      <w:r>
        <w:rPr>
          <w:rFonts w:hint="eastAsia" w:ascii="宋体" w:hAnsi="宋体" w:eastAsia="宋体" w:cs="宋体"/>
          <w:color w:val="auto"/>
          <w:sz w:val="24"/>
          <w:highlight w:val="none"/>
        </w:rPr>
        <w:t>加强管理，确保在国家、省、市、区的各项检查中不失责任分。</w:t>
      </w:r>
    </w:p>
    <w:p>
      <w:pPr>
        <w:tabs>
          <w:tab w:val="left" w:pos="851"/>
          <w:tab w:val="left" w:pos="993"/>
        </w:tabs>
        <w:wordWrap/>
        <w:adjustRightInd w:val="0"/>
        <w:snapToGrid w:val="0"/>
        <w:spacing w:line="600" w:lineRule="exact"/>
        <w:ind w:firstLine="480" w:firstLineChars="200"/>
        <w:rPr>
          <w:rFonts w:hint="eastAsia" w:ascii="宋体" w:hAnsi="宋体" w:eastAsia="宋体" w:cs="宋体"/>
          <w:b w:val="0"/>
          <w:bCs w:val="0"/>
          <w:color w:val="auto"/>
          <w:kern w:val="44"/>
          <w:sz w:val="24"/>
          <w:highlight w:val="none"/>
        </w:rPr>
      </w:pPr>
      <w:r>
        <w:rPr>
          <w:rFonts w:hint="eastAsia" w:ascii="宋体" w:hAnsi="宋体" w:eastAsia="宋体" w:cs="宋体"/>
          <w:b w:val="0"/>
          <w:bCs w:val="0"/>
          <w:color w:val="auto"/>
          <w:kern w:val="44"/>
          <w:sz w:val="24"/>
          <w:highlight w:val="none"/>
        </w:rPr>
        <w:t>2、偷倒垃圾清运要求</w:t>
      </w:r>
    </w:p>
    <w:p>
      <w:pPr>
        <w:tabs>
          <w:tab w:val="left" w:pos="851"/>
          <w:tab w:val="left" w:pos="993"/>
        </w:tabs>
        <w:wordWrap/>
        <w:adjustRightInd w:val="0"/>
        <w:snapToGrid w:val="0"/>
        <w:spacing w:line="600" w:lineRule="exact"/>
        <w:ind w:firstLine="480" w:firstLineChars="200"/>
        <w:rPr>
          <w:rFonts w:hint="eastAsia" w:ascii="宋体" w:hAnsi="宋体" w:eastAsia="宋体" w:cs="宋体"/>
          <w:b/>
          <w:bCs/>
          <w:color w:val="auto"/>
          <w:kern w:val="44"/>
          <w:sz w:val="24"/>
          <w:highlight w:val="none"/>
        </w:rPr>
      </w:pPr>
      <w:r>
        <w:rPr>
          <w:rFonts w:hint="eastAsia" w:ascii="宋体" w:hAnsi="宋体" w:eastAsia="宋体" w:cs="宋体"/>
          <w:bCs/>
          <w:color w:val="auto"/>
          <w:kern w:val="0"/>
          <w:sz w:val="24"/>
          <w:highlight w:val="none"/>
        </w:rPr>
        <w:t>2.1服务内容：</w:t>
      </w:r>
      <w:r>
        <w:rPr>
          <w:rFonts w:hint="eastAsia" w:ascii="宋体" w:hAnsi="宋体" w:eastAsia="宋体" w:cs="宋体"/>
          <w:color w:val="auto"/>
          <w:sz w:val="24"/>
          <w:highlight w:val="none"/>
        </w:rPr>
        <w:t>主要为本项目各个标段采购人管养范围内偷倒的垃圾清运</w:t>
      </w:r>
      <w:r>
        <w:rPr>
          <w:rFonts w:hint="eastAsia" w:ascii="宋体" w:hAnsi="宋体" w:eastAsia="宋体" w:cs="宋体"/>
          <w:bCs/>
          <w:color w:val="auto"/>
          <w:sz w:val="24"/>
          <w:highlight w:val="none"/>
        </w:rPr>
        <w:t>工作，垃圾运至杭州市余杭区综合行政执法局指定的消纳处置场所，相关费包含在本次招标内容中。</w:t>
      </w:r>
    </w:p>
    <w:p>
      <w:pPr>
        <w:wordWrap/>
        <w:adjustRightInd w:val="0"/>
        <w:snapToGrid w:val="0"/>
        <w:spacing w:line="600" w:lineRule="exact"/>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2.2具体要求：</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w:t>
      </w:r>
      <w:r>
        <w:rPr>
          <w:rFonts w:hint="eastAsia" w:ascii="宋体" w:hAnsi="宋体" w:eastAsia="宋体" w:cs="宋体"/>
          <w:color w:val="auto"/>
          <w:sz w:val="24"/>
          <w:highlight w:val="none"/>
        </w:rPr>
        <w:t>服务期内，</w:t>
      </w:r>
      <w:r>
        <w:rPr>
          <w:rFonts w:hint="eastAsia" w:ascii="宋体" w:hAnsi="宋体" w:eastAsia="宋体" w:cs="宋体"/>
          <w:color w:val="auto"/>
          <w:kern w:val="0"/>
          <w:sz w:val="24"/>
          <w:highlight w:val="none"/>
        </w:rPr>
        <w:t>供应商应加强</w:t>
      </w:r>
      <w:r>
        <w:rPr>
          <w:rFonts w:hint="eastAsia" w:ascii="宋体" w:hAnsi="宋体" w:eastAsia="宋体" w:cs="宋体"/>
          <w:color w:val="auto"/>
          <w:sz w:val="24"/>
          <w:highlight w:val="none"/>
        </w:rPr>
        <w:t>所承包范围内防止垃圾偷倒的管理工作。如在所承包范围内发生偷倒，</w:t>
      </w:r>
      <w:r>
        <w:rPr>
          <w:rFonts w:hint="eastAsia" w:ascii="宋体" w:hAnsi="宋体" w:eastAsia="宋体" w:cs="宋体"/>
          <w:color w:val="auto"/>
          <w:kern w:val="0"/>
          <w:sz w:val="24"/>
          <w:highlight w:val="none"/>
        </w:rPr>
        <w:t>需完成</w:t>
      </w:r>
      <w:r>
        <w:rPr>
          <w:rFonts w:hint="eastAsia" w:ascii="宋体" w:hAnsi="宋体" w:eastAsia="宋体" w:cs="宋体"/>
          <w:color w:val="auto"/>
          <w:sz w:val="24"/>
          <w:highlight w:val="none"/>
        </w:rPr>
        <w:t>偷倒的垃圾清运</w:t>
      </w:r>
      <w:r>
        <w:rPr>
          <w:rFonts w:hint="eastAsia" w:ascii="宋体" w:hAnsi="宋体" w:eastAsia="宋体" w:cs="宋体"/>
          <w:bCs/>
          <w:color w:val="auto"/>
          <w:sz w:val="24"/>
          <w:highlight w:val="none"/>
        </w:rPr>
        <w:t>工作，</w:t>
      </w:r>
      <w:r>
        <w:rPr>
          <w:rFonts w:hint="eastAsia" w:ascii="宋体" w:hAnsi="宋体" w:eastAsia="宋体" w:cs="宋体"/>
          <w:color w:val="auto"/>
          <w:kern w:val="0"/>
          <w:sz w:val="24"/>
          <w:highlight w:val="none"/>
        </w:rPr>
        <w:t>垃圾的装车、运输至消纳处置场，因乱倒垃圾不符合相关要求所引发的问题，由供应商承担所有责任及赔偿费用。</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（2）车辆要求：本项目所需的作业车辆应具有有效的道路运输经营许可证，并到采购单位备案。</w:t>
      </w:r>
    </w:p>
    <w:p>
      <w:pPr>
        <w:wordWrap/>
        <w:adjustRightInd w:val="0"/>
        <w:snapToGrid w:val="0"/>
        <w:spacing w:line="60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w:t>
      </w:r>
      <w:r>
        <w:rPr>
          <w:rFonts w:hint="eastAsia" w:ascii="宋体" w:hAnsi="宋体" w:eastAsia="宋体" w:cs="宋体"/>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wordWrap/>
        <w:adjustRightInd w:val="0"/>
        <w:snapToGrid w:val="0"/>
        <w:spacing w:line="600" w:lineRule="exact"/>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kern w:val="0"/>
          <w:sz w:val="24"/>
          <w:highlight w:val="none"/>
        </w:rPr>
        <w:t>（4）清理的时间要求：</w:t>
      </w:r>
      <w:r>
        <w:rPr>
          <w:rFonts w:hint="eastAsia" w:ascii="宋体" w:hAnsi="宋体" w:eastAsia="宋体" w:cs="宋体"/>
          <w:color w:val="auto"/>
          <w:kern w:val="0"/>
          <w:sz w:val="24"/>
          <w:highlight w:val="none"/>
          <w:u w:val="single"/>
        </w:rPr>
        <w:t>2小时之内清理</w:t>
      </w:r>
      <w:r>
        <w:rPr>
          <w:rFonts w:hint="eastAsia" w:ascii="宋体" w:hAnsi="宋体" w:eastAsia="宋体" w:cs="宋体"/>
          <w:color w:val="auto"/>
          <w:kern w:val="0"/>
          <w:sz w:val="24"/>
          <w:highlight w:val="none"/>
        </w:rPr>
        <w:t>。</w:t>
      </w:r>
    </w:p>
    <w:p>
      <w:pPr>
        <w:wordWrap/>
        <w:adjustRightInd w:val="0"/>
        <w:spacing w:line="6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（二）绿化</w:t>
      </w:r>
      <w:r>
        <w:rPr>
          <w:rFonts w:hint="eastAsia" w:ascii="宋体" w:hAnsi="宋体" w:eastAsia="宋体" w:cs="宋体"/>
          <w:color w:val="auto"/>
          <w:sz w:val="24"/>
          <w:highlight w:val="none"/>
          <w:lang w:val="en-US" w:eastAsia="zh-CN"/>
        </w:rPr>
        <w:t>养护</w:t>
      </w:r>
      <w:r>
        <w:rPr>
          <w:rFonts w:hint="eastAsia" w:ascii="宋体" w:hAnsi="宋体" w:eastAsia="宋体" w:cs="宋体"/>
          <w:color w:val="auto"/>
          <w:sz w:val="24"/>
          <w:highlight w:val="none"/>
        </w:rPr>
        <w:t>作业标准</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bCs w:val="0"/>
          <w:i w:val="0"/>
          <w:caps w:val="0"/>
          <w:color w:val="auto"/>
          <w:spacing w:val="0"/>
          <w:w w:val="100"/>
          <w:kern w:val="2"/>
          <w:sz w:val="24"/>
          <w:szCs w:val="24"/>
          <w:highlight w:val="none"/>
          <w:lang w:val="en-US" w:eastAsia="zh-CN" w:bidi="ar-SA"/>
        </w:rPr>
        <w:t>1、总体标准：</w:t>
      </w:r>
      <w:r>
        <w:rPr>
          <w:rStyle w:val="963"/>
          <w:rFonts w:hint="eastAsia" w:ascii="宋体" w:hAnsi="宋体" w:eastAsia="宋体" w:cs="宋体"/>
          <w:b w:val="0"/>
          <w:i w:val="0"/>
          <w:caps w:val="0"/>
          <w:color w:val="auto"/>
          <w:spacing w:val="0"/>
          <w:w w:val="100"/>
          <w:kern w:val="2"/>
          <w:sz w:val="24"/>
          <w:szCs w:val="24"/>
          <w:highlight w:val="none"/>
          <w:lang w:val="en-US" w:eastAsia="zh-CN" w:bidi="ar-SA"/>
        </w:rPr>
        <w:t>指道路绿化带养护的整体质量，内容有养护质量、树木存活率、设施维护、土肥标准、病虫害防治标准及管理标准。</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1.1.植物养护标准：按道路绿化带的立地条件，对植物进行特殊养护、精心养护，使植物健康生长，具有良好的道路景观。</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1.2.树木种植成活率标准：当年新栽植物成活率达95%以上，保存率98%以上，无缺株、死株。</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1.4.病虫害防治标准：提倡综合防治，病虫害应控制在以不影响观赏效果的危害程度之内。</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1.5.道路绿化带的具体养管标准。</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（1）道路绿化带景观要求。</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（2）采用修剪等特殊手法，控制植物高度，植物高度不得影响交通视线。</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（3）特殊地段的景观应按设计精心养护，形成有特色的植物景观。整形植物必须及时修剪保持形态，悬垂植物生长健壮，及时通过修剪去除枯死枝和调整高度及生长密度，整体效果良好。</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（4）花卉花期整齐，株行距适宜，无空秃、色彩效果好。</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（5）绿带必须无裸地，可种植地被植物或草坪。</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（6）绿带内无枯枝残叶、无杂草，整洁无垃圾；每天冲洗一次以上，植物叶面无积尘。</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（7）辅助设施（包括支撑物和悬挂容器）必须安全、完好、整洁、美观。</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（8）道路绿化带及悬垂挂箱冬季浇水应注意不要让水溢出，避免造成路面结冰。</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1.6.道路绿化带养护作业必须穿着有反光条的工作服，做到文明作业，尽量减少对行车的干扰。</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 xml:space="preserve">1.7.招标绿地内涉及到时花养护标准具体参照《杭州市城区花坛、花境养护管理规定（试行）》，加强对花卉的养护管理。时花更换全年至少为六次，在每一次更换时必须要将时花品种、数量方案事先向采购人报备，由采购人确定种植方案，否则将作无更换时花处理，种后由采购人现场验收签字确定，该项费用由投标人自行考虑，含在投标总报价中。 </w:t>
      </w:r>
    </w:p>
    <w:p>
      <w:pPr>
        <w:wordWrap/>
        <w:adjustRightInd w:val="0"/>
        <w:snapToGrid w:val="0"/>
        <w:spacing w:before="0" w:beforeAutospacing="0" w:after="0" w:afterAutospacing="0" w:line="600" w:lineRule="exact"/>
        <w:ind w:firstLine="470" w:firstLineChars="196"/>
        <w:jc w:val="both"/>
        <w:textAlignment w:val="baseline"/>
        <w:rPr>
          <w:rStyle w:val="963"/>
          <w:rFonts w:hint="eastAsia" w:ascii="宋体" w:hAnsi="宋体" w:eastAsia="宋体" w:cs="宋体"/>
          <w:b w:val="0"/>
          <w:bCs/>
          <w:i w:val="0"/>
          <w:caps w:val="0"/>
          <w:color w:val="auto"/>
          <w:spacing w:val="0"/>
          <w:w w:val="100"/>
          <w:kern w:val="2"/>
          <w:sz w:val="24"/>
          <w:szCs w:val="24"/>
          <w:highlight w:val="none"/>
          <w:lang w:val="en-US" w:eastAsia="zh-CN" w:bidi="ar-SA"/>
        </w:rPr>
      </w:pPr>
      <w:r>
        <w:rPr>
          <w:rStyle w:val="963"/>
          <w:rFonts w:hint="eastAsia" w:ascii="宋体" w:hAnsi="宋体" w:eastAsia="宋体" w:cs="宋体"/>
          <w:b w:val="0"/>
          <w:bCs/>
          <w:i w:val="0"/>
          <w:caps w:val="0"/>
          <w:color w:val="auto"/>
          <w:spacing w:val="0"/>
          <w:w w:val="100"/>
          <w:kern w:val="2"/>
          <w:sz w:val="24"/>
          <w:szCs w:val="24"/>
          <w:highlight w:val="none"/>
          <w:lang w:val="en-US" w:eastAsia="zh-CN" w:bidi="ar-SA"/>
        </w:rPr>
        <w:t>2.养护管理其他要求：</w:t>
      </w:r>
    </w:p>
    <w:p>
      <w:pPr>
        <w:wordWrap/>
        <w:adjustRightInd w:val="0"/>
        <w:snapToGrid w:val="0"/>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wordWrap/>
        <w:adjustRightInd w:val="0"/>
        <w:snapToGrid w:val="0"/>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（2）规范管理、文明作业、自觉接受采购人及其上级各部门领导的检查和社会监督，对出现的问题要及时整改。</w:t>
      </w:r>
    </w:p>
    <w:p>
      <w:pPr>
        <w:wordWrap/>
        <w:adjustRightInd w:val="0"/>
        <w:snapToGrid w:val="0"/>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（6）道路绿化中标后，应给每一个道路绿化工作人员购买人身意外伤害保险；</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（7）加强绿化养护应急响应管理工作，具体要求参照《杭州市城区绿化防台树木支撑工作方案》。</w:t>
      </w:r>
    </w:p>
    <w:p>
      <w:pPr>
        <w:wordWrap/>
        <w:adjustRightInd w:val="0"/>
        <w:snapToGrid/>
        <w:spacing w:before="0" w:beforeAutospacing="0" w:after="0" w:afterAutospacing="0" w:line="600" w:lineRule="exact"/>
        <w:ind w:firstLine="48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①制定灾害性天气应急预案，建立应急救灾队伍，将应急预案和人员名单上报采购人备案。</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②建立应急备货制，备货的内容有：抗旱、抗涝、抗台、抗寒、抗雪等物资（支撑钢管、毛竹、水泵、遮阴网、草包等），快速支撑钢管只能做为一部分应急物资储备，不是唯一的抗台应急物资。</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 xml:space="preserve">③遇灾害性天气，听从采购人统一指挥，及时组织人员夏季抗旱、抗台，冬季遇积雪必须及时组织人员进行抗雪。遇到树木斜倒时，根据采购人要求，做好清障扶正工作。 </w:t>
      </w:r>
    </w:p>
    <w:p>
      <w:pPr>
        <w:wordWrap/>
        <w:adjustRightInd w:val="0"/>
        <w:snapToGrid/>
        <w:spacing w:before="0" w:beforeAutospacing="0" w:after="0" w:afterAutospacing="0" w:line="600" w:lineRule="exact"/>
        <w:ind w:firstLine="480" w:firstLineChars="20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④做好防台树木支撑工作，在市气象台发出台风预警信号以后，立即做好树木支撑工作。</w:t>
      </w:r>
    </w:p>
    <w:p>
      <w:pPr>
        <w:wordWrap/>
        <w:adjustRightInd w:val="0"/>
        <w:snapToGrid w:val="0"/>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（8）中标单位根据采购人通知要求，做好各类“迎检”和“创建”准备工作。</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（9）经过园林绿化管理部门批准的绿地内挖掘及占用绿地时，中标单位应予以积极配合，复种后的绿地应由中标单位负责正常养护。</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要求公园、广场内的园路、硬质铺装、所有照明设施等养护质量达到《余杭区市政设施养护质量标准》。包括公园、广场内设施油漆，发现油漆剥落问题，即知即改；木质景观廊架、长廊油漆，每年梅雨季节前油漆桐油一次；保持园内水池清洁，水体不浑浊、无漂浮物、无青苔等其它垃圾。</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）建立日常巡查制度，巡查人员对所管辖的绿地每天巡查一次，发现问题及时整改。建立养护管理工作台帐，做好养护工作日报、月报、年报，健全养护档案制度。</w:t>
      </w: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p>
    <w:p>
      <w:pPr>
        <w:wordWrap/>
        <w:adjustRightInd w:val="0"/>
        <w:snapToGrid/>
        <w:spacing w:before="0" w:beforeAutospacing="0" w:after="0" w:afterAutospacing="0" w:line="600" w:lineRule="exact"/>
        <w:ind w:firstLine="360" w:firstLineChars="150"/>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（12）绿化养护期内产生的各种的垃圾必须进入垃圾中转站，其处理产生费用由中标单位负责。</w:t>
      </w:r>
    </w:p>
    <w:p>
      <w:pPr>
        <w:pStyle w:val="964"/>
        <w:widowControl/>
        <w:wordWrap/>
        <w:adjustRightInd w:val="0"/>
        <w:snapToGrid/>
        <w:spacing w:before="0" w:beforeAutospacing="0" w:after="0" w:afterAutospacing="0" w:line="600" w:lineRule="exact"/>
        <w:ind w:firstLine="352" w:firstLineChars="147"/>
        <w:jc w:val="both"/>
        <w:textAlignment w:val="baseline"/>
        <w:rPr>
          <w:rStyle w:val="963"/>
          <w:rFonts w:hint="eastAsia" w:ascii="宋体" w:hAnsi="宋体" w:eastAsia="宋体" w:cs="宋体"/>
          <w:b w:val="0"/>
          <w:i w:val="0"/>
          <w:caps w:val="0"/>
          <w:color w:val="auto"/>
          <w:spacing w:val="0"/>
          <w:w w:val="100"/>
          <w:kern w:val="2"/>
          <w:sz w:val="24"/>
          <w:szCs w:val="24"/>
          <w:highlight w:val="none"/>
          <w:lang w:val="en-US" w:eastAsia="zh-CN" w:bidi="ar-SA"/>
        </w:rPr>
      </w:pPr>
      <w:r>
        <w:rPr>
          <w:rStyle w:val="963"/>
          <w:rFonts w:hint="eastAsia" w:ascii="宋体" w:hAnsi="宋体" w:eastAsia="宋体" w:cs="宋体"/>
          <w:b w:val="0"/>
          <w:i w:val="0"/>
          <w:caps w:val="0"/>
          <w:color w:val="auto"/>
          <w:spacing w:val="0"/>
          <w:w w:val="100"/>
          <w:kern w:val="2"/>
          <w:sz w:val="24"/>
          <w:szCs w:val="24"/>
          <w:highlight w:val="none"/>
          <w:lang w:val="en-US" w:eastAsia="zh-CN" w:bidi="ar-SA"/>
        </w:rPr>
        <w:t>（13）中标单位在养护管理期间，由于养管不力，采购人有权终止合同，并由中标单位承担一切责任。</w:t>
      </w:r>
    </w:p>
    <w:p>
      <w:pPr>
        <w:wordWrap/>
        <w:adjustRightInd w:val="0"/>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市政养护</w:t>
      </w:r>
      <w:r>
        <w:rPr>
          <w:rFonts w:hint="eastAsia" w:ascii="宋体" w:hAnsi="宋体" w:eastAsia="宋体" w:cs="宋体"/>
          <w:color w:val="auto"/>
          <w:sz w:val="24"/>
          <w:highlight w:val="none"/>
        </w:rPr>
        <w:t>作业标准</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1、中标方在日常巡检、经常性检查和常规的定期检测、定期维护中，发现设施有明显破损、设备有隐患，应立即进行保养；大面积维修，方案需报甲方审核后实施；对道路因不适应现有交通量、载重量增长的需要及结构严重损坏，需恢复或提高技术等级，从而提高其运行能力的加固、改扩建工程，乙方应专题上报，并经甲方审定后申请立项。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2、中标方应建立一路一档，健全日常养护作业记录，认真做好台帐的整理和归档工作，及时将日常养护、维修、检测、技术状况评价等相关数据及时、准确报送至甲方。</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3、针对配套管线、管沟、无产权单位窨井发生下沉、坍塌等情况，对于产权明确的管线、窨井问题（如电力、电信、自来水等），及时报告甲方同时必须通知相应产权单位自行维护、处理；一时无法确定产权单位、存在安全隐患、无产权单位窨井发生下沉、坍塌等情况，乙方应做好临时维护措施，确保行人、车辆安全，同时及时报告采购方。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4、养护作业单位安全生产工作落实，避免发生交通事故，对辖区一线道路养护人员进行安全生产全面轮训，新上岗人员应实施安全生产培训后方可上岗，自觉养成“一停二看三作业”的良好习惯，提高自我防范意识。如遇意外伤亡交通事故发生应及时上报。养护人员须穿反光背心，作业车辆要在车辆前部、后部、两侧设置反光标识。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5其他要求：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 本项目投标报价为费率报价包括（人工费、材料费、机械使用费、相关设备系统安装费、管理、利润、规费、税金、招标代理费、有关部门的验收费、政策性文件规定及合同包含的所有风险、责任及其他因本项目而产生的一切费用。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5.2 养护期限内，明确承包人只有养护权，没有管理权，市政道路设施管理由杭州市余杭区人民政府五常街道办事处全权管理。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5.3 投标人中标后，发包人与中标人签订安全生产责任书，责任书中明确提出，在养护期间所发生的任何安全事故一律由承包人负责，发包人不承担任何责任。发包人会定期对安全生产进行检查，万一出现安全事故，发包人有义务帮助承包人协调解决。</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5.4 施工养护期间，对于原市政道路设施存在的问题，承包人负有担负调查、分析原因和提出整改方案的义务，具体更换或维修由发包人统一安排。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5.5 在养护期限内产生的各种费用（运输、装卸、堆放、场地租用费及其他有关费用）由投标单位负责。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5.6 中标人必须做好相关工作人员安全、文明的教育交底工作，交通安全、用电安全尤其是道路安全隐患（比如道路坑洞、井盖缺失或破损）的排查工作，如发生安全意外事故，一切责任由中标单位负责，负责做好赔偿等事宜。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5.7 本养护项目考核评分细则中的内容，也作为本工程招标的特殊条款，为招标文件的组成部分，作为中标后养护管理的考核标准，施工养护期内，招标人有权修改、完善、提升养护考核细则，更新的养护细则中标人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5.8 道路养护巡查每次至少两个人，交通工具视具体情况而定，鼓励自行车或步行为主，及时发现问题，涉及安全事宜，应立即采取措施，清除安全隐患，事后及时报告，若巡查不到位，造成不良影响的，每次罚款 2000 元。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5.9 养护人员需统一服装，并有相应上岗证，在道路上养护时，需做好用电安全、交通安全维护，如有需要须经交警部门审批后方可实施。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5.10 道路养护单位中标后必须配备 100 米以上的移动标准标志牌，尺寸为 </w:t>
      </w:r>
    </w:p>
    <w:p>
      <w:pPr>
        <w:widowControl/>
        <w:wordWrap/>
        <w:adjustRightInd w:val="0"/>
        <w:spacing w:line="600" w:lineRule="exact"/>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1.5m*1.2m。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5.11 市政道路养护单位必须重视养护工程质量，各分项工程质量（比如砼、水稳、沥青砼路面等）必须符合市政工程施工质量规范相关规定，施工过程必须做好相应的试块，并送专业实验室检测，检测费用由中标单位承担，若经过相关试验检测结果不合格，须返工处理，投标人必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5.12 若市政道路砼、水稳、沥青砼路面存在外观欠佳、平整度差、表面松散等情况，招标人有权决定是否返工处理，投标人必须无条件接受。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5.13 为缩短沥青路面修补的时间，保持道路安全畅通和城市整洁美观，要求沥青路面修补在基层保养合格后或接到业主要求后，当天完成沥青路面修补。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5.14 在养护过程中，发包人若在该区域有新接收的市政道路设施，有权要求承包人无条件养护，养护工作量按实计算。 </w:t>
      </w:r>
    </w:p>
    <w:p>
      <w:pPr>
        <w:widowControl/>
        <w:wordWrap/>
        <w:adjustRightInd w:val="0"/>
        <w:spacing w:line="60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rPr>
        <w:t xml:space="preserve">5.15 在承包期内如因承包人原因造成招标人财产损失的，招标人有权酌情扣去履约保证金。 </w:t>
      </w:r>
    </w:p>
    <w:p>
      <w:pPr>
        <w:widowControl/>
        <w:wordWrap/>
        <w:adjustRightInd w:val="0"/>
        <w:spacing w:line="600" w:lineRule="exact"/>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5.16 具体在养护合同中予以明确。 </w:t>
      </w:r>
    </w:p>
    <w:p>
      <w:pPr>
        <w:pStyle w:val="4"/>
        <w:rPr>
          <w:rFonts w:hint="eastAsia" w:ascii="宋体" w:hAnsi="宋体" w:eastAsia="宋体" w:cs="宋体"/>
          <w:color w:val="auto"/>
          <w:kern w:val="0"/>
          <w:sz w:val="24"/>
          <w:szCs w:val="24"/>
          <w:highlight w:val="none"/>
          <w:lang w:val="en-US" w:eastAsia="zh-CN"/>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（四）河道养护作业标准</w:t>
      </w:r>
    </w:p>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第一章 总则</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 为进一步规范城市河道日常养护操作管理，确保河道养护质量，树立城市河道养护人员良好的服务形象，特制定本规范。</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 本规范是杭州市城市河道养护作业人员队伍队容风纪管理的基本依据，适用于杭州市区范围内（上城区、下城区、江干区、拱墅区、西湖区、景区、萧山区、余杭区、滨江区、经济技术开发区）所有城市河道一线养护作业人员。</w:t>
      </w:r>
    </w:p>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第二章 仪容仪表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 河道作业人员工作期间应穿着统一工作服，保持着装整洁。</w:t>
      </w:r>
    </w:p>
    <w:p>
      <w:pPr>
        <w:numPr>
          <w:ilvl w:val="0"/>
          <w:numId w:val="5"/>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作业时必须穿戴统一配发的工作服、工号牌。</w:t>
      </w:r>
    </w:p>
    <w:p>
      <w:pPr>
        <w:spacing w:line="360" w:lineRule="auto"/>
        <w:ind w:firstLine="2040" w:firstLineChars="850"/>
        <w:rPr>
          <w:rFonts w:hint="eastAsia" w:ascii="宋体" w:hAnsi="宋体" w:eastAsia="宋体" w:cs="宋体"/>
          <w:color w:val="auto"/>
          <w:sz w:val="24"/>
          <w:highlight w:val="none"/>
        </w:rPr>
      </w:pPr>
      <w:r>
        <w:rPr>
          <w:rFonts w:hint="eastAsia" w:ascii="宋体" w:hAnsi="宋体" w:eastAsia="宋体" w:cs="宋体"/>
          <w:color w:val="auto"/>
          <w:sz w:val="24"/>
          <w:highlight w:val="none"/>
        </w:rPr>
        <w:t>正面                               侧面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lang w:val="en-US" w:eastAsia="zh-CN" w:bidi="ar-SA"/>
        </w:rPr>
        <w:drawing>
          <wp:inline distT="0" distB="0" distL="114300" distR="114300">
            <wp:extent cx="2095500" cy="26765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8">
                      <a:lum/>
                    </a:blip>
                    <a:stretch>
                      <a:fillRect/>
                    </a:stretch>
                  </pic:blipFill>
                  <pic:spPr>
                    <a:xfrm>
                      <a:off x="0" y="0"/>
                      <a:ext cx="2095500" cy="2676525"/>
                    </a:xfrm>
                    <a:prstGeom prst="rect">
                      <a:avLst/>
                    </a:prstGeom>
                    <a:noFill/>
                    <a:ln>
                      <a:noFill/>
                    </a:ln>
                  </pic:spPr>
                </pic:pic>
              </a:graphicData>
            </a:graphic>
          </wp:inline>
        </w:drawing>
      </w:r>
      <w:r>
        <w:rPr>
          <w:rFonts w:hint="eastAsia" w:ascii="宋体" w:hAnsi="宋体" w:eastAsia="宋体" w:cs="宋体"/>
          <w:color w:val="auto"/>
          <w:sz w:val="24"/>
          <w:highlight w:val="none"/>
        </w:rPr>
        <w:t xml:space="preserve">          </w:t>
      </w:r>
      <w:r>
        <w:rPr>
          <w:rFonts w:hint="eastAsia" w:ascii="宋体" w:hAnsi="宋体" w:eastAsia="宋体" w:cs="宋体"/>
          <w:color w:val="auto"/>
          <w:kern w:val="2"/>
          <w:sz w:val="24"/>
          <w:szCs w:val="24"/>
          <w:highlight w:val="none"/>
          <w:lang w:val="en-US" w:eastAsia="zh-CN" w:bidi="ar-SA"/>
        </w:rPr>
        <w:drawing>
          <wp:inline distT="0" distB="0" distL="114300" distR="114300">
            <wp:extent cx="1943100" cy="27241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29">
                      <a:lum/>
                    </a:blip>
                    <a:stretch>
                      <a:fillRect/>
                    </a:stretch>
                  </pic:blipFill>
                  <pic:spPr>
                    <a:xfrm>
                      <a:off x="0" y="0"/>
                      <a:ext cx="1943100" cy="2724150"/>
                    </a:xfrm>
                    <a:prstGeom prst="rect">
                      <a:avLst/>
                    </a:prstGeom>
                    <a:noFill/>
                    <a:ln>
                      <a:noFill/>
                    </a:ln>
                  </pic:spPr>
                </pic:pic>
              </a:graphicData>
            </a:graphic>
          </wp:inline>
        </w:drawing>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（二）作业时衣着整齐，工作服无污渍、无破损、无脱线、无纽扣缺损，扣全纽扣，不敞衣露怀（河面养护时须着救生衣），不挽袖卷裤腿（防汛时除外），不穿拖鞋工作。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工号牌要求佩戴在左胸前，表面保持干净，避免污渍迹沾染。工号牌长6.5cm，宽2cm，底色橘黄，字体为宋体，工号由各城区头两个字的首位字母和4位数字组成，如上城区，用SC开头后面跟0001，各城区可结合实际具体划分后四位数字。</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第四条 河道作业人员工号牌，一人一号，不得转借。河道作业人员在非工作时间，不得穿戴工作服，凡离开河道作业队伍时，工作服和工号牌一律上交。</w:t>
      </w:r>
    </w:p>
    <w:p>
      <w:pPr>
        <w:spacing w:line="360" w:lineRule="auto"/>
        <w:ind w:firstLine="66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河道作业人员仪表应当整洁。男作业人员不得留长发、蓄长须；女作业人员上岗前应把头发夹好。</w:t>
      </w:r>
    </w:p>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第三章 行为规范</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河道作业人员应自觉做到文明礼仪，文明用语，礼让行人，规范作业，不得与他人、单位发生冲突。</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第七条 作业时间内严禁饮酒及酒后作业。不得边作业边吸烟、吃零食，不得聚堆闲聊、打牌休闲，不得从事与本职无关的其它活动。</w:t>
      </w:r>
    </w:p>
    <w:p>
      <w:pPr>
        <w:spacing w:line="360" w:lineRule="auto"/>
        <w:rPr>
          <w:rFonts w:hint="eastAsia" w:ascii="宋体" w:hAnsi="宋体" w:eastAsia="宋体" w:cs="宋体"/>
          <w:snapToGrid w:val="0"/>
          <w:color w:val="auto"/>
          <w:sz w:val="24"/>
          <w:szCs w:val="21"/>
          <w:highlight w:val="none"/>
        </w:rPr>
      </w:pPr>
      <w:r>
        <w:rPr>
          <w:rFonts w:hint="eastAsia" w:ascii="宋体" w:hAnsi="宋体" w:eastAsia="宋体" w:cs="宋体"/>
          <w:color w:val="auto"/>
          <w:sz w:val="24"/>
          <w:highlight w:val="none"/>
        </w:rPr>
        <w:t xml:space="preserve">    第八条 河岸作业人员应将作业工具和设备摆放整齐，不得将扫帚、畚箕等作业工具存放在绿化带中。垃圾运输车辆保持车容车貌整洁，停放在不影响其它车辆、行人通行的合适位置。河面作业人员下班时应将作业船只打扫干净并系在固定地点。非作业需要，不</w:t>
      </w:r>
      <w:r>
        <w:rPr>
          <w:rFonts w:hint="eastAsia" w:ascii="宋体" w:hAnsi="宋体" w:eastAsia="宋体" w:cs="宋体"/>
          <w:snapToGrid w:val="0"/>
          <w:color w:val="auto"/>
          <w:sz w:val="24"/>
          <w:szCs w:val="21"/>
          <w:highlight w:val="none"/>
        </w:rPr>
        <w:t>得使用作业车辆或船只。</w:t>
      </w:r>
    </w:p>
    <w:p>
      <w:pPr>
        <w:spacing w:line="360" w:lineRule="auto"/>
        <w:ind w:firstLine="475" w:firstLineChars="198"/>
        <w:rPr>
          <w:rFonts w:hint="eastAsia" w:ascii="宋体" w:hAnsi="宋体" w:eastAsia="宋体" w:cs="宋体"/>
          <w:color w:val="auto"/>
          <w:sz w:val="24"/>
          <w:highlight w:val="none"/>
        </w:rPr>
      </w:pPr>
      <w:r>
        <w:rPr>
          <w:rFonts w:hint="eastAsia" w:ascii="宋体" w:hAnsi="宋体" w:eastAsia="宋体" w:cs="宋体"/>
          <w:snapToGrid w:val="0"/>
          <w:color w:val="auto"/>
          <w:sz w:val="24"/>
          <w:szCs w:val="21"/>
          <w:highlight w:val="none"/>
        </w:rPr>
        <w:t>第九条 河岸作业人员作业时不漏扫、返扫，变换工作位置时，不得将工具沿地拖行或扛在肩上，</w:t>
      </w:r>
      <w:r>
        <w:rPr>
          <w:rFonts w:hint="eastAsia" w:ascii="宋体" w:hAnsi="宋体" w:eastAsia="宋体" w:cs="宋体"/>
          <w:color w:val="auto"/>
          <w:sz w:val="24"/>
          <w:highlight w:val="none"/>
        </w:rPr>
        <w:t>应将工具手持离地或放置于作业车辆内。作业时装载垃圾防止撒漏，以免影响环境卫生。不得在河道内清洗作业工具。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第十条 主动向班组长反馈作业过程中发现的异常情况（如违章行为、水质突变、已整治河道排水口晴天出水等现象）。</w:t>
      </w:r>
    </w:p>
    <w:p>
      <w:pPr>
        <w:pStyle w:val="4"/>
        <w:jc w:val="center"/>
        <w:rPr>
          <w:rFonts w:hint="eastAsia" w:ascii="宋体" w:hAnsi="宋体" w:eastAsia="宋体" w:cs="宋体"/>
          <w:b/>
          <w:bCs/>
          <w:color w:val="auto"/>
          <w:kern w:val="2"/>
          <w:sz w:val="36"/>
          <w:szCs w:val="36"/>
          <w:highlight w:val="none"/>
          <w:lang w:val="en-US" w:eastAsia="zh-CN" w:bidi="ar-SA"/>
        </w:rPr>
      </w:pPr>
      <w:r>
        <w:rPr>
          <w:rFonts w:hint="eastAsia" w:ascii="宋体" w:hAnsi="宋体" w:eastAsia="宋体" w:cs="宋体"/>
          <w:b/>
          <w:bCs/>
          <w:color w:val="auto"/>
          <w:kern w:val="2"/>
          <w:sz w:val="36"/>
          <w:szCs w:val="36"/>
          <w:highlight w:val="none"/>
          <w:lang w:val="en-US" w:eastAsia="zh-CN" w:bidi="ar-SA"/>
        </w:rPr>
        <w:t>综合养护考核</w:t>
      </w:r>
    </w:p>
    <w:p>
      <w:pPr>
        <w:widowControl w:val="0"/>
        <w:wordWrap/>
        <w:adjustRightInd/>
        <w:snapToGrid/>
        <w:spacing w:line="560" w:lineRule="exact"/>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按</w:t>
      </w:r>
      <w:r>
        <w:rPr>
          <w:rFonts w:hint="eastAsia" w:ascii="宋体" w:hAnsi="宋体" w:eastAsia="宋体" w:cs="宋体"/>
          <w:color w:val="auto"/>
          <w:sz w:val="24"/>
          <w:highlight w:val="none"/>
          <w:lang w:eastAsia="zh-CN"/>
        </w:rPr>
        <w:t>《</w:t>
      </w:r>
      <w:r>
        <w:rPr>
          <w:rFonts w:hint="eastAsia" w:ascii="宋体" w:hAnsi="宋体" w:eastAsia="宋体" w:cs="宋体"/>
          <w:b/>
          <w:bCs/>
          <w:snapToGrid w:val="0"/>
          <w:color w:val="auto"/>
          <w:kern w:val="2"/>
          <w:sz w:val="24"/>
          <w:szCs w:val="21"/>
          <w:highlight w:val="none"/>
          <w:lang w:val="en-US" w:eastAsia="zh-CN" w:bidi="ar-SA"/>
        </w:rPr>
        <w:t>关于进一步完善五常街道城市一体化综合养护考核办法的通知</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附件1-</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规定执行。</w:t>
      </w: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spacing w:line="59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附件1：</w:t>
      </w:r>
    </w:p>
    <w:p>
      <w:pPr>
        <w:spacing w:line="560" w:lineRule="exact"/>
        <w:jc w:val="center"/>
        <w:rPr>
          <w:rFonts w:hint="eastAsia" w:ascii="宋体" w:hAnsi="宋体" w:eastAsia="宋体" w:cs="宋体"/>
          <w:b/>
          <w:color w:val="auto"/>
          <w:sz w:val="24"/>
          <w:szCs w:val="24"/>
          <w:highlight w:val="none"/>
          <w:lang w:val="en-US" w:eastAsia="zh-CN"/>
        </w:rPr>
      </w:pP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lang w:val="en-US" w:eastAsia="zh-CN"/>
        </w:rPr>
        <w:t>一</w:t>
      </w:r>
      <w:r>
        <w:rPr>
          <w:rFonts w:hint="eastAsia" w:ascii="宋体" w:hAnsi="宋体" w:cs="宋体"/>
          <w:b/>
          <w:bCs/>
          <w:color w:val="auto"/>
          <w:sz w:val="32"/>
          <w:szCs w:val="32"/>
          <w:highlight w:val="none"/>
          <w:lang w:eastAsia="zh-CN"/>
        </w:rPr>
        <w:t>）</w:t>
      </w:r>
      <w:r>
        <w:rPr>
          <w:rFonts w:hint="eastAsia" w:ascii="宋体" w:hAnsi="宋体" w:eastAsia="宋体" w:cs="宋体"/>
          <w:b/>
          <w:bCs/>
          <w:color w:val="auto"/>
          <w:sz w:val="32"/>
          <w:szCs w:val="32"/>
          <w:highlight w:val="none"/>
        </w:rPr>
        <w:t>市政设施</w:t>
      </w:r>
      <w:r>
        <w:rPr>
          <w:rFonts w:hint="eastAsia" w:ascii="宋体" w:hAnsi="宋体" w:cs="宋体"/>
          <w:b/>
          <w:bCs/>
          <w:color w:val="auto"/>
          <w:sz w:val="32"/>
          <w:szCs w:val="32"/>
          <w:highlight w:val="none"/>
          <w:lang w:val="en-US" w:eastAsia="zh-CN"/>
        </w:rPr>
        <w:t>管养</w:t>
      </w:r>
      <w:r>
        <w:rPr>
          <w:rFonts w:hint="eastAsia" w:ascii="宋体" w:hAnsi="宋体" w:eastAsia="宋体" w:cs="宋体"/>
          <w:b/>
          <w:bCs/>
          <w:color w:val="auto"/>
          <w:sz w:val="32"/>
          <w:szCs w:val="32"/>
          <w:highlight w:val="none"/>
        </w:rPr>
        <w:t>考核</w:t>
      </w:r>
      <w:r>
        <w:rPr>
          <w:rFonts w:hint="eastAsia" w:ascii="宋体" w:hAnsi="宋体" w:eastAsia="宋体" w:cs="宋体"/>
          <w:b/>
          <w:bCs/>
          <w:color w:val="auto"/>
          <w:sz w:val="32"/>
          <w:szCs w:val="32"/>
          <w:highlight w:val="none"/>
          <w:lang w:val="en-US" w:eastAsia="zh-CN"/>
        </w:rPr>
        <w:t>办法</w:t>
      </w:r>
    </w:p>
    <w:p>
      <w:pPr>
        <w:spacing w:line="590" w:lineRule="exact"/>
        <w:ind w:firstLine="482" w:firstLineChars="200"/>
        <w:rPr>
          <w:rFonts w:hint="eastAsia" w:ascii="仿宋_GB2312" w:eastAsia="仿宋_GB2312"/>
          <w:b/>
          <w:color w:val="auto"/>
          <w:sz w:val="24"/>
          <w:szCs w:val="24"/>
          <w:highlight w:val="none"/>
        </w:rPr>
      </w:pPr>
      <w:r>
        <w:rPr>
          <w:rFonts w:hint="eastAsia" w:ascii="宋体" w:hAnsi="宋体" w:eastAsia="宋体" w:cs="宋体"/>
          <w:b/>
          <w:color w:val="auto"/>
          <w:sz w:val="24"/>
          <w:szCs w:val="24"/>
          <w:highlight w:val="none"/>
        </w:rPr>
        <w:t xml:space="preserve">考核对象：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 xml:space="preserve">考核时间：   </w:t>
      </w:r>
      <w:r>
        <w:rPr>
          <w:rFonts w:hint="eastAsia" w:ascii="仿宋_GB2312" w:eastAsia="仿宋_GB2312"/>
          <w:b/>
          <w:color w:val="auto"/>
          <w:sz w:val="24"/>
          <w:szCs w:val="24"/>
          <w:highlight w:val="none"/>
        </w:rPr>
        <w:t xml:space="preserve">    </w:t>
      </w:r>
    </w:p>
    <w:tbl>
      <w:tblPr>
        <w:tblStyle w:val="62"/>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23"/>
        <w:gridCol w:w="5539"/>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54"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考核   项目</w:t>
            </w:r>
          </w:p>
        </w:tc>
        <w:tc>
          <w:tcPr>
            <w:tcW w:w="132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考核内容</w:t>
            </w:r>
          </w:p>
        </w:tc>
        <w:tc>
          <w:tcPr>
            <w:tcW w:w="5539"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考核标准</w:t>
            </w:r>
          </w:p>
        </w:tc>
        <w:tc>
          <w:tcPr>
            <w:tcW w:w="1463" w:type="dxa"/>
            <w:vAlign w:val="center"/>
          </w:tcPr>
          <w:p>
            <w:pPr>
              <w:spacing w:line="24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扣除分值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54"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道路    设施</w:t>
            </w:r>
          </w:p>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养护</w:t>
            </w:r>
          </w:p>
          <w:p>
            <w:pPr>
              <w:spacing w:line="240" w:lineRule="exact"/>
              <w:jc w:val="center"/>
              <w:rPr>
                <w:rFonts w:hint="eastAsia" w:ascii="宋体" w:hAnsi="宋体" w:eastAsia="宋体" w:cs="宋体"/>
                <w:b w:val="0"/>
                <w:bCs/>
                <w:color w:val="auto"/>
                <w:sz w:val="21"/>
                <w:szCs w:val="21"/>
                <w:highlight w:val="none"/>
              </w:rPr>
            </w:pPr>
          </w:p>
        </w:tc>
        <w:tc>
          <w:tcPr>
            <w:tcW w:w="1323"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路面养护</w:t>
            </w: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路面裂缝宽度大于0.5CM，长度小于3M，未做灌缝处理的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0.2分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拥包、车辙、搓板、松散、脱皮、烂边、啃边的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碎裂、坑洞、沉陷、泛油的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10平方米以上大面积积水的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人行道养护</w:t>
            </w: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坑洞、沉陷的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拱起、松动、</w:t>
            </w:r>
            <w:r>
              <w:rPr>
                <w:rFonts w:hint="eastAsia" w:ascii="宋体" w:hAnsi="宋体" w:eastAsia="宋体" w:cs="宋体"/>
                <w:b w:val="0"/>
                <w:bCs/>
                <w:color w:val="auto"/>
                <w:sz w:val="21"/>
                <w:szCs w:val="21"/>
                <w:highlight w:val="none"/>
                <w:lang w:eastAsia="zh-CN"/>
              </w:rPr>
              <w:t>积水、</w:t>
            </w:r>
            <w:r>
              <w:rPr>
                <w:rFonts w:hint="eastAsia" w:ascii="宋体" w:hAnsi="宋体" w:eastAsia="宋体" w:cs="宋体"/>
                <w:b w:val="0"/>
                <w:bCs/>
                <w:color w:val="auto"/>
                <w:sz w:val="21"/>
                <w:szCs w:val="21"/>
                <w:highlight w:val="none"/>
              </w:rPr>
              <w:t>跷破、缺失、错台的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平侧石破损缺少的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0.3</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管渠、检查井及雨水设施</w:t>
            </w: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雨、污水检查井盖（雨水口篦子）与道路高差超过20MM</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eastAsia="zh-CN"/>
              </w:rPr>
              <w:t>雨、污水检查井盖，产权井井盖缺失、破损有安全隐患不及时做好安全围护和报告的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产权井井盖损坏或与高差超20MM不及时报告</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窨井盖板缺失、断裂、反盖、错盖</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排水管渠堵塞</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kern w:val="0"/>
                <w:sz w:val="21"/>
                <w:szCs w:val="21"/>
                <w:highlight w:val="none"/>
                <w:lang w:val="en-US" w:eastAsia="zh-CN"/>
              </w:rPr>
              <w:t>检查井安全防护网设置不到位</w:t>
            </w:r>
          </w:p>
        </w:tc>
        <w:tc>
          <w:tcPr>
            <w:tcW w:w="1463" w:type="dxa"/>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54"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桥梁设施养护</w:t>
            </w:r>
          </w:p>
        </w:tc>
        <w:tc>
          <w:tcPr>
            <w:tcW w:w="1323" w:type="dxa"/>
            <w:vMerge w:val="restart"/>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上（下）部结构、栏杆、排水设施、附属设施</w:t>
            </w: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桥面裂缝、坑槽、梁板有麻面、伸缩缝破损、支座破损的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墩台墙柱开裂的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基础下沉</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基础移位</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54"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vAlign w:val="center"/>
          </w:tcPr>
          <w:p>
            <w:pPr>
              <w:spacing w:line="2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栏杆结构不牢、排水孔堵塞、挡墙损坏开裂的</w:t>
            </w:r>
          </w:p>
        </w:tc>
        <w:tc>
          <w:tcPr>
            <w:tcW w:w="1463" w:type="dxa"/>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754" w:type="dxa"/>
            <w:vMerge w:val="continue"/>
            <w:tcBorders>
              <w:bottom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rPr>
            </w:pPr>
          </w:p>
        </w:tc>
        <w:tc>
          <w:tcPr>
            <w:tcW w:w="1323" w:type="dxa"/>
            <w:vMerge w:val="continue"/>
            <w:tcBorders>
              <w:bottom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rPr>
            </w:pPr>
          </w:p>
        </w:tc>
        <w:tc>
          <w:tcPr>
            <w:tcW w:w="5539" w:type="dxa"/>
            <w:tcBorders>
              <w:bottom w:val="single" w:color="auto" w:sz="4" w:space="0"/>
            </w:tcBorders>
            <w:vAlign w:val="center"/>
          </w:tcPr>
          <w:p>
            <w:pPr>
              <w:widowControl/>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kern w:val="0"/>
                <w:sz w:val="21"/>
                <w:szCs w:val="21"/>
                <w:highlight w:val="none"/>
                <w:lang w:val="en-US" w:eastAsia="zh-CN"/>
              </w:rPr>
              <w:t xml:space="preserve">桥名、限重等标志不清晰、 缺少、破损。 </w:t>
            </w:r>
          </w:p>
        </w:tc>
        <w:tc>
          <w:tcPr>
            <w:tcW w:w="1463" w:type="dxa"/>
            <w:tcBorders>
              <w:bottom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0.2</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754" w:type="dxa"/>
            <w:vMerge w:val="restart"/>
            <w:tcBorders>
              <w:top w:val="single" w:color="auto" w:sz="4" w:space="0"/>
              <w:left w:val="single" w:color="auto" w:sz="4" w:space="0"/>
              <w:bottom w:val="single" w:color="auto" w:sz="4" w:space="0"/>
            </w:tcBorders>
            <w:vAlign w:val="center"/>
          </w:tcPr>
          <w:p>
            <w:pPr>
              <w:spacing w:line="240" w:lineRule="exact"/>
              <w:jc w:val="center"/>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台账</w:t>
            </w:r>
          </w:p>
        </w:tc>
        <w:tc>
          <w:tcPr>
            <w:tcW w:w="1323" w:type="dxa"/>
            <w:tcBorders>
              <w:top w:val="single" w:color="auto" w:sz="4" w:space="0"/>
              <w:bottom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台账资料</w:t>
            </w:r>
          </w:p>
        </w:tc>
        <w:tc>
          <w:tcPr>
            <w:tcW w:w="5539" w:type="dxa"/>
            <w:tcBorders>
              <w:top w:val="single" w:color="auto" w:sz="4" w:space="0"/>
              <w:bottom w:val="single" w:color="auto" w:sz="4" w:space="0"/>
            </w:tcBorders>
            <w:vAlign w:val="center"/>
          </w:tcPr>
          <w:p>
            <w:pPr>
              <w:spacing w:line="240" w:lineRule="exact"/>
              <w:rPr>
                <w:rFonts w:hint="default" w:ascii="宋体" w:hAnsi="宋体" w:eastAsia="宋体" w:cs="宋体"/>
                <w:b w:val="0"/>
                <w:bCs/>
                <w:color w:val="auto"/>
                <w:sz w:val="21"/>
                <w:szCs w:val="21"/>
                <w:highlight w:val="none"/>
                <w:lang w:val="en-US"/>
              </w:rPr>
            </w:pPr>
            <w:r>
              <w:rPr>
                <w:rFonts w:hint="eastAsia" w:ascii="宋体" w:hAnsi="宋体" w:eastAsia="宋体" w:cs="宋体"/>
                <w:b w:val="0"/>
                <w:bCs/>
                <w:color w:val="auto"/>
                <w:kern w:val="0"/>
                <w:sz w:val="21"/>
                <w:szCs w:val="21"/>
                <w:highlight w:val="none"/>
                <w:lang w:val="en-US" w:eastAsia="zh-CN"/>
              </w:rPr>
              <w:t>随机进行台账资料检查，</w:t>
            </w:r>
            <w:r>
              <w:rPr>
                <w:rFonts w:hint="eastAsia" w:ascii="宋体" w:hAnsi="宋体" w:cs="宋体"/>
                <w:b w:val="0"/>
                <w:bCs/>
                <w:color w:val="auto"/>
                <w:kern w:val="0"/>
                <w:sz w:val="21"/>
                <w:szCs w:val="21"/>
                <w:highlight w:val="none"/>
                <w:lang w:val="en-US" w:eastAsia="zh-CN"/>
              </w:rPr>
              <w:t>资料完整</w:t>
            </w:r>
            <w:r>
              <w:rPr>
                <w:rFonts w:hint="eastAsia" w:ascii="宋体" w:hAnsi="宋体" w:eastAsia="宋体" w:cs="宋体"/>
                <w:b w:val="0"/>
                <w:bCs/>
                <w:color w:val="auto"/>
                <w:kern w:val="0"/>
                <w:sz w:val="21"/>
                <w:szCs w:val="21"/>
                <w:highlight w:val="none"/>
                <w:lang w:val="en-US" w:eastAsia="zh-CN"/>
              </w:rPr>
              <w:t>不规范、不完善的</w:t>
            </w:r>
          </w:p>
        </w:tc>
        <w:tc>
          <w:tcPr>
            <w:tcW w:w="1463" w:type="dxa"/>
            <w:tcBorders>
              <w:top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754" w:type="dxa"/>
            <w:vMerge w:val="continue"/>
            <w:tcBorders>
              <w:top w:val="single" w:color="auto" w:sz="4" w:space="0"/>
              <w:left w:val="single" w:color="auto" w:sz="4" w:space="0"/>
              <w:bottom w:val="single" w:color="auto" w:sz="4" w:space="0"/>
              <w:right w:val="nil"/>
            </w:tcBorders>
            <w:vAlign w:val="center"/>
          </w:tcPr>
          <w:p>
            <w:pPr>
              <w:spacing w:line="240" w:lineRule="exact"/>
              <w:jc w:val="center"/>
              <w:rPr>
                <w:rFonts w:hint="eastAsia" w:ascii="宋体" w:hAnsi="宋体" w:cs="宋体"/>
                <w:b w:val="0"/>
                <w:bCs/>
                <w:color w:val="auto"/>
                <w:sz w:val="21"/>
                <w:szCs w:val="21"/>
                <w:highlight w:val="none"/>
                <w:lang w:val="en-US" w:eastAsia="zh-CN"/>
              </w:rPr>
            </w:pPr>
          </w:p>
        </w:tc>
        <w:tc>
          <w:tcPr>
            <w:tcW w:w="1323" w:type="dxa"/>
            <w:tcBorders>
              <w:top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工程量预算</w:t>
            </w:r>
          </w:p>
        </w:tc>
        <w:tc>
          <w:tcPr>
            <w:tcW w:w="5539" w:type="dxa"/>
            <w:tcBorders>
              <w:top w:val="single" w:color="auto" w:sz="4" w:space="0"/>
            </w:tcBorders>
            <w:vAlign w:val="center"/>
          </w:tcPr>
          <w:p>
            <w:pPr>
              <w:spacing w:line="240" w:lineRule="exact"/>
              <w:rPr>
                <w:rFonts w:hint="eastAsia" w:ascii="宋体" w:hAnsi="宋体" w:eastAsia="宋体" w:cs="宋体"/>
                <w:b w:val="0"/>
                <w:bCs/>
                <w:color w:val="auto"/>
                <w:kern w:val="0"/>
                <w:sz w:val="21"/>
                <w:szCs w:val="21"/>
                <w:highlight w:val="none"/>
                <w:lang w:val="en-US" w:eastAsia="zh-CN"/>
              </w:rPr>
            </w:pPr>
            <w:r>
              <w:rPr>
                <w:rFonts w:hint="eastAsia" w:ascii="宋体" w:hAnsi="宋体" w:cs="宋体"/>
                <w:b w:val="0"/>
                <w:bCs/>
                <w:color w:val="auto"/>
                <w:kern w:val="0"/>
                <w:sz w:val="21"/>
                <w:szCs w:val="21"/>
                <w:highlight w:val="none"/>
                <w:lang w:val="en-US" w:eastAsia="zh-CN"/>
              </w:rPr>
              <w:t>对于街道交办的工程，严格测算工程量，提交工程量与实际不符的，每超出10%扣1分</w:t>
            </w:r>
          </w:p>
        </w:tc>
        <w:tc>
          <w:tcPr>
            <w:tcW w:w="1463" w:type="dxa"/>
            <w:tcBorders>
              <w:top w:val="single" w:color="auto" w:sz="4" w:space="0"/>
            </w:tcBorders>
            <w:vAlign w:val="center"/>
          </w:tcPr>
          <w:p>
            <w:pPr>
              <w:spacing w:line="240" w:lineRule="exact"/>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分</w:t>
            </w:r>
            <w:r>
              <w:rPr>
                <w:rFonts w:hint="eastAsia" w:ascii="宋体" w:hAnsi="宋体" w:eastAsia="宋体" w:cs="宋体"/>
                <w:b w:val="0"/>
                <w:bCs/>
                <w:color w:val="auto"/>
                <w:sz w:val="21"/>
                <w:szCs w:val="21"/>
                <w:highlight w:val="none"/>
              </w:rPr>
              <w:t>/</w:t>
            </w:r>
            <w:r>
              <w:rPr>
                <w:rFonts w:hint="eastAsia" w:ascii="宋体" w:hAnsi="宋体" w:cs="宋体"/>
                <w:b w:val="0"/>
                <w:bCs/>
                <w:color w:val="auto"/>
                <w:sz w:val="21"/>
                <w:szCs w:val="21"/>
                <w:highlight w:val="none"/>
                <w:lang w:val="en-US" w:eastAsia="zh-CN"/>
              </w:rPr>
              <w:t>次</w:t>
            </w:r>
          </w:p>
        </w:tc>
      </w:tr>
    </w:tbl>
    <w:p>
      <w:pPr>
        <w:spacing w:line="590" w:lineRule="exact"/>
        <w:rPr>
          <w:rFonts w:hint="eastAsia" w:ascii="仿宋" w:hAnsi="仿宋" w:eastAsia="仿宋" w:cs="仿宋"/>
          <w:color w:val="auto"/>
          <w:sz w:val="21"/>
          <w:szCs w:val="21"/>
          <w:highlight w:val="none"/>
          <w:lang w:val="en-US" w:eastAsia="zh-CN"/>
        </w:rPr>
        <w:sectPr>
          <w:headerReference r:id="rId8" w:type="default"/>
          <w:footerReference r:id="rId9" w:type="default"/>
          <w:pgSz w:w="11906" w:h="16838"/>
          <w:pgMar w:top="2154" w:right="1474" w:bottom="2154" w:left="1587" w:header="283" w:footer="283" w:gutter="0"/>
          <w:pgNumType w:fmt="numberInDash"/>
          <w:cols w:space="720" w:num="1"/>
          <w:rtlGutter w:val="0"/>
          <w:docGrid w:type="lines" w:linePitch="317" w:charSpace="0"/>
        </w:sectPr>
      </w:pPr>
    </w:p>
    <w:p>
      <w:pPr>
        <w:pStyle w:val="837"/>
        <w:ind w:left="0" w:leftChars="0" w:firstLine="0" w:firstLineChars="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附件2：</w:t>
      </w:r>
    </w:p>
    <w:p>
      <w:pPr>
        <w:spacing w:line="560" w:lineRule="exact"/>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lang w:eastAsia="zh-CN"/>
        </w:rPr>
        <w:t>（</w:t>
      </w:r>
      <w:r>
        <w:rPr>
          <w:rFonts w:hint="eastAsia" w:ascii="宋体" w:hAnsi="宋体" w:cs="宋体"/>
          <w:b/>
          <w:bCs/>
          <w:color w:val="auto"/>
          <w:sz w:val="32"/>
          <w:szCs w:val="32"/>
          <w:highlight w:val="none"/>
          <w:lang w:val="en-US" w:eastAsia="zh-CN"/>
        </w:rPr>
        <w:t>二</w:t>
      </w:r>
      <w:r>
        <w:rPr>
          <w:rFonts w:hint="eastAsia" w:ascii="宋体" w:hAnsi="宋体" w:cs="宋体"/>
          <w:b/>
          <w:bCs/>
          <w:color w:val="auto"/>
          <w:sz w:val="32"/>
          <w:szCs w:val="32"/>
          <w:highlight w:val="none"/>
          <w:lang w:eastAsia="zh-CN"/>
        </w:rPr>
        <w:t>）</w:t>
      </w:r>
      <w:r>
        <w:rPr>
          <w:rFonts w:hint="eastAsia" w:ascii="宋体" w:hAnsi="宋体" w:eastAsia="宋体" w:cs="宋体"/>
          <w:b/>
          <w:bCs/>
          <w:color w:val="auto"/>
          <w:sz w:val="32"/>
          <w:szCs w:val="32"/>
          <w:highlight w:val="none"/>
          <w:lang w:eastAsia="zh-CN"/>
        </w:rPr>
        <w:t>公共绿地</w:t>
      </w:r>
      <w:r>
        <w:rPr>
          <w:rFonts w:hint="eastAsia" w:ascii="宋体" w:hAnsi="宋体" w:cs="宋体"/>
          <w:b/>
          <w:bCs/>
          <w:color w:val="auto"/>
          <w:sz w:val="32"/>
          <w:szCs w:val="32"/>
          <w:highlight w:val="none"/>
          <w:lang w:val="en-US" w:eastAsia="zh-CN"/>
        </w:rPr>
        <w:t>管养</w:t>
      </w:r>
      <w:r>
        <w:rPr>
          <w:rFonts w:hint="eastAsia" w:ascii="宋体" w:hAnsi="宋体" w:eastAsia="宋体" w:cs="宋体"/>
          <w:b/>
          <w:bCs/>
          <w:color w:val="auto"/>
          <w:sz w:val="32"/>
          <w:szCs w:val="32"/>
          <w:highlight w:val="none"/>
          <w:lang w:eastAsia="zh-CN"/>
        </w:rPr>
        <w:t>考核</w:t>
      </w:r>
      <w:r>
        <w:rPr>
          <w:rFonts w:hint="eastAsia" w:ascii="宋体" w:hAnsi="宋体" w:eastAsia="宋体" w:cs="宋体"/>
          <w:b/>
          <w:bCs/>
          <w:color w:val="auto"/>
          <w:sz w:val="32"/>
          <w:szCs w:val="32"/>
          <w:highlight w:val="none"/>
          <w:lang w:val="en-US" w:eastAsia="zh-CN"/>
        </w:rPr>
        <w:t>办法</w:t>
      </w:r>
    </w:p>
    <w:p>
      <w:pPr>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 xml:space="preserve">考核对象：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考核时间</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 xml:space="preserve">       </w:t>
      </w:r>
    </w:p>
    <w:tbl>
      <w:tblPr>
        <w:tblStyle w:val="62"/>
        <w:tblpPr w:leftFromText="180" w:rightFromText="180" w:vertAnchor="text" w:horzAnchor="page" w:tblpX="1425" w:tblpY="276"/>
        <w:tblOverlap w:val="never"/>
        <w:tblW w:w="90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
        <w:gridCol w:w="6999"/>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9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考核</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项目</w:t>
            </w:r>
          </w:p>
        </w:tc>
        <w:tc>
          <w:tcPr>
            <w:tcW w:w="699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考核标准</w:t>
            </w:r>
          </w:p>
        </w:tc>
        <w:tc>
          <w:tcPr>
            <w:tcW w:w="117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lang w:val="en-US" w:eastAsia="zh-CN"/>
              </w:rPr>
              <w:t>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restart"/>
            <w:tcBorders>
              <w:top w:val="nil"/>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植</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物</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基</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本</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养</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护</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发现在公共绿地中出现黄土露天；行道树和乔木死株、缺株的。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1"/>
                <w:szCs w:val="21"/>
                <w:highlight w:val="none"/>
                <w:lang w:eastAsia="zh-CN"/>
              </w:rPr>
            </w:pPr>
            <w:r>
              <w:rPr>
                <w:rFonts w:hint="eastAsia" w:ascii="宋体" w:hAnsi="宋体" w:cs="宋体"/>
                <w:b w:val="0"/>
                <w:bCs/>
                <w:color w:val="auto"/>
                <w:kern w:val="0"/>
                <w:sz w:val="21"/>
                <w:szCs w:val="21"/>
                <w:highlight w:val="none"/>
                <w:lang w:val="en-US" w:eastAsia="zh-CN"/>
              </w:rPr>
              <w:t>0.5</w:t>
            </w:r>
            <w:r>
              <w:rPr>
                <w:rFonts w:hint="eastAsia" w:ascii="宋体" w:hAnsi="宋体" w:eastAsia="宋体" w:cs="宋体"/>
                <w:b w:val="0"/>
                <w:bCs/>
                <w:color w:val="auto"/>
                <w:kern w:val="0"/>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top w:val="nil"/>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监管不到位致绿化破坏的。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行道树和乔木支撑不规范、支撑架倒塌、断桩、坏桩、树木倾斜严重。</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行道树和乔木病虫枝、枯枝、伤损枝、徒长枝超过养护标准的，树皮开裂、孔洞未及时填补；修剪不规范造成树木严重受损的。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行道树和乔木长势不佳、偏冠严重、无冠幅；树木长势较弱，黄叶、焦叶、落叶株数超过养护标准的。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树穴土壤高于侧石、板结、填充物缺失。</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绿篱和灌木出现死株、缺株、混种、小道、杂株返祖的。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绿篱和灌木修剪不平整、不及时、高度影响交通视线的。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草高超出养护标准、草坪边缘不清淅、草坪覆盖率低于养护标准、中心区出现空秃每2㎡以上的（面积10㎡以上的扣款加倍）。</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 xml:space="preserve">绿地内有明显杂草的。 </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花坛花箱内无时花，时花倒伏、枯枝残花、杂草垃圾等。</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bottom w:val="single" w:color="000000"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绿化补种不规范的。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0.5</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restart"/>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病虫</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害防</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治</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发生病虫害的及发现病虫害未及时进行防治措施的。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top w:val="nil"/>
              <w:left w:val="single" w:color="auto" w:sz="4" w:space="0"/>
              <w:bottom w:val="single" w:color="000000"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食叶性害虫危害树木，每株或每㎡超过养护标准的。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906" w:type="dxa"/>
            <w:vMerge w:val="continue"/>
            <w:tcBorders>
              <w:top w:val="nil"/>
              <w:left w:val="single" w:color="auto" w:sz="4" w:space="0"/>
              <w:bottom w:val="single" w:color="000000"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发现活蛀虫和活卵，每株或每㎡超过养护标准的。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绿化</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设施</w:t>
            </w:r>
          </w:p>
        </w:tc>
        <w:tc>
          <w:tcPr>
            <w:tcW w:w="699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花箱、花坛、护栏、围栏、树穴破损、缺失的。</w:t>
            </w:r>
          </w:p>
        </w:tc>
        <w:tc>
          <w:tcPr>
            <w:tcW w:w="117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果壳箱有污迹、破损、松动，箱内垃圾未日产日清的。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6"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设施有污迹、破损，金属构件设施有锈斑，油漆剥落等现象的；其它（景墙、挡墙、浮雕墙、地雕、雕塑）等景观设施有明显裂缝的，墙面砖破损、松动、油漆剥落的。公园设施存在明显安全隐患，未采取安全措施的。</w:t>
            </w:r>
          </w:p>
          <w:p>
            <w:pPr>
              <w:pStyle w:val="837"/>
              <w:ind w:left="0" w:leftChars="0" w:firstLine="0" w:firstLineChars="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景观灯</w:t>
            </w:r>
            <w:r>
              <w:rPr>
                <w:rFonts w:hint="eastAsia" w:ascii="宋体" w:hAnsi="宋体" w:eastAsia="宋体" w:cs="宋体"/>
                <w:b w:val="0"/>
                <w:bCs/>
                <w:color w:val="auto"/>
                <w:sz w:val="21"/>
                <w:szCs w:val="21"/>
                <w:highlight w:val="none"/>
              </w:rPr>
              <w:t>破损、松动、油漆剥落</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不亮、缺失</w:t>
            </w:r>
            <w:r>
              <w:rPr>
                <w:rFonts w:hint="eastAsia" w:ascii="宋体" w:hAnsi="宋体" w:eastAsia="宋体" w:cs="宋体"/>
                <w:b w:val="0"/>
                <w:bCs/>
                <w:color w:val="auto"/>
                <w:sz w:val="21"/>
                <w:szCs w:val="21"/>
                <w:highlight w:val="none"/>
              </w:rPr>
              <w:t>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vMerge w:val="restart"/>
            <w:tcBorders>
              <w:top w:val="nil"/>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卫生及</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管理</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树上有垃圾袋、零乱草绳、钉子、扎缚铁丝、电线、挂晾晒衣物的。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绿地内有垃圾、石块、果壳等杂物的。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乔木积尘明显每株扣1分，色块叶面积灰严重的。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管养人员不到位的。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906"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养护人员上路作业不穿工作服，不文明作业的。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eastAsia="宋体" w:cs="宋体"/>
                <w:b w:val="0"/>
                <w:bCs/>
                <w:color w:val="auto"/>
                <w:spacing w:val="-8"/>
                <w:sz w:val="21"/>
                <w:szCs w:val="21"/>
                <w:highlight w:val="none"/>
                <w:lang w:val="en-US" w:eastAsia="zh-CN"/>
              </w:rPr>
              <w:t>0.</w:t>
            </w:r>
            <w:r>
              <w:rPr>
                <w:rFonts w:hint="eastAsia" w:ascii="宋体" w:hAnsi="宋体" w:cs="宋体"/>
                <w:b w:val="0"/>
                <w:bCs/>
                <w:color w:val="auto"/>
                <w:spacing w:val="-8"/>
                <w:sz w:val="21"/>
                <w:szCs w:val="21"/>
                <w:highlight w:val="none"/>
                <w:lang w:val="en-US" w:eastAsia="zh-CN"/>
              </w:rPr>
              <w:t>2</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906"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整体</w:t>
            </w:r>
          </w:p>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景观</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养护不当造成植物季相不分明，色彩不丰富，生长不茂盛，植物群落不完整等影响整体景观效果的。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0.3</w:t>
            </w:r>
            <w:r>
              <w:rPr>
                <w:rFonts w:hint="eastAsia" w:ascii="宋体" w:hAnsi="宋体" w:eastAsia="宋体" w:cs="宋体"/>
                <w:b w:val="0"/>
                <w:bCs/>
                <w:color w:val="auto"/>
                <w:spacing w:val="-8"/>
                <w:sz w:val="21"/>
                <w:szCs w:val="21"/>
                <w:highlight w:val="none"/>
                <w:lang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6"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rPr>
              <w:t>台账资料</w:t>
            </w:r>
          </w:p>
        </w:tc>
        <w:tc>
          <w:tcPr>
            <w:tcW w:w="69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lang w:val="en-US" w:eastAsia="zh-CN"/>
              </w:rPr>
              <w:t>随机进行台账资料检查，不规范、不完善的</w:t>
            </w:r>
          </w:p>
        </w:tc>
        <w:tc>
          <w:tcPr>
            <w:tcW w:w="117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spacing w:val="-8"/>
                <w:sz w:val="21"/>
                <w:szCs w:val="21"/>
                <w:highlight w:val="none"/>
                <w:lang w:eastAsia="zh-CN"/>
              </w:rPr>
            </w:pPr>
            <w:r>
              <w:rPr>
                <w:rFonts w:hint="eastAsia" w:ascii="宋体" w:hAnsi="宋体" w:cs="宋体"/>
                <w:b w:val="0"/>
                <w:bCs/>
                <w:color w:val="auto"/>
                <w:spacing w:val="-8"/>
                <w:sz w:val="21"/>
                <w:szCs w:val="21"/>
                <w:highlight w:val="none"/>
                <w:lang w:val="en-US" w:eastAsia="zh-CN"/>
              </w:rPr>
              <w:t>0.5</w:t>
            </w:r>
            <w:r>
              <w:rPr>
                <w:rFonts w:hint="eastAsia" w:ascii="宋体" w:hAnsi="宋体" w:eastAsia="宋体" w:cs="宋体"/>
                <w:b w:val="0"/>
                <w:bCs/>
                <w:color w:val="auto"/>
                <w:spacing w:val="-8"/>
                <w:sz w:val="21"/>
                <w:szCs w:val="21"/>
                <w:highlight w:val="none"/>
                <w:lang w:eastAsia="zh-CN"/>
              </w:rPr>
              <w:t>分</w:t>
            </w:r>
            <w:r>
              <w:rPr>
                <w:rFonts w:hint="eastAsia" w:ascii="宋体" w:hAnsi="宋体" w:eastAsia="宋体" w:cs="宋体"/>
                <w:b w:val="0"/>
                <w:bCs/>
                <w:color w:val="auto"/>
                <w:spacing w:val="-8"/>
                <w:sz w:val="21"/>
                <w:szCs w:val="21"/>
                <w:highlight w:val="none"/>
              </w:rPr>
              <w:t>/</w:t>
            </w:r>
            <w:r>
              <w:rPr>
                <w:rFonts w:hint="eastAsia" w:ascii="宋体" w:hAnsi="宋体" w:cs="宋体"/>
                <w:b w:val="0"/>
                <w:bCs/>
                <w:color w:val="auto"/>
                <w:spacing w:val="-8"/>
                <w:sz w:val="21"/>
                <w:szCs w:val="21"/>
                <w:highlight w:val="none"/>
                <w:lang w:val="en-US" w:eastAsia="zh-CN"/>
              </w:rPr>
              <w:t>次</w:t>
            </w:r>
          </w:p>
        </w:tc>
      </w:tr>
    </w:tbl>
    <w:p>
      <w:pPr>
        <w:rPr>
          <w:rFonts w:hint="eastAsia" w:ascii="宋体" w:hAnsi="宋体" w:eastAsia="宋体" w:cs="宋体"/>
          <w:b w:val="0"/>
          <w:bCs w:val="0"/>
          <w:color w:val="auto"/>
          <w:sz w:val="21"/>
          <w:szCs w:val="21"/>
          <w:highlight w:val="none"/>
          <w:lang w:val="en-US" w:eastAsia="zh-CN"/>
        </w:rPr>
      </w:pPr>
    </w:p>
    <w:p>
      <w:pPr>
        <w:autoSpaceDE w:val="0"/>
        <w:autoSpaceDN w:val="0"/>
        <w:adjustRightInd w:val="0"/>
        <w:jc w:val="center"/>
        <w:rPr>
          <w:rFonts w:hint="eastAsia" w:ascii="宋体" w:hAnsi="宋体" w:eastAsia="宋体" w:cs="宋体"/>
          <w:b/>
          <w:bCs/>
          <w:color w:val="auto"/>
          <w:kern w:val="0"/>
          <w:sz w:val="32"/>
          <w:szCs w:val="32"/>
          <w:highlight w:val="none"/>
        </w:rPr>
      </w:pPr>
    </w:p>
    <w:p>
      <w:pPr>
        <w:pStyle w:val="2"/>
        <w:rPr>
          <w:rFonts w:hint="eastAsia" w:ascii="宋体" w:hAnsi="宋体" w:eastAsia="宋体" w:cs="宋体"/>
          <w:b/>
          <w:bCs/>
          <w:color w:val="auto"/>
          <w:kern w:val="0"/>
          <w:sz w:val="32"/>
          <w:szCs w:val="32"/>
          <w:highlight w:val="none"/>
        </w:rPr>
      </w:pPr>
    </w:p>
    <w:p>
      <w:pPr>
        <w:rPr>
          <w:rFonts w:hint="eastAsia" w:ascii="宋体" w:hAnsi="宋体" w:eastAsia="宋体" w:cs="宋体"/>
          <w:b/>
          <w:bCs/>
          <w:color w:val="auto"/>
          <w:kern w:val="0"/>
          <w:sz w:val="32"/>
          <w:szCs w:val="32"/>
          <w:highlight w:val="none"/>
        </w:rPr>
      </w:pPr>
    </w:p>
    <w:p>
      <w:pPr>
        <w:pStyle w:val="2"/>
        <w:rPr>
          <w:rFonts w:hint="eastAsia" w:ascii="宋体" w:hAnsi="宋体" w:eastAsia="宋体" w:cs="宋体"/>
          <w:b/>
          <w:bCs/>
          <w:color w:val="auto"/>
          <w:kern w:val="0"/>
          <w:sz w:val="32"/>
          <w:szCs w:val="32"/>
          <w:highlight w:val="none"/>
        </w:rPr>
      </w:pPr>
    </w:p>
    <w:p>
      <w:pPr>
        <w:rPr>
          <w:rFonts w:hint="eastAsia" w:ascii="宋体" w:hAnsi="宋体" w:eastAsia="宋体" w:cs="宋体"/>
          <w:b/>
          <w:bCs/>
          <w:color w:val="auto"/>
          <w:kern w:val="0"/>
          <w:sz w:val="32"/>
          <w:szCs w:val="32"/>
          <w:highlight w:val="none"/>
        </w:rPr>
      </w:pPr>
    </w:p>
    <w:p>
      <w:pPr>
        <w:rPr>
          <w:rFonts w:hint="eastAsia" w:ascii="宋体" w:hAnsi="宋体" w:eastAsia="宋体" w:cs="宋体"/>
          <w:b/>
          <w:bCs/>
          <w:color w:val="auto"/>
          <w:kern w:val="0"/>
          <w:sz w:val="32"/>
          <w:szCs w:val="32"/>
          <w:highlight w:val="none"/>
        </w:rPr>
      </w:pPr>
    </w:p>
    <w:p>
      <w:pPr>
        <w:pStyle w:val="2"/>
        <w:rPr>
          <w:rFonts w:hint="eastAsia" w:ascii="宋体" w:hAnsi="宋体" w:eastAsia="宋体" w:cs="宋体"/>
          <w:b/>
          <w:bCs/>
          <w:color w:val="auto"/>
          <w:kern w:val="0"/>
          <w:sz w:val="32"/>
          <w:szCs w:val="32"/>
          <w:highlight w:val="none"/>
        </w:rPr>
      </w:pPr>
    </w:p>
    <w:p>
      <w:pPr>
        <w:rPr>
          <w:rFonts w:hint="eastAsia"/>
          <w:color w:val="auto"/>
        </w:rPr>
      </w:pPr>
    </w:p>
    <w:p>
      <w:pPr>
        <w:rPr>
          <w:rFonts w:hint="eastAsia" w:ascii="宋体" w:hAnsi="宋体" w:eastAsia="宋体" w:cs="宋体"/>
          <w:b/>
          <w:bCs/>
          <w:color w:val="auto"/>
          <w:kern w:val="0"/>
          <w:sz w:val="32"/>
          <w:szCs w:val="32"/>
          <w:highlight w:val="none"/>
        </w:rPr>
      </w:pPr>
    </w:p>
    <w:p>
      <w:pPr>
        <w:pStyle w:val="2"/>
        <w:rPr>
          <w:rFonts w:hint="eastAsia"/>
          <w:color w:val="auto"/>
          <w:highlight w:val="none"/>
        </w:rPr>
      </w:pPr>
    </w:p>
    <w:p>
      <w:pPr>
        <w:spacing w:line="590" w:lineRule="exact"/>
        <w:rPr>
          <w:rFonts w:hint="eastAsia" w:ascii="仿宋" w:hAnsi="仿宋" w:eastAsia="仿宋" w:cs="仿宋"/>
          <w:color w:val="auto"/>
          <w:sz w:val="32"/>
          <w:szCs w:val="32"/>
          <w:highlight w:val="none"/>
        </w:rPr>
      </w:pPr>
    </w:p>
    <w:p>
      <w:pPr>
        <w:spacing w:line="590" w:lineRule="exact"/>
        <w:rPr>
          <w:rFonts w:hint="eastAsia" w:ascii="黑体" w:eastAsia="黑体"/>
          <w:color w:val="auto"/>
          <w:sz w:val="32"/>
          <w:szCs w:val="32"/>
          <w:highlight w:val="none"/>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w:t>
      </w:r>
    </w:p>
    <w:p>
      <w:pPr>
        <w:autoSpaceDE w:val="0"/>
        <w:autoSpaceDN w:val="0"/>
        <w:adjustRightInd w:val="0"/>
        <w:jc w:val="center"/>
        <w:rPr>
          <w:rFonts w:hint="eastAsia" w:ascii="宋体" w:hAnsi="宋体" w:eastAsia="宋体" w:cs="宋体"/>
          <w:b/>
          <w:bCs/>
          <w:color w:val="auto"/>
          <w:kern w:val="0"/>
          <w:sz w:val="32"/>
          <w:szCs w:val="32"/>
          <w:highlight w:val="none"/>
          <w:lang w:val="en-US" w:eastAsia="zh-CN"/>
        </w:rPr>
      </w:pPr>
      <w:r>
        <w:rPr>
          <w:rFonts w:hint="eastAsia" w:ascii="宋体" w:hAnsi="宋体" w:eastAsia="宋体" w:cs="宋体"/>
          <w:b/>
          <w:bCs/>
          <w:color w:val="auto"/>
          <w:kern w:val="0"/>
          <w:sz w:val="32"/>
          <w:szCs w:val="32"/>
          <w:highlight w:val="none"/>
        </w:rPr>
        <w:t>节点时花</w:t>
      </w:r>
      <w:r>
        <w:rPr>
          <w:rFonts w:hint="eastAsia" w:ascii="宋体" w:hAnsi="宋体" w:cs="宋体"/>
          <w:b/>
          <w:bCs/>
          <w:color w:val="auto"/>
          <w:kern w:val="0"/>
          <w:sz w:val="32"/>
          <w:szCs w:val="32"/>
          <w:highlight w:val="none"/>
          <w:lang w:val="en-US" w:eastAsia="zh-CN"/>
        </w:rPr>
        <w:t>管养</w:t>
      </w:r>
      <w:r>
        <w:rPr>
          <w:rFonts w:hint="eastAsia" w:ascii="宋体" w:hAnsi="宋体" w:eastAsia="宋体" w:cs="宋体"/>
          <w:b/>
          <w:bCs/>
          <w:color w:val="auto"/>
          <w:kern w:val="0"/>
          <w:sz w:val="32"/>
          <w:szCs w:val="32"/>
          <w:highlight w:val="none"/>
        </w:rPr>
        <w:t>考核</w:t>
      </w:r>
      <w:r>
        <w:rPr>
          <w:rFonts w:hint="eastAsia" w:ascii="宋体" w:hAnsi="宋体" w:eastAsia="宋体" w:cs="宋体"/>
          <w:b/>
          <w:bCs/>
          <w:color w:val="auto"/>
          <w:kern w:val="0"/>
          <w:sz w:val="32"/>
          <w:szCs w:val="32"/>
          <w:highlight w:val="none"/>
          <w:lang w:val="en-US" w:eastAsia="zh-CN"/>
        </w:rPr>
        <w:t>办法</w:t>
      </w:r>
    </w:p>
    <w:p>
      <w:pPr>
        <w:autoSpaceDE w:val="0"/>
        <w:autoSpaceDN w:val="0"/>
        <w:adjustRightInd w:val="0"/>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考核对象：                                 </w:t>
      </w:r>
      <w:r>
        <w:rPr>
          <w:rFonts w:hint="eastAsia" w:ascii="宋体"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考核时间：</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kern w:val="0"/>
          <w:sz w:val="21"/>
          <w:szCs w:val="21"/>
          <w:highlight w:val="none"/>
        </w:rPr>
        <w:t xml:space="preserve">   </w:t>
      </w:r>
    </w:p>
    <w:tbl>
      <w:tblPr>
        <w:tblStyle w:val="63"/>
        <w:tblpPr w:leftFromText="180" w:rightFromText="180" w:vertAnchor="text" w:horzAnchor="page" w:tblpX="1695" w:tblpY="319"/>
        <w:tblOverlap w:val="never"/>
        <w:tblW w:w="8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5401"/>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考核</w:t>
            </w:r>
          </w:p>
          <w:p>
            <w:pPr>
              <w:spacing w:line="320" w:lineRule="exact"/>
              <w:jc w:val="center"/>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rPr>
              <w:t>项目</w:t>
            </w:r>
          </w:p>
        </w:tc>
        <w:tc>
          <w:tcPr>
            <w:tcW w:w="5401" w:type="dxa"/>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考核标准</w:t>
            </w:r>
          </w:p>
        </w:tc>
        <w:tc>
          <w:tcPr>
            <w:tcW w:w="2212" w:type="dxa"/>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color w:val="auto"/>
                <w:sz w:val="21"/>
                <w:szCs w:val="21"/>
                <w:highlight w:val="none"/>
                <w:lang w:val="en-US" w:eastAsia="zh-CN"/>
              </w:rPr>
              <w:t>扣除分值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Merge w:val="restart"/>
            <w:textDirection w:val="tbRlV"/>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节点时花养护</w:t>
            </w: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花坛花箱内无时花，时花倒伏、枯枝残花、杂草垃圾、黄土裸露等</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土壤板结、过高。</w:t>
            </w:r>
          </w:p>
          <w:p>
            <w:pPr>
              <w:widowControl/>
              <w:jc w:val="left"/>
              <w:rPr>
                <w:rFonts w:hint="eastAsia" w:ascii="宋体" w:hAnsi="宋体" w:eastAsia="宋体" w:cs="宋体"/>
                <w:b w:val="0"/>
                <w:bCs w:val="0"/>
                <w:color w:val="auto"/>
                <w:kern w:val="0"/>
                <w:sz w:val="21"/>
                <w:szCs w:val="21"/>
                <w:highlight w:val="none"/>
              </w:rPr>
            </w:pP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绿化补种不规范，监管不到位致绿化破坏。</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杂草、杂株未发现及时修剪</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时花生长不健壮，不艳丽</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64" w:type="dxa"/>
            <w:vMerge w:val="restart"/>
            <w:textDirection w:val="tbRlV"/>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eastAsia="zh-CN"/>
              </w:rPr>
              <w:t>病虫</w:t>
            </w:r>
            <w:r>
              <w:rPr>
                <w:rFonts w:hint="eastAsia" w:ascii="宋体" w:hAnsi="宋体" w:eastAsia="宋体" w:cs="宋体"/>
                <w:b w:val="0"/>
                <w:bCs w:val="0"/>
                <w:color w:val="auto"/>
                <w:kern w:val="0"/>
                <w:sz w:val="21"/>
                <w:szCs w:val="21"/>
                <w:highlight w:val="none"/>
              </w:rPr>
              <w:t>害防治</w:t>
            </w: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未能及时掌握病虫害而导致病虫害发生</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发现病虫害后不能及时进行防治措施</w:t>
            </w:r>
          </w:p>
        </w:tc>
        <w:tc>
          <w:tcPr>
            <w:tcW w:w="2212" w:type="dxa"/>
            <w:vAlign w:val="center"/>
          </w:tcPr>
          <w:p>
            <w:pPr>
              <w:autoSpaceDE w:val="0"/>
              <w:autoSpaceDN w:val="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食叶性害虫危害植株每株多于5%叶片</w:t>
            </w:r>
          </w:p>
        </w:tc>
        <w:tc>
          <w:tcPr>
            <w:tcW w:w="2212" w:type="dxa"/>
            <w:vAlign w:val="center"/>
          </w:tcPr>
          <w:p>
            <w:pPr>
              <w:autoSpaceDE w:val="0"/>
              <w:autoSpaceDN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危害叶片多于10%以上</w:t>
            </w:r>
          </w:p>
        </w:tc>
        <w:tc>
          <w:tcPr>
            <w:tcW w:w="2212" w:type="dxa"/>
            <w:vAlign w:val="center"/>
          </w:tcPr>
          <w:p>
            <w:pPr>
              <w:autoSpaceDE w:val="0"/>
              <w:autoSpaceDN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64" w:type="dxa"/>
            <w:vMerge w:val="restart"/>
            <w:textDirection w:val="tbRlV"/>
            <w:vAlign w:val="center"/>
          </w:tcPr>
          <w:p>
            <w:pPr>
              <w:spacing w:line="320" w:lineRule="exact"/>
              <w:ind w:left="0" w:leftChars="0" w:firstLine="0" w:firstLineChars="0"/>
              <w:jc w:val="both"/>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卫生管理</w:t>
            </w: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绿地内有垃圾、石块等杂物</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64" w:type="dxa"/>
            <w:vMerge w:val="continue"/>
            <w:vAlign w:val="center"/>
          </w:tcPr>
          <w:p>
            <w:pPr>
              <w:spacing w:line="320" w:lineRule="exact"/>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积尘明</w:t>
            </w:r>
            <w:r>
              <w:rPr>
                <w:rFonts w:hint="eastAsia" w:ascii="宋体" w:hAnsi="宋体" w:eastAsia="宋体" w:cs="宋体"/>
                <w:b w:val="0"/>
                <w:bCs w:val="0"/>
                <w:color w:val="auto"/>
                <w:kern w:val="0"/>
                <w:sz w:val="21"/>
                <w:szCs w:val="21"/>
                <w:highlight w:val="none"/>
                <w:lang w:eastAsia="zh-CN"/>
              </w:rPr>
              <w:t>显，</w:t>
            </w:r>
            <w:r>
              <w:rPr>
                <w:rFonts w:hint="eastAsia" w:ascii="宋体" w:hAnsi="宋体" w:eastAsia="宋体" w:cs="宋体"/>
                <w:b w:val="0"/>
                <w:bCs w:val="0"/>
                <w:color w:val="auto"/>
                <w:kern w:val="0"/>
                <w:sz w:val="21"/>
                <w:szCs w:val="21"/>
                <w:highlight w:val="none"/>
              </w:rPr>
              <w:t>叶面积灰</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64" w:type="dxa"/>
            <w:vMerge w:val="restart"/>
            <w:textDirection w:val="tbRlV"/>
            <w:vAlign w:val="center"/>
          </w:tcPr>
          <w:p>
            <w:pPr>
              <w:spacing w:line="320" w:lineRule="exact"/>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管理工作</w:t>
            </w: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养护人员不到位</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Merge w:val="continue"/>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养护作业人员穿着不整齐统一，上路作业不穿有反光条的工作服，不文明作业</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Merge w:val="continue"/>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p>
        </w:tc>
        <w:tc>
          <w:tcPr>
            <w:tcW w:w="5401" w:type="dxa"/>
            <w:vAlign w:val="center"/>
          </w:tcPr>
          <w:p>
            <w:pPr>
              <w:widowControl/>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一旦发现违章占绿或违法建设情况，不能提供相关审批许可的，没有及时上报绿化管理单位的</w:t>
            </w:r>
          </w:p>
        </w:tc>
        <w:tc>
          <w:tcPr>
            <w:tcW w:w="2212" w:type="dxa"/>
            <w:vAlign w:val="center"/>
          </w:tcPr>
          <w:p>
            <w:pPr>
              <w:autoSpaceDE w:val="0"/>
              <w:autoSpaceDN w:val="0"/>
              <w:adjustRightInd w:val="0"/>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0.2分-1分/处</w:t>
            </w:r>
          </w:p>
        </w:tc>
      </w:tr>
    </w:tbl>
    <w:p>
      <w:pPr>
        <w:widowControl/>
        <w:rPr>
          <w:rFonts w:hint="eastAsia" w:ascii="宋体" w:hAnsi="宋体" w:eastAsia="宋体" w:cs="宋体"/>
          <w:b w:val="0"/>
          <w:bCs w:val="0"/>
          <w:color w:val="auto"/>
          <w:sz w:val="21"/>
          <w:szCs w:val="21"/>
          <w:highlight w:val="none"/>
        </w:rPr>
      </w:pPr>
    </w:p>
    <w:p>
      <w:pPr>
        <w:widowControl/>
        <w:rPr>
          <w:rFonts w:hint="eastAsia" w:ascii="宋体" w:hAnsi="宋体" w:eastAsia="宋体" w:cs="宋体"/>
          <w:b w:val="0"/>
          <w:bCs w:val="0"/>
          <w:color w:val="auto"/>
          <w:sz w:val="21"/>
          <w:szCs w:val="21"/>
          <w:highlight w:val="none"/>
        </w:rPr>
      </w:pPr>
    </w:p>
    <w:p>
      <w:pPr>
        <w:widowControl/>
        <w:rPr>
          <w:rFonts w:hint="eastAsia" w:ascii="仿宋_GB2312" w:hAnsi="仿宋" w:eastAsia="仿宋_GB2312" w:cs="仿宋"/>
          <w:color w:val="auto"/>
          <w:sz w:val="24"/>
          <w:szCs w:val="24"/>
          <w:highlight w:val="none"/>
        </w:rPr>
      </w:pPr>
      <w:r>
        <w:rPr>
          <w:rFonts w:hint="eastAsia" w:ascii="宋体" w:hAnsi="宋体" w:eastAsia="宋体" w:cs="宋体"/>
          <w:b w:val="0"/>
          <w:bCs w:val="0"/>
          <w:color w:val="auto"/>
          <w:sz w:val="21"/>
          <w:szCs w:val="21"/>
          <w:highlight w:val="none"/>
          <w:lang w:val="en-US" w:eastAsia="zh-CN"/>
        </w:rPr>
        <w:t xml:space="preserve"> </w:t>
      </w:r>
    </w:p>
    <w:p>
      <w:pPr>
        <w:widowControl/>
        <w:rPr>
          <w:rFonts w:hint="eastAsia" w:ascii="仿宋_GB2312" w:hAnsi="仿宋" w:eastAsia="仿宋_GB2312" w:cs="仿宋"/>
          <w:color w:val="auto"/>
          <w:sz w:val="24"/>
          <w:szCs w:val="24"/>
          <w:highlight w:val="none"/>
        </w:rPr>
      </w:pPr>
    </w:p>
    <w:p>
      <w:pPr>
        <w:widowControl/>
        <w:rPr>
          <w:rFonts w:hint="eastAsia" w:ascii="仿宋_GB2312" w:hAnsi="仿宋" w:eastAsia="仿宋_GB2312" w:cs="仿宋"/>
          <w:color w:val="auto"/>
          <w:sz w:val="24"/>
          <w:szCs w:val="24"/>
          <w:highlight w:val="none"/>
        </w:rPr>
      </w:pPr>
    </w:p>
    <w:p>
      <w:pPr>
        <w:widowControl/>
        <w:rPr>
          <w:rFonts w:hint="eastAsia" w:ascii="仿宋" w:hAnsi="仿宋" w:eastAsia="仿宋" w:cs="仿宋"/>
          <w:color w:val="auto"/>
          <w:sz w:val="32"/>
          <w:szCs w:val="32"/>
          <w:highlight w:val="none"/>
          <w:lang w:eastAsia="zh-CN"/>
        </w:rPr>
      </w:pPr>
      <w:r>
        <w:rPr>
          <w:rFonts w:hint="eastAsia" w:ascii="仿宋_GB2312" w:hAnsi="仿宋" w:eastAsia="仿宋_GB2312" w:cs="仿宋"/>
          <w:color w:val="auto"/>
          <w:sz w:val="24"/>
          <w:szCs w:val="24"/>
          <w:highlight w:val="none"/>
        </w:rPr>
        <w:t>备注:</w:t>
      </w:r>
      <w:r>
        <w:rPr>
          <w:rFonts w:hint="eastAsia" w:ascii="仿宋_GB2312" w:eastAsia="仿宋_GB2312"/>
          <w:color w:val="auto"/>
          <w:sz w:val="24"/>
          <w:szCs w:val="24"/>
          <w:highlight w:val="none"/>
        </w:rPr>
        <w:t>绿化考核扣分比重按照一类道路100%，二类道路90%，三类道路80%，其他道路70%予以扣款。</w:t>
      </w:r>
    </w:p>
    <w:p>
      <w:pPr>
        <w:widowControl/>
        <w:rPr>
          <w:rFonts w:hint="eastAsia" w:ascii="仿宋" w:hAnsi="仿宋" w:eastAsia="仿宋" w:cs="仿宋"/>
          <w:color w:val="auto"/>
          <w:sz w:val="32"/>
          <w:szCs w:val="32"/>
          <w:highlight w:val="none"/>
          <w:lang w:eastAsia="zh-CN"/>
        </w:rPr>
      </w:pPr>
    </w:p>
    <w:p>
      <w:pPr>
        <w:pStyle w:val="2"/>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color w:val="auto"/>
          <w:highlight w:val="none"/>
          <w:lang w:eastAsia="zh-CN"/>
        </w:rPr>
      </w:pPr>
    </w:p>
    <w:p>
      <w:pPr>
        <w:widowControl/>
        <w:rPr>
          <w:rFonts w:hint="eastAsia" w:ascii="仿宋" w:hAnsi="仿宋" w:eastAsia="仿宋" w:cs="仿宋"/>
          <w:color w:val="auto"/>
          <w:sz w:val="32"/>
          <w:szCs w:val="32"/>
          <w:highlight w:val="none"/>
          <w:lang w:eastAsia="zh-CN"/>
        </w:rPr>
      </w:pPr>
    </w:p>
    <w:p>
      <w:pPr>
        <w:widowControl/>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w:t>
      </w:r>
    </w:p>
    <w:p>
      <w:pPr>
        <w:spacing w:line="590" w:lineRule="exact"/>
        <w:jc w:val="center"/>
        <w:rPr>
          <w:rFonts w:hint="eastAsia" w:ascii="方正小标宋简体" w:eastAsia="方正小标宋简体"/>
          <w:color w:val="auto"/>
          <w:sz w:val="44"/>
          <w:szCs w:val="44"/>
          <w:highlight w:val="none"/>
          <w:lang w:eastAsia="zh-CN"/>
        </w:rPr>
      </w:pPr>
      <w:r>
        <w:rPr>
          <w:rFonts w:hint="eastAsia" w:ascii="方正小标宋简体" w:eastAsia="方正小标宋简体"/>
          <w:color w:val="auto"/>
          <w:sz w:val="44"/>
          <w:szCs w:val="44"/>
          <w:highlight w:val="none"/>
          <w:lang w:eastAsia="zh-CN"/>
        </w:rPr>
        <w:t>五常街道路灯（景观灯）设施考核细则</w:t>
      </w:r>
    </w:p>
    <w:tbl>
      <w:tblPr>
        <w:tblStyle w:val="63"/>
        <w:tblpPr w:leftFromText="180" w:rightFromText="180" w:vertAnchor="text" w:horzAnchor="page" w:tblpX="2220" w:tblpY="509"/>
        <w:tblOverlap w:val="never"/>
        <w:tblW w:w="7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5172"/>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autoSpaceDE w:val="0"/>
              <w:autoSpaceDN w:val="0"/>
              <w:adjustRightInd w:val="0"/>
              <w:jc w:val="center"/>
              <w:rPr>
                <w:rFonts w:hint="eastAsia" w:ascii="宋体" w:eastAsia="宋体"/>
                <w:b/>
                <w:color w:val="auto"/>
                <w:kern w:val="0"/>
                <w:sz w:val="24"/>
                <w:szCs w:val="24"/>
                <w:highlight w:val="none"/>
                <w:lang w:val="en-US" w:eastAsia="zh-CN"/>
              </w:rPr>
            </w:pPr>
            <w:r>
              <w:rPr>
                <w:rFonts w:hint="eastAsia" w:ascii="仿宋_GB2312" w:eastAsia="仿宋_GB2312" w:cs="宋体"/>
                <w:b/>
                <w:color w:val="auto"/>
                <w:kern w:val="0"/>
                <w:sz w:val="24"/>
                <w:szCs w:val="24"/>
                <w:highlight w:val="none"/>
                <w:lang w:val="en-US" w:eastAsia="zh-CN"/>
              </w:rPr>
              <w:t>考核项目</w:t>
            </w:r>
          </w:p>
        </w:tc>
        <w:tc>
          <w:tcPr>
            <w:tcW w:w="5172" w:type="dxa"/>
            <w:vAlign w:val="center"/>
          </w:tcPr>
          <w:p>
            <w:pPr>
              <w:autoSpaceDE w:val="0"/>
              <w:autoSpaceDN w:val="0"/>
              <w:adjustRightInd w:val="0"/>
              <w:jc w:val="center"/>
              <w:rPr>
                <w:rFonts w:hint="eastAsia" w:ascii="宋体"/>
                <w:color w:val="auto"/>
                <w:kern w:val="0"/>
                <w:sz w:val="24"/>
                <w:szCs w:val="24"/>
                <w:highlight w:val="none"/>
              </w:rPr>
            </w:pPr>
            <w:r>
              <w:rPr>
                <w:rFonts w:hint="eastAsia" w:ascii="仿宋_GB2312" w:eastAsia="仿宋_GB2312" w:cs="宋体"/>
                <w:b/>
                <w:color w:val="auto"/>
                <w:kern w:val="0"/>
                <w:sz w:val="24"/>
                <w:szCs w:val="24"/>
                <w:highlight w:val="none"/>
              </w:rPr>
              <w:t>考核标准</w:t>
            </w:r>
          </w:p>
        </w:tc>
        <w:tc>
          <w:tcPr>
            <w:tcW w:w="1968" w:type="dxa"/>
            <w:vAlign w:val="center"/>
          </w:tcPr>
          <w:p>
            <w:pPr>
              <w:autoSpaceDE w:val="0"/>
              <w:autoSpaceDN w:val="0"/>
              <w:adjustRightInd w:val="0"/>
              <w:jc w:val="center"/>
              <w:rPr>
                <w:rFonts w:hint="eastAsia" w:ascii="宋体"/>
                <w:color w:val="auto"/>
                <w:kern w:val="0"/>
                <w:sz w:val="24"/>
                <w:szCs w:val="24"/>
                <w:highlight w:val="none"/>
              </w:rPr>
            </w:pPr>
            <w:r>
              <w:rPr>
                <w:rFonts w:hint="eastAsia" w:ascii="仿宋_GB2312" w:eastAsia="仿宋_GB2312"/>
                <w:b/>
                <w:color w:val="auto"/>
                <w:sz w:val="24"/>
                <w:szCs w:val="24"/>
                <w:highlight w:val="none"/>
              </w:rPr>
              <w:t>扣款金额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extDirection w:val="tbRlV"/>
            <w:vAlign w:val="center"/>
          </w:tcPr>
          <w:p>
            <w:pPr>
              <w:spacing w:line="320" w:lineRule="exact"/>
              <w:jc w:val="center"/>
              <w:rPr>
                <w:rFonts w:hint="eastAsia" w:ascii="仿宋_GB2312" w:eastAsia="仿宋_GB2312" w:cs="宋体"/>
                <w:color w:val="auto"/>
                <w:kern w:val="0"/>
                <w:sz w:val="24"/>
                <w:szCs w:val="24"/>
                <w:highlight w:val="none"/>
              </w:rPr>
            </w:pPr>
            <w:r>
              <w:rPr>
                <w:rFonts w:hint="eastAsia" w:ascii="仿宋_GB2312" w:eastAsia="仿宋_GB2312" w:cs="宋体"/>
                <w:color w:val="auto"/>
                <w:kern w:val="0"/>
                <w:sz w:val="24"/>
                <w:szCs w:val="24"/>
                <w:highlight w:val="none"/>
              </w:rPr>
              <w:t>路灯养护</w:t>
            </w:r>
          </w:p>
        </w:tc>
        <w:tc>
          <w:tcPr>
            <w:tcW w:w="5172" w:type="dxa"/>
            <w:vAlign w:val="center"/>
          </w:tcPr>
          <w:p>
            <w:pPr>
              <w:autoSpaceDE w:val="0"/>
              <w:autoSpaceDN w:val="0"/>
              <w:adjustRightInd w:val="0"/>
              <w:jc w:val="center"/>
              <w:rPr>
                <w:rFonts w:hint="eastAsia" w:ascii="宋体"/>
                <w:color w:val="auto"/>
                <w:kern w:val="0"/>
                <w:sz w:val="24"/>
                <w:szCs w:val="24"/>
                <w:highlight w:val="none"/>
              </w:rPr>
            </w:pPr>
            <w:r>
              <w:rPr>
                <w:rFonts w:hint="eastAsia" w:ascii="宋体" w:hAnsi="宋体"/>
                <w:color w:val="auto"/>
                <w:kern w:val="0"/>
                <w:sz w:val="24"/>
                <w:szCs w:val="24"/>
                <w:highlight w:val="none"/>
              </w:rPr>
              <w:t>路灯设施完好率达98%，亮灯率达98%，城市照明及其附属设施外观整洁、安全、完好</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rPr>
              <w:t>低于养护标准</w:t>
            </w:r>
          </w:p>
        </w:tc>
        <w:tc>
          <w:tcPr>
            <w:tcW w:w="1968" w:type="dxa"/>
            <w:vAlign w:val="center"/>
          </w:tcPr>
          <w:p>
            <w:pPr>
              <w:autoSpaceDE w:val="0"/>
              <w:autoSpaceDN w:val="0"/>
              <w:adjustRightInd w:val="0"/>
              <w:jc w:val="center"/>
              <w:rPr>
                <w:rFonts w:hint="eastAsia" w:ascii="宋体" w:eastAsia="宋体"/>
                <w:color w:val="auto"/>
                <w:kern w:val="0"/>
                <w:sz w:val="24"/>
                <w:szCs w:val="24"/>
                <w:highlight w:val="none"/>
                <w:lang w:val="en-US" w:eastAsia="zh-CN"/>
              </w:rPr>
            </w:pPr>
            <w:r>
              <w:rPr>
                <w:rFonts w:hint="eastAsia" w:ascii="仿宋_GB2312" w:eastAsia="仿宋_GB2312"/>
                <w:color w:val="auto"/>
                <w:sz w:val="24"/>
                <w:szCs w:val="24"/>
                <w:highlight w:val="none"/>
                <w:lang w:val="en-US" w:eastAsia="zh-CN"/>
              </w:rPr>
              <w:t>100元/盏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color w:val="auto"/>
                <w:kern w:val="0"/>
                <w:sz w:val="24"/>
                <w:szCs w:val="24"/>
                <w:highlight w:val="none"/>
              </w:rPr>
            </w:pPr>
            <w:r>
              <w:rPr>
                <w:rFonts w:hint="eastAsia" w:ascii="宋体" w:hAnsi="宋体"/>
                <w:color w:val="auto"/>
                <w:kern w:val="0"/>
                <w:sz w:val="24"/>
                <w:szCs w:val="24"/>
                <w:highlight w:val="none"/>
              </w:rPr>
              <w:t>按时亮灯熄灯，在盛夏高温季节按照有序用电要求实施亮灯</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rPr>
              <w:t>不按时亮熄灯</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color w:val="auto"/>
                <w:kern w:val="0"/>
                <w:sz w:val="24"/>
                <w:szCs w:val="24"/>
                <w:highlight w:val="none"/>
              </w:rPr>
            </w:pPr>
            <w:r>
              <w:rPr>
                <w:rFonts w:hint="eastAsia" w:ascii="宋体" w:hAnsi="宋体"/>
                <w:color w:val="auto"/>
                <w:kern w:val="0"/>
                <w:sz w:val="24"/>
                <w:szCs w:val="24"/>
                <w:highlight w:val="none"/>
              </w:rPr>
              <w:t>路灯设施倾斜、缺损（设施被盗现象除外，设施被盗应以报案受理单为准）</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rPr>
                <w:rFonts w:hint="eastAsia" w:ascii="宋体"/>
                <w:color w:val="auto"/>
                <w:kern w:val="0"/>
                <w:sz w:val="24"/>
                <w:szCs w:val="24"/>
                <w:highlight w:val="none"/>
              </w:rPr>
            </w:pPr>
            <w:r>
              <w:rPr>
                <w:rFonts w:hint="eastAsia" w:ascii="宋体" w:hAnsi="宋体"/>
                <w:color w:val="auto"/>
                <w:kern w:val="0"/>
                <w:sz w:val="24"/>
                <w:szCs w:val="24"/>
                <w:highlight w:val="none"/>
              </w:rPr>
              <w:t>内部线路连接整齐、牢固，无缺亮、断亮现象；控制箱完好无损</w:t>
            </w:r>
            <w:r>
              <w:rPr>
                <w:rFonts w:hint="eastAsia" w:ascii="宋体" w:hAnsi="宋体"/>
                <w:color w:val="auto"/>
                <w:kern w:val="0"/>
                <w:sz w:val="24"/>
                <w:szCs w:val="24"/>
                <w:highlight w:val="none"/>
                <w:lang w:eastAsia="zh-CN"/>
              </w:rPr>
              <w:t>，不符标准</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24" w:type="dxa"/>
            <w:vMerge w:val="restart"/>
            <w:textDirection w:val="tbRlV"/>
            <w:vAlign w:val="center"/>
          </w:tcPr>
          <w:p>
            <w:pPr>
              <w:spacing w:line="320" w:lineRule="exact"/>
              <w:jc w:val="center"/>
              <w:rPr>
                <w:rFonts w:hint="eastAsia" w:ascii="仿宋_GB2312" w:eastAsia="仿宋_GB2312" w:cs="宋体"/>
                <w:color w:val="auto"/>
                <w:kern w:val="0"/>
                <w:sz w:val="24"/>
                <w:szCs w:val="24"/>
                <w:highlight w:val="none"/>
              </w:rPr>
            </w:pPr>
            <w:r>
              <w:rPr>
                <w:rFonts w:hint="eastAsia" w:ascii="仿宋_GB2312" w:eastAsia="仿宋_GB2312" w:cs="宋体"/>
                <w:color w:val="auto"/>
                <w:kern w:val="0"/>
                <w:sz w:val="24"/>
                <w:szCs w:val="24"/>
                <w:highlight w:val="none"/>
              </w:rPr>
              <w:t>卫生管理</w:t>
            </w:r>
          </w:p>
        </w:tc>
        <w:tc>
          <w:tcPr>
            <w:tcW w:w="5172" w:type="dxa"/>
            <w:vAlign w:val="center"/>
          </w:tcPr>
          <w:p>
            <w:pPr>
              <w:autoSpaceDE w:val="0"/>
              <w:autoSpaceDN w:val="0"/>
              <w:jc w:val="left"/>
              <w:rPr>
                <w:rFonts w:ascii="宋体" w:hAnsi="宋体"/>
                <w:color w:val="auto"/>
                <w:kern w:val="0"/>
                <w:sz w:val="24"/>
                <w:szCs w:val="24"/>
                <w:highlight w:val="none"/>
              </w:rPr>
            </w:pPr>
            <w:r>
              <w:rPr>
                <w:rFonts w:hint="eastAsia" w:ascii="宋体" w:hAnsi="宋体"/>
                <w:color w:val="auto"/>
                <w:kern w:val="0"/>
                <w:sz w:val="24"/>
                <w:szCs w:val="24"/>
                <w:highlight w:val="none"/>
              </w:rPr>
              <w:t>灯上</w:t>
            </w:r>
            <w:r>
              <w:rPr>
                <w:rFonts w:hint="eastAsia" w:ascii="宋体" w:hAnsi="宋体"/>
                <w:color w:val="auto"/>
                <w:kern w:val="0"/>
                <w:sz w:val="24"/>
                <w:szCs w:val="24"/>
                <w:highlight w:val="none"/>
                <w:lang w:eastAsia="zh-CN"/>
              </w:rPr>
              <w:t>有</w:t>
            </w:r>
            <w:r>
              <w:rPr>
                <w:rFonts w:hint="eastAsia" w:ascii="宋体" w:hAnsi="宋体"/>
                <w:color w:val="auto"/>
                <w:kern w:val="0"/>
                <w:sz w:val="24"/>
                <w:szCs w:val="24"/>
                <w:highlight w:val="none"/>
              </w:rPr>
              <w:t>杂物（如：垃圾袋、铁丝、零乱草绳等）和挂晾衣物等情况</w:t>
            </w:r>
            <w:r>
              <w:rPr>
                <w:rFonts w:hint="eastAsia" w:ascii="宋体" w:hAnsi="宋体"/>
                <w:color w:val="auto"/>
                <w:kern w:val="0"/>
                <w:sz w:val="24"/>
                <w:szCs w:val="24"/>
                <w:highlight w:val="none"/>
                <w:lang w:eastAsia="zh-CN"/>
              </w:rPr>
              <w:t>，</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50元/杆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jc w:val="left"/>
              <w:rPr>
                <w:rFonts w:ascii="宋体" w:hAnsi="宋体"/>
                <w:color w:val="auto"/>
                <w:kern w:val="0"/>
                <w:sz w:val="24"/>
                <w:szCs w:val="24"/>
                <w:highlight w:val="none"/>
              </w:rPr>
            </w:pPr>
            <w:r>
              <w:rPr>
                <w:rFonts w:hint="eastAsia" w:ascii="宋体" w:hAnsi="宋体"/>
                <w:color w:val="auto"/>
                <w:kern w:val="0"/>
                <w:sz w:val="24"/>
                <w:szCs w:val="24"/>
                <w:highlight w:val="none"/>
              </w:rPr>
              <w:t>油漆剥落和锈斑、外观不整洁</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50元/杆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24" w:type="dxa"/>
            <w:vMerge w:val="restart"/>
            <w:textDirection w:val="tbRlV"/>
            <w:vAlign w:val="center"/>
          </w:tcPr>
          <w:p>
            <w:pPr>
              <w:spacing w:line="320" w:lineRule="exact"/>
              <w:jc w:val="center"/>
              <w:rPr>
                <w:rFonts w:hint="eastAsia" w:ascii="仿宋_GB2312" w:eastAsia="仿宋_GB2312" w:cs="宋体"/>
                <w:color w:val="auto"/>
                <w:kern w:val="0"/>
                <w:sz w:val="24"/>
                <w:szCs w:val="24"/>
                <w:highlight w:val="none"/>
              </w:rPr>
            </w:pPr>
            <w:r>
              <w:rPr>
                <w:rFonts w:hint="eastAsia" w:ascii="仿宋_GB2312" w:eastAsia="仿宋_GB2312" w:cs="宋体"/>
                <w:color w:val="auto"/>
                <w:kern w:val="0"/>
                <w:sz w:val="24"/>
                <w:szCs w:val="24"/>
                <w:highlight w:val="none"/>
              </w:rPr>
              <w:t>管理工作</w:t>
            </w:r>
          </w:p>
        </w:tc>
        <w:tc>
          <w:tcPr>
            <w:tcW w:w="5172" w:type="dxa"/>
            <w:vAlign w:val="center"/>
          </w:tcPr>
          <w:p>
            <w:pPr>
              <w:autoSpaceDE w:val="0"/>
              <w:autoSpaceDN w:val="0"/>
              <w:adjustRightInd w:val="0"/>
              <w:jc w:val="center"/>
              <w:rPr>
                <w:rFonts w:hint="eastAsia" w:ascii="宋体" w:hAnsi="宋体"/>
                <w:color w:val="auto"/>
                <w:kern w:val="0"/>
                <w:sz w:val="24"/>
                <w:szCs w:val="24"/>
                <w:highlight w:val="none"/>
              </w:rPr>
            </w:pPr>
            <w:r>
              <w:rPr>
                <w:rFonts w:hint="eastAsia" w:ascii="宋体" w:hAnsi="宋体"/>
                <w:color w:val="auto"/>
                <w:kern w:val="0"/>
                <w:sz w:val="24"/>
                <w:szCs w:val="24"/>
                <w:highlight w:val="none"/>
              </w:rPr>
              <w:t>养护人员不到位</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hAnsi="宋体"/>
                <w:color w:val="auto"/>
                <w:kern w:val="0"/>
                <w:sz w:val="24"/>
                <w:szCs w:val="24"/>
                <w:highlight w:val="none"/>
              </w:rPr>
            </w:pPr>
            <w:r>
              <w:rPr>
                <w:rFonts w:hint="eastAsia" w:ascii="宋体" w:hAnsi="宋体"/>
                <w:color w:val="auto"/>
                <w:kern w:val="0"/>
                <w:sz w:val="24"/>
                <w:szCs w:val="24"/>
                <w:highlight w:val="none"/>
              </w:rPr>
              <w:t>路灯养护采用机械化作业，文明安全施工，无安全责任事故</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rPr>
              <w:t>养护作业未到位</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extDirection w:val="tbRlV"/>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hAnsi="宋体"/>
                <w:color w:val="auto"/>
                <w:kern w:val="0"/>
                <w:sz w:val="24"/>
                <w:szCs w:val="24"/>
                <w:highlight w:val="none"/>
              </w:rPr>
            </w:pPr>
            <w:r>
              <w:rPr>
                <w:rFonts w:hint="eastAsia" w:ascii="宋体" w:hAnsi="宋体"/>
                <w:color w:val="auto"/>
                <w:kern w:val="0"/>
                <w:sz w:val="24"/>
                <w:szCs w:val="24"/>
                <w:highlight w:val="none"/>
              </w:rPr>
              <w:t>重大节庆活动、重大会展活动、重大体育赛事、重要接待活动或其他临时应急活动期间的亮灯保障，亮灯保障安全有序，亮灯率100%。一旦发现未亮灯情况，不能提供相关原因的，没有及时上报路灯管理单位的</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textDirection w:val="tbRlV"/>
            <w:vAlign w:val="center"/>
          </w:tcPr>
          <w:p>
            <w:pPr>
              <w:spacing w:line="320" w:lineRule="exact"/>
              <w:jc w:val="center"/>
              <w:rPr>
                <w:rFonts w:hint="eastAsia" w:ascii="仿宋_GB2312" w:eastAsia="仿宋_GB2312" w:cs="宋体"/>
                <w:color w:val="auto"/>
                <w:kern w:val="0"/>
                <w:sz w:val="24"/>
                <w:szCs w:val="24"/>
                <w:highlight w:val="none"/>
              </w:rPr>
            </w:pPr>
            <w:r>
              <w:rPr>
                <w:rFonts w:hint="eastAsia" w:ascii="仿宋_GB2312" w:eastAsia="仿宋_GB2312" w:cs="宋体"/>
                <w:color w:val="auto"/>
                <w:kern w:val="0"/>
                <w:sz w:val="24"/>
                <w:szCs w:val="24"/>
                <w:highlight w:val="none"/>
              </w:rPr>
              <w:t>抄告单及处理</w:t>
            </w:r>
          </w:p>
        </w:tc>
        <w:tc>
          <w:tcPr>
            <w:tcW w:w="5172" w:type="dxa"/>
            <w:vAlign w:val="center"/>
          </w:tcPr>
          <w:p>
            <w:pPr>
              <w:autoSpaceDE w:val="0"/>
              <w:autoSpaceDN w:val="0"/>
              <w:adjustRightInd w:val="0"/>
              <w:jc w:val="center"/>
              <w:rPr>
                <w:rFonts w:hint="eastAsia" w:ascii="宋体" w:hAnsi="宋体"/>
                <w:color w:val="auto"/>
                <w:kern w:val="0"/>
                <w:sz w:val="24"/>
                <w:szCs w:val="24"/>
                <w:highlight w:val="none"/>
              </w:rPr>
            </w:pPr>
            <w:r>
              <w:rPr>
                <w:rFonts w:hint="eastAsia" w:ascii="宋体" w:hAnsi="宋体"/>
                <w:color w:val="auto"/>
                <w:kern w:val="0"/>
                <w:sz w:val="24"/>
                <w:szCs w:val="24"/>
                <w:highlight w:val="none"/>
              </w:rPr>
              <w:t>市查、区查、街道查抄告单未及时整改或整改不彻底的</w:t>
            </w:r>
            <w:r>
              <w:rPr>
                <w:rFonts w:hint="eastAsia" w:ascii="宋体" w:hAnsi="宋体"/>
                <w:color w:val="auto"/>
                <w:kern w:val="0"/>
                <w:sz w:val="24"/>
                <w:szCs w:val="24"/>
                <w:highlight w:val="none"/>
                <w:lang w:eastAsia="zh-CN"/>
              </w:rPr>
              <w:t>；数字城管抄告未在规定期限内整改或整改不到位的。</w:t>
            </w:r>
          </w:p>
        </w:tc>
        <w:tc>
          <w:tcPr>
            <w:tcW w:w="1968" w:type="dxa"/>
            <w:vAlign w:val="center"/>
          </w:tcPr>
          <w:p>
            <w:pPr>
              <w:autoSpaceDE w:val="0"/>
              <w:autoSpaceDN w:val="0"/>
              <w:adjustRightIn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textDirection w:val="tbRlV"/>
            <w:vAlign w:val="center"/>
          </w:tcPr>
          <w:p>
            <w:pPr>
              <w:spacing w:line="320" w:lineRule="exact"/>
              <w:jc w:val="center"/>
              <w:rPr>
                <w:rFonts w:hint="eastAsia" w:ascii="仿宋_GB2312" w:eastAsia="仿宋_GB2312" w:cs="宋体"/>
                <w:color w:val="auto"/>
                <w:kern w:val="0"/>
                <w:sz w:val="24"/>
                <w:szCs w:val="24"/>
                <w:highlight w:val="none"/>
              </w:rPr>
            </w:pPr>
          </w:p>
        </w:tc>
        <w:tc>
          <w:tcPr>
            <w:tcW w:w="5172" w:type="dxa"/>
            <w:vAlign w:val="center"/>
          </w:tcPr>
          <w:p>
            <w:pPr>
              <w:autoSpaceDE w:val="0"/>
              <w:autoSpaceDN w:val="0"/>
              <w:adjustRightInd w:val="0"/>
              <w:jc w:val="center"/>
              <w:rPr>
                <w:rFonts w:hint="eastAsia" w:ascii="宋体" w:hAnsi="宋体" w:eastAsia="宋体" w:cs="Times New Roman"/>
                <w:color w:val="auto"/>
                <w:kern w:val="0"/>
                <w:sz w:val="24"/>
                <w:szCs w:val="24"/>
                <w:highlight w:val="none"/>
                <w:lang w:val="en-US" w:eastAsia="zh-CN" w:bidi="ar-SA"/>
              </w:rPr>
            </w:pPr>
            <w:r>
              <w:rPr>
                <w:rFonts w:hint="eastAsia" w:ascii="宋体" w:hAnsi="宋体"/>
                <w:color w:val="auto"/>
                <w:kern w:val="0"/>
                <w:sz w:val="24"/>
                <w:szCs w:val="24"/>
                <w:highlight w:val="none"/>
              </w:rPr>
              <w:t>市查、区查抄告单被上级通报批评或被市、区级媒体曝光的</w:t>
            </w:r>
          </w:p>
        </w:tc>
        <w:tc>
          <w:tcPr>
            <w:tcW w:w="1968" w:type="dxa"/>
            <w:vAlign w:val="center"/>
          </w:tcPr>
          <w:p>
            <w:pPr>
              <w:autoSpaceDE w:val="0"/>
              <w:autoSpaceDN w:val="0"/>
              <w:adjustRightInd w:val="0"/>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24" w:type="dxa"/>
            <w:vMerge w:val="continue"/>
            <w:vAlign w:val="center"/>
          </w:tcPr>
          <w:p>
            <w:pPr>
              <w:autoSpaceDE w:val="0"/>
              <w:autoSpaceDN w:val="0"/>
              <w:adjustRightInd w:val="0"/>
              <w:jc w:val="center"/>
              <w:rPr>
                <w:rFonts w:hint="eastAsia" w:ascii="宋体"/>
                <w:b/>
                <w:color w:val="auto"/>
                <w:kern w:val="0"/>
                <w:sz w:val="24"/>
                <w:szCs w:val="24"/>
                <w:highlight w:val="none"/>
              </w:rPr>
            </w:pPr>
          </w:p>
        </w:tc>
        <w:tc>
          <w:tcPr>
            <w:tcW w:w="5172" w:type="dxa"/>
            <w:vAlign w:val="center"/>
          </w:tcPr>
          <w:p>
            <w:pPr>
              <w:spacing w:line="240" w:lineRule="exact"/>
              <w:rPr>
                <w:rFonts w:hint="eastAsia" w:ascii="宋体" w:hAnsi="宋体"/>
                <w:color w:val="auto"/>
                <w:kern w:val="0"/>
                <w:sz w:val="24"/>
                <w:szCs w:val="24"/>
                <w:highlight w:val="none"/>
              </w:rPr>
            </w:pPr>
            <w:r>
              <w:rPr>
                <w:rFonts w:hint="eastAsia" w:ascii="仿宋_GB2312" w:hAnsi="宋体" w:eastAsia="仿宋_GB2312"/>
                <w:color w:val="auto"/>
                <w:sz w:val="24"/>
                <w:szCs w:val="24"/>
                <w:highlight w:val="none"/>
              </w:rPr>
              <w:t>市查、区查、街道查抄告单</w:t>
            </w:r>
            <w:r>
              <w:rPr>
                <w:rFonts w:hint="eastAsia" w:ascii="仿宋_GB2312" w:hAnsi="宋体" w:eastAsia="仿宋_GB2312"/>
                <w:color w:val="auto"/>
                <w:sz w:val="24"/>
                <w:szCs w:val="24"/>
                <w:highlight w:val="none"/>
                <w:lang w:eastAsia="zh-CN"/>
              </w:rPr>
              <w:t>、</w:t>
            </w:r>
            <w:r>
              <w:rPr>
                <w:rFonts w:hint="eastAsia" w:ascii="仿宋_GB2312" w:eastAsia="仿宋_GB2312"/>
                <w:color w:val="auto"/>
                <w:spacing w:val="-8"/>
                <w:sz w:val="24"/>
                <w:szCs w:val="24"/>
                <w:highlight w:val="none"/>
              </w:rPr>
              <w:t>被上级通报批评或被市、区级媒体曝光</w:t>
            </w:r>
            <w:r>
              <w:rPr>
                <w:rFonts w:hint="eastAsia" w:ascii="仿宋_GB2312" w:eastAsia="仿宋_GB2312"/>
                <w:color w:val="auto"/>
                <w:spacing w:val="-8"/>
                <w:sz w:val="24"/>
                <w:szCs w:val="24"/>
                <w:highlight w:val="none"/>
                <w:lang w:val="en-US" w:eastAsia="zh-CN"/>
              </w:rPr>
              <w:t>问题</w:t>
            </w:r>
            <w:r>
              <w:rPr>
                <w:rFonts w:hint="eastAsia" w:ascii="仿宋_GB2312" w:eastAsia="仿宋_GB2312"/>
                <w:color w:val="auto"/>
                <w:spacing w:val="-8"/>
                <w:sz w:val="24"/>
                <w:szCs w:val="24"/>
                <w:highlight w:val="none"/>
                <w:lang w:eastAsia="zh-CN"/>
              </w:rPr>
              <w:t>，</w:t>
            </w:r>
            <w:r>
              <w:rPr>
                <w:rFonts w:hint="eastAsia" w:ascii="仿宋_GB2312" w:eastAsia="仿宋_GB2312"/>
                <w:color w:val="auto"/>
                <w:spacing w:val="-8"/>
                <w:sz w:val="24"/>
                <w:szCs w:val="24"/>
                <w:highlight w:val="none"/>
                <w:lang w:val="en-US" w:eastAsia="zh-CN"/>
              </w:rPr>
              <w:t>复核仍未通过的</w:t>
            </w:r>
          </w:p>
        </w:tc>
        <w:tc>
          <w:tcPr>
            <w:tcW w:w="1968" w:type="dxa"/>
            <w:vAlign w:val="center"/>
          </w:tcPr>
          <w:p>
            <w:pPr>
              <w:spacing w:line="240" w:lineRule="exact"/>
              <w:jc w:val="center"/>
              <w:rPr>
                <w:rFonts w:hint="eastAsia" w:ascii="仿宋_GB2312" w:eastAsia="仿宋_GB2312"/>
                <w:color w:val="auto"/>
                <w:sz w:val="24"/>
                <w:szCs w:val="24"/>
                <w:highlight w:val="none"/>
                <w:lang w:val="en-US" w:eastAsia="zh-CN"/>
              </w:rPr>
            </w:pPr>
            <w:r>
              <w:rPr>
                <w:rFonts w:hint="eastAsia" w:ascii="仿宋_GB2312" w:eastAsia="仿宋_GB2312"/>
                <w:color w:val="auto"/>
                <w:spacing w:val="-8"/>
                <w:sz w:val="24"/>
                <w:szCs w:val="24"/>
                <w:highlight w:val="none"/>
                <w:lang w:val="en-US" w:eastAsia="zh-CN"/>
              </w:rPr>
              <w:t>A类2000元</w:t>
            </w:r>
            <w:r>
              <w:rPr>
                <w:rFonts w:hint="eastAsia" w:ascii="仿宋_GB2312" w:eastAsia="仿宋_GB2312"/>
                <w:color w:val="auto"/>
                <w:sz w:val="24"/>
                <w:szCs w:val="24"/>
                <w:highlight w:val="none"/>
              </w:rPr>
              <w:t>/处</w:t>
            </w:r>
            <w:r>
              <w:rPr>
                <w:rFonts w:hint="eastAsia" w:ascii="仿宋_GB2312" w:eastAsia="仿宋_GB2312"/>
                <w:color w:val="auto"/>
                <w:spacing w:val="-8"/>
                <w:sz w:val="24"/>
                <w:szCs w:val="24"/>
                <w:highlight w:val="none"/>
                <w:lang w:val="en-US" w:eastAsia="zh-CN"/>
              </w:rPr>
              <w:t>、B类4000元</w:t>
            </w:r>
            <w:r>
              <w:rPr>
                <w:rFonts w:hint="eastAsia" w:ascii="仿宋_GB2312" w:eastAsia="仿宋_GB2312"/>
                <w:color w:val="auto"/>
                <w:sz w:val="24"/>
                <w:szCs w:val="24"/>
                <w:highlight w:val="none"/>
              </w:rPr>
              <w:t>/处</w:t>
            </w:r>
            <w:r>
              <w:rPr>
                <w:rFonts w:hint="eastAsia" w:ascii="仿宋_GB2312" w:eastAsia="仿宋_GB2312"/>
                <w:color w:val="auto"/>
                <w:spacing w:val="-8"/>
                <w:sz w:val="24"/>
                <w:szCs w:val="24"/>
                <w:highlight w:val="none"/>
                <w:lang w:val="en-US" w:eastAsia="zh-CN"/>
              </w:rPr>
              <w:t>、C类8000元</w:t>
            </w:r>
            <w:r>
              <w:rPr>
                <w:rFonts w:hint="eastAsia" w:ascii="仿宋_GB2312" w:eastAsia="仿宋_GB2312"/>
                <w:color w:val="auto"/>
                <w:sz w:val="24"/>
                <w:szCs w:val="24"/>
                <w:highlight w:val="none"/>
              </w:rPr>
              <w:t>/处</w:t>
            </w:r>
          </w:p>
        </w:tc>
      </w:tr>
    </w:tbl>
    <w:p>
      <w:pPr>
        <w:autoSpaceDE w:val="0"/>
        <w:autoSpaceDN w:val="0"/>
        <w:adjustRightInd w:val="0"/>
        <w:rPr>
          <w:rFonts w:hint="eastAsia" w:ascii="仿宋_GB2312" w:hAnsi="仿宋" w:eastAsia="仿宋_GB2312" w:cs="仿宋"/>
          <w:color w:val="auto"/>
          <w:sz w:val="24"/>
          <w:szCs w:val="24"/>
          <w:highlight w:val="none"/>
          <w:lang w:val="en-US" w:eastAsia="zh-CN"/>
        </w:rPr>
      </w:pPr>
      <w:r>
        <w:rPr>
          <w:rFonts w:hint="eastAsia" w:ascii="仿宋_GB2312" w:eastAsia="仿宋_GB2312"/>
          <w:b/>
          <w:color w:val="auto"/>
          <w:sz w:val="24"/>
          <w:szCs w:val="24"/>
          <w:highlight w:val="none"/>
          <w:lang w:val="en-US" w:eastAsia="zh-CN"/>
        </w:rPr>
        <w:t xml:space="preserve">      </w:t>
      </w:r>
      <w:r>
        <w:rPr>
          <w:rFonts w:hint="eastAsia" w:ascii="仿宋_GB2312" w:eastAsia="仿宋_GB2312"/>
          <w:b/>
          <w:color w:val="auto"/>
          <w:sz w:val="24"/>
          <w:szCs w:val="24"/>
          <w:highlight w:val="none"/>
        </w:rPr>
        <w:t xml:space="preserve">考核对象：                                          考核时间： </w:t>
      </w:r>
      <w:r>
        <w:rPr>
          <w:rFonts w:hint="eastAsia" w:ascii="宋体"/>
          <w:color w:val="auto"/>
          <w:kern w:val="0"/>
          <w:sz w:val="24"/>
          <w:szCs w:val="24"/>
          <w:highlight w:val="none"/>
        </w:rPr>
        <w:t xml:space="preserve"> </w:t>
      </w:r>
      <w:r>
        <w:rPr>
          <w:rFonts w:hint="eastAsia" w:ascii="仿宋_GB2312" w:hAnsi="仿宋" w:eastAsia="仿宋_GB2312" w:cs="仿宋"/>
          <w:color w:val="auto"/>
          <w:sz w:val="24"/>
          <w:szCs w:val="24"/>
          <w:highlight w:val="none"/>
          <w:lang w:val="en-US" w:eastAsia="zh-CN"/>
        </w:rPr>
        <w:t xml:space="preserve"> </w:t>
      </w: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hAnsi="仿宋" w:eastAsia="仿宋_GB2312" w:cs="仿宋"/>
          <w:color w:val="auto"/>
          <w:sz w:val="24"/>
          <w:szCs w:val="24"/>
          <w:highlight w:val="none"/>
          <w:lang w:val="en-US" w:eastAsia="zh-CN"/>
        </w:rPr>
      </w:pPr>
    </w:p>
    <w:p>
      <w:pPr>
        <w:autoSpaceDE w:val="0"/>
        <w:autoSpaceDN w:val="0"/>
        <w:adjustRightInd w:val="0"/>
        <w:rPr>
          <w:rFonts w:hint="eastAsia" w:ascii="仿宋_GB2312" w:eastAsia="仿宋_GB2312"/>
          <w:color w:val="auto"/>
          <w:sz w:val="24"/>
          <w:szCs w:val="24"/>
          <w:highlight w:val="none"/>
        </w:rPr>
      </w:pPr>
      <w:r>
        <w:rPr>
          <w:rFonts w:hint="eastAsia" w:ascii="仿宋_GB2312" w:hAnsi="仿宋" w:eastAsia="仿宋_GB2312" w:cs="仿宋"/>
          <w:color w:val="auto"/>
          <w:sz w:val="24"/>
          <w:szCs w:val="24"/>
          <w:highlight w:val="none"/>
        </w:rPr>
        <w:t>备注:</w:t>
      </w:r>
      <w:r>
        <w:rPr>
          <w:rFonts w:hint="eastAsia" w:ascii="仿宋_GB2312" w:eastAsia="仿宋_GB2312"/>
          <w:color w:val="auto"/>
          <w:sz w:val="24"/>
          <w:szCs w:val="24"/>
          <w:highlight w:val="none"/>
        </w:rPr>
        <w:t>市政考核扣分比重按照一类道路100%，二类道路90%，三类道路80%，其他道路70%予以扣款。</w:t>
      </w:r>
    </w:p>
    <w:p>
      <w:pPr>
        <w:spacing w:line="560" w:lineRule="exact"/>
        <w:ind w:right="150"/>
        <w:rPr>
          <w:rFonts w:hint="eastAsia" w:ascii="仿宋" w:hAnsi="仿宋" w:eastAsia="仿宋" w:cs="仿宋"/>
          <w:color w:val="auto"/>
          <w:sz w:val="32"/>
          <w:szCs w:val="32"/>
          <w:highlight w:val="none"/>
        </w:rPr>
      </w:pPr>
    </w:p>
    <w:p>
      <w:pPr>
        <w:spacing w:line="560" w:lineRule="exact"/>
        <w:ind w:right="150"/>
        <w:rPr>
          <w:rFonts w:hint="eastAsia" w:ascii="仿宋" w:hAnsi="仿宋" w:eastAsia="仿宋" w:cs="仿宋"/>
          <w:color w:val="auto"/>
          <w:sz w:val="32"/>
          <w:szCs w:val="32"/>
          <w:highlight w:val="none"/>
        </w:rPr>
      </w:pPr>
    </w:p>
    <w:p>
      <w:pPr>
        <w:spacing w:line="560" w:lineRule="exact"/>
        <w:ind w:right="150"/>
        <w:rPr>
          <w:rFonts w:hint="eastAsia" w:ascii="仿宋" w:hAnsi="仿宋" w:eastAsia="仿宋" w:cs="仿宋"/>
          <w:color w:val="auto"/>
          <w:sz w:val="32"/>
          <w:szCs w:val="32"/>
          <w:highlight w:val="none"/>
        </w:rPr>
      </w:pPr>
    </w:p>
    <w:p>
      <w:pPr>
        <w:spacing w:line="560" w:lineRule="exact"/>
        <w:ind w:right="1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w:t>
      </w:r>
    </w:p>
    <w:p>
      <w:pPr>
        <w:spacing w:line="440" w:lineRule="exact"/>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市容环卫工作考核</w:t>
      </w:r>
      <w:r>
        <w:rPr>
          <w:rFonts w:hint="eastAsia" w:ascii="宋体" w:hAnsi="宋体" w:eastAsia="宋体" w:cs="宋体"/>
          <w:b/>
          <w:bCs/>
          <w:color w:val="auto"/>
          <w:sz w:val="32"/>
          <w:szCs w:val="32"/>
          <w:highlight w:val="none"/>
          <w:lang w:val="en-US" w:eastAsia="zh-CN"/>
        </w:rPr>
        <w:t>办法</w:t>
      </w:r>
    </w:p>
    <w:p>
      <w:pPr>
        <w:spacing w:line="44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考核对象：                                        考核时间：</w:t>
      </w:r>
    </w:p>
    <w:tbl>
      <w:tblPr>
        <w:tblStyle w:val="62"/>
        <w:tblW w:w="8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5961"/>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830" w:type="dxa"/>
            <w:vAlign w:val="center"/>
          </w:tcPr>
          <w:p>
            <w:pPr>
              <w:spacing w:line="30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考核项目</w:t>
            </w:r>
          </w:p>
        </w:tc>
        <w:tc>
          <w:tcPr>
            <w:tcW w:w="5961" w:type="dxa"/>
            <w:vAlign w:val="center"/>
          </w:tcPr>
          <w:p>
            <w:pPr>
              <w:spacing w:line="30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考核标准</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扣除分值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restart"/>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道路清扫</w:t>
            </w: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垃圾焚烧</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道路整体保洁质量差的（一条道路出现5处以上问题）</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道路整体出现多处零星垃圾（一条道路出现3处以上问题）</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将垃圾扫入绿化带、窨井的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出现成堆暴露垃圾</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道路扬尘</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夏秋季每日上午7：00前，秋冬季每日上午7：:30前未完成普扫的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垃圾桶、果壳箱满溢未及时清倒的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道路积泥、大面积污渍</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晴天积水、雨水井沟眼积泥、嵌石</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路面杂草</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清扫保洁时漏扫、归堆未清除的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机扫车、洒水车未按规定使用警示灯、提示音</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辖区范围内有卫生死角的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垃圾桶未盖、垃圾箱、果壳箱不洁，果壳箱门未关的</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店家反映门前三包垃圾清理不及时</w:t>
            </w:r>
          </w:p>
        </w:tc>
        <w:tc>
          <w:tcPr>
            <w:tcW w:w="1527" w:type="dxa"/>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临时清运点周边不洁</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机扫车、洒水车未按规定清扫次数（漏扫或者少扫，根据GPS轨迹）</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出现各类牛皮癣</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z w:val="21"/>
                <w:szCs w:val="21"/>
                <w:highlight w:val="none"/>
              </w:rPr>
              <w:t>路面（绿地、树穴）有垃圾（杂物）</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清运垃圾出现抛洒掉落</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果壳箱周边有垃圾包、不洁</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tcBorders>
              <w:bottom w:val="single" w:color="auto" w:sz="4" w:space="0"/>
            </w:tcBorders>
            <w:shd w:val="clear" w:color="auto" w:fill="FFFFFF"/>
            <w:vAlign w:val="center"/>
          </w:tcPr>
          <w:p>
            <w:pPr>
              <w:spacing w:line="240" w:lineRule="exact"/>
              <w:rPr>
                <w:rFonts w:hint="eastAsia" w:ascii="宋体" w:hAnsi="宋体" w:eastAsia="宋体" w:cs="宋体"/>
                <w:b w:val="0"/>
                <w:bCs w:val="0"/>
                <w:color w:val="auto"/>
                <w:spacing w:val="-4"/>
                <w:sz w:val="21"/>
                <w:szCs w:val="21"/>
                <w:highlight w:val="none"/>
              </w:rPr>
            </w:pPr>
            <w:r>
              <w:rPr>
                <w:rFonts w:hint="eastAsia" w:ascii="宋体" w:hAnsi="宋体" w:eastAsia="宋体" w:cs="宋体"/>
                <w:b w:val="0"/>
                <w:bCs w:val="0"/>
                <w:color w:val="auto"/>
                <w:spacing w:val="-4"/>
                <w:sz w:val="21"/>
                <w:szCs w:val="21"/>
                <w:highlight w:val="none"/>
              </w:rPr>
              <w:t>中央、绿化护栏不洁的</w:t>
            </w:r>
          </w:p>
        </w:tc>
        <w:tc>
          <w:tcPr>
            <w:tcW w:w="1527" w:type="dxa"/>
            <w:tcBorders>
              <w:bottom w:val="single" w:color="auto" w:sz="4" w:space="0"/>
            </w:tcBorders>
            <w:vAlign w:val="center"/>
          </w:tcPr>
          <w:p>
            <w:pPr>
              <w:spacing w:line="30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restart"/>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安全监督</w:t>
            </w:r>
          </w:p>
        </w:tc>
        <w:tc>
          <w:tcPr>
            <w:tcW w:w="5961" w:type="dxa"/>
            <w:shd w:val="clear" w:color="auto" w:fill="FFFFFF"/>
            <w:vAlign w:val="center"/>
          </w:tcPr>
          <w:p>
            <w:pPr>
              <w:spacing w:line="240" w:lineRule="exac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信访处置不力、因劳资纠纷引起群体性事件、发生有责投诉的。</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5</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jc w:val="center"/>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发生安全责任事故</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环卫工人作业时未穿反光背心（工作服）、不遵守交通规则、环卫车辆未设置反光标识的</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830" w:type="dxa"/>
            <w:vMerge w:val="continue"/>
            <w:shd w:val="clear" w:color="auto" w:fill="auto"/>
            <w:vAlign w:val="center"/>
          </w:tcPr>
          <w:p>
            <w:pPr>
              <w:spacing w:line="300" w:lineRule="exact"/>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rPr>
              <w:t>能够及时提供相应保洁台帐，如未能提供（日常管理资料等）</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30" w:type="dxa"/>
            <w:vMerge w:val="continue"/>
            <w:shd w:val="clear" w:color="auto" w:fill="auto"/>
            <w:vAlign w:val="center"/>
          </w:tcPr>
          <w:p>
            <w:pPr>
              <w:spacing w:line="300" w:lineRule="exact"/>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rPr>
              <w:t>管养道路两侧发生偷到建筑垃圾、装修垃圾等在接到清理指令后未在8小时内清理的。</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830" w:type="dxa"/>
            <w:vMerge w:val="continue"/>
            <w:shd w:val="clear" w:color="auto" w:fill="auto"/>
            <w:vAlign w:val="center"/>
          </w:tcPr>
          <w:p>
            <w:pPr>
              <w:spacing w:line="300" w:lineRule="exact"/>
              <w:rPr>
                <w:rFonts w:hint="eastAsia" w:ascii="宋体" w:hAnsi="宋体" w:eastAsia="宋体" w:cs="宋体"/>
                <w:b w:val="0"/>
                <w:bCs w:val="0"/>
                <w:color w:val="auto"/>
                <w:sz w:val="21"/>
                <w:szCs w:val="21"/>
                <w:highlight w:val="none"/>
              </w:rPr>
            </w:pPr>
          </w:p>
        </w:tc>
        <w:tc>
          <w:tcPr>
            <w:tcW w:w="5961" w:type="dxa"/>
            <w:shd w:val="clear" w:color="auto" w:fill="FFFFFF"/>
            <w:vAlign w:val="center"/>
          </w:tcPr>
          <w:p>
            <w:pPr>
              <w:spacing w:line="240" w:lineRule="exact"/>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rPr>
              <w:t>保洁员沿线不在岗（且保洁道路整体情况较差加倍扣款）</w:t>
            </w:r>
          </w:p>
        </w:tc>
        <w:tc>
          <w:tcPr>
            <w:tcW w:w="1527" w:type="dxa"/>
            <w:vAlign w:val="center"/>
          </w:tcPr>
          <w:p>
            <w:pPr>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eastAsia="zh-CN"/>
              </w:rPr>
              <w:t>分</w:t>
            </w:r>
          </w:p>
        </w:tc>
      </w:tr>
    </w:tbl>
    <w:p>
      <w:pPr>
        <w:pStyle w:val="837"/>
        <w:rPr>
          <w:rFonts w:hint="eastAsia" w:ascii="宋体" w:hAnsi="宋体" w:eastAsia="宋体" w:cs="宋体"/>
          <w:b w:val="0"/>
          <w:bCs w:val="0"/>
          <w:color w:val="auto"/>
          <w:sz w:val="21"/>
          <w:szCs w:val="21"/>
          <w:highlight w:val="none"/>
        </w:rPr>
      </w:pPr>
    </w:p>
    <w:p>
      <w:pPr>
        <w:rPr>
          <w:rFonts w:hint="eastAsia" w:ascii="宋体" w:hAnsi="宋体" w:eastAsia="宋体" w:cs="宋体"/>
          <w:b w:val="0"/>
          <w:bCs w:val="0"/>
          <w:color w:val="auto"/>
          <w:sz w:val="21"/>
          <w:szCs w:val="21"/>
          <w:highlight w:val="none"/>
        </w:rPr>
      </w:pPr>
    </w:p>
    <w:p>
      <w:pPr>
        <w:pStyle w:val="837"/>
        <w:rPr>
          <w:rFonts w:hint="eastAsia" w:ascii="宋体" w:hAnsi="宋体" w:eastAsia="宋体" w:cs="宋体"/>
          <w:b w:val="0"/>
          <w:bCs w:val="0"/>
          <w:color w:val="auto"/>
          <w:sz w:val="21"/>
          <w:szCs w:val="21"/>
          <w:highlight w:val="none"/>
        </w:rPr>
      </w:pPr>
    </w:p>
    <w:p>
      <w:pPr>
        <w:widowControl/>
        <w:jc w:val="center"/>
        <w:rPr>
          <w:rFonts w:hint="eastAsia" w:ascii="宋体" w:hAnsi="宋体" w:eastAsia="宋体" w:cs="宋体"/>
          <w:b/>
          <w:bCs/>
          <w:color w:val="auto"/>
          <w:sz w:val="32"/>
          <w:szCs w:val="32"/>
          <w:highlight w:val="none"/>
        </w:rPr>
      </w:pPr>
    </w:p>
    <w:p>
      <w:pPr>
        <w:spacing w:line="560" w:lineRule="exact"/>
        <w:ind w:right="150"/>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rPr>
      </w:pPr>
    </w:p>
    <w:p>
      <w:pPr>
        <w:spacing w:line="560" w:lineRule="exact"/>
        <w:ind w:right="1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w:t>
      </w:r>
    </w:p>
    <w:p>
      <w:pPr>
        <w:widowControl/>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防灾抗灾及重大活动</w:t>
      </w:r>
    </w:p>
    <w:p>
      <w:pPr>
        <w:widowControl/>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市场化养护考核细则</w:t>
      </w:r>
    </w:p>
    <w:p>
      <w:pPr>
        <w:widowControl/>
        <w:jc w:val="center"/>
        <w:rPr>
          <w:rFonts w:hint="eastAsia" w:ascii="宋体" w:hAnsi="宋体" w:eastAsia="宋体" w:cs="宋体"/>
          <w:b w:val="0"/>
          <w:bCs w:val="0"/>
          <w:color w:val="auto"/>
          <w:sz w:val="21"/>
          <w:szCs w:val="21"/>
          <w:highlight w:val="none"/>
        </w:rPr>
      </w:pPr>
    </w:p>
    <w:p>
      <w:pPr>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考核</w:t>
      </w:r>
      <w:r>
        <w:rPr>
          <w:rFonts w:hint="eastAsia" w:ascii="宋体" w:hAnsi="宋体" w:eastAsia="宋体" w:cs="宋体"/>
          <w:b/>
          <w:bCs/>
          <w:color w:val="auto"/>
          <w:kern w:val="0"/>
          <w:sz w:val="24"/>
          <w:szCs w:val="24"/>
          <w:highlight w:val="none"/>
          <w:lang w:val="en-US" w:eastAsia="zh-CN"/>
        </w:rPr>
        <w:t>对象</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val="en-US" w:eastAsia="zh-CN"/>
        </w:rPr>
        <w:t xml:space="preserve">       </w:t>
      </w:r>
      <w:r>
        <w:rPr>
          <w:rFonts w:hint="eastAsia" w:ascii="宋体" w:hAnsi="宋体" w:eastAsia="宋体" w:cs="宋体"/>
          <w:b/>
          <w:bCs/>
          <w:color w:val="auto"/>
          <w:kern w:val="0"/>
          <w:sz w:val="24"/>
          <w:szCs w:val="24"/>
          <w:highlight w:val="none"/>
        </w:rPr>
        <w:t>考核</w:t>
      </w:r>
      <w:r>
        <w:rPr>
          <w:rFonts w:hint="eastAsia" w:ascii="宋体" w:hAnsi="宋体" w:eastAsia="宋体" w:cs="宋体"/>
          <w:b/>
          <w:bCs/>
          <w:color w:val="auto"/>
          <w:kern w:val="0"/>
          <w:sz w:val="24"/>
          <w:szCs w:val="24"/>
          <w:highlight w:val="none"/>
          <w:lang w:val="en-US" w:eastAsia="zh-CN"/>
        </w:rPr>
        <w:t>时间</w:t>
      </w:r>
      <w:r>
        <w:rPr>
          <w:rFonts w:hint="eastAsia" w:ascii="宋体" w:hAnsi="宋体" w:eastAsia="宋体" w:cs="宋体"/>
          <w:b/>
          <w:bCs/>
          <w:color w:val="auto"/>
          <w:kern w:val="0"/>
          <w:sz w:val="24"/>
          <w:szCs w:val="24"/>
          <w:highlight w:val="none"/>
        </w:rPr>
        <w:t>:</w:t>
      </w:r>
    </w:p>
    <w:tbl>
      <w:tblPr>
        <w:tblStyle w:val="62"/>
        <w:tblW w:w="81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5"/>
        <w:gridCol w:w="1177"/>
        <w:gridCol w:w="4569"/>
        <w:gridCol w:w="1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序号</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考核内容</w:t>
            </w:r>
          </w:p>
        </w:tc>
        <w:tc>
          <w:tcPr>
            <w:tcW w:w="456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考核细则</w:t>
            </w:r>
          </w:p>
        </w:tc>
        <w:tc>
          <w:tcPr>
            <w:tcW w:w="1673"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1</w:t>
            </w:r>
          </w:p>
        </w:tc>
        <w:tc>
          <w:tcPr>
            <w:tcW w:w="117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工作重视</w:t>
            </w: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未能按要求安排人员值班的</w:t>
            </w:r>
          </w:p>
        </w:tc>
        <w:tc>
          <w:tcPr>
            <w:tcW w:w="167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cs="宋体"/>
                <w:b w:val="0"/>
                <w:bCs w:val="0"/>
                <w:color w:val="auto"/>
                <w:kern w:val="0"/>
                <w:sz w:val="21"/>
                <w:szCs w:val="21"/>
                <w:highlight w:val="none"/>
                <w:lang w:val="en-US" w:eastAsia="zh-CN"/>
              </w:rPr>
              <w:t>2</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eastAsia="宋体" w:cs="宋体"/>
                <w:b w:val="0"/>
                <w:bCs w:val="0"/>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2</w:t>
            </w: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auto"/>
                <w:kern w:val="0"/>
                <w:sz w:val="21"/>
                <w:szCs w:val="21"/>
                <w:highlight w:val="none"/>
              </w:rPr>
            </w:pP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负责人</w:t>
            </w:r>
            <w:r>
              <w:rPr>
                <w:rFonts w:hint="eastAsia" w:ascii="宋体" w:hAnsi="宋体" w:eastAsia="宋体" w:cs="宋体"/>
                <w:b w:val="0"/>
                <w:bCs w:val="0"/>
                <w:color w:val="auto"/>
                <w:kern w:val="0"/>
                <w:sz w:val="21"/>
                <w:szCs w:val="21"/>
                <w:highlight w:val="none"/>
              </w:rPr>
              <w:t>未亲自参加中心召集的会议</w:t>
            </w:r>
          </w:p>
        </w:tc>
        <w:tc>
          <w:tcPr>
            <w:tcW w:w="167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lang w:val="en-US"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3</w:t>
            </w:r>
          </w:p>
        </w:tc>
        <w:tc>
          <w:tcPr>
            <w:tcW w:w="117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工作思路</w:t>
            </w: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工作思路不清晰，人员安排不充足得当的</w:t>
            </w:r>
          </w:p>
        </w:tc>
        <w:tc>
          <w:tcPr>
            <w:tcW w:w="167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2分-5分</w:t>
            </w:r>
            <w:r>
              <w:rPr>
                <w:rFonts w:hint="eastAsia" w:ascii="宋体" w:hAnsi="宋体" w:eastAsia="宋体" w:cs="宋体"/>
                <w:b w:val="0"/>
                <w:bCs w:val="0"/>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4</w:t>
            </w: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auto"/>
                <w:kern w:val="0"/>
                <w:sz w:val="21"/>
                <w:szCs w:val="21"/>
                <w:highlight w:val="none"/>
              </w:rPr>
            </w:pP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未</w:t>
            </w:r>
            <w:r>
              <w:rPr>
                <w:rFonts w:hint="eastAsia" w:ascii="宋体" w:hAnsi="宋体" w:eastAsia="宋体" w:cs="宋体"/>
                <w:b w:val="0"/>
                <w:bCs w:val="0"/>
                <w:color w:val="auto"/>
                <w:kern w:val="0"/>
                <w:sz w:val="21"/>
                <w:szCs w:val="21"/>
                <w:highlight w:val="none"/>
              </w:rPr>
              <w:t xml:space="preserve">按要求充足储备物资，随时调配并根据实际情况自觉使用的 </w:t>
            </w:r>
          </w:p>
        </w:tc>
        <w:tc>
          <w:tcPr>
            <w:tcW w:w="167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2分-5分</w:t>
            </w:r>
            <w:r>
              <w:rPr>
                <w:rFonts w:hint="eastAsia" w:ascii="宋体" w:hAnsi="宋体" w:eastAsia="宋体" w:cs="宋体"/>
                <w:b w:val="0"/>
                <w:bCs w:val="0"/>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72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5</w:t>
            </w: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color w:val="auto"/>
                <w:kern w:val="0"/>
                <w:sz w:val="21"/>
                <w:szCs w:val="21"/>
                <w:highlight w:val="none"/>
              </w:rPr>
            </w:pPr>
          </w:p>
        </w:tc>
        <w:tc>
          <w:tcPr>
            <w:tcW w:w="4569" w:type="dxa"/>
            <w:tcBorders>
              <w:top w:val="nil"/>
              <w:left w:val="nil"/>
              <w:bottom w:val="single" w:color="auto" w:sz="4" w:space="0"/>
              <w:right w:val="single" w:color="auto" w:sz="4" w:space="0"/>
            </w:tcBorders>
            <w:vAlign w:val="center"/>
          </w:tcPr>
          <w:p>
            <w:pPr>
              <w:widowControl/>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工作重点把握</w:t>
            </w:r>
            <w:r>
              <w:rPr>
                <w:rFonts w:hint="eastAsia" w:ascii="宋体" w:hAnsi="宋体" w:eastAsia="宋体" w:cs="宋体"/>
                <w:b w:val="0"/>
                <w:bCs w:val="0"/>
                <w:color w:val="auto"/>
                <w:kern w:val="0"/>
                <w:sz w:val="21"/>
                <w:szCs w:val="21"/>
                <w:highlight w:val="none"/>
                <w:lang w:val="en-US" w:eastAsia="zh-CN"/>
              </w:rPr>
              <w:t>不</w:t>
            </w:r>
            <w:r>
              <w:rPr>
                <w:rFonts w:hint="eastAsia" w:ascii="宋体" w:hAnsi="宋体" w:eastAsia="宋体" w:cs="宋体"/>
                <w:b w:val="0"/>
                <w:bCs w:val="0"/>
                <w:color w:val="auto"/>
                <w:kern w:val="0"/>
                <w:sz w:val="21"/>
                <w:szCs w:val="21"/>
                <w:highlight w:val="none"/>
              </w:rPr>
              <w:t>及时</w:t>
            </w:r>
            <w:r>
              <w:rPr>
                <w:rFonts w:hint="eastAsia" w:ascii="宋体" w:hAnsi="宋体" w:eastAsia="宋体" w:cs="宋体"/>
                <w:b w:val="0"/>
                <w:bCs w:val="0"/>
                <w:color w:val="auto"/>
                <w:kern w:val="0"/>
                <w:sz w:val="21"/>
                <w:szCs w:val="21"/>
                <w:highlight w:val="none"/>
                <w:lang w:val="en-US" w:eastAsia="zh-CN"/>
              </w:rPr>
              <w:t>不</w:t>
            </w:r>
            <w:r>
              <w:rPr>
                <w:rFonts w:hint="eastAsia" w:ascii="宋体" w:hAnsi="宋体" w:eastAsia="宋体" w:cs="宋体"/>
                <w:b w:val="0"/>
                <w:bCs w:val="0"/>
                <w:color w:val="auto"/>
                <w:kern w:val="0"/>
                <w:sz w:val="21"/>
                <w:szCs w:val="21"/>
                <w:highlight w:val="none"/>
              </w:rPr>
              <w:t>到位，</w:t>
            </w:r>
            <w:r>
              <w:rPr>
                <w:rFonts w:hint="eastAsia" w:ascii="宋体" w:hAnsi="宋体" w:eastAsia="宋体" w:cs="宋体"/>
                <w:b w:val="0"/>
                <w:bCs w:val="0"/>
                <w:color w:val="auto"/>
                <w:kern w:val="0"/>
                <w:sz w:val="21"/>
                <w:szCs w:val="21"/>
                <w:highlight w:val="none"/>
                <w:lang w:val="en-US" w:eastAsia="zh-CN"/>
              </w:rPr>
              <w:t>不</w:t>
            </w:r>
            <w:r>
              <w:rPr>
                <w:rFonts w:hint="eastAsia" w:ascii="宋体" w:hAnsi="宋体" w:eastAsia="宋体" w:cs="宋体"/>
                <w:b w:val="0"/>
                <w:bCs w:val="0"/>
                <w:color w:val="auto"/>
                <w:kern w:val="0"/>
                <w:sz w:val="21"/>
                <w:szCs w:val="21"/>
                <w:highlight w:val="none"/>
              </w:rPr>
              <w:t>服从中心调配指挥的</w:t>
            </w:r>
          </w:p>
        </w:tc>
        <w:tc>
          <w:tcPr>
            <w:tcW w:w="167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1"/>
                <w:szCs w:val="21"/>
                <w:highlight w:val="none"/>
              </w:rPr>
            </w:pPr>
            <w:r>
              <w:rPr>
                <w:rFonts w:hint="eastAsia" w:ascii="宋体" w:hAnsi="宋体" w:cs="宋体"/>
                <w:b w:val="0"/>
                <w:bCs w:val="0"/>
                <w:color w:val="auto"/>
                <w:kern w:val="0"/>
                <w:sz w:val="21"/>
                <w:szCs w:val="21"/>
                <w:highlight w:val="none"/>
                <w:lang w:val="en-US" w:eastAsia="zh-CN"/>
              </w:rPr>
              <w:t>5</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cs="宋体"/>
                <w:b w:val="0"/>
                <w:bCs w:val="0"/>
                <w:color w:val="auto"/>
                <w:kern w:val="0"/>
                <w:sz w:val="21"/>
                <w:szCs w:val="21"/>
                <w:highlight w:val="none"/>
                <w:lang w:val="en-US" w:eastAsia="zh-CN"/>
              </w:rPr>
              <w:t>10</w:t>
            </w:r>
            <w:r>
              <w:rPr>
                <w:rFonts w:hint="eastAsia" w:ascii="宋体" w:hAnsi="宋体" w:eastAsia="宋体" w:cs="宋体"/>
                <w:b w:val="0"/>
                <w:bCs w:val="0"/>
                <w:color w:val="auto"/>
                <w:kern w:val="0"/>
                <w:sz w:val="21"/>
                <w:szCs w:val="21"/>
                <w:highlight w:val="none"/>
                <w:lang w:val="en-US" w:eastAsia="zh-CN"/>
              </w:rPr>
              <w:t>分</w:t>
            </w:r>
            <w:r>
              <w:rPr>
                <w:rFonts w:hint="eastAsia" w:ascii="宋体" w:hAnsi="宋体" w:eastAsia="宋体" w:cs="宋体"/>
                <w:b w:val="0"/>
                <w:bCs w:val="0"/>
                <w:color w:val="auto"/>
                <w:kern w:val="0"/>
                <w:sz w:val="21"/>
                <w:szCs w:val="21"/>
                <w:highlight w:val="none"/>
              </w:rPr>
              <w:t>　</w:t>
            </w:r>
          </w:p>
        </w:tc>
      </w:tr>
    </w:tbl>
    <w:p>
      <w:pPr>
        <w:spacing w:line="560" w:lineRule="exact"/>
        <w:ind w:right="150"/>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pStyle w:val="2"/>
        <w:rPr>
          <w:rFonts w:hint="eastAsia"/>
          <w:color w:val="auto"/>
          <w:highlight w:val="none"/>
        </w:rPr>
      </w:pPr>
    </w:p>
    <w:p>
      <w:pPr>
        <w:spacing w:line="560" w:lineRule="exact"/>
        <w:ind w:right="150"/>
        <w:rPr>
          <w:rFonts w:hint="eastAsia" w:ascii="仿宋" w:hAnsi="仿宋" w:eastAsia="仿宋" w:cs="仿宋"/>
          <w:color w:val="auto"/>
          <w:sz w:val="32"/>
          <w:szCs w:val="32"/>
          <w:highlight w:val="none"/>
        </w:rPr>
      </w:pPr>
    </w:p>
    <w:p>
      <w:pPr>
        <w:spacing w:line="560" w:lineRule="exact"/>
        <w:ind w:right="1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w:t>
      </w:r>
    </w:p>
    <w:p>
      <w:pPr>
        <w:adjustRightInd/>
        <w:spacing w:line="600" w:lineRule="exact"/>
        <w:jc w:val="center"/>
        <w:rPr>
          <w:rFonts w:hint="eastAsia" w:ascii="宋体" w:hAnsi="宋体" w:cs="宋体"/>
          <w:b/>
          <w:color w:val="auto"/>
          <w:sz w:val="32"/>
          <w:szCs w:val="32"/>
          <w:highlight w:val="none"/>
          <w:lang w:val="en-US" w:eastAsia="zh-CN"/>
        </w:rPr>
      </w:pPr>
      <w:r>
        <w:rPr>
          <w:rFonts w:hint="eastAsia" w:ascii="宋体" w:hAnsi="宋体" w:cs="宋体"/>
          <w:b/>
          <w:color w:val="auto"/>
          <w:sz w:val="32"/>
          <w:szCs w:val="32"/>
          <w:highlight w:val="none"/>
        </w:rPr>
        <w:t>公厕保洁考核</w:t>
      </w:r>
      <w:r>
        <w:rPr>
          <w:rFonts w:hint="eastAsia" w:ascii="宋体" w:hAnsi="宋体" w:cs="宋体"/>
          <w:b/>
          <w:color w:val="auto"/>
          <w:sz w:val="32"/>
          <w:szCs w:val="32"/>
          <w:highlight w:val="none"/>
          <w:lang w:val="en-US" w:eastAsia="zh-CN"/>
        </w:rPr>
        <w:t>办法</w:t>
      </w:r>
    </w:p>
    <w:p>
      <w:pPr>
        <w:adjustRightInd/>
        <w:spacing w:line="600" w:lineRule="exact"/>
        <w:jc w:val="both"/>
        <w:rPr>
          <w:color w:val="auto"/>
          <w:highlight w:val="none"/>
        </w:rPr>
      </w:pPr>
      <w:r>
        <w:rPr>
          <w:rFonts w:hint="eastAsia" w:ascii="宋体" w:hAnsi="宋体" w:eastAsia="宋体" w:cs="宋体"/>
          <w:color w:val="auto"/>
          <w:sz w:val="24"/>
          <w:szCs w:val="24"/>
          <w:highlight w:val="none"/>
        </w:rPr>
        <w:t xml:space="preserve">考核对象: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考核时间: </w:t>
      </w:r>
    </w:p>
    <w:tbl>
      <w:tblPr>
        <w:tblStyle w:val="62"/>
        <w:tblpPr w:leftFromText="180" w:rightFromText="180" w:vertAnchor="text" w:horzAnchor="page" w:tblpX="1257" w:tblpY="313"/>
        <w:tblOverlap w:val="never"/>
        <w:tblW w:w="91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3"/>
        <w:gridCol w:w="5772"/>
        <w:gridCol w:w="1400"/>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rPr>
              <w:t>考核项目</w:t>
            </w:r>
          </w:p>
        </w:tc>
        <w:tc>
          <w:tcPr>
            <w:tcW w:w="5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rPr>
              <w:t>考核标准</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高标准公厕扣分</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标准公厕扣分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rPr>
              <w:t>设施设备</w:t>
            </w:r>
          </w:p>
          <w:p>
            <w:pPr>
              <w:jc w:val="center"/>
              <w:rPr>
                <w:rFonts w:ascii="宋体" w:hAnsi="宋体" w:cs="宋体"/>
                <w:color w:val="auto"/>
                <w:highlight w:val="none"/>
              </w:rPr>
            </w:pPr>
            <w:r>
              <w:rPr>
                <w:rFonts w:hint="eastAsia" w:ascii="宋体" w:hAnsi="宋体" w:cs="宋体"/>
                <w:color w:val="auto"/>
                <w:highlight w:val="none"/>
              </w:rPr>
              <w:t>管理</w:t>
            </w: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未设置公厕管理牌的,公厕管理牌字体不清晰、信息缺项或不准确的。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highlight w:val="none"/>
                <w:lang w:val="en-US" w:eastAsia="zh-CN"/>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未设置公共厕所标识、指示牌的,未设置男女厕、坐便器、蹲便器、无障碍卫生间等标识的。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公厕人员在规定的保洁时间段内无故脱岗、离岗的。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0.5分/处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0.5分/处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厕所各类标牌标识破损、遮挡、残缺、歪斜或设置不规范的</w:t>
            </w:r>
            <w:r>
              <w:rPr>
                <w:rFonts w:hint="eastAsia" w:ascii="宋体" w:hAnsi="宋体" w:cs="宋体"/>
                <w:color w:val="auto"/>
                <w:highlight w:val="none"/>
                <w:lang w:eastAsia="zh-CN"/>
              </w:rPr>
              <w:t>；</w:t>
            </w:r>
            <w:r>
              <w:rPr>
                <w:rFonts w:hint="eastAsia" w:ascii="宋体" w:hAnsi="宋体" w:cs="宋体"/>
                <w:color w:val="auto"/>
                <w:highlight w:val="none"/>
              </w:rPr>
              <w:t>厕所内照明不亮的。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公厕保洁人员未按要求统一着装。</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厕所内外墙面渗漏、墙面破损、乳胶漆脱落的,地面不平整、破损的。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大便器、大便槽、小便器(槽)破损的。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厕所天花板、内外墙面、门窗、洗手池及台面、拖把池、大小便厕位隔断、搁物台、上下水管、镜子、无障碍间卫生洁具及辅助设施等不洁、缺失、破损、生锈或不能正常使用的。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管理房内、外私拉电线</w:t>
            </w:r>
            <w:r>
              <w:rPr>
                <w:rFonts w:hint="eastAsia" w:ascii="宋体" w:hAnsi="宋体" w:cs="宋体"/>
                <w:color w:val="auto"/>
                <w:highlight w:val="none"/>
                <w:lang w:val="en-US" w:eastAsia="zh-CN"/>
              </w:rPr>
              <w:t>及使用大功率电器、</w:t>
            </w:r>
            <w:r>
              <w:rPr>
                <w:rFonts w:hint="eastAsia" w:ascii="宋体" w:hAnsi="宋体" w:cs="宋体"/>
                <w:color w:val="auto"/>
                <w:highlight w:val="none"/>
              </w:rPr>
              <w:t>乱接插头插座、裸露接线现象:厕所内外乱接水管的。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0.5分/处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化粪池、 贮粪池臭气外溢的, 盖不密闭、缺失、破损、松动的,周围地面有粪迹、 垃圾、污水、恶臭、蝇姐的,满溢的:粪污水、粪便污染周边水体等环境的。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城市公厕未设置“五彩工具间”或未配备五彩工具车的。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未经审核无故关闭公厕的</w:t>
            </w:r>
            <w:r>
              <w:rPr>
                <w:rFonts w:hint="eastAsia" w:ascii="宋体" w:hAnsi="宋体" w:cs="宋体"/>
                <w:color w:val="auto"/>
                <w:highlight w:val="none"/>
                <w:lang w:eastAsia="zh-CN"/>
              </w:rPr>
              <w:t>、</w:t>
            </w:r>
            <w:r>
              <w:rPr>
                <w:rFonts w:hint="eastAsia" w:ascii="宋体" w:hAnsi="宋体" w:cs="宋体"/>
                <w:color w:val="auto"/>
                <w:highlight w:val="none"/>
              </w:rPr>
              <w:t>如厕后无法洗手的</w:t>
            </w:r>
            <w:r>
              <w:rPr>
                <w:rFonts w:hint="eastAsia" w:ascii="宋体" w:hAnsi="宋体" w:cs="宋体"/>
                <w:color w:val="auto"/>
                <w:highlight w:val="none"/>
                <w:lang w:eastAsia="zh-CN"/>
              </w:rPr>
              <w:t>、</w:t>
            </w:r>
            <w:r>
              <w:rPr>
                <w:rFonts w:hint="eastAsia" w:ascii="宋体" w:hAnsi="宋体" w:cs="宋体"/>
                <w:color w:val="auto"/>
                <w:highlight w:val="none"/>
              </w:rPr>
              <w:t>无故关闭无障碍间、男女厕位的。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0.8分/次</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highlight w:val="none"/>
                <w:lang w:val="en-US" w:eastAsia="zh-CN"/>
              </w:rPr>
              <w:t>0.5分/处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未配备消防器材的</w:t>
            </w:r>
            <w:r>
              <w:rPr>
                <w:rFonts w:hint="eastAsia" w:ascii="宋体" w:hAnsi="宋体" w:cs="宋体"/>
                <w:color w:val="auto"/>
                <w:highlight w:val="none"/>
                <w:lang w:val="en-US" w:eastAsia="zh-CN"/>
              </w:rPr>
              <w:t>或配备标准不达标、未及时检查更新消防记录。</w:t>
            </w:r>
            <w:r>
              <w:rPr>
                <w:rFonts w:hint="eastAsia" w:ascii="宋体" w:hAnsi="宋体" w:cs="宋体"/>
                <w:color w:val="auto"/>
                <w:highlight w:val="none"/>
              </w:rPr>
              <w:t>存放汽油、酒精等易燃易爆物品,或使用酒精炉等明火设备的。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rPr>
              <w:t>日常保洁</w:t>
            </w: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未按规定每天进行消毒杀菌的。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厕所内采光通风未落实，有明显异味。</w:t>
            </w:r>
            <w:r>
              <w:rPr>
                <w:rFonts w:hint="eastAsia" w:ascii="宋体" w:hAnsi="宋体" w:cs="宋体"/>
                <w:color w:val="auto"/>
                <w:highlight w:val="none"/>
              </w:rPr>
              <w:t>未提供厕纸的。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大便器、大便槽、小便器(槽)不洁的,积粪(尿)的,堵塞的。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厕所内堆放杂物、厕位内乱堆放作业工具的。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蹲位内废弃厕纸未及时清理、满溢；公厕垃圾收集容器内未及时清理，满溢的。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厕所及厕位地面不洁、湿滑积水的</w:t>
            </w:r>
            <w:r>
              <w:rPr>
                <w:rFonts w:hint="eastAsia" w:ascii="宋体" w:hAnsi="宋体" w:cs="宋体"/>
                <w:color w:val="auto"/>
                <w:highlight w:val="none"/>
                <w:lang w:eastAsia="zh-CN"/>
              </w:rPr>
              <w:t>、</w:t>
            </w:r>
            <w:r>
              <w:rPr>
                <w:rFonts w:hint="eastAsia" w:ascii="宋体" w:hAnsi="宋体" w:cs="宋体"/>
                <w:color w:val="auto"/>
                <w:highlight w:val="none"/>
              </w:rPr>
              <w:t>工具间环境不整洁的。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厕所外环境不洁,有作业工具乱放,垃圾、粪便、杂物堆放吊挂、晾晒衣物现象的。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厕所内饲养宠物的。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保洁人员在上班期间从事与工作无关的杂货或睡觉的。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p>
        </w:tc>
        <w:tc>
          <w:tcPr>
            <w:tcW w:w="577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highlight w:val="none"/>
              </w:rPr>
            </w:pPr>
            <w:r>
              <w:rPr>
                <w:rFonts w:hint="eastAsia" w:ascii="宋体" w:hAnsi="宋体" w:cs="宋体"/>
                <w:color w:val="auto"/>
                <w:highlight w:val="none"/>
              </w:rPr>
              <w:t>其他不符合厕所日常保洁情形的。</w:t>
            </w: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0.3分/处</w:t>
            </w:r>
          </w:p>
        </w:tc>
        <w:tc>
          <w:tcPr>
            <w:tcW w:w="1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highlight w:val="none"/>
              </w:rPr>
            </w:pPr>
            <w:r>
              <w:rPr>
                <w:rFonts w:hint="eastAsia" w:ascii="宋体" w:hAnsi="宋体" w:cs="宋体"/>
                <w:color w:val="auto"/>
                <w:highlight w:val="none"/>
                <w:lang w:val="en-US" w:eastAsia="zh-CN"/>
              </w:rPr>
              <w:t>0.2分/处</w:t>
            </w:r>
          </w:p>
        </w:tc>
      </w:tr>
    </w:tbl>
    <w:p>
      <w:pPr>
        <w:rPr>
          <w:color w:val="auto"/>
          <w:highlight w:val="none"/>
        </w:rPr>
      </w:pPr>
    </w:p>
    <w:p>
      <w:pPr>
        <w:widowControl/>
        <w:jc w:val="center"/>
        <w:rPr>
          <w:rFonts w:hint="eastAsia" w:ascii="宋体" w:hAnsi="宋体" w:eastAsia="宋体" w:cs="宋体"/>
          <w:b/>
          <w:bCs/>
          <w:color w:val="auto"/>
          <w:sz w:val="32"/>
          <w:szCs w:val="32"/>
          <w:highlight w:val="none"/>
        </w:rPr>
      </w:pPr>
    </w:p>
    <w:p>
      <w:pPr>
        <w:spacing w:line="240" w:lineRule="atLeast"/>
        <w:jc w:val="cente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
        <w:rPr>
          <w:rFonts w:hint="eastAsia"/>
          <w:color w:val="auto"/>
        </w:rPr>
      </w:pPr>
    </w:p>
    <w:p>
      <w:pP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color w:val="auto"/>
          <w:highlight w:val="none"/>
        </w:rPr>
      </w:pPr>
    </w:p>
    <w:p>
      <w:pPr>
        <w:spacing w:line="240" w:lineRule="atLeast"/>
        <w:jc w:val="both"/>
        <w:rPr>
          <w:rFonts w:hint="eastAsia" w:ascii="宋体" w:hAnsi="宋体" w:eastAsia="宋体" w:cs="宋体"/>
          <w:b/>
          <w:color w:val="auto"/>
          <w:sz w:val="36"/>
          <w:szCs w:val="36"/>
          <w:highlight w:val="none"/>
        </w:rPr>
      </w:pP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w:t>
      </w:r>
      <w:bookmarkEnd w:id="397"/>
      <w:r>
        <w:rPr>
          <w:rFonts w:hint="eastAsia" w:ascii="宋体" w:hAnsi="宋体" w:cs="宋体"/>
          <w:b/>
          <w:color w:val="auto"/>
          <w:sz w:val="36"/>
          <w:szCs w:val="20"/>
        </w:rPr>
        <w:t xml:space="preserve"> </w:t>
      </w:r>
      <w:bookmarkEnd w:id="398"/>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w:t>
      </w:r>
      <w:r>
        <w:rPr>
          <w:rFonts w:hint="eastAsia" w:ascii="宋体" w:hAnsi="宋体" w:cs="宋体"/>
          <w:color w:val="auto"/>
          <w:sz w:val="24"/>
        </w:rPr>
        <w:t>、（采购代理机构）：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五常街道城市管理综合养护四标段采购项目</w:t>
      </w:r>
      <w:r>
        <w:rPr>
          <w:rFonts w:hint="eastAsia" w:ascii="宋体" w:hAnsi="宋体" w:cs="宋体"/>
          <w:color w:val="auto"/>
          <w:sz w:val="24"/>
        </w:rPr>
        <w:t>【招标编号：</w:t>
      </w:r>
      <w:r>
        <w:rPr>
          <w:rFonts w:hint="eastAsia" w:ascii="宋体" w:hAnsi="宋体" w:cs="宋体"/>
          <w:color w:val="auto"/>
          <w:sz w:val="24"/>
          <w:lang w:eastAsia="zh-CN"/>
        </w:rPr>
        <w:t>（ZJZFCG-YS2023-003）</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w:t>
      </w:r>
      <w:r>
        <w:rPr>
          <w:rFonts w:hint="eastAsia" w:ascii="宋体" w:hAnsi="宋体" w:cs="宋体"/>
          <w:b/>
          <w:color w:val="auto"/>
          <w:kern w:val="0"/>
          <w:sz w:val="32"/>
          <w:szCs w:val="32"/>
        </w:rPr>
        <w:t>（如果有）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w:t>
      </w:r>
      <w:r>
        <w:rPr>
          <w:rFonts w:hint="eastAsia" w:ascii="宋体" w:hAnsi="宋体" w:cs="宋体"/>
          <w:color w:val="auto"/>
          <w:sz w:val="24"/>
        </w:rPr>
        <w:t>、（采购代理机构）：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五常街道城市管理综合养护四标段采购项目</w:t>
      </w:r>
      <w:r>
        <w:rPr>
          <w:rFonts w:hint="eastAsia" w:ascii="宋体" w:hAnsi="宋体" w:cs="宋体"/>
          <w:color w:val="auto"/>
          <w:sz w:val="24"/>
        </w:rPr>
        <w:t>【招标编号：</w:t>
      </w:r>
      <w:r>
        <w:rPr>
          <w:rFonts w:hint="eastAsia" w:ascii="宋体" w:hAnsi="宋体" w:cs="宋体"/>
          <w:color w:val="auto"/>
          <w:sz w:val="24"/>
          <w:lang w:eastAsia="zh-CN"/>
        </w:rPr>
        <w:t>（ZJZFCG-YS2023-003）</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400" w:name="_Hlk101257010"/>
      <w:r>
        <w:rPr>
          <w:rFonts w:hint="eastAsia" w:ascii="宋体" w:hAnsi="宋体" w:cs="宋体"/>
          <w:color w:val="auto"/>
          <w:sz w:val="24"/>
        </w:rPr>
        <w:t>（如果有)</w:t>
      </w:r>
      <w:bookmarkEnd w:id="400"/>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color w:val="auto"/>
          <w:sz w:val="24"/>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color w:val="auto"/>
          <w:sz w:val="24"/>
        </w:rPr>
        <w:t>（如果有)</w:t>
      </w:r>
      <w:r>
        <w:rPr>
          <w:rFonts w:hint="eastAsia" w:ascii="宋体" w:hAnsi="宋体" w:cs="宋体"/>
          <w:color w:val="auto"/>
          <w:sz w:val="24"/>
        </w:rPr>
        <w:t>。</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sz w:val="24"/>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4"/>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rPr>
        <w:t>、（采购代理机构）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五常街道城市管理综合养护四标段采购项目</w:t>
      </w:r>
      <w:r>
        <w:rPr>
          <w:rFonts w:hint="eastAsia" w:ascii="宋体" w:hAnsi="宋体" w:cs="宋体"/>
          <w:color w:val="auto"/>
          <w:sz w:val="24"/>
        </w:rPr>
        <w:t>【招标编号：</w:t>
      </w:r>
      <w:r>
        <w:rPr>
          <w:rFonts w:hint="eastAsia" w:ascii="宋体" w:hAnsi="宋体" w:cs="宋体"/>
          <w:color w:val="auto"/>
          <w:sz w:val="24"/>
          <w:lang w:eastAsia="zh-CN"/>
        </w:rPr>
        <w:t>（ZJZFCG-YS2023-003）</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rPr>
        <w:t>、（采购代理机构）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五常街道城市管理综合养护四标段采购项目</w:t>
      </w:r>
      <w:r>
        <w:rPr>
          <w:rFonts w:hint="eastAsia" w:ascii="宋体" w:hAnsi="宋体" w:cs="宋体"/>
          <w:color w:val="auto"/>
          <w:sz w:val="24"/>
        </w:rPr>
        <w:t>【招标编号：</w:t>
      </w:r>
      <w:r>
        <w:rPr>
          <w:rFonts w:hint="eastAsia" w:ascii="宋体" w:hAnsi="宋体" w:cs="宋体"/>
          <w:color w:val="auto"/>
          <w:sz w:val="24"/>
          <w:lang w:eastAsia="zh-CN"/>
        </w:rPr>
        <w:t>（ZJZFCG-YS2023-003）</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6"/>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rPr>
            </w:pPr>
            <w:r>
              <w:rPr>
                <w:rFonts w:hint="eastAsia" w:hAnsi="宋体" w:cs="宋体"/>
                <w:bCs/>
                <w:color w:val="auto"/>
                <w:sz w:val="24"/>
              </w:rPr>
              <w:t>正面：                                 反面：</w:t>
            </w:r>
          </w:p>
          <w:p>
            <w:pPr>
              <w:pStyle w:val="146"/>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w:t>
      </w:r>
      <w:r>
        <w:rPr>
          <w:rFonts w:hint="eastAsia" w:ascii="宋体" w:hAnsi="宋体" w:cs="宋体"/>
          <w:b/>
          <w:color w:val="auto"/>
          <w:kern w:val="0"/>
          <w:sz w:val="32"/>
          <w:szCs w:val="32"/>
        </w:rPr>
        <w:t>（如果有）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rPr>
        <w:t>、（采购代理机构）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numPr>
          <w:ilvl w:val="0"/>
          <w:numId w:val="6"/>
        </w:numPr>
        <w:snapToGrid w:val="0"/>
        <w:spacing w:line="360" w:lineRule="auto"/>
        <w:rPr>
          <w:rFonts w:hint="eastAsia" w:ascii="宋体" w:hAnsi="宋体" w:cs="宋体"/>
          <w:color w:val="auto"/>
          <w:sz w:val="24"/>
        </w:rPr>
      </w:pPr>
      <w:r>
        <w:rPr>
          <w:rFonts w:hint="eastAsia" w:ascii="宋体" w:hAnsi="宋体" w:cs="宋体"/>
          <w:color w:val="auto"/>
          <w:sz w:val="24"/>
        </w:rPr>
        <w:t>开标一览表（报价表）………………………………………………………（页码）</w:t>
      </w:r>
    </w:p>
    <w:p>
      <w:pPr>
        <w:numPr>
          <w:ilvl w:val="0"/>
          <w:numId w:val="6"/>
        </w:numPr>
        <w:snapToGrid w:val="0"/>
        <w:spacing w:line="360" w:lineRule="auto"/>
        <w:rPr>
          <w:rFonts w:hint="eastAsia" w:ascii="宋体" w:hAnsi="宋体" w:cs="宋体"/>
          <w:color w:val="auto"/>
          <w:sz w:val="24"/>
          <w:lang w:val="en-US" w:eastAsia="zh-CN"/>
        </w:rPr>
      </w:pPr>
      <w:r>
        <w:rPr>
          <w:rFonts w:hint="eastAsia" w:ascii="宋体" w:hAnsi="宋体" w:cs="宋体"/>
          <w:color w:val="auto"/>
          <w:sz w:val="24"/>
          <w:lang w:val="en-US" w:eastAsia="zh-CN"/>
        </w:rPr>
        <w:t>报价明细清单-分项报价表</w:t>
      </w:r>
      <w:r>
        <w:rPr>
          <w:rFonts w:hint="eastAsia" w:ascii="宋体" w:hAnsi="宋体" w:cs="宋体"/>
          <w:color w:val="auto"/>
          <w:sz w:val="24"/>
        </w:rPr>
        <w:t>……………………………………………………（页码）</w:t>
      </w:r>
    </w:p>
    <w:p>
      <w:pPr>
        <w:numPr>
          <w:ilvl w:val="0"/>
          <w:numId w:val="6"/>
        </w:numPr>
        <w:snapToGrid w:val="0"/>
        <w:spacing w:line="360" w:lineRule="auto"/>
        <w:rPr>
          <w:rFonts w:hint="eastAsia" w:ascii="宋体" w:hAnsi="宋体" w:cs="宋体"/>
          <w:color w:val="auto"/>
          <w:sz w:val="24"/>
        </w:rPr>
      </w:pPr>
      <w:r>
        <w:rPr>
          <w:rFonts w:hint="eastAsia" w:ascii="宋体" w:hAnsi="宋体" w:cs="宋体"/>
          <w:color w:val="auto"/>
          <w:sz w:val="24"/>
        </w:rPr>
        <w:t>中小企业声明函…………………………………………………………………（页码）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4"/>
        <w:ind w:left="0" w:leftChars="0" w:firstLine="0" w:firstLineChars="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28"/>
          <w:szCs w:val="28"/>
          <w:highlight w:val="none"/>
        </w:rPr>
        <w:t>开标一览表（报价表）</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2"/>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hd w:val="clear" w:color="auto" w:fill="FFFFFF"/>
        <w:snapToGrid w:val="0"/>
        <w:spacing w:line="600" w:lineRule="exact"/>
        <w:ind w:firstLine="482" w:firstLineChars="200"/>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91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1099"/>
        <w:gridCol w:w="1724"/>
        <w:gridCol w:w="1136"/>
        <w:gridCol w:w="1074"/>
        <w:gridCol w:w="1121"/>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序号</w:t>
            </w:r>
          </w:p>
        </w:tc>
        <w:tc>
          <w:tcPr>
            <w:tcW w:w="2823" w:type="dxa"/>
            <w:gridSpan w:val="2"/>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项目</w:t>
            </w:r>
          </w:p>
        </w:tc>
        <w:tc>
          <w:tcPr>
            <w:tcW w:w="1136"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单位</w:t>
            </w:r>
          </w:p>
        </w:tc>
        <w:tc>
          <w:tcPr>
            <w:tcW w:w="107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数量</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合计（元）</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9" w:hRule="atLeast"/>
        </w:trPr>
        <w:tc>
          <w:tcPr>
            <w:tcW w:w="727" w:type="dxa"/>
            <w:vMerge w:val="restart"/>
            <w:tcBorders>
              <w:top w:val="single" w:color="000000" w:sz="4" w:space="0"/>
              <w:left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099" w:type="dxa"/>
            <w:vMerge w:val="restart"/>
            <w:tcBorders>
              <w:top w:val="single" w:color="000000" w:sz="4" w:space="0"/>
              <w:left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道路保洁费</w:t>
            </w:r>
          </w:p>
        </w:tc>
        <w:tc>
          <w:tcPr>
            <w:tcW w:w="1724" w:type="dxa"/>
            <w:tcBorders>
              <w:top w:val="single" w:color="000000" w:sz="4" w:space="0"/>
              <w:left w:val="single" w:color="auto"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日常保洁人员工资</w:t>
            </w:r>
          </w:p>
        </w:tc>
        <w:tc>
          <w:tcPr>
            <w:tcW w:w="1136" w:type="dxa"/>
            <w:tcBorders>
              <w:top w:val="single" w:color="000000" w:sz="4" w:space="0"/>
              <w:left w:val="single" w:color="auto"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top w:val="single" w:color="000000" w:sz="4" w:space="0"/>
              <w:left w:val="single" w:color="auto"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人员不得少于</w:t>
            </w:r>
            <w:r>
              <w:rPr>
                <w:rFonts w:hint="eastAsia"/>
                <w:color w:val="auto"/>
                <w:highlight w:val="none"/>
                <w:lang w:val="en-US" w:eastAsia="zh-CN"/>
              </w:rPr>
              <w:t xml:space="preserve">  </w:t>
            </w:r>
            <w:r>
              <w:rPr>
                <w:rFonts w:hint="eastAsia"/>
                <w:color w:val="auto"/>
                <w:highlight w:val="none"/>
                <w:lang w:val="zh-CN" w:eastAsia="zh-CN"/>
              </w:rPr>
              <w:t xml:space="preserve">人，服务期 </w:t>
            </w:r>
            <w:r>
              <w:rPr>
                <w:rFonts w:hint="eastAsia"/>
                <w:color w:val="auto"/>
                <w:highlight w:val="none"/>
                <w:lang w:val="en-US" w:eastAsia="zh-CN"/>
              </w:rPr>
              <w:t>2</w:t>
            </w:r>
            <w:r>
              <w:rPr>
                <w:rFonts w:hint="eastAsia"/>
                <w:color w:val="auto"/>
                <w:highlight w:val="none"/>
                <w:lang w:val="zh-CN"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5" w:hRule="atLeast"/>
        </w:trPr>
        <w:tc>
          <w:tcPr>
            <w:tcW w:w="727" w:type="dxa"/>
            <w:vMerge w:val="continue"/>
            <w:tcBorders>
              <w:left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1099" w:type="dxa"/>
            <w:vMerge w:val="continue"/>
            <w:tcBorders>
              <w:left w:val="single" w:color="000000" w:sz="4" w:space="0"/>
              <w:right w:val="single" w:color="auto" w:sz="4" w:space="0"/>
            </w:tcBorders>
            <w:noWrap w:val="0"/>
            <w:vAlign w:val="center"/>
          </w:tcPr>
          <w:p>
            <w:pPr>
              <w:jc w:val="center"/>
              <w:rPr>
                <w:rFonts w:hint="eastAsia"/>
                <w:color w:val="auto"/>
                <w:highlight w:val="none"/>
                <w:lang w:val="zh-CN" w:eastAsia="zh-CN"/>
              </w:rPr>
            </w:pPr>
          </w:p>
        </w:tc>
        <w:tc>
          <w:tcPr>
            <w:tcW w:w="1724" w:type="dxa"/>
            <w:tcBorders>
              <w:top w:val="single" w:color="000000" w:sz="4" w:space="0"/>
              <w:left w:val="single" w:color="auto" w:sz="4" w:space="0"/>
              <w:right w:val="single" w:color="auto" w:sz="4" w:space="0"/>
            </w:tcBorders>
            <w:noWrap w:val="0"/>
            <w:vAlign w:val="center"/>
          </w:tcPr>
          <w:p>
            <w:pPr>
              <w:jc w:val="center"/>
              <w:rPr>
                <w:rFonts w:hint="default"/>
                <w:color w:val="auto"/>
                <w:highlight w:val="none"/>
                <w:lang w:val="en-US" w:eastAsia="zh-CN"/>
              </w:rPr>
            </w:pPr>
            <w:r>
              <w:rPr>
                <w:rFonts w:hint="eastAsia"/>
                <w:color w:val="auto"/>
                <w:highlight w:val="none"/>
                <w:lang w:val="en-US" w:eastAsia="zh-CN"/>
              </w:rPr>
              <w:t>设备耗材及设备折损费用</w:t>
            </w:r>
          </w:p>
        </w:tc>
        <w:tc>
          <w:tcPr>
            <w:tcW w:w="1136" w:type="dxa"/>
            <w:tcBorders>
              <w:top w:val="single" w:color="000000" w:sz="4" w:space="0"/>
              <w:left w:val="single" w:color="auto"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top w:val="single" w:color="000000" w:sz="4" w:space="0"/>
              <w:left w:val="single" w:color="auto"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5" w:hRule="atLeast"/>
        </w:trPr>
        <w:tc>
          <w:tcPr>
            <w:tcW w:w="727" w:type="dxa"/>
            <w:tcBorders>
              <w:left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2</w:t>
            </w:r>
          </w:p>
        </w:tc>
        <w:tc>
          <w:tcPr>
            <w:tcW w:w="2823" w:type="dxa"/>
            <w:gridSpan w:val="2"/>
            <w:tcBorders>
              <w:left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市政养护费</w:t>
            </w:r>
          </w:p>
        </w:tc>
        <w:tc>
          <w:tcPr>
            <w:tcW w:w="1136" w:type="dxa"/>
            <w:tcBorders>
              <w:left w:val="single" w:color="auto"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left w:val="single" w:color="auto"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right w:val="single" w:color="000000" w:sz="4" w:space="0"/>
            </w:tcBorders>
            <w:noWrap w:val="0"/>
            <w:vAlign w:val="center"/>
          </w:tcPr>
          <w:p>
            <w:pPr>
              <w:jc w:val="center"/>
              <w:rPr>
                <w:rFonts w:hint="default"/>
                <w:color w:val="auto"/>
                <w:highlight w:val="none"/>
                <w:lang w:val="en-US" w:eastAsia="zh-CN"/>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暂定价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9" w:hRule="atLeast"/>
        </w:trPr>
        <w:tc>
          <w:tcPr>
            <w:tcW w:w="727" w:type="dxa"/>
            <w:tcBorders>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3</w:t>
            </w:r>
          </w:p>
        </w:tc>
        <w:tc>
          <w:tcPr>
            <w:tcW w:w="2823" w:type="dxa"/>
            <w:gridSpan w:val="2"/>
            <w:tcBorders>
              <w:left w:val="single" w:color="000000"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绿化养护费</w:t>
            </w:r>
          </w:p>
        </w:tc>
        <w:tc>
          <w:tcPr>
            <w:tcW w:w="1136" w:type="dxa"/>
            <w:tcBorders>
              <w:left w:val="single" w:color="auto"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left w:val="single" w:color="auto"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人员不得少于</w:t>
            </w:r>
            <w:r>
              <w:rPr>
                <w:rFonts w:hint="eastAsia"/>
                <w:color w:val="auto"/>
                <w:highlight w:val="none"/>
                <w:lang w:val="en-US" w:eastAsia="zh-CN"/>
              </w:rPr>
              <w:t xml:space="preserve"> </w:t>
            </w:r>
            <w:r>
              <w:rPr>
                <w:rFonts w:hint="eastAsia"/>
                <w:color w:val="auto"/>
                <w:highlight w:val="none"/>
                <w:lang w:val="zh-CN" w:eastAsia="zh-CN"/>
              </w:rPr>
              <w:t xml:space="preserve">人，服务期 </w:t>
            </w:r>
            <w:r>
              <w:rPr>
                <w:rFonts w:hint="eastAsia"/>
                <w:color w:val="auto"/>
                <w:highlight w:val="none"/>
                <w:lang w:val="en-US" w:eastAsia="zh-CN"/>
              </w:rPr>
              <w:t>2</w:t>
            </w:r>
            <w:r>
              <w:rPr>
                <w:rFonts w:hint="eastAsia"/>
                <w:color w:val="auto"/>
                <w:highlight w:val="none"/>
                <w:lang w:val="zh-CN"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9" w:hRule="atLeast"/>
        </w:trPr>
        <w:tc>
          <w:tcPr>
            <w:tcW w:w="727" w:type="dxa"/>
            <w:tcBorders>
              <w:left w:val="single" w:color="000000" w:sz="4" w:space="0"/>
              <w:bottom w:val="single" w:color="000000" w:sz="4" w:space="0"/>
              <w:right w:val="single" w:color="000000" w:sz="4" w:space="0"/>
            </w:tcBorders>
            <w:noWrap w:val="0"/>
            <w:vAlign w:val="center"/>
          </w:tcPr>
          <w:p>
            <w:pPr>
              <w:jc w:val="center"/>
              <w:rPr>
                <w:rFonts w:hint="eastAsia"/>
                <w:color w:val="auto"/>
                <w:highlight w:val="none"/>
                <w:lang w:val="en-US" w:eastAsia="zh-CN"/>
              </w:rPr>
            </w:pPr>
            <w:r>
              <w:rPr>
                <w:rFonts w:hint="eastAsia"/>
                <w:color w:val="auto"/>
                <w:highlight w:val="none"/>
                <w:lang w:val="en-US" w:eastAsia="zh-CN"/>
              </w:rPr>
              <w:t>4</w:t>
            </w:r>
          </w:p>
        </w:tc>
        <w:tc>
          <w:tcPr>
            <w:tcW w:w="2823" w:type="dxa"/>
            <w:gridSpan w:val="2"/>
            <w:tcBorders>
              <w:left w:val="single" w:color="000000" w:sz="4" w:space="0"/>
              <w:bottom w:val="single" w:color="000000" w:sz="4" w:space="0"/>
              <w:right w:val="single" w:color="auto" w:sz="4" w:space="0"/>
            </w:tcBorders>
            <w:noWrap w:val="0"/>
            <w:vAlign w:val="center"/>
          </w:tcPr>
          <w:p>
            <w:pPr>
              <w:ind w:firstLine="840" w:firstLineChars="400"/>
              <w:jc w:val="both"/>
              <w:rPr>
                <w:rFonts w:hint="eastAsia"/>
                <w:color w:val="auto"/>
                <w:highlight w:val="none"/>
                <w:lang w:val="en-US" w:eastAsia="zh-CN"/>
              </w:rPr>
            </w:pPr>
            <w:r>
              <w:rPr>
                <w:rFonts w:hint="eastAsia"/>
                <w:color w:val="auto"/>
                <w:highlight w:val="none"/>
                <w:lang w:val="en-US" w:eastAsia="zh-CN"/>
              </w:rPr>
              <w:t>河道保洁费</w:t>
            </w:r>
          </w:p>
        </w:tc>
        <w:tc>
          <w:tcPr>
            <w:tcW w:w="1136" w:type="dxa"/>
            <w:tcBorders>
              <w:left w:val="single" w:color="auto"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left w:val="single" w:color="auto"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人员不得少于</w:t>
            </w:r>
            <w:r>
              <w:rPr>
                <w:rFonts w:hint="eastAsia"/>
                <w:color w:val="auto"/>
                <w:highlight w:val="none"/>
                <w:lang w:val="en-US" w:eastAsia="zh-CN"/>
              </w:rPr>
              <w:t xml:space="preserve">  </w:t>
            </w:r>
            <w:r>
              <w:rPr>
                <w:rFonts w:hint="eastAsia"/>
                <w:color w:val="auto"/>
                <w:highlight w:val="none"/>
                <w:lang w:val="zh-CN" w:eastAsia="zh-CN"/>
              </w:rPr>
              <w:t xml:space="preserve">人，服务期 </w:t>
            </w:r>
            <w:r>
              <w:rPr>
                <w:rFonts w:hint="eastAsia"/>
                <w:color w:val="auto"/>
                <w:highlight w:val="none"/>
                <w:lang w:val="en-US" w:eastAsia="zh-CN"/>
              </w:rPr>
              <w:t>2</w:t>
            </w:r>
            <w:r>
              <w:rPr>
                <w:rFonts w:hint="eastAsia"/>
                <w:color w:val="auto"/>
                <w:highlight w:val="none"/>
                <w:lang w:val="zh-CN"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9" w:hRule="atLeast"/>
        </w:trPr>
        <w:tc>
          <w:tcPr>
            <w:tcW w:w="727" w:type="dxa"/>
            <w:tcBorders>
              <w:left w:val="single" w:color="000000" w:sz="4" w:space="0"/>
              <w:bottom w:val="single" w:color="000000" w:sz="4" w:space="0"/>
              <w:right w:val="single" w:color="000000" w:sz="4" w:space="0"/>
            </w:tcBorders>
            <w:noWrap w:val="0"/>
            <w:vAlign w:val="center"/>
          </w:tcPr>
          <w:p>
            <w:pPr>
              <w:jc w:val="center"/>
              <w:rPr>
                <w:rFonts w:hint="default"/>
                <w:color w:val="auto"/>
                <w:highlight w:val="none"/>
                <w:lang w:val="en-US" w:eastAsia="zh-CN"/>
              </w:rPr>
            </w:pPr>
            <w:r>
              <w:rPr>
                <w:rFonts w:hint="eastAsia"/>
                <w:color w:val="auto"/>
                <w:highlight w:val="none"/>
                <w:lang w:val="en-US" w:eastAsia="zh-CN"/>
              </w:rPr>
              <w:t>5</w:t>
            </w:r>
          </w:p>
        </w:tc>
        <w:tc>
          <w:tcPr>
            <w:tcW w:w="2823" w:type="dxa"/>
            <w:gridSpan w:val="2"/>
            <w:tcBorders>
              <w:left w:val="single" w:color="000000" w:sz="4" w:space="0"/>
              <w:bottom w:val="single" w:color="000000" w:sz="4" w:space="0"/>
              <w:right w:val="single" w:color="auto" w:sz="4" w:space="0"/>
            </w:tcBorders>
            <w:noWrap w:val="0"/>
            <w:vAlign w:val="center"/>
          </w:tcPr>
          <w:p>
            <w:pPr>
              <w:ind w:firstLine="840" w:firstLineChars="400"/>
              <w:jc w:val="both"/>
              <w:rPr>
                <w:rFonts w:hint="eastAsia"/>
                <w:color w:val="auto"/>
                <w:highlight w:val="none"/>
                <w:lang w:val="en-US" w:eastAsia="zh-CN"/>
              </w:rPr>
            </w:pPr>
            <w:r>
              <w:rPr>
                <w:rFonts w:hint="eastAsia"/>
                <w:color w:val="auto"/>
                <w:highlight w:val="none"/>
                <w:lang w:val="en-US" w:eastAsia="zh-CN"/>
              </w:rPr>
              <w:t>公厕保洁费</w:t>
            </w:r>
          </w:p>
        </w:tc>
        <w:tc>
          <w:tcPr>
            <w:tcW w:w="1136" w:type="dxa"/>
            <w:tcBorders>
              <w:left w:val="single" w:color="auto" w:sz="4" w:space="0"/>
              <w:bottom w:val="single" w:color="000000" w:sz="4" w:space="0"/>
              <w:right w:val="single" w:color="auto"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项</w:t>
            </w:r>
          </w:p>
        </w:tc>
        <w:tc>
          <w:tcPr>
            <w:tcW w:w="1074" w:type="dxa"/>
            <w:tcBorders>
              <w:left w:val="single" w:color="auto"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1</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人员不得少于</w:t>
            </w:r>
            <w:r>
              <w:rPr>
                <w:rFonts w:hint="eastAsia"/>
                <w:color w:val="auto"/>
                <w:highlight w:val="none"/>
                <w:lang w:val="en-US" w:eastAsia="zh-CN"/>
              </w:rPr>
              <w:t xml:space="preserve">  </w:t>
            </w:r>
            <w:r>
              <w:rPr>
                <w:rFonts w:hint="eastAsia"/>
                <w:color w:val="auto"/>
                <w:highlight w:val="none"/>
                <w:lang w:val="zh-CN" w:eastAsia="zh-CN"/>
              </w:rPr>
              <w:t xml:space="preserve">人，服务期 </w:t>
            </w:r>
            <w:r>
              <w:rPr>
                <w:rFonts w:hint="eastAsia"/>
                <w:color w:val="auto"/>
                <w:highlight w:val="none"/>
                <w:lang w:val="en-US" w:eastAsia="zh-CN"/>
              </w:rPr>
              <w:t>2</w:t>
            </w:r>
            <w:r>
              <w:rPr>
                <w:rFonts w:hint="eastAsia"/>
                <w:color w:val="auto"/>
                <w:highlight w:val="none"/>
                <w:lang w:val="zh-CN"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9" w:hRule="atLeast"/>
        </w:trPr>
        <w:tc>
          <w:tcPr>
            <w:tcW w:w="727" w:type="dxa"/>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6</w:t>
            </w:r>
          </w:p>
        </w:tc>
        <w:tc>
          <w:tcPr>
            <w:tcW w:w="2823" w:type="dxa"/>
            <w:gridSpan w:val="2"/>
            <w:tcBorders>
              <w:left w:val="single" w:color="000000" w:sz="4" w:space="0"/>
              <w:bottom w:val="single" w:color="000000" w:sz="4" w:space="0"/>
              <w:right w:val="single" w:color="auto" w:sz="4" w:space="0"/>
            </w:tcBorders>
            <w:noWrap w:val="0"/>
            <w:vAlign w:val="center"/>
          </w:tcPr>
          <w:p>
            <w:pPr>
              <w:ind w:firstLine="420" w:firstLineChars="200"/>
              <w:jc w:val="cente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lang w:val="en-US" w:eastAsia="zh-CN"/>
              </w:rPr>
              <w:t>管理人员及辅助人员</w:t>
            </w:r>
          </w:p>
        </w:tc>
        <w:tc>
          <w:tcPr>
            <w:tcW w:w="1136" w:type="dxa"/>
            <w:tcBorders>
              <w:left w:val="single" w:color="auto" w:sz="4" w:space="0"/>
              <w:bottom w:val="single" w:color="000000" w:sz="4" w:space="0"/>
              <w:right w:val="single" w:color="auto"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lang w:val="zh-CN" w:eastAsia="zh-CN"/>
              </w:rPr>
              <w:t>项</w:t>
            </w:r>
          </w:p>
        </w:tc>
        <w:tc>
          <w:tcPr>
            <w:tcW w:w="1074" w:type="dxa"/>
            <w:tcBorders>
              <w:left w:val="single" w:color="auto"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lang w:val="zh-CN" w:eastAsia="zh-CN"/>
              </w:rPr>
              <w:t>1</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auto"/>
                <w:kern w:val="2"/>
                <w:sz w:val="21"/>
                <w:szCs w:val="24"/>
                <w:highlight w:val="none"/>
                <w:lang w:val="zh-CN" w:eastAsia="zh-CN" w:bidi="ar-SA"/>
              </w:rPr>
            </w:pPr>
            <w:r>
              <w:rPr>
                <w:rFonts w:hint="eastAsia"/>
                <w:color w:val="auto"/>
                <w:highlight w:val="none"/>
                <w:lang w:val="zh-CN" w:eastAsia="zh-CN"/>
              </w:rPr>
              <w:t>人员不得少于</w:t>
            </w:r>
            <w:r>
              <w:rPr>
                <w:rFonts w:hint="eastAsia"/>
                <w:color w:val="auto"/>
                <w:highlight w:val="none"/>
                <w:lang w:val="en-US" w:eastAsia="zh-CN"/>
              </w:rPr>
              <w:t xml:space="preserve">   </w:t>
            </w:r>
            <w:r>
              <w:rPr>
                <w:rFonts w:hint="eastAsia"/>
                <w:color w:val="auto"/>
                <w:highlight w:val="none"/>
                <w:lang w:val="zh-CN" w:eastAsia="zh-CN"/>
              </w:rPr>
              <w:t>人，服务期</w:t>
            </w:r>
            <w:r>
              <w:rPr>
                <w:rFonts w:hint="eastAsia"/>
                <w:color w:val="auto"/>
                <w:highlight w:val="none"/>
                <w:lang w:val="en-US" w:eastAsia="zh-CN"/>
              </w:rPr>
              <w:t>2</w:t>
            </w:r>
            <w:r>
              <w:rPr>
                <w:rFonts w:hint="eastAsia"/>
                <w:color w:val="auto"/>
                <w:highlight w:val="none"/>
                <w:lang w:val="zh-CN"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8" w:hRule="atLeast"/>
        </w:trPr>
        <w:tc>
          <w:tcPr>
            <w:tcW w:w="576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合计总价（1+2+3+4+5）</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小写（元）</w:t>
            </w:r>
          </w:p>
        </w:tc>
        <w:tc>
          <w:tcPr>
            <w:tcW w:w="227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color w:val="auto"/>
                <w:highlight w:val="none"/>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9" w:hRule="atLeast"/>
        </w:trPr>
        <w:tc>
          <w:tcPr>
            <w:tcW w:w="57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highlight w:val="none"/>
                <w:lang w:val="zh-CN" w:eastAsia="zh-CN"/>
              </w:rPr>
            </w:pPr>
            <w:r>
              <w:rPr>
                <w:rFonts w:hint="eastAsia"/>
                <w:color w:val="auto"/>
                <w:highlight w:val="none"/>
                <w:lang w:val="zh-CN" w:eastAsia="zh-CN"/>
              </w:rPr>
              <w:t>大写（元）</w:t>
            </w:r>
          </w:p>
        </w:tc>
        <w:tc>
          <w:tcPr>
            <w:tcW w:w="2276" w:type="dxa"/>
            <w:tcBorders>
              <w:top w:val="single" w:color="auto" w:sz="4" w:space="0"/>
              <w:left w:val="single" w:color="000000" w:sz="4" w:space="0"/>
              <w:right w:val="single" w:color="000000" w:sz="4" w:space="0"/>
            </w:tcBorders>
            <w:noWrap w:val="0"/>
            <w:vAlign w:val="center"/>
          </w:tcPr>
          <w:p>
            <w:pPr>
              <w:jc w:val="center"/>
              <w:rPr>
                <w:rFonts w:hint="eastAsia"/>
                <w:color w:val="auto"/>
                <w:highlight w:val="none"/>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157"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color w:val="auto"/>
                <w:highlight w:val="none"/>
                <w:lang w:val="zh-CN" w:eastAsia="zh-CN"/>
              </w:rPr>
            </w:pPr>
            <w:r>
              <w:rPr>
                <w:rFonts w:hint="eastAsia"/>
                <w:color w:val="auto"/>
                <w:highlight w:val="none"/>
                <w:lang w:val="zh-CN" w:eastAsia="zh-CN"/>
              </w:rPr>
              <w:t>说明：（1）投标报价四舍五入到元。</w:t>
            </w:r>
          </w:p>
          <w:p>
            <w:pPr>
              <w:jc w:val="left"/>
              <w:rPr>
                <w:rFonts w:hint="eastAsia"/>
                <w:color w:val="auto"/>
                <w:highlight w:val="none"/>
                <w:lang w:val="zh-CN" w:eastAsia="zh-CN"/>
              </w:rPr>
            </w:pPr>
            <w:r>
              <w:rPr>
                <w:rFonts w:hint="eastAsia" w:ascii="宋体" w:hAnsi="宋体" w:eastAsia="宋体" w:cs="宋体"/>
                <w:b/>
                <w:bCs/>
                <w:i w:val="0"/>
                <w:iCs w:val="0"/>
                <w:color w:val="auto"/>
                <w:kern w:val="0"/>
                <w:sz w:val="24"/>
                <w:szCs w:val="24"/>
                <w:highlight w:val="none"/>
                <w:u w:val="none"/>
                <w:lang w:val="en-US" w:eastAsia="zh-CN" w:bidi="ar"/>
              </w:rPr>
              <w:t>本项目综合养护内容还包括垃圾分类音乐线、牛皮藓清理、雨水篦清掏，该三项属保洁养护区域范围内的工作内容，相应的费用不在单独计取，含在投标报价内</w:t>
            </w:r>
            <w:r>
              <w:rPr>
                <w:rFonts w:hint="eastAsia"/>
                <w:color w:val="auto"/>
                <w:highlight w:val="none"/>
                <w:lang w:val="zh-CN"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zh-CN" w:eastAsia="zh-CN"/>
        </w:rPr>
        <w:t>1、本投标文件及其所附文件涵盖了我方要约的全部内容。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zh-CN" w:eastAsia="zh-CN"/>
        </w:rPr>
        <w:t>2、本项目招标人员工资含人员基础工资、环卫特殊岗位津贴、高温费、社会保险费、住房公积金、双休日及法定节假日加班费、医疗体检费等；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根据中华人民共和国招标投标法第三十三条规定“投标人不得以低于成本的报价竞标”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根据中华人民共和国财政部令第87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6"/>
        <w:snapToGrid w:val="0"/>
        <w:spacing w:line="600" w:lineRule="exact"/>
        <w:ind w:firstLine="480" w:firstLineChars="200"/>
        <w:rPr>
          <w:rFonts w:hint="eastAsia" w:hAnsi="宋体" w:cs="宋体"/>
          <w:color w:val="auto"/>
          <w:sz w:val="24"/>
          <w:highlight w:val="none"/>
          <w:lang w:val="en-US" w:eastAsia="zh-CN"/>
        </w:rPr>
      </w:pPr>
      <w:r>
        <w:rPr>
          <w:rFonts w:hint="eastAsia" w:hAnsi="宋体" w:cs="宋体"/>
          <w:color w:val="auto"/>
          <w:sz w:val="24"/>
          <w:highlight w:val="none"/>
          <w:lang w:val="en-US" w:eastAsia="zh-CN"/>
        </w:rPr>
        <w:t>4、</w:t>
      </w:r>
      <w:r>
        <w:rPr>
          <w:rFonts w:hint="eastAsia" w:hAnsi="宋体" w:cs="宋体"/>
          <w:color w:val="auto"/>
          <w:sz w:val="24"/>
          <w:highlight w:val="none"/>
          <w:lang w:val="en-US" w:eastAsia="zh-CN"/>
        </w:rPr>
        <w:t>人员工资：根据杭政办〔2008〕14号、浙政办发〔2009〕190号、</w:t>
      </w:r>
      <w:r>
        <w:rPr>
          <w:rFonts w:hint="eastAsia" w:hAnsi="宋体" w:cs="宋体"/>
          <w:color w:val="auto"/>
          <w:sz w:val="24"/>
          <w:highlight w:val="none"/>
          <w:lang w:val="zh-CN" w:eastAsia="zh-CN"/>
        </w:rPr>
        <w:t>《浙江省人民政府关于调整全省最低工资标准的通知》（浙政发[2021]22号）、</w:t>
      </w:r>
      <w:r>
        <w:rPr>
          <w:rFonts w:hint="eastAsia" w:hAnsi="宋体" w:cs="宋体"/>
          <w:color w:val="auto"/>
          <w:sz w:val="24"/>
          <w:highlight w:val="none"/>
          <w:lang w:val="en-US" w:eastAsia="zh-CN"/>
        </w:rPr>
        <w:t>《杭州市人民政府关于调整市区最低工资标准的通知》（杭政函[2021]69号），日常加班工资按劳动法相关要求另行计算。必须为本项目人员缴纳五险、住房公积金及杭政办〔2008〕14号和浙政办发〔2009〕190号文件规定的其它经费，须在杭州本地缴纳“五险一金”。投标单位根据道路保洁作业定额，结合作业难易程度，确定投标合理报价。</w:t>
      </w:r>
    </w:p>
    <w:tbl>
      <w:tblPr>
        <w:tblStyle w:val="62"/>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319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基本工资</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2280元/月，即27360元/年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杭政函[2021]69号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上浮10%</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228元/月，即2736元/年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特殊岗位津贴</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300元/月，即3600元/年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浙政办发〔2009〕190号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夏季高温津贴</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1200元/年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浙人社发〔2018〕65号300元/月，按4个月计算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住房公积金</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125.4元/月，即1504.8元/年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企业职工基本养老保险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（单位缴纳比例按14%）</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553.98元/月，即6647.76元/年</w:t>
            </w:r>
          </w:p>
        </w:tc>
        <w:tc>
          <w:tcPr>
            <w:tcW w:w="2659" w:type="dxa"/>
            <w:vMerge w:val="restart"/>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关于启动2021年度社会保险缴费基数的通知、浙人社发[2021]54号，基数保底值按3957元计算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失业保险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（按0.5%计取）</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19.79元/月，即237.48元/年</w:t>
            </w:r>
          </w:p>
        </w:tc>
        <w:tc>
          <w:tcPr>
            <w:tcW w:w="2659" w:type="dxa"/>
            <w:vMerge w:val="continue"/>
            <w:noWrap w:val="0"/>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（单位缴纳比例按9.9%）</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391.74元/月，即4700.88元/年</w:t>
            </w:r>
          </w:p>
        </w:tc>
        <w:tc>
          <w:tcPr>
            <w:tcW w:w="2659" w:type="dxa"/>
            <w:vMerge w:val="continue"/>
            <w:noWrap w:val="0"/>
            <w:vAlign w:val="center"/>
          </w:tcPr>
          <w:p>
            <w:pPr>
              <w:jc w:val="left"/>
              <w:rPr>
                <w:rFonts w:hint="eastAsia" w:ascii="宋体" w:hAnsi="宋体" w:eastAsia="宋体" w:cs="宋体"/>
                <w:color w:val="auto"/>
                <w:sz w:val="24"/>
                <w:szCs w:val="24"/>
                <w:highlight w:val="none"/>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kern w:val="0"/>
          <w:sz w:val="24"/>
          <w:highlight w:val="none"/>
          <w:lang w:val="zh-CN"/>
        </w:rPr>
        <w:t>法定（授权）代表人（</w:t>
      </w:r>
      <w:r>
        <w:rPr>
          <w:rFonts w:hint="eastAsia" w:ascii="宋体" w:hAnsi="宋体" w:eastAsia="宋体" w:cs="宋体"/>
          <w:color w:val="auto"/>
          <w:kern w:val="0"/>
          <w:sz w:val="24"/>
          <w:highlight w:val="none"/>
        </w:rPr>
        <w:t>盖</w:t>
      </w:r>
      <w:r>
        <w:rPr>
          <w:rFonts w:hint="eastAsia" w:ascii="宋体" w:hAnsi="宋体" w:eastAsia="宋体" w:cs="宋体"/>
          <w:color w:val="auto"/>
          <w:sz w:val="24"/>
          <w:highlight w:val="none"/>
        </w:rPr>
        <w:t>章或签字</w:t>
      </w:r>
      <w:r>
        <w:rPr>
          <w:rFonts w:hint="eastAsia" w:ascii="宋体" w:hAnsi="宋体" w:eastAsia="宋体" w:cs="宋体"/>
          <w:color w:val="auto"/>
          <w:sz w:val="24"/>
          <w:highlight w:val="none"/>
          <w:lang w:val="zh-CN"/>
        </w:rPr>
        <w:t>）：</w:t>
      </w:r>
    </w:p>
    <w:p>
      <w:pPr>
        <w:pStyle w:val="4"/>
        <w:jc w:val="right"/>
        <w:rPr>
          <w:rFonts w:hint="eastAsia" w:ascii="宋体" w:hAnsi="宋体" w:eastAsia="宋体" w:cs="宋体"/>
          <w:b w:val="0"/>
          <w:bCs w:val="0"/>
          <w:color w:val="auto"/>
          <w:highlight w:val="none"/>
        </w:rPr>
      </w:pPr>
      <w:r>
        <w:rPr>
          <w:rFonts w:hint="eastAsia" w:ascii="宋体" w:hAnsi="宋体" w:eastAsia="宋体" w:cs="宋体"/>
          <w:b w:val="0"/>
          <w:bCs w:val="0"/>
          <w:color w:val="auto"/>
          <w:sz w:val="24"/>
          <w:highlight w:val="none"/>
        </w:rPr>
        <w:t>日期：    年   月   日</w:t>
      </w: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1906" w:h="16838"/>
          <w:pgMar w:top="1247" w:right="1418" w:bottom="1276" w:left="1418" w:header="851" w:footer="992" w:gutter="0"/>
          <w:cols w:space="720" w:num="1"/>
          <w:titlePg/>
          <w:docGrid w:linePitch="312" w:charSpace="0"/>
        </w:sectPr>
      </w:pPr>
    </w:p>
    <w:p>
      <w:pPr>
        <w:pStyle w:val="690"/>
        <w:tabs>
          <w:tab w:val="clear" w:pos="720"/>
        </w:tabs>
        <w:snapToGrid w:val="0"/>
        <w:spacing w:before="120" w:after="120" w:line="600" w:lineRule="exact"/>
        <w:ind w:firstLine="643"/>
        <w:outlineLvl w:val="9"/>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二、报价明细清单-分项报价表</w:t>
      </w:r>
    </w:p>
    <w:p>
      <w:pPr>
        <w:spacing w:line="600" w:lineRule="exact"/>
        <w:ind w:firstLine="241" w:firstLineChars="1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项目编号：</w:t>
      </w:r>
    </w:p>
    <w:tbl>
      <w:tblPr>
        <w:tblStyle w:val="62"/>
        <w:tblW w:w="97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2"/>
        <w:gridCol w:w="1624"/>
        <w:gridCol w:w="956"/>
        <w:gridCol w:w="1023"/>
        <w:gridCol w:w="1290"/>
        <w:gridCol w:w="1408"/>
        <w:gridCol w:w="2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42" w:type="dxa"/>
            <w:tcBorders>
              <w:top w:val="single" w:color="auto" w:sz="8" w:space="0"/>
              <w:left w:val="single" w:color="auto" w:sz="8"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624"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经费名称项目</w:t>
            </w:r>
          </w:p>
        </w:tc>
        <w:tc>
          <w:tcPr>
            <w:tcW w:w="956"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023"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1290"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投标单价</w:t>
            </w:r>
          </w:p>
        </w:tc>
        <w:tc>
          <w:tcPr>
            <w:tcW w:w="1408"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金额（元）</w:t>
            </w:r>
          </w:p>
          <w:p>
            <w:pPr>
              <w:jc w:val="center"/>
              <w:rPr>
                <w:rFonts w:hint="eastAsia" w:ascii="宋体" w:hAnsi="宋体" w:eastAsia="宋体" w:cs="宋体"/>
                <w:b/>
                <w:bCs/>
                <w:color w:val="auto"/>
                <w:sz w:val="24"/>
                <w:szCs w:val="24"/>
                <w:highlight w:val="none"/>
              </w:rPr>
            </w:pPr>
            <w:r>
              <w:rPr>
                <w:rFonts w:hint="eastAsia" w:cs="宋体"/>
                <w:b/>
                <w:bCs/>
                <w:color w:val="auto"/>
                <w:sz w:val="24"/>
                <w:szCs w:val="24"/>
                <w:highlight w:val="none"/>
                <w:lang w:val="en-US" w:eastAsia="zh-CN"/>
              </w:rPr>
              <w:t>2年服务</w:t>
            </w:r>
          </w:p>
        </w:tc>
        <w:tc>
          <w:tcPr>
            <w:tcW w:w="2867" w:type="dxa"/>
            <w:tcBorders>
              <w:top w:val="single" w:color="auto" w:sz="8" w:space="0"/>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42" w:type="dxa"/>
            <w:tcBorders>
              <w:top w:val="nil"/>
              <w:left w:val="single" w:color="auto" w:sz="8"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624" w:type="dxa"/>
            <w:tcBorders>
              <w:top w:val="nil"/>
              <w:left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环卫保洁</w:t>
            </w:r>
          </w:p>
        </w:tc>
        <w:tc>
          <w:tcPr>
            <w:tcW w:w="956" w:type="dxa"/>
            <w:tcBorders>
              <w:top w:val="nil"/>
              <w:left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023"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default" w:ascii="宋体" w:hAnsi="宋体" w:eastAsia="宋体" w:cs="宋体"/>
                <w:color w:val="auto"/>
                <w:sz w:val="24"/>
                <w:szCs w:val="24"/>
                <w:highlight w:val="none"/>
                <w:lang w:val="en-US" w:eastAsia="zh-CN"/>
              </w:rPr>
            </w:pPr>
          </w:p>
        </w:tc>
        <w:tc>
          <w:tcPr>
            <w:tcW w:w="1290"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jc w:val="center"/>
              <w:textAlignment w:val="center"/>
              <w:rPr>
                <w:rFonts w:hint="eastAsia" w:ascii="宋体" w:hAnsi="宋体" w:eastAsia="宋体" w:cs="宋体"/>
                <w:color w:val="auto"/>
                <w:sz w:val="24"/>
                <w:szCs w:val="24"/>
                <w:highlight w:val="none"/>
              </w:rPr>
            </w:pPr>
          </w:p>
        </w:tc>
        <w:tc>
          <w:tcPr>
            <w:tcW w:w="1408" w:type="dxa"/>
            <w:tcBorders>
              <w:top w:val="nil"/>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p>
        </w:tc>
        <w:tc>
          <w:tcPr>
            <w:tcW w:w="2867"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最高限价为</w:t>
            </w:r>
            <w:r>
              <w:rPr>
                <w:rFonts w:hint="eastAsia" w:ascii="宋体" w:hAnsi="宋体" w:cs="宋体"/>
                <w:color w:val="auto"/>
                <w:sz w:val="24"/>
                <w:highlight w:val="none"/>
                <w:lang w:val="en-US" w:eastAsia="zh-CN"/>
              </w:rPr>
              <w:t>22.98</w:t>
            </w:r>
            <w:r>
              <w:rPr>
                <w:rFonts w:hint="eastAsia" w:ascii="宋体" w:hAnsi="宋体" w:eastAsia="宋体" w:cs="宋体"/>
                <w:color w:val="auto"/>
                <w:sz w:val="24"/>
                <w:highlight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42" w:type="dxa"/>
            <w:tcBorders>
              <w:top w:val="single" w:color="auto" w:sz="4" w:space="0"/>
              <w:left w:val="single" w:color="auto" w:sz="8"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624" w:type="dxa"/>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市政养护</w:t>
            </w:r>
          </w:p>
        </w:tc>
        <w:tc>
          <w:tcPr>
            <w:tcW w:w="95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项</w:t>
            </w:r>
          </w:p>
        </w:tc>
        <w:tc>
          <w:tcPr>
            <w:tcW w:w="1023"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w:t>
            </w:r>
          </w:p>
        </w:tc>
        <w:tc>
          <w:tcPr>
            <w:tcW w:w="1290"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jc w:val="center"/>
              <w:textAlignment w:val="center"/>
              <w:rPr>
                <w:rFonts w:hint="default" w:ascii="宋体" w:hAnsi="宋体" w:eastAsia="宋体" w:cs="宋体"/>
                <w:b/>
                <w:bCs/>
                <w:color w:val="auto"/>
                <w:sz w:val="24"/>
                <w:szCs w:val="24"/>
                <w:highlight w:val="none"/>
                <w:lang w:val="en-US"/>
              </w:rPr>
            </w:pPr>
          </w:p>
        </w:tc>
        <w:tc>
          <w:tcPr>
            <w:tcW w:w="1408" w:type="dxa"/>
            <w:tcBorders>
              <w:top w:val="nil"/>
              <w:left w:val="nil"/>
              <w:bottom w:val="single" w:color="auto" w:sz="4" w:space="0"/>
              <w:right w:val="single" w:color="auto" w:sz="4" w:space="0"/>
            </w:tcBorders>
            <w:tcMar>
              <w:top w:w="17" w:type="dxa"/>
              <w:left w:w="17" w:type="dxa"/>
              <w:bottom w:w="0" w:type="dxa"/>
              <w:right w:w="17" w:type="dxa"/>
            </w:tcMar>
            <w:vAlign w:val="center"/>
          </w:tcPr>
          <w:p>
            <w:pPr>
              <w:jc w:val="left"/>
              <w:rPr>
                <w:rFonts w:hint="default" w:ascii="宋体" w:hAnsi="宋体" w:eastAsia="宋体" w:cs="宋体"/>
                <w:b/>
                <w:bCs/>
                <w:color w:val="auto"/>
                <w:sz w:val="24"/>
                <w:szCs w:val="24"/>
                <w:highlight w:val="none"/>
                <w:lang w:val="en-US" w:eastAsia="zh-CN"/>
              </w:rPr>
            </w:pPr>
          </w:p>
        </w:tc>
        <w:tc>
          <w:tcPr>
            <w:tcW w:w="2867"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highlight w:val="none"/>
                <w:lang w:val="zh-CN"/>
              </w:rPr>
              <w:t>此部分暂定费用为</w:t>
            </w:r>
            <w:r>
              <w:rPr>
                <w:rFonts w:hint="eastAsia" w:ascii="宋体" w:hAnsi="宋体" w:cs="宋体"/>
                <w:b/>
                <w:bCs/>
                <w:color w:val="auto"/>
                <w:sz w:val="24"/>
                <w:highlight w:val="none"/>
                <w:lang w:val="en-US" w:eastAsia="zh-CN"/>
              </w:rPr>
              <w:t>195</w:t>
            </w:r>
            <w:r>
              <w:rPr>
                <w:rFonts w:hint="eastAsia" w:ascii="宋体" w:hAnsi="宋体" w:eastAsia="宋体" w:cs="宋体"/>
                <w:b/>
                <w:bCs/>
                <w:color w:val="auto"/>
                <w:sz w:val="24"/>
                <w:highlight w:val="none"/>
                <w:lang w:val="zh-CN"/>
              </w:rPr>
              <w:t>万元</w:t>
            </w:r>
            <w:r>
              <w:rPr>
                <w:rFonts w:hint="eastAsia" w:ascii="宋体" w:hAnsi="宋体" w:cs="宋体"/>
                <w:b/>
                <w:bCs/>
                <w:color w:val="auto"/>
                <w:sz w:val="24"/>
                <w:highlight w:val="none"/>
                <w:lang w:val="en-US" w:eastAsia="zh-CN"/>
              </w:rPr>
              <w:t>/年</w:t>
            </w:r>
            <w:r>
              <w:rPr>
                <w:rFonts w:hint="eastAsia" w:ascii="宋体" w:hAnsi="宋体" w:eastAsia="宋体" w:cs="宋体"/>
                <w:b/>
                <w:bCs/>
                <w:color w:val="auto"/>
                <w:sz w:val="24"/>
                <w:highlight w:val="none"/>
                <w:lang w:val="zh-CN"/>
              </w:rPr>
              <w:t>，实际工程量以审计单位审核结果结算（此部分费用不作为竞争性报价，否则作无效标处理）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42" w:type="dxa"/>
            <w:tcBorders>
              <w:top w:val="single" w:color="auto" w:sz="4" w:space="0"/>
              <w:left w:val="single" w:color="auto" w:sz="8"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624" w:type="dxa"/>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河道保洁</w:t>
            </w:r>
          </w:p>
        </w:tc>
        <w:tc>
          <w:tcPr>
            <w:tcW w:w="956"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w:t>
            </w:r>
          </w:p>
        </w:tc>
        <w:tc>
          <w:tcPr>
            <w:tcW w:w="1023"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cs="宋体"/>
                <w:b/>
                <w:bCs/>
                <w:color w:val="auto"/>
                <w:sz w:val="24"/>
                <w:szCs w:val="24"/>
                <w:highlight w:val="none"/>
                <w:lang w:val="en-US" w:eastAsia="zh-CN"/>
              </w:rPr>
            </w:pPr>
          </w:p>
        </w:tc>
        <w:tc>
          <w:tcPr>
            <w:tcW w:w="1290"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jc w:val="center"/>
              <w:textAlignment w:val="center"/>
              <w:rPr>
                <w:rFonts w:hint="eastAsia" w:ascii="宋体" w:hAnsi="宋体" w:cs="宋体"/>
                <w:b/>
                <w:bCs/>
                <w:color w:val="auto"/>
                <w:sz w:val="24"/>
                <w:szCs w:val="24"/>
                <w:highlight w:val="none"/>
                <w:lang w:val="en-US" w:eastAsia="zh-CN"/>
              </w:rPr>
            </w:pPr>
          </w:p>
        </w:tc>
        <w:tc>
          <w:tcPr>
            <w:tcW w:w="1408" w:type="dxa"/>
            <w:tcBorders>
              <w:top w:val="nil"/>
              <w:left w:val="nil"/>
              <w:bottom w:val="single" w:color="auto" w:sz="4" w:space="0"/>
              <w:right w:val="single" w:color="auto" w:sz="4" w:space="0"/>
            </w:tcBorders>
            <w:tcMar>
              <w:top w:w="17" w:type="dxa"/>
              <w:left w:w="17" w:type="dxa"/>
              <w:bottom w:w="0" w:type="dxa"/>
              <w:right w:w="17" w:type="dxa"/>
            </w:tcMar>
            <w:vAlign w:val="center"/>
          </w:tcPr>
          <w:p>
            <w:pPr>
              <w:jc w:val="left"/>
              <w:rPr>
                <w:rFonts w:hint="default" w:ascii="宋体" w:hAnsi="宋体" w:eastAsia="宋体" w:cs="宋体"/>
                <w:b/>
                <w:bCs/>
                <w:color w:val="auto"/>
                <w:sz w:val="24"/>
                <w:szCs w:val="24"/>
                <w:highlight w:val="none"/>
                <w:lang w:val="en-US"/>
              </w:rPr>
            </w:pPr>
          </w:p>
        </w:tc>
        <w:tc>
          <w:tcPr>
            <w:tcW w:w="2867"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highlight w:val="none"/>
              </w:rPr>
              <w:t>最高限价为</w:t>
            </w:r>
            <w:r>
              <w:rPr>
                <w:rFonts w:hint="eastAsia" w:ascii="宋体" w:hAnsi="宋体" w:cs="宋体"/>
                <w:color w:val="auto"/>
                <w:sz w:val="24"/>
                <w:highlight w:val="none"/>
                <w:lang w:val="en-US" w:eastAsia="zh-CN"/>
              </w:rPr>
              <w:t>2.5</w:t>
            </w:r>
            <w:r>
              <w:rPr>
                <w:rFonts w:hint="eastAsia" w:ascii="宋体" w:hAnsi="宋体" w:eastAsia="宋体" w:cs="宋体"/>
                <w:color w:val="auto"/>
                <w:sz w:val="24"/>
                <w:highlight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9" w:hRule="atLeast"/>
          <w:jc w:val="center"/>
        </w:trPr>
        <w:tc>
          <w:tcPr>
            <w:tcW w:w="542" w:type="dxa"/>
            <w:vMerge w:val="restart"/>
            <w:tcBorders>
              <w:top w:val="single" w:color="auto" w:sz="4" w:space="0"/>
              <w:left w:val="single" w:color="auto" w:sz="8"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p>
        </w:tc>
        <w:tc>
          <w:tcPr>
            <w:tcW w:w="1624" w:type="dxa"/>
            <w:vMerge w:val="restart"/>
            <w:tcBorders>
              <w:top w:val="single" w:color="auto" w:sz="4" w:space="0"/>
              <w:left w:val="nil"/>
              <w:right w:val="single" w:color="000000"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公厕保洁</w:t>
            </w:r>
          </w:p>
        </w:tc>
        <w:tc>
          <w:tcPr>
            <w:tcW w:w="956" w:type="dxa"/>
            <w:vMerge w:val="restart"/>
            <w:tcBorders>
              <w:top w:val="single" w:color="auto" w:sz="4" w:space="0"/>
              <w:left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座</w:t>
            </w:r>
          </w:p>
        </w:tc>
        <w:tc>
          <w:tcPr>
            <w:tcW w:w="1023"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 xml:space="preserve"> </w:t>
            </w:r>
          </w:p>
        </w:tc>
        <w:tc>
          <w:tcPr>
            <w:tcW w:w="1290"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jc w:val="center"/>
              <w:textAlignment w:val="center"/>
              <w:rPr>
                <w:rFonts w:hint="eastAsia" w:ascii="宋体" w:hAnsi="宋体" w:cs="宋体"/>
                <w:b/>
                <w:bCs/>
                <w:color w:val="auto"/>
                <w:sz w:val="24"/>
                <w:szCs w:val="24"/>
                <w:highlight w:val="none"/>
                <w:lang w:val="en-US" w:eastAsia="zh-CN"/>
              </w:rPr>
            </w:pPr>
          </w:p>
        </w:tc>
        <w:tc>
          <w:tcPr>
            <w:tcW w:w="1408" w:type="dxa"/>
            <w:tcBorders>
              <w:top w:val="nil"/>
              <w:left w:val="nil"/>
              <w:bottom w:val="single" w:color="auto" w:sz="4" w:space="0"/>
              <w:right w:val="single" w:color="auto" w:sz="4" w:space="0"/>
            </w:tcBorders>
            <w:tcMar>
              <w:top w:w="17" w:type="dxa"/>
              <w:left w:w="17" w:type="dxa"/>
              <w:bottom w:w="0" w:type="dxa"/>
              <w:right w:w="17" w:type="dxa"/>
            </w:tcMar>
            <w:vAlign w:val="center"/>
          </w:tcPr>
          <w:p>
            <w:pPr>
              <w:jc w:val="left"/>
              <w:rPr>
                <w:rFonts w:hint="default" w:ascii="宋体" w:hAnsi="宋体" w:eastAsia="宋体" w:cs="宋体"/>
                <w:b/>
                <w:bCs/>
                <w:color w:val="auto"/>
                <w:sz w:val="24"/>
                <w:szCs w:val="24"/>
                <w:highlight w:val="none"/>
                <w:lang w:val="en-US"/>
              </w:rPr>
            </w:pPr>
          </w:p>
        </w:tc>
        <w:tc>
          <w:tcPr>
            <w:tcW w:w="2867"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lang w:val="zh-CN"/>
              </w:rPr>
            </w:pPr>
            <w:r>
              <w:rPr>
                <w:rFonts w:hint="eastAsia" w:ascii="宋体" w:hAnsi="宋体" w:cs="宋体"/>
                <w:b/>
                <w:bCs/>
                <w:color w:val="auto"/>
                <w:sz w:val="24"/>
                <w:highlight w:val="none"/>
                <w:lang w:val="en-US" w:eastAsia="zh-CN"/>
              </w:rPr>
              <w:t>高标准20万/年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jc w:val="center"/>
        </w:trPr>
        <w:tc>
          <w:tcPr>
            <w:tcW w:w="542" w:type="dxa"/>
            <w:vMerge w:val="continue"/>
            <w:tcBorders>
              <w:left w:val="single" w:color="auto" w:sz="8"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cs="宋体"/>
                <w:color w:val="auto"/>
                <w:sz w:val="24"/>
                <w:szCs w:val="24"/>
                <w:highlight w:val="none"/>
                <w:lang w:val="en-US" w:eastAsia="zh-CN"/>
              </w:rPr>
            </w:pPr>
          </w:p>
        </w:tc>
        <w:tc>
          <w:tcPr>
            <w:tcW w:w="1624" w:type="dxa"/>
            <w:vMerge w:val="continue"/>
            <w:tcBorders>
              <w:left w:val="nil"/>
              <w:bottom w:val="single" w:color="auto" w:sz="4" w:space="0"/>
              <w:right w:val="single" w:color="000000"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cs="宋体"/>
                <w:color w:val="auto"/>
                <w:sz w:val="24"/>
                <w:szCs w:val="24"/>
                <w:highlight w:val="none"/>
                <w:lang w:eastAsia="zh-CN"/>
              </w:rPr>
            </w:pPr>
          </w:p>
        </w:tc>
        <w:tc>
          <w:tcPr>
            <w:tcW w:w="956" w:type="dxa"/>
            <w:vMerge w:val="continue"/>
            <w:tcBorders>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kern w:val="0"/>
                <w:sz w:val="24"/>
                <w:szCs w:val="24"/>
                <w:highlight w:val="none"/>
                <w:lang w:val="en-US" w:eastAsia="zh-CN"/>
              </w:rPr>
            </w:pPr>
          </w:p>
        </w:tc>
        <w:tc>
          <w:tcPr>
            <w:tcW w:w="1023"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 xml:space="preserve"> </w:t>
            </w:r>
          </w:p>
        </w:tc>
        <w:tc>
          <w:tcPr>
            <w:tcW w:w="1290"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widowControl/>
              <w:jc w:val="center"/>
              <w:textAlignment w:val="center"/>
              <w:rPr>
                <w:rFonts w:hint="eastAsia" w:ascii="宋体" w:hAnsi="宋体" w:cs="宋体"/>
                <w:b/>
                <w:bCs/>
                <w:color w:val="auto"/>
                <w:sz w:val="24"/>
                <w:szCs w:val="24"/>
                <w:highlight w:val="none"/>
                <w:lang w:val="en-US" w:eastAsia="zh-CN"/>
              </w:rPr>
            </w:pPr>
          </w:p>
        </w:tc>
        <w:tc>
          <w:tcPr>
            <w:tcW w:w="1408"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left"/>
              <w:rPr>
                <w:rFonts w:hint="default" w:ascii="宋体" w:hAnsi="宋体" w:eastAsia="宋体" w:cs="宋体"/>
                <w:b/>
                <w:bCs/>
                <w:color w:val="auto"/>
                <w:sz w:val="24"/>
                <w:szCs w:val="24"/>
                <w:highlight w:val="none"/>
                <w:lang w:val="en-US"/>
              </w:rPr>
            </w:pPr>
          </w:p>
        </w:tc>
        <w:tc>
          <w:tcPr>
            <w:tcW w:w="2867"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lang w:val="zh-CN"/>
              </w:rPr>
            </w:pPr>
            <w:r>
              <w:rPr>
                <w:rFonts w:hint="eastAsia" w:ascii="宋体" w:hAnsi="宋体" w:cs="宋体"/>
                <w:b/>
                <w:bCs/>
                <w:color w:val="auto"/>
                <w:sz w:val="24"/>
                <w:highlight w:val="none"/>
                <w:lang w:val="en-US" w:eastAsia="zh-CN"/>
              </w:rPr>
              <w:t>标准12万/年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 w:hRule="atLeast"/>
          <w:jc w:val="center"/>
        </w:trPr>
        <w:tc>
          <w:tcPr>
            <w:tcW w:w="542" w:type="dxa"/>
            <w:tcBorders>
              <w:top w:val="nil"/>
              <w:left w:val="single" w:color="auto" w:sz="8"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624" w:type="dxa"/>
            <w:tcBorders>
              <w:top w:val="single" w:color="auto" w:sz="4" w:space="0"/>
              <w:left w:val="nil"/>
              <w:right w:val="single" w:color="000000"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绿化养护</w:t>
            </w:r>
          </w:p>
        </w:tc>
        <w:tc>
          <w:tcPr>
            <w:tcW w:w="956" w:type="dxa"/>
            <w:tcBorders>
              <w:top w:val="nil"/>
              <w:left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p>
        </w:tc>
        <w:tc>
          <w:tcPr>
            <w:tcW w:w="1023"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default" w:ascii="宋体" w:hAnsi="宋体" w:eastAsia="宋体" w:cs="宋体"/>
                <w:color w:val="auto"/>
                <w:sz w:val="24"/>
                <w:szCs w:val="24"/>
                <w:highlight w:val="none"/>
                <w:lang w:val="en-US" w:eastAsia="zh-CN"/>
              </w:rPr>
            </w:pPr>
          </w:p>
        </w:tc>
        <w:tc>
          <w:tcPr>
            <w:tcW w:w="1290"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jc w:val="center"/>
              <w:textAlignment w:val="center"/>
              <w:rPr>
                <w:rFonts w:hint="eastAsia" w:ascii="宋体" w:hAnsi="宋体" w:eastAsia="宋体" w:cs="宋体"/>
                <w:color w:val="auto"/>
                <w:sz w:val="24"/>
                <w:szCs w:val="24"/>
                <w:highlight w:val="none"/>
              </w:rPr>
            </w:pPr>
          </w:p>
        </w:tc>
        <w:tc>
          <w:tcPr>
            <w:tcW w:w="1408" w:type="dxa"/>
            <w:tcBorders>
              <w:top w:val="nil"/>
              <w:left w:val="nil"/>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p>
        </w:tc>
        <w:tc>
          <w:tcPr>
            <w:tcW w:w="2867" w:type="dxa"/>
            <w:tcBorders>
              <w:top w:val="nil"/>
              <w:left w:val="nil"/>
              <w:bottom w:val="single" w:color="auto" w:sz="4" w:space="0"/>
              <w:right w:val="single" w:color="auto" w:sz="4" w:space="0"/>
            </w:tcBorders>
            <w:tcMar>
              <w:top w:w="17" w:type="dxa"/>
              <w:left w:w="17" w:type="dxa"/>
              <w:bottom w:w="0" w:type="dxa"/>
              <w:right w:w="17" w:type="dxa"/>
            </w:tcMar>
            <w:vAlign w:val="center"/>
          </w:tcPr>
          <w:p>
            <w:pPr>
              <w:widowControl/>
              <w:wordWrap/>
              <w:adjustRightInd w:val="0"/>
              <w:snapToGrid/>
              <w:spacing w:line="360" w:lineRule="exact"/>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最高限价为</w:t>
            </w:r>
            <w:r>
              <w:rPr>
                <w:rFonts w:hint="eastAsia" w:ascii="宋体" w:hAnsi="宋体" w:cs="宋体"/>
                <w:color w:val="auto"/>
                <w:sz w:val="24"/>
                <w:highlight w:val="none"/>
                <w:lang w:val="en-US" w:eastAsia="zh-CN"/>
              </w:rPr>
              <w:t>10.03</w:t>
            </w:r>
            <w:r>
              <w:rPr>
                <w:rFonts w:hint="eastAsia" w:ascii="宋体" w:hAnsi="宋体" w:eastAsia="宋体" w:cs="宋体"/>
                <w:color w:val="auto"/>
                <w:sz w:val="24"/>
                <w:highlight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42" w:type="dxa"/>
            <w:tcBorders>
              <w:top w:val="nil"/>
              <w:left w:val="single" w:color="auto" w:sz="8" w:space="0"/>
              <w:bottom w:val="single" w:color="auto" w:sz="4" w:space="0"/>
              <w:right w:val="single" w:color="auto" w:sz="4" w:space="0"/>
            </w:tcBorders>
            <w:tcMar>
              <w:top w:w="17" w:type="dxa"/>
              <w:left w:w="17" w:type="dxa"/>
              <w:bottom w:w="0" w:type="dxa"/>
              <w:right w:w="17" w:type="dxa"/>
            </w:tcMar>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3603" w:type="dxa"/>
            <w:gridSpan w:val="3"/>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报价合计（1+2+3）</w:t>
            </w:r>
          </w:p>
        </w:tc>
        <w:tc>
          <w:tcPr>
            <w:tcW w:w="5565"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宋体" w:hAnsi="宋体" w:eastAsia="宋体" w:cs="宋体"/>
                <w:color w:val="auto"/>
                <w:sz w:val="24"/>
                <w:szCs w:val="24"/>
                <w:highlight w:val="none"/>
              </w:rPr>
            </w:pPr>
          </w:p>
        </w:tc>
      </w:tr>
    </w:tbl>
    <w:p>
      <w:pPr>
        <w:pStyle w:val="962"/>
        <w:rPr>
          <w:rFonts w:hint="eastAsia" w:ascii="宋体" w:hAnsi="宋体" w:eastAsia="宋体" w:cs="宋体"/>
          <w:color w:val="auto"/>
          <w:highlight w:val="none"/>
          <w:lang w:val="en-US"/>
        </w:rPr>
      </w:pPr>
    </w:p>
    <w:p>
      <w:pPr>
        <w:pStyle w:val="36"/>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注：</w:t>
      </w:r>
      <w:r>
        <w:rPr>
          <w:rFonts w:hint="eastAsia" w:ascii="宋体" w:hAnsi="宋体" w:eastAsia="宋体" w:cs="宋体"/>
          <w:color w:val="auto"/>
          <w:kern w:val="0"/>
          <w:sz w:val="24"/>
          <w:szCs w:val="24"/>
          <w:highlight w:val="none"/>
        </w:rPr>
        <w:t>1、</w:t>
      </w:r>
      <w:r>
        <w:rPr>
          <w:rFonts w:hint="eastAsia" w:ascii="宋体" w:hAnsi="宋体" w:eastAsia="宋体" w:cs="宋体"/>
          <w:b/>
          <w:bCs/>
          <w:i w:val="0"/>
          <w:iCs w:val="0"/>
          <w:color w:val="auto"/>
          <w:kern w:val="0"/>
          <w:sz w:val="24"/>
          <w:szCs w:val="24"/>
          <w:highlight w:val="none"/>
          <w:u w:val="none"/>
          <w:lang w:val="en-US" w:eastAsia="zh-CN" w:bidi="ar"/>
        </w:rPr>
        <w:t>本项目综合养护内容还包括垃圾分类音乐线、牛皮藓清理、雨水篦清掏，该三项属保洁养护区域范围内的工作内容，相应的费用不在单独计取，含在投标报价内</w:t>
      </w:r>
      <w:r>
        <w:rPr>
          <w:rFonts w:hint="eastAsia" w:ascii="宋体" w:hAnsi="宋体" w:eastAsia="宋体" w:cs="宋体"/>
          <w:b/>
          <w:color w:val="auto"/>
          <w:sz w:val="24"/>
          <w:highlight w:val="none"/>
        </w:rPr>
        <w:t>；</w:t>
      </w:r>
    </w:p>
    <w:p>
      <w:pPr>
        <w:pStyle w:val="3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sz w:val="24"/>
          <w:szCs w:val="24"/>
          <w:highlight w:val="none"/>
        </w:rPr>
        <w:t>可根据具体情况调整报价明细清单格式，但应包括项目涉及的一切相关税费等费用。</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3、分项报价表中合计总价应与开标一览表中的各项相应报价相一致。</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xml:space="preserve">4、漏报视作包含在投标总价内。 </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kern w:val="0"/>
          <w:sz w:val="24"/>
          <w:highlight w:val="none"/>
          <w:lang w:val="zh-CN"/>
        </w:rPr>
        <w:t>法定（授权）代表人（</w:t>
      </w:r>
      <w:r>
        <w:rPr>
          <w:rFonts w:hint="eastAsia" w:ascii="宋体" w:hAnsi="宋体" w:eastAsia="宋体" w:cs="宋体"/>
          <w:color w:val="auto"/>
          <w:kern w:val="0"/>
          <w:sz w:val="24"/>
          <w:highlight w:val="none"/>
        </w:rPr>
        <w:t>盖</w:t>
      </w:r>
      <w:r>
        <w:rPr>
          <w:rFonts w:hint="eastAsia" w:ascii="宋体" w:hAnsi="宋体" w:eastAsia="宋体" w:cs="宋体"/>
          <w:color w:val="auto"/>
          <w:sz w:val="24"/>
          <w:highlight w:val="none"/>
        </w:rPr>
        <w:t>章或签字</w:t>
      </w:r>
      <w:r>
        <w:rPr>
          <w:rFonts w:hint="eastAsia" w:ascii="宋体" w:hAnsi="宋体" w:eastAsia="宋体" w:cs="宋体"/>
          <w:color w:val="auto"/>
          <w:sz w:val="24"/>
          <w:highlight w:val="none"/>
          <w:lang w:val="zh-CN"/>
        </w:rPr>
        <w:t>）：</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日期：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zh-CN"/>
        </w:rPr>
        <w:t>日</w:t>
      </w: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rPr>
          <w:rFonts w:ascii="宋体" w:hAnsi="宋体" w:cs="宋体"/>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401" w:name="OLE_LINK13"/>
      <w:bookmarkStart w:id="402" w:name="OLE_LINK14"/>
      <w:r>
        <w:rPr>
          <w:rFonts w:hint="eastAsia" w:ascii="宋体" w:hAnsi="宋体" w:cs="宋体"/>
          <w:b/>
          <w:color w:val="auto"/>
          <w:spacing w:val="6"/>
          <w:sz w:val="32"/>
          <w:szCs w:val="32"/>
        </w:rPr>
        <w:t>残疾人福利性单位声明函</w:t>
      </w:r>
    </w:p>
    <w:bookmarkEnd w:id="401"/>
    <w:bookmarkEnd w:id="402"/>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lang w:eastAsia="zh-CN"/>
        </w:rPr>
        <w:t>五常街道城市管理综合养护四标段采购项目</w:t>
      </w:r>
      <w:r>
        <w:rPr>
          <w:rFonts w:hint="eastAsia" w:ascii="宋体" w:hAnsi="宋体" w:cs="宋体"/>
          <w:color w:val="auto"/>
          <w:sz w:val="24"/>
        </w:rPr>
        <w:t>_</w:t>
      </w:r>
      <w:r>
        <w:rPr>
          <w:rFonts w:hint="eastAsia" w:ascii="宋体" w:hAnsi="宋体" w:cs="宋体"/>
          <w:color w:val="auto"/>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w:t>
      </w:r>
      <w:r>
        <w:rPr>
          <w:rFonts w:hint="eastAsia" w:ascii="宋体" w:hAnsi="宋体" w:cs="宋体"/>
          <w:color w:val="auto"/>
          <w:sz w:val="24"/>
          <w:u w:val="single"/>
        </w:rPr>
        <w:t>、（采购代理机构）：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五常街道城市管理综合养护四标段采购项目</w:t>
      </w:r>
      <w:r>
        <w:rPr>
          <w:rFonts w:hint="eastAsia" w:ascii="宋体" w:hAnsi="宋体" w:cs="宋体"/>
          <w:color w:val="auto"/>
          <w:sz w:val="24"/>
        </w:rPr>
        <w:t>【招标编号：</w:t>
      </w:r>
      <w:r>
        <w:rPr>
          <w:rFonts w:hint="eastAsia" w:ascii="宋体" w:hAnsi="宋体" w:cs="宋体"/>
          <w:color w:val="auto"/>
          <w:sz w:val="24"/>
          <w:lang w:eastAsia="zh-CN"/>
        </w:rPr>
        <w:t>（ZJZFCG-YS2023-003）</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五常街道城市管理综合养护四标段采购项目</w:t>
      </w:r>
      <w:r>
        <w:rPr>
          <w:rFonts w:hint="eastAsia" w:ascii="宋体" w:hAnsi="宋体" w:cs="宋体"/>
          <w:color w:val="auto"/>
          <w:sz w:val="24"/>
        </w:rPr>
        <w:t>【招标编号：</w:t>
      </w:r>
      <w:r>
        <w:rPr>
          <w:rFonts w:hint="eastAsia" w:ascii="宋体" w:hAnsi="宋体" w:cs="宋体"/>
          <w:color w:val="auto"/>
          <w:sz w:val="24"/>
          <w:lang w:eastAsia="zh-CN"/>
        </w:rPr>
        <w:t>（ZJZFCG-YS2023-003）</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403"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403"/>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404" w:name="_Hlk101133598"/>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404"/>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405"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405"/>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五常街道城市管理综合养护四标段采购项目</w:t>
      </w:r>
      <w:r>
        <w:rPr>
          <w:rFonts w:hint="eastAsia" w:ascii="宋体" w:hAnsi="宋体" w:cs="宋体"/>
          <w:color w:val="auto"/>
          <w:sz w:val="24"/>
        </w:rPr>
        <w:t>【招标编号：</w:t>
      </w:r>
      <w:r>
        <w:rPr>
          <w:rFonts w:hint="eastAsia" w:ascii="宋体" w:hAnsi="宋体" w:cs="宋体"/>
          <w:color w:val="auto"/>
          <w:sz w:val="24"/>
          <w:lang w:eastAsia="zh-CN"/>
        </w:rPr>
        <w:t>（ZJZFCG-YS2023-003）</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4"/>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（采购人）</w:t>
      </w:r>
      <w:r>
        <w:rPr>
          <w:rFonts w:hint="eastAsia" w:ascii="宋体" w:hAnsi="宋体" w:cs="宋体"/>
          <w:color w:val="auto"/>
          <w:sz w:val="24"/>
          <w:u w:val="single"/>
        </w:rPr>
        <w:t xml:space="preserve">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五常街道城市管理综合养护四标段采购项目</w:t>
      </w:r>
      <w:r>
        <w:rPr>
          <w:rFonts w:hint="eastAsia" w:ascii="宋体" w:hAnsi="宋体" w:cs="宋体"/>
          <w:color w:val="auto"/>
          <w:sz w:val="24"/>
          <w:u w:val="single"/>
        </w:rPr>
        <w:t xml:space="preserve"> </w:t>
      </w:r>
      <w:r>
        <w:rPr>
          <w:rFonts w:hint="eastAsia" w:ascii="宋体" w:hAnsi="宋体" w:cs="宋体"/>
          <w:color w:val="auto"/>
          <w:sz w:val="24"/>
        </w:rPr>
        <w:t>采购活动，</w:t>
      </w:r>
      <w:r>
        <w:rPr>
          <w:rFonts w:hint="eastAsia" w:ascii="宋体" w:hAnsi="宋体" w:cs="宋体"/>
          <w:color w:val="auto"/>
          <w:sz w:val="24"/>
        </w:rPr>
        <w:t>工程的施工单位全部为符合政策要求的中小企业（或者：服务全部由符合政策要求的中小企业承接）</w:t>
      </w:r>
      <w:r>
        <w:rPr>
          <w:rFonts w:hint="eastAsia" w:ascii="宋体" w:hAnsi="宋体" w:cs="宋体"/>
          <w:color w:val="auto"/>
          <w:sz w:val="24"/>
        </w:rPr>
        <w:t>。相关企业（含联合体中的中小企业、签订分包意向协议的中小企业）的具体情况如下：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w:t>
      </w:r>
      <w:r>
        <w:rPr>
          <w:rFonts w:hint="eastAsia" w:ascii="宋体" w:hAnsi="宋体" w:cs="宋体"/>
          <w:color w:val="auto"/>
          <w:sz w:val="24"/>
        </w:rPr>
        <w:t>承建（承接）</w:t>
      </w:r>
      <w:r>
        <w:rPr>
          <w:rFonts w:hint="eastAsia" w:ascii="宋体" w:hAnsi="宋体" w:cs="宋体"/>
          <w:color w:val="auto"/>
          <w:sz w:val="24"/>
        </w:rPr>
        <w:t xml:space="preserve">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w:t>
      </w:r>
      <w:r>
        <w:rPr>
          <w:rFonts w:hint="eastAsia" w:ascii="宋体" w:hAnsi="宋体" w:cs="宋体"/>
          <w:color w:val="auto"/>
          <w:sz w:val="24"/>
        </w:rPr>
        <w:t>承建（承接）</w:t>
      </w:r>
      <w:r>
        <w:rPr>
          <w:rFonts w:hint="eastAsia" w:ascii="宋体" w:hAnsi="宋体" w:cs="宋体"/>
          <w:color w:val="auto"/>
          <w:sz w:val="24"/>
        </w:rPr>
        <w:t xml:space="preserve">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Vrinda"/>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方正小标宋简体">
    <w:altName w:val="黑体"/>
    <w:panose1 w:val="02010601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2"/>
      </w:rPr>
    </w:pPr>
    <w:r>
      <w:fldChar w:fldCharType="begin"/>
    </w:r>
    <w:r>
      <w:rPr>
        <w:rStyle w:val="72"/>
      </w:rPr>
      <w:instrText xml:space="preserve">PAGE  </w:instrText>
    </w:r>
    <w:r>
      <w:fldChar w:fldCharType="end"/>
    </w:r>
  </w:p>
  <w:p>
    <w:pPr>
      <w:pStyle w:val="43"/>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06" w:name="_Toc91899912"/>
    <w:bookmarkStart w:id="407" w:name="_Toc131845147"/>
    <w:bookmarkStart w:id="408" w:name="_Toc36110187"/>
    <w:bookmarkStart w:id="409" w:name="_Toc164085800"/>
    <w:r>
      <w:rPr>
        <w:rFonts w:hint="eastAsia" w:ascii="仿宋_GB2312" w:eastAsia="仿宋_GB2312"/>
        <w:kern w:val="0"/>
        <w:szCs w:val="21"/>
      </w:rPr>
      <w:t xml:space="preserve"> 页</w:t>
    </w:r>
    <w:bookmarkEnd w:id="406"/>
    <w:bookmarkEnd w:id="407"/>
    <w:bookmarkEnd w:id="408"/>
    <w:bookmarkEnd w:id="40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2"/>
      </w:rPr>
    </w:pPr>
    <w:r>
      <w:fldChar w:fldCharType="begin"/>
    </w:r>
    <w:r>
      <w:rPr>
        <w:rStyle w:val="72"/>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pDqs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1DiHrflTXK9SC8OS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GkOqyQEAAJs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9861A"/>
    <w:multiLevelType w:val="singleLevel"/>
    <w:tmpl w:val="8A69861A"/>
    <w:lvl w:ilvl="0" w:tentative="0">
      <w:start w:val="1"/>
      <w:numFmt w:val="decimal"/>
      <w:suff w:val="nothing"/>
      <w:lvlText w:val="（%1）"/>
      <w:lvlJc w:val="left"/>
    </w:lvl>
  </w:abstractNum>
  <w:abstractNum w:abstractNumId="1">
    <w:nsid w:val="E40135B3"/>
    <w:multiLevelType w:val="singleLevel"/>
    <w:tmpl w:val="E40135B3"/>
    <w:lvl w:ilvl="0" w:tentative="0">
      <w:start w:val="2"/>
      <w:numFmt w:val="decimal"/>
      <w:suff w:val="nothing"/>
      <w:lvlText w:val="%1、"/>
      <w:lvlJc w:val="left"/>
      <w:pPr>
        <w:ind w:left="630" w:leftChars="0" w:firstLine="0" w:firstLineChars="0"/>
      </w:pPr>
    </w:lvl>
  </w:abstractNum>
  <w:abstractNum w:abstractNumId="2">
    <w:nsid w:val="00000009"/>
    <w:multiLevelType w:val="singleLevel"/>
    <w:tmpl w:val="00000009"/>
    <w:lvl w:ilvl="0" w:tentative="0">
      <w:start w:val="1"/>
      <w:numFmt w:val="chineseCounting"/>
      <w:suff w:val="nothing"/>
      <w:lvlText w:val="（%1）"/>
      <w:lvlJc w:val="left"/>
    </w:lvl>
  </w:abstractNum>
  <w:abstractNum w:abstractNumId="3">
    <w:nsid w:val="24074C7B"/>
    <w:multiLevelType w:val="singleLevel"/>
    <w:tmpl w:val="24074C7B"/>
    <w:lvl w:ilvl="0" w:tentative="0">
      <w:start w:val="3"/>
      <w:numFmt w:val="chineseCounting"/>
      <w:suff w:val="nothing"/>
      <w:lvlText w:val="%1、"/>
      <w:lvlJc w:val="left"/>
      <w:rPr>
        <w:rFonts w:hint="eastAsia"/>
      </w:rPr>
    </w:lvl>
  </w:abstractNum>
  <w:abstractNum w:abstractNumId="4">
    <w:nsid w:val="4BAE36DA"/>
    <w:multiLevelType w:val="singleLevel"/>
    <w:tmpl w:val="4BAE36DA"/>
    <w:lvl w:ilvl="0" w:tentative="0">
      <w:start w:val="3"/>
      <w:numFmt w:val="decimal"/>
      <w:suff w:val="nothing"/>
      <w:lvlText w:val="%1、"/>
      <w:lvlJc w:val="left"/>
      <w:pPr>
        <w:ind w:left="481" w:leftChars="0" w:firstLine="0" w:firstLineChars="0"/>
      </w:pPr>
    </w:lvl>
  </w:abstractNum>
  <w:abstractNum w:abstractNumId="5">
    <w:nsid w:val="71D00B43"/>
    <w:multiLevelType w:val="singleLevel"/>
    <w:tmpl w:val="71D00B43"/>
    <w:lvl w:ilvl="0" w:tentative="0">
      <w:start w:val="5"/>
      <w:numFmt w:val="chineseCounting"/>
      <w:suff w:val="nothing"/>
      <w:lvlText w:val="（%1）"/>
      <w:lvlJc w:val="left"/>
      <w:rPr>
        <w:rFonts w:hint="eastAsia"/>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GMwY2E1OTQwYzNlYTgwMjliNzA4ZGIzZTI1NT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B5A17"/>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47AE7"/>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16579"/>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716230"/>
    <w:rsid w:val="2DD15014"/>
    <w:rsid w:val="2DF72DE4"/>
    <w:rsid w:val="2E0220AF"/>
    <w:rsid w:val="2E0A2945"/>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4156A9"/>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4B6987"/>
    <w:rsid w:val="37EE7094"/>
    <w:rsid w:val="38296C89"/>
    <w:rsid w:val="383002EB"/>
    <w:rsid w:val="38586797"/>
    <w:rsid w:val="38BC0149"/>
    <w:rsid w:val="38D87D1C"/>
    <w:rsid w:val="39395448"/>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4E42927"/>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FE2E30"/>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81721"/>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7749B0"/>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1641A"/>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5B49FB"/>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AF5C87"/>
    <w:rsid w:val="73C0646E"/>
    <w:rsid w:val="742222F5"/>
    <w:rsid w:val="74476126"/>
    <w:rsid w:val="74706664"/>
    <w:rsid w:val="747F3682"/>
    <w:rsid w:val="749C4185"/>
    <w:rsid w:val="75067759"/>
    <w:rsid w:val="752E6DCD"/>
    <w:rsid w:val="75474E57"/>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6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83"/>
    <w:qFormat/>
    <w:uiPriority w:val="10"/>
    <w:pPr>
      <w:widowControl/>
      <w:overflowPunct w:val="0"/>
      <w:autoSpaceDE w:val="0"/>
      <w:autoSpaceDN w:val="0"/>
      <w:jc w:val="center"/>
      <w:textAlignment w:val="baseline"/>
    </w:pPr>
    <w:rPr>
      <w:b/>
      <w:kern w:val="0"/>
      <w:sz w:val="24"/>
      <w:szCs w:val="20"/>
      <w:lang w:val="en-GB"/>
    </w:rPr>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18"/>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Body Text Indent"/>
    <w:basedOn w:val="1"/>
    <w:next w:val="28"/>
    <w:link w:val="262"/>
    <w:qFormat/>
    <w:uiPriority w:val="0"/>
    <w:pPr>
      <w:spacing w:line="480" w:lineRule="exact"/>
      <w:ind w:firstLine="480" w:firstLineChars="200"/>
    </w:pPr>
    <w:rPr>
      <w:rFonts w:ascii="宋体" w:hAnsi="宋体"/>
      <w:sz w:val="24"/>
    </w:rPr>
  </w:style>
  <w:style w:type="paragraph" w:styleId="28">
    <w:name w:val="Body Text First Indent 2"/>
    <w:basedOn w:val="27"/>
    <w:next w:val="1"/>
    <w:link w:val="118"/>
    <w:qFormat/>
    <w:uiPriority w:val="0"/>
    <w:pPr>
      <w:adjustRightInd/>
      <w:spacing w:after="120" w:line="240" w:lineRule="auto"/>
      <w:ind w:left="420" w:leftChars="200" w:firstLine="210"/>
    </w:pPr>
    <w:rPr>
      <w:sz w:val="21"/>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2"/>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78"/>
    <w:qFormat/>
    <w:uiPriority w:val="0"/>
    <w:pPr>
      <w:ind w:left="100" w:leftChars="2500"/>
    </w:pPr>
    <w:rPr>
      <w:rFonts w:ascii="宋体"/>
      <w:sz w:val="24"/>
      <w:szCs w:val="21"/>
      <w:lang w:val="zh-CN"/>
    </w:rPr>
  </w:style>
  <w:style w:type="paragraph" w:styleId="40">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1">
    <w:name w:val="endnote text"/>
    <w:basedOn w:val="1"/>
    <w:link w:val="929"/>
    <w:qFormat/>
    <w:uiPriority w:val="0"/>
    <w:rPr>
      <w:lang w:val="zh-CN"/>
    </w:rPr>
  </w:style>
  <w:style w:type="paragraph" w:styleId="42">
    <w:name w:val="Balloon Text"/>
    <w:basedOn w:val="1"/>
    <w:link w:val="185"/>
    <w:qFormat/>
    <w:uiPriority w:val="0"/>
    <w:rPr>
      <w:sz w:val="18"/>
      <w:szCs w:val="18"/>
    </w:rPr>
  </w:style>
  <w:style w:type="paragraph" w:styleId="43">
    <w:name w:val="footer"/>
    <w:basedOn w:val="1"/>
    <w:link w:val="380"/>
    <w:qFormat/>
    <w:uiPriority w:val="99"/>
    <w:pPr>
      <w:tabs>
        <w:tab w:val="center" w:pos="4153"/>
        <w:tab w:val="right" w:pos="8306"/>
      </w:tabs>
      <w:snapToGrid w:val="0"/>
      <w:jc w:val="left"/>
    </w:pPr>
    <w:rPr>
      <w:sz w:val="18"/>
      <w:szCs w:val="18"/>
    </w:rPr>
  </w:style>
  <w:style w:type="paragraph" w:styleId="44">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2"/>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299"/>
    <w:qFormat/>
    <w:uiPriority w:val="0"/>
    <w:pPr>
      <w:spacing w:after="120" w:line="480" w:lineRule="auto"/>
    </w:pPr>
  </w:style>
  <w:style w:type="paragraph" w:styleId="59">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annotation subject"/>
    <w:basedOn w:val="20"/>
    <w:next w:val="20"/>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8"/>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50"/>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9"/>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2"/>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3"/>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2"/>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9"/>
    <w:qFormat/>
    <w:uiPriority w:val="0"/>
    <w:rPr>
      <w:rFonts w:ascii="黑体" w:hAnsi="Courier New" w:eastAsia="黑体"/>
    </w:rPr>
  </w:style>
  <w:style w:type="character" w:customStyle="1" w:styleId="299">
    <w:name w:val="正文文本 2 Char1"/>
    <w:link w:val="58"/>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40"/>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3"/>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5"/>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5"/>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5"/>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3"/>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4"/>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8"/>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40"/>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5"/>
    <w:next w:val="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1"/>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Normal]"/>
    <w:qFormat/>
    <w:uiPriority w:val="0"/>
    <w:rPr>
      <w:rFonts w:ascii="宋体" w:hAnsi="宋体" w:eastAsia="宋体" w:cs="Times New Roman"/>
      <w:sz w:val="24"/>
      <w:szCs w:val="22"/>
      <w:lang w:val="zh-CN" w:eastAsia="zh-CN" w:bidi="ar-SA"/>
    </w:rPr>
  </w:style>
  <w:style w:type="character" w:customStyle="1" w:styleId="963">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64">
    <w:name w:val="BodyTextIndent"/>
    <w:basedOn w:val="1"/>
    <w:next w:val="965"/>
    <w:qFormat/>
    <w:uiPriority w:val="0"/>
    <w:pPr>
      <w:spacing w:line="480" w:lineRule="auto"/>
      <w:ind w:firstLine="600"/>
      <w:textAlignment w:val="baseline"/>
    </w:pPr>
    <w:rPr>
      <w:sz w:val="28"/>
    </w:rPr>
  </w:style>
  <w:style w:type="paragraph" w:customStyle="1" w:styleId="965">
    <w:name w:val="UserStyle_460"/>
    <w:basedOn w:val="964"/>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96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967">
    <w:name w:val="标题 1 字符1"/>
    <w:link w:val="3"/>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177</Pages>
  <Words>82982</Words>
  <Characters>88917</Characters>
  <Lines>281</Lines>
  <Paragraphs>79</Paragraphs>
  <TotalTime>17</TotalTime>
  <ScaleCrop>false</ScaleCrop>
  <LinksUpToDate>false</LinksUpToDate>
  <CharactersWithSpaces>94823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HD</cp:lastModifiedBy>
  <cp:lastPrinted>2021-12-27T11:06:00Z</cp:lastPrinted>
  <dcterms:modified xsi:type="dcterms:W3CDTF">2023-03-10T08:53:43Z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